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6803CDBB" w14:textId="52D106D8" w:rsidR="004073BC" w:rsidRDefault="00F72274" w:rsidP="0055104E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59BE4433" wp14:editId="7534DA3C">
                <wp:simplePos x="0" y="0"/>
                <wp:positionH relativeFrom="column">
                  <wp:posOffset>-532765</wp:posOffset>
                </wp:positionH>
                <wp:positionV relativeFrom="paragraph">
                  <wp:posOffset>-793750</wp:posOffset>
                </wp:positionV>
                <wp:extent cx="7559645" cy="10951845"/>
                <wp:effectExtent l="0" t="0" r="3810" b="1905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45" cy="1095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25E0DCF2" wp14:editId="10C1C2D2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F8765E" w14:textId="77777777" w:rsidR="004073BC" w:rsidRDefault="004073BC" w:rsidP="0055104E"/>
        <w:p w14:paraId="7AE1E284" w14:textId="77777777" w:rsidR="004073BC" w:rsidRDefault="004073BC" w:rsidP="0055104E"/>
        <w:p w14:paraId="46BBD139" w14:textId="77777777" w:rsidR="004073BC" w:rsidRDefault="004073BC" w:rsidP="0055104E"/>
        <w:p w14:paraId="2E564782" w14:textId="77777777" w:rsidR="004073BC" w:rsidRDefault="004073BC" w:rsidP="0055104E"/>
        <w:p w14:paraId="3F020ADC" w14:textId="77777777" w:rsidR="004073BC" w:rsidRDefault="004073BC" w:rsidP="0055104E"/>
        <w:p w14:paraId="4C6BED5C" w14:textId="17062A38" w:rsidR="003D591C" w:rsidRPr="001122AE" w:rsidRDefault="00281BB1" w:rsidP="0055104E">
          <w:pPr>
            <w:rPr>
              <w:b/>
              <w:bCs/>
              <w:color w:val="FFFFFF" w:themeColor="background1"/>
              <w:sz w:val="84"/>
              <w:szCs w:val="84"/>
            </w:rPr>
          </w:pPr>
          <w:r w:rsidRPr="001122AE">
            <w:rPr>
              <w:noProof/>
              <w:sz w:val="84"/>
              <w:szCs w:val="84"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25D5B600" wp14:editId="68144174">
                    <wp:simplePos x="0" y="0"/>
                    <wp:positionH relativeFrom="column">
                      <wp:posOffset>24130</wp:posOffset>
                    </wp:positionH>
                    <wp:positionV relativeFrom="paragraph">
                      <wp:posOffset>7233920</wp:posOffset>
                    </wp:positionV>
                    <wp:extent cx="4308475" cy="178435"/>
                    <wp:effectExtent l="0" t="0" r="0" b="12065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BD715A" w14:textId="414218FC" w:rsidR="00281BB1" w:rsidRPr="009A240D" w:rsidRDefault="003D591C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June</w:t>
                                </w:r>
                                <w:r w:rsidR="0001405F">
                                  <w:rPr>
                                    <w:color w:val="FFFFFF" w:themeColor="background1"/>
                                  </w:rPr>
                                  <w:t xml:space="preserve">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D5B60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1.9pt;margin-top:569.6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" filled="f" stroked="f" strokeweight=".5pt">
                    <v:textbox inset="0,0,0,0">
                      <w:txbxContent>
                        <w:p w14:paraId="7ABD715A" w14:textId="414218FC" w:rsidR="00281BB1" w:rsidRPr="009A240D" w:rsidRDefault="003D591C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June</w:t>
                          </w:r>
                          <w:r w:rsidR="0001405F">
                            <w:rPr>
                              <w:color w:val="FFFFFF" w:themeColor="background1"/>
                            </w:rPr>
                            <w:t xml:space="preserve"> 2026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3D591C" w:rsidRPr="001122AE">
            <w:rPr>
              <w:b/>
              <w:bCs/>
              <w:color w:val="FFFFFF" w:themeColor="background1"/>
              <w:sz w:val="84"/>
              <w:szCs w:val="84"/>
            </w:rPr>
            <w:t>C</w:t>
          </w:r>
          <w:r w:rsidR="001A32D6" w:rsidRPr="001122AE">
            <w:rPr>
              <w:b/>
              <w:bCs/>
              <w:color w:val="FFFFFF" w:themeColor="background1"/>
              <w:sz w:val="84"/>
              <w:szCs w:val="84"/>
            </w:rPr>
            <w:t xml:space="preserve">ustomer </w:t>
          </w:r>
          <w:r w:rsidR="003D591C" w:rsidRPr="001122AE">
            <w:rPr>
              <w:b/>
              <w:bCs/>
              <w:color w:val="FFFFFF" w:themeColor="background1"/>
              <w:sz w:val="84"/>
              <w:szCs w:val="84"/>
            </w:rPr>
            <w:t>S</w:t>
          </w:r>
          <w:r w:rsidR="003F5C80" w:rsidRPr="001122AE">
            <w:rPr>
              <w:b/>
              <w:bCs/>
              <w:color w:val="FFFFFF" w:themeColor="background1"/>
              <w:sz w:val="84"/>
              <w:szCs w:val="84"/>
            </w:rPr>
            <w:t>ervice</w:t>
          </w:r>
          <w:r w:rsidR="005D440D" w:rsidRPr="001122AE">
            <w:rPr>
              <w:b/>
              <w:bCs/>
              <w:color w:val="FFFFFF" w:themeColor="background1"/>
              <w:sz w:val="84"/>
              <w:szCs w:val="84"/>
            </w:rPr>
            <w:t xml:space="preserve"> </w:t>
          </w:r>
          <w:r w:rsidR="003D591C" w:rsidRPr="001122AE">
            <w:rPr>
              <w:b/>
              <w:bCs/>
              <w:color w:val="FFFFFF" w:themeColor="background1"/>
              <w:sz w:val="84"/>
              <w:szCs w:val="84"/>
            </w:rPr>
            <w:t>C</w:t>
          </w:r>
          <w:r w:rsidR="00DB5061" w:rsidRPr="001122AE">
            <w:rPr>
              <w:b/>
              <w:bCs/>
              <w:color w:val="FFFFFF" w:themeColor="background1"/>
              <w:sz w:val="84"/>
              <w:szCs w:val="84"/>
            </w:rPr>
            <w:t xml:space="preserve">omplaints </w:t>
          </w:r>
        </w:p>
        <w:p w14:paraId="676B75C5" w14:textId="1E0F1CE0" w:rsidR="00DB5061" w:rsidRPr="001122AE" w:rsidRDefault="003D591C" w:rsidP="0055104E">
          <w:pPr>
            <w:rPr>
              <w:b/>
              <w:bCs/>
              <w:color w:val="FFFFFF" w:themeColor="background1"/>
              <w:sz w:val="84"/>
              <w:szCs w:val="84"/>
            </w:rPr>
          </w:pPr>
          <w:r w:rsidRPr="001122AE">
            <w:rPr>
              <w:b/>
              <w:bCs/>
              <w:color w:val="FFFFFF" w:themeColor="background1"/>
              <w:sz w:val="84"/>
              <w:szCs w:val="84"/>
            </w:rPr>
            <w:t>P</w:t>
          </w:r>
          <w:r w:rsidR="00DB5061" w:rsidRPr="001122AE">
            <w:rPr>
              <w:b/>
              <w:bCs/>
              <w:color w:val="FFFFFF" w:themeColor="background1"/>
              <w:sz w:val="84"/>
              <w:szCs w:val="84"/>
            </w:rPr>
            <w:t>erformance</w:t>
          </w:r>
          <w:r w:rsidRPr="001122AE">
            <w:rPr>
              <w:b/>
              <w:bCs/>
              <w:color w:val="FFFFFF" w:themeColor="background1"/>
              <w:sz w:val="84"/>
              <w:szCs w:val="84"/>
            </w:rPr>
            <w:t xml:space="preserve"> R</w:t>
          </w:r>
          <w:r w:rsidR="00DB5061" w:rsidRPr="001122AE">
            <w:rPr>
              <w:b/>
              <w:bCs/>
              <w:color w:val="FFFFFF" w:themeColor="background1"/>
              <w:sz w:val="84"/>
              <w:szCs w:val="84"/>
            </w:rPr>
            <w:t>eport</w:t>
          </w:r>
        </w:p>
        <w:p w14:paraId="188E599E" w14:textId="6E0C2AF8" w:rsidR="00DB5061" w:rsidRPr="003D591C" w:rsidRDefault="00DB5061" w:rsidP="0055104E">
          <w:pPr>
            <w:rPr>
              <w:b/>
              <w:bCs/>
              <w:color w:val="FFFFFF" w:themeColor="background1"/>
              <w:sz w:val="48"/>
              <w:szCs w:val="48"/>
            </w:rPr>
          </w:pPr>
          <w:r w:rsidRPr="003D591C">
            <w:rPr>
              <w:b/>
              <w:bCs/>
              <w:color w:val="FFFFFF" w:themeColor="background1"/>
              <w:sz w:val="48"/>
              <w:szCs w:val="48"/>
            </w:rPr>
            <w:t>April 202</w:t>
          </w:r>
          <w:r w:rsidR="005F62EF" w:rsidRPr="003D591C">
            <w:rPr>
              <w:b/>
              <w:bCs/>
              <w:color w:val="FFFFFF" w:themeColor="background1"/>
              <w:sz w:val="48"/>
              <w:szCs w:val="48"/>
            </w:rPr>
            <w:t xml:space="preserve">4 </w:t>
          </w:r>
          <w:r w:rsidR="002955A4" w:rsidRPr="003D591C">
            <w:rPr>
              <w:b/>
              <w:bCs/>
              <w:color w:val="FFFFFF" w:themeColor="background1"/>
              <w:sz w:val="48"/>
              <w:szCs w:val="48"/>
            </w:rPr>
            <w:t>to</w:t>
          </w:r>
          <w:r w:rsidRPr="003D591C">
            <w:rPr>
              <w:b/>
              <w:bCs/>
              <w:color w:val="FFFFFF" w:themeColor="background1"/>
              <w:sz w:val="48"/>
              <w:szCs w:val="48"/>
            </w:rPr>
            <w:t xml:space="preserve"> March 202</w:t>
          </w:r>
          <w:r w:rsidR="005F62EF" w:rsidRPr="003D591C">
            <w:rPr>
              <w:b/>
              <w:bCs/>
              <w:color w:val="FFFFFF" w:themeColor="background1"/>
              <w:sz w:val="48"/>
              <w:szCs w:val="48"/>
            </w:rPr>
            <w:t>5</w:t>
          </w:r>
        </w:p>
        <w:p w14:paraId="3A04382A" w14:textId="2810C8D5" w:rsidR="00801105" w:rsidRDefault="00801105" w:rsidP="0055104E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4EEB7A8C" w14:textId="77777777" w:rsidR="008C1A73" w:rsidRPr="00CF7EFB" w:rsidRDefault="008C1A73" w:rsidP="0055104E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016574"/>
          <w:sz w:val="24"/>
          <w:szCs w:val="24"/>
          <w:lang w:val="en-GB"/>
        </w:rPr>
        <w:id w:val="37642992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14:paraId="3CCE7E28" w14:textId="635D3E9A" w:rsidR="007D47D0" w:rsidRPr="00485846" w:rsidRDefault="007D47D0">
          <w:pPr>
            <w:pStyle w:val="TOCHeading"/>
            <w:rPr>
              <w:color w:val="016574"/>
            </w:rPr>
          </w:pPr>
          <w:r w:rsidRPr="00485846">
            <w:rPr>
              <w:color w:val="016574"/>
            </w:rPr>
            <w:t>Contents</w:t>
          </w:r>
        </w:p>
        <w:p w14:paraId="524F606F" w14:textId="77777777" w:rsidR="007D47D0" w:rsidRDefault="007D47D0">
          <w:pPr>
            <w:pStyle w:val="TOC1"/>
            <w:tabs>
              <w:tab w:val="right" w:leader="dot" w:pos="10212"/>
            </w:tabs>
          </w:pPr>
        </w:p>
        <w:p w14:paraId="0FAD4835" w14:textId="3E7DE7D7" w:rsidR="009526EF" w:rsidRDefault="007D47D0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957238" w:history="1">
            <w:r w:rsidR="009526EF" w:rsidRPr="00F34349">
              <w:rPr>
                <w:rStyle w:val="Hyperlink"/>
                <w:rFonts w:eastAsia="Times New Roman"/>
                <w:noProof/>
              </w:rPr>
              <w:t>Introduction</w:t>
            </w:r>
            <w:r w:rsidR="009526EF">
              <w:rPr>
                <w:noProof/>
                <w:webHidden/>
              </w:rPr>
              <w:tab/>
            </w:r>
            <w:r w:rsidR="009526EF">
              <w:rPr>
                <w:noProof/>
                <w:webHidden/>
              </w:rPr>
              <w:fldChar w:fldCharType="begin"/>
            </w:r>
            <w:r w:rsidR="009526EF">
              <w:rPr>
                <w:noProof/>
                <w:webHidden/>
              </w:rPr>
              <w:instrText xml:space="preserve"> PAGEREF _Toc230957238 \h </w:instrText>
            </w:r>
            <w:r w:rsidR="009526EF">
              <w:rPr>
                <w:noProof/>
                <w:webHidden/>
              </w:rPr>
            </w:r>
            <w:r w:rsidR="009526EF"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2</w:t>
            </w:r>
            <w:r w:rsidR="009526EF">
              <w:rPr>
                <w:noProof/>
                <w:webHidden/>
              </w:rPr>
              <w:fldChar w:fldCharType="end"/>
            </w:r>
          </w:hyperlink>
        </w:p>
        <w:p w14:paraId="05B7E3F6" w14:textId="6EEFBF88" w:rsidR="009526EF" w:rsidRDefault="009526EF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39" w:history="1">
            <w:r w:rsidRPr="00F34349">
              <w:rPr>
                <w:rStyle w:val="Hyperlink"/>
                <w:rFonts w:eastAsia="Times New Roman"/>
                <w:bCs/>
                <w:noProof/>
              </w:rPr>
              <w:t>Indicators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10B83" w14:textId="5AD9F9F0" w:rsidR="009526EF" w:rsidRDefault="009526E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40" w:history="1">
            <w:r w:rsidRPr="00F34349">
              <w:rPr>
                <w:rStyle w:val="Hyperlink"/>
                <w:rFonts w:eastAsia="Times New Roman"/>
                <w:noProof/>
              </w:rPr>
              <w:t>Indicator one</w:t>
            </w:r>
            <w:r w:rsidR="0076258F">
              <w:rPr>
                <w:rStyle w:val="Hyperlink"/>
                <w:rFonts w:eastAsia="Times New Roman"/>
                <w:noProof/>
              </w:rPr>
              <w:t xml:space="preserve">: </w:t>
            </w:r>
            <w:r w:rsidRPr="00F34349">
              <w:rPr>
                <w:rStyle w:val="Hyperlink"/>
                <w:rFonts w:eastAsia="Times New Roman"/>
                <w:noProof/>
              </w:rPr>
              <w:t>total number of customer service complaints received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394CD" w14:textId="0AD36015" w:rsidR="009526EF" w:rsidRDefault="009526E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41" w:history="1">
            <w:r w:rsidRPr="00F34349">
              <w:rPr>
                <w:rStyle w:val="Hyperlink"/>
                <w:rFonts w:eastAsia="Times New Roman"/>
                <w:noProof/>
              </w:rPr>
              <w:t>Indicator two</w:t>
            </w:r>
            <w:r w:rsidR="0076258F">
              <w:rPr>
                <w:rStyle w:val="Hyperlink"/>
                <w:rFonts w:eastAsia="Times New Roman"/>
                <w:noProof/>
              </w:rPr>
              <w:t xml:space="preserve">: </w:t>
            </w:r>
            <w:r w:rsidRPr="00F34349">
              <w:rPr>
                <w:rStyle w:val="Hyperlink"/>
                <w:rFonts w:eastAsia="Times New Roman"/>
                <w:noProof/>
              </w:rPr>
              <w:t>number and percentage of complaints at each stage that were closed in full within the set timescales of five and 20 working days.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07230" w14:textId="13553D56" w:rsidR="009526EF" w:rsidRDefault="009526E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42" w:history="1">
            <w:r w:rsidRPr="00F34349">
              <w:rPr>
                <w:rStyle w:val="Hyperlink"/>
                <w:noProof/>
                <w:shd w:val="clear" w:color="auto" w:fill="FFFFFF"/>
              </w:rPr>
              <w:t>Indicator three</w:t>
            </w:r>
            <w:r w:rsidR="0076258F">
              <w:rPr>
                <w:rStyle w:val="Hyperlink"/>
                <w:noProof/>
                <w:shd w:val="clear" w:color="auto" w:fill="FFFFFF"/>
              </w:rPr>
              <w:t xml:space="preserve">: </w:t>
            </w:r>
            <w:r w:rsidRPr="00F34349">
              <w:rPr>
                <w:rStyle w:val="Hyperlink"/>
                <w:noProof/>
                <w:shd w:val="clear" w:color="auto" w:fill="FFFFFF"/>
              </w:rPr>
              <w:t>average time in working days for a full response to complaints at each stage</w:t>
            </w:r>
            <w:r w:rsidR="005D440D">
              <w:rPr>
                <w:noProof/>
                <w:webHidden/>
              </w:rPr>
              <w:t xml:space="preserve">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95CB3" w14:textId="294C5687" w:rsidR="009526EF" w:rsidRDefault="009526EF">
          <w:pPr>
            <w:pStyle w:val="TOC2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43" w:history="1">
            <w:r w:rsidRPr="00F34349">
              <w:rPr>
                <w:rStyle w:val="Hyperlink"/>
                <w:noProof/>
              </w:rPr>
              <w:t>Indicator four</w:t>
            </w:r>
            <w:r w:rsidR="0076258F">
              <w:rPr>
                <w:rStyle w:val="Hyperlink"/>
                <w:noProof/>
              </w:rPr>
              <w:t xml:space="preserve">: </w:t>
            </w:r>
            <w:r w:rsidRPr="00F34349">
              <w:rPr>
                <w:rStyle w:val="Hyperlink"/>
                <w:noProof/>
              </w:rPr>
              <w:t xml:space="preserve">outcome of complaints at each </w:t>
            </w:r>
            <w:r w:rsidR="00D1735A">
              <w:rPr>
                <w:rStyle w:val="Hyperlink"/>
                <w:noProof/>
              </w:rPr>
              <w:t>s</w:t>
            </w:r>
            <w:r w:rsidRPr="00F34349">
              <w:rPr>
                <w:rStyle w:val="Hyperlink"/>
                <w:noProof/>
              </w:rPr>
              <w:t>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620E2" w14:textId="63202664" w:rsidR="009526EF" w:rsidRDefault="009526EF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44" w:history="1">
            <w:r w:rsidRPr="00F34349">
              <w:rPr>
                <w:rStyle w:val="Hyperlink"/>
                <w:rFonts w:eastAsia="Calibri"/>
                <w:noProof/>
              </w:rPr>
              <w:t>Complaint trends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8607B" w14:textId="4A666E9F" w:rsidR="009526EF" w:rsidRDefault="009526EF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45" w:history="1">
            <w:r w:rsidRPr="00F34349">
              <w:rPr>
                <w:rStyle w:val="Hyperlink"/>
                <w:rFonts w:eastAsia="Calibri"/>
                <w:noProof/>
              </w:rPr>
              <w:t>Lessons learned</w:t>
            </w:r>
            <w:r w:rsidR="00AD4ABE">
              <w:rPr>
                <w:rStyle w:val="Hyperlink"/>
                <w:rFonts w:eastAsia="Calibri"/>
                <w:noProof/>
              </w:rPr>
              <w:t xml:space="preserve"> and </w:t>
            </w:r>
            <w:r w:rsidRPr="00F34349">
              <w:rPr>
                <w:rStyle w:val="Hyperlink"/>
                <w:rFonts w:eastAsia="Calibri"/>
                <w:noProof/>
              </w:rPr>
              <w:t>actions 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A3B7B" w14:textId="5608273C" w:rsidR="009526EF" w:rsidRDefault="009526EF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30957246" w:history="1">
            <w:r w:rsidRPr="00F34349">
              <w:rPr>
                <w:rStyle w:val="Hyperlink"/>
                <w:rFonts w:eastAsia="Calibri"/>
                <w:noProof/>
              </w:rPr>
              <w:t>Improving services and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_Toc230957246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186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11B09" w14:textId="71122EAA" w:rsidR="008832C3" w:rsidRPr="00F95EB3" w:rsidRDefault="007D47D0" w:rsidP="00F95EB3">
          <w:r>
            <w:rPr>
              <w:b/>
              <w:bCs/>
              <w:noProof/>
            </w:rPr>
            <w:fldChar w:fldCharType="end"/>
          </w:r>
        </w:p>
      </w:sdtContent>
    </w:sdt>
    <w:p w14:paraId="2E7AB368" w14:textId="77777777" w:rsidR="007D47D0" w:rsidRDefault="007D47D0">
      <w:pPr>
        <w:spacing w:line="240" w:lineRule="auto"/>
        <w:rPr>
          <w:rFonts w:asciiTheme="majorHAnsi" w:eastAsia="Times New Roman" w:hAnsiTheme="majorHAnsi" w:cstheme="majorBidi"/>
          <w:b/>
          <w:color w:val="016574"/>
          <w:sz w:val="40"/>
          <w:szCs w:val="32"/>
        </w:rPr>
      </w:pPr>
      <w:r>
        <w:rPr>
          <w:rFonts w:eastAsia="Times New Roman"/>
        </w:rPr>
        <w:br w:type="page"/>
      </w:r>
    </w:p>
    <w:p w14:paraId="6E4BCF7B" w14:textId="4A335618" w:rsidR="00DB5061" w:rsidRDefault="00DB5061" w:rsidP="0055104E">
      <w:pPr>
        <w:pStyle w:val="Heading1"/>
        <w:spacing w:line="360" w:lineRule="auto"/>
        <w:rPr>
          <w:rFonts w:eastAsia="Times New Roman"/>
        </w:rPr>
      </w:pPr>
      <w:bookmarkStart w:id="0" w:name="_Toc230957238"/>
      <w:r>
        <w:rPr>
          <w:rFonts w:eastAsia="Times New Roman"/>
        </w:rPr>
        <w:lastRenderedPageBreak/>
        <w:t>Introduction</w:t>
      </w:r>
      <w:bookmarkEnd w:id="0"/>
    </w:p>
    <w:p w14:paraId="7BEC56DF" w14:textId="3AEAA0B6" w:rsidR="00081ED9" w:rsidRDefault="00DB5061" w:rsidP="0055104E">
      <w:pPr>
        <w:pStyle w:val="BodyText1"/>
        <w:rPr>
          <w:rFonts w:eastAsia="Times New Roman"/>
        </w:rPr>
      </w:pPr>
      <w:hyperlink r:id="rId10" w:history="1">
        <w:r w:rsidRPr="00F85ABA">
          <w:rPr>
            <w:rStyle w:val="Hyperlink"/>
            <w:rFonts w:eastAsia="Times New Roman"/>
            <w:color w:val="016574"/>
          </w:rPr>
          <w:t>SEPA’s Complaints Handling Procedure (CHP)</w:t>
        </w:r>
      </w:hyperlink>
      <w:r w:rsidRPr="00DB5061">
        <w:rPr>
          <w:rFonts w:eastAsia="Times New Roman"/>
        </w:rPr>
        <w:t xml:space="preserve"> is </w:t>
      </w:r>
      <w:r w:rsidR="00DF72DA">
        <w:rPr>
          <w:rFonts w:eastAsia="Times New Roman"/>
        </w:rPr>
        <w:t xml:space="preserve">set out </w:t>
      </w:r>
      <w:r w:rsidRPr="00DB5061">
        <w:rPr>
          <w:rFonts w:eastAsia="Times New Roman"/>
        </w:rPr>
        <w:t xml:space="preserve">in accordance with the requirements of the </w:t>
      </w:r>
      <w:hyperlink r:id="rId11" w:history="1">
        <w:r w:rsidRPr="00F85ABA">
          <w:rPr>
            <w:rStyle w:val="Hyperlink"/>
            <w:rFonts w:eastAsia="Times New Roman"/>
            <w:color w:val="016574"/>
          </w:rPr>
          <w:t>Model Complaints Handling Procedure</w:t>
        </w:r>
      </w:hyperlink>
      <w:r w:rsidRPr="00DB5061">
        <w:rPr>
          <w:rFonts w:eastAsia="Times New Roman"/>
        </w:rPr>
        <w:t xml:space="preserve"> </w:t>
      </w:r>
      <w:r w:rsidR="00520996">
        <w:rPr>
          <w:rFonts w:eastAsia="Times New Roman"/>
        </w:rPr>
        <w:t xml:space="preserve">(MCHP) </w:t>
      </w:r>
      <w:r w:rsidRPr="00DB5061">
        <w:rPr>
          <w:rFonts w:eastAsia="Times New Roman"/>
        </w:rPr>
        <w:t>published by the Scottish Public Services Ombudsman (SPSO)</w:t>
      </w:r>
      <w:r w:rsidR="008832C3">
        <w:rPr>
          <w:rFonts w:eastAsia="Times New Roman"/>
        </w:rPr>
        <w:t xml:space="preserve">.  </w:t>
      </w:r>
    </w:p>
    <w:p w14:paraId="15731DD7" w14:textId="708AB7F6" w:rsidR="00DB5061" w:rsidRPr="00DB5061" w:rsidRDefault="00081ED9" w:rsidP="0055104E">
      <w:pPr>
        <w:pStyle w:val="BodyText1"/>
        <w:rPr>
          <w:rFonts w:eastAsia="Times New Roman"/>
        </w:rPr>
      </w:pPr>
      <w:r>
        <w:rPr>
          <w:rFonts w:eastAsia="Times New Roman"/>
        </w:rPr>
        <w:t xml:space="preserve">This report is our </w:t>
      </w:r>
      <w:r w:rsidR="00DB5061" w:rsidRPr="00DB5061">
        <w:rPr>
          <w:rFonts w:eastAsia="Times New Roman"/>
        </w:rPr>
        <w:t>publish</w:t>
      </w:r>
      <w:r w:rsidR="00391A3A">
        <w:rPr>
          <w:rFonts w:eastAsia="Times New Roman"/>
        </w:rPr>
        <w:t>ed</w:t>
      </w:r>
      <w:r w:rsidR="00DB5061" w:rsidRPr="00DB5061">
        <w:rPr>
          <w:rFonts w:eastAsia="Times New Roman"/>
        </w:rPr>
        <w:t xml:space="preserve"> annual report on our performance against four key indicators, complaint trends and the actions that have been or will be taken to improve services as a result. </w:t>
      </w:r>
    </w:p>
    <w:p w14:paraId="7C4C7C85" w14:textId="416FEDC1" w:rsidR="00DB5061" w:rsidRPr="00DB5061" w:rsidRDefault="00DB5061" w:rsidP="0055104E">
      <w:pPr>
        <w:pStyle w:val="BodyText1"/>
        <w:rPr>
          <w:rFonts w:eastAsia="Times New Roman"/>
        </w:rPr>
      </w:pPr>
      <w:r w:rsidRPr="00DB5061">
        <w:rPr>
          <w:rFonts w:eastAsia="Times New Roman"/>
        </w:rPr>
        <w:t>For comparative purposes, the performance figures for the year April 202</w:t>
      </w:r>
      <w:r w:rsidR="00EC2779">
        <w:rPr>
          <w:rFonts w:eastAsia="Times New Roman"/>
        </w:rPr>
        <w:t>4</w:t>
      </w:r>
      <w:r w:rsidRPr="00DB5061">
        <w:rPr>
          <w:rFonts w:eastAsia="Times New Roman"/>
        </w:rPr>
        <w:t xml:space="preserve"> to March 202</w:t>
      </w:r>
      <w:r w:rsidR="00EC2779">
        <w:rPr>
          <w:rFonts w:eastAsia="Times New Roman"/>
        </w:rPr>
        <w:t>5</w:t>
      </w:r>
      <w:r w:rsidRPr="00DB5061">
        <w:rPr>
          <w:rFonts w:eastAsia="Times New Roman"/>
        </w:rPr>
        <w:t xml:space="preserve"> inclusive, are presented alongside the corresponding figures for the </w:t>
      </w:r>
      <w:r w:rsidR="006C6A9B">
        <w:rPr>
          <w:rFonts w:eastAsia="Times New Roman"/>
        </w:rPr>
        <w:t xml:space="preserve">previous </w:t>
      </w:r>
      <w:r w:rsidRPr="00DB5061">
        <w:rPr>
          <w:rFonts w:eastAsia="Times New Roman"/>
        </w:rPr>
        <w:t>year April 202</w:t>
      </w:r>
      <w:r w:rsidR="00EC2779">
        <w:rPr>
          <w:rFonts w:eastAsia="Times New Roman"/>
        </w:rPr>
        <w:t>3</w:t>
      </w:r>
      <w:r w:rsidRPr="00DB5061">
        <w:rPr>
          <w:rFonts w:eastAsia="Times New Roman"/>
        </w:rPr>
        <w:t xml:space="preserve"> to March 202</w:t>
      </w:r>
      <w:r w:rsidR="00EC2779">
        <w:rPr>
          <w:rFonts w:eastAsia="Times New Roman"/>
        </w:rPr>
        <w:t>4</w:t>
      </w:r>
      <w:r w:rsidRPr="00DB5061">
        <w:rPr>
          <w:rFonts w:eastAsia="Times New Roman"/>
        </w:rPr>
        <w:t xml:space="preserve"> inclusive. </w:t>
      </w:r>
    </w:p>
    <w:p w14:paraId="17C1B8E3" w14:textId="77777777" w:rsidR="008832C3" w:rsidRDefault="008832C3">
      <w:pPr>
        <w:spacing w:line="240" w:lineRule="auto"/>
        <w:rPr>
          <w:rFonts w:asciiTheme="majorHAnsi" w:eastAsia="Times New Roman" w:hAnsiTheme="majorHAnsi" w:cstheme="majorBidi"/>
          <w:b/>
          <w:bCs/>
          <w:color w:val="016574"/>
          <w:sz w:val="40"/>
          <w:szCs w:val="32"/>
        </w:rPr>
      </w:pPr>
      <w:r>
        <w:rPr>
          <w:rFonts w:eastAsia="Times New Roman"/>
          <w:bCs/>
        </w:rPr>
        <w:br w:type="page"/>
      </w:r>
    </w:p>
    <w:p w14:paraId="01083740" w14:textId="3FCF88D9" w:rsidR="00DB5061" w:rsidRDefault="00DB5061" w:rsidP="0055104E">
      <w:pPr>
        <w:pStyle w:val="Heading1"/>
        <w:spacing w:line="360" w:lineRule="auto"/>
        <w:rPr>
          <w:rFonts w:eastAsia="Times New Roman"/>
          <w:bCs/>
        </w:rPr>
      </w:pPr>
      <w:bookmarkStart w:id="1" w:name="_Toc230957239"/>
      <w:r>
        <w:rPr>
          <w:rFonts w:eastAsia="Times New Roman"/>
          <w:bCs/>
        </w:rPr>
        <w:lastRenderedPageBreak/>
        <w:t>Indicators</w:t>
      </w:r>
      <w:bookmarkEnd w:id="1"/>
    </w:p>
    <w:p w14:paraId="744D1B5F" w14:textId="5B41B644" w:rsidR="00801690" w:rsidRDefault="00391A3A" w:rsidP="00801690">
      <w:r>
        <w:t xml:space="preserve">The SPSO’s </w:t>
      </w:r>
      <w:r w:rsidR="00520996">
        <w:t>MCHP</w:t>
      </w:r>
      <w:r w:rsidR="00F5078E">
        <w:t xml:space="preserve"> provides </w:t>
      </w:r>
      <w:r w:rsidR="00801690">
        <w:t>a standardised set</w:t>
      </w:r>
      <w:r w:rsidR="00520996">
        <w:t xml:space="preserve"> </w:t>
      </w:r>
      <w:r w:rsidR="00801690">
        <w:t>of complaints key performance indicators that organisations are required to use</w:t>
      </w:r>
      <w:r w:rsidR="00520996">
        <w:t xml:space="preserve"> to report </w:t>
      </w:r>
      <w:r w:rsidR="00585907">
        <w:t>publicly on</w:t>
      </w:r>
      <w:r w:rsidR="00801690">
        <w:t>.</w:t>
      </w:r>
    </w:p>
    <w:p w14:paraId="2C9758E7" w14:textId="77777777" w:rsidR="00F5078E" w:rsidRPr="00B831E5" w:rsidRDefault="00F5078E" w:rsidP="00B831E5"/>
    <w:p w14:paraId="229CA643" w14:textId="543734C7" w:rsidR="00DB5061" w:rsidRPr="003B6640" w:rsidRDefault="00DB5061" w:rsidP="00520996">
      <w:pPr>
        <w:pStyle w:val="Heading2"/>
        <w:rPr>
          <w:rFonts w:eastAsia="Times New Roman"/>
        </w:rPr>
      </w:pPr>
      <w:bookmarkStart w:id="2" w:name="_Toc230957240"/>
      <w:r w:rsidRPr="003B6640">
        <w:rPr>
          <w:rFonts w:eastAsia="Times New Roman"/>
        </w:rPr>
        <w:t xml:space="preserve">Indicator </w:t>
      </w:r>
      <w:r w:rsidR="00520996">
        <w:rPr>
          <w:rFonts w:eastAsia="Times New Roman"/>
        </w:rPr>
        <w:t>o</w:t>
      </w:r>
      <w:r w:rsidRPr="003B6640">
        <w:rPr>
          <w:rFonts w:eastAsia="Times New Roman"/>
        </w:rPr>
        <w:t>ne</w:t>
      </w:r>
      <w:r w:rsidR="007553D6">
        <w:rPr>
          <w:rFonts w:eastAsia="Times New Roman"/>
        </w:rPr>
        <w:t xml:space="preserve">: </w:t>
      </w:r>
      <w:r w:rsidRPr="003B6640">
        <w:rPr>
          <w:rFonts w:eastAsia="Times New Roman"/>
        </w:rPr>
        <w:t xml:space="preserve">total number of </w:t>
      </w:r>
      <w:r w:rsidR="003D280A" w:rsidRPr="003B6640">
        <w:rPr>
          <w:rFonts w:eastAsia="Times New Roman"/>
        </w:rPr>
        <w:t xml:space="preserve">customer service </w:t>
      </w:r>
      <w:r w:rsidRPr="003B6640">
        <w:rPr>
          <w:rFonts w:eastAsia="Times New Roman"/>
        </w:rPr>
        <w:t>complaints received</w:t>
      </w:r>
      <w:bookmarkEnd w:id="2"/>
    </w:p>
    <w:p w14:paraId="77F3E4B1" w14:textId="0C79D868" w:rsidR="00DB5061" w:rsidRDefault="00DB5061" w:rsidP="0055104E">
      <w:pPr>
        <w:spacing w:after="240"/>
        <w:rPr>
          <w:rFonts w:asciiTheme="majorHAnsi" w:hAnsiTheme="majorHAnsi" w:cstheme="majorHAnsi"/>
        </w:rPr>
      </w:pPr>
      <w:r w:rsidRPr="00DB5061">
        <w:rPr>
          <w:rFonts w:asciiTheme="majorHAnsi" w:hAnsiTheme="majorHAnsi" w:cstheme="majorHAnsi"/>
        </w:rPr>
        <w:t xml:space="preserve">This indicator is a measure of the sum of the number of </w:t>
      </w:r>
      <w:r w:rsidR="003D280A">
        <w:rPr>
          <w:rFonts w:asciiTheme="majorHAnsi" w:hAnsiTheme="majorHAnsi" w:cstheme="majorHAnsi"/>
        </w:rPr>
        <w:t xml:space="preserve">service </w:t>
      </w:r>
      <w:r w:rsidRPr="00DB5061">
        <w:rPr>
          <w:rFonts w:asciiTheme="majorHAnsi" w:hAnsiTheme="majorHAnsi" w:cstheme="majorHAnsi"/>
        </w:rPr>
        <w:t>complaints received at Stage 1 (this includes</w:t>
      </w:r>
      <w:r w:rsidR="00AE6C03">
        <w:rPr>
          <w:rFonts w:asciiTheme="majorHAnsi" w:hAnsiTheme="majorHAnsi" w:cstheme="majorHAnsi"/>
        </w:rPr>
        <w:t xml:space="preserve"> complaints that were subsequently escalated to Stage 2</w:t>
      </w:r>
      <w:r w:rsidRPr="00DB5061">
        <w:rPr>
          <w:rFonts w:asciiTheme="majorHAnsi" w:hAnsiTheme="majorHAnsi" w:cstheme="majorHAnsi"/>
        </w:rPr>
        <w:t>), and the number of complaints received directly at Stage 2.</w:t>
      </w:r>
    </w:p>
    <w:p w14:paraId="2ADF4AA4" w14:textId="36574E4F" w:rsidR="007F2E6C" w:rsidRPr="007F2E6C" w:rsidRDefault="007F2E6C" w:rsidP="007F2E6C">
      <w:pPr>
        <w:pStyle w:val="Caption"/>
        <w:spacing w:after="240" w:line="360" w:lineRule="auto"/>
        <w:jc w:val="both"/>
        <w:rPr>
          <w:rFonts w:asciiTheme="majorHAnsi" w:hAnsiTheme="majorHAnsi" w:cstheme="majorHAns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i w:val="0"/>
          <w:iCs w:val="0"/>
          <w:color w:val="auto"/>
          <w:sz w:val="24"/>
          <w:szCs w:val="24"/>
        </w:rPr>
        <w:t>Figure</w:t>
      </w:r>
      <w:r w:rsidRPr="007F2E6C">
        <w:rPr>
          <w:rFonts w:asciiTheme="majorHAnsi" w:hAnsiTheme="majorHAnsi" w:cstheme="majorHAnsi"/>
          <w:b/>
          <w:bCs/>
          <w:i w:val="0"/>
          <w:iCs w:val="0"/>
          <w:color w:val="auto"/>
          <w:sz w:val="24"/>
          <w:szCs w:val="24"/>
        </w:rPr>
        <w:t xml:space="preserve"> 1: Total number of Stage 1 and Stage 2 complaints</w:t>
      </w:r>
    </w:p>
    <w:p w14:paraId="2967BA4A" w14:textId="00DBCE96" w:rsidR="00042B36" w:rsidRDefault="00C8509F" w:rsidP="00042B36">
      <w:pPr>
        <w:spacing w:after="240"/>
        <w:ind w:firstLine="11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3802DAD1" wp14:editId="02EC5287">
            <wp:extent cx="5688013" cy="3879850"/>
            <wp:effectExtent l="0" t="0" r="8255" b="6350"/>
            <wp:docPr id="1248726794" name="Chart 1" descr="A bar chart showing the total number of stage 1 and stage 2 complaints, for 2023 to 2024 and 2024 to 2025. There are four bars. The results are described in text in the two paragraphs below this image.">
              <a:extLst xmlns:a="http://schemas.openxmlformats.org/drawingml/2006/main">
                <a:ext uri="{FF2B5EF4-FFF2-40B4-BE49-F238E27FC236}">
                  <a16:creationId xmlns:a16="http://schemas.microsoft.com/office/drawing/2014/main" id="{7E55C510-65F1-4E37-AD16-57FF4D85D0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F714134" w14:textId="1A778AF0" w:rsidR="00DB5061" w:rsidRPr="00070367" w:rsidRDefault="00DB5061" w:rsidP="00042B36">
      <w:pPr>
        <w:spacing w:after="240"/>
        <w:ind w:firstLine="11"/>
        <w:rPr>
          <w:rFonts w:asciiTheme="majorHAnsi" w:hAnsiTheme="majorHAnsi" w:cstheme="majorHAnsi"/>
        </w:rPr>
      </w:pPr>
      <w:r w:rsidRPr="00070367">
        <w:rPr>
          <w:rFonts w:asciiTheme="majorHAnsi" w:hAnsiTheme="majorHAnsi" w:cstheme="majorHAnsi"/>
        </w:rPr>
        <w:t xml:space="preserve">A total of </w:t>
      </w:r>
      <w:r w:rsidR="00044D7E" w:rsidRPr="00070367">
        <w:rPr>
          <w:rFonts w:asciiTheme="majorHAnsi" w:hAnsiTheme="majorHAnsi" w:cstheme="majorHAnsi"/>
        </w:rPr>
        <w:t>40</w:t>
      </w:r>
      <w:r w:rsidRPr="00070367">
        <w:rPr>
          <w:rFonts w:asciiTheme="majorHAnsi" w:hAnsiTheme="majorHAnsi" w:cstheme="majorHAnsi"/>
        </w:rPr>
        <w:t xml:space="preserve"> service level complaints were received in the reporting period and handled under the SEPA’s CHP, with 2</w:t>
      </w:r>
      <w:r w:rsidR="00785FF5" w:rsidRPr="00070367">
        <w:rPr>
          <w:rFonts w:asciiTheme="majorHAnsi" w:hAnsiTheme="majorHAnsi" w:cstheme="majorHAnsi"/>
        </w:rPr>
        <w:t>5</w:t>
      </w:r>
      <w:r w:rsidRPr="00070367">
        <w:rPr>
          <w:rFonts w:asciiTheme="majorHAnsi" w:hAnsiTheme="majorHAnsi" w:cstheme="majorHAnsi"/>
        </w:rPr>
        <w:t xml:space="preserve"> being handled at Stage 1 and </w:t>
      </w:r>
      <w:r w:rsidR="00070367" w:rsidRPr="00070367">
        <w:rPr>
          <w:rFonts w:asciiTheme="majorHAnsi" w:hAnsiTheme="majorHAnsi" w:cstheme="majorHAnsi"/>
        </w:rPr>
        <w:t>15</w:t>
      </w:r>
      <w:r w:rsidRPr="00070367">
        <w:rPr>
          <w:rFonts w:asciiTheme="majorHAnsi" w:hAnsiTheme="majorHAnsi" w:cstheme="majorHAnsi"/>
        </w:rPr>
        <w:t xml:space="preserve"> at Stage 2.</w:t>
      </w:r>
    </w:p>
    <w:p w14:paraId="1CDFC10D" w14:textId="39D2FD49" w:rsidR="00742A9A" w:rsidRPr="00742A9A" w:rsidRDefault="00DB5061" w:rsidP="007F2E6C">
      <w:pPr>
        <w:spacing w:after="240"/>
        <w:ind w:firstLine="22"/>
        <w:rPr>
          <w:rFonts w:asciiTheme="majorHAnsi" w:hAnsiTheme="majorHAnsi" w:cstheme="majorBidi"/>
        </w:rPr>
      </w:pPr>
      <w:r w:rsidRPr="0028322D">
        <w:rPr>
          <w:rFonts w:asciiTheme="majorHAnsi" w:hAnsiTheme="majorHAnsi" w:cstheme="majorBidi"/>
        </w:rPr>
        <w:lastRenderedPageBreak/>
        <w:t xml:space="preserve">This represents </w:t>
      </w:r>
      <w:r w:rsidR="00FB30EA" w:rsidRPr="0028322D">
        <w:rPr>
          <w:rFonts w:asciiTheme="majorHAnsi" w:hAnsiTheme="majorHAnsi" w:cstheme="majorBidi"/>
        </w:rPr>
        <w:t>an</w:t>
      </w:r>
      <w:r w:rsidRPr="0028322D">
        <w:rPr>
          <w:rFonts w:asciiTheme="majorHAnsi" w:hAnsiTheme="majorHAnsi" w:cstheme="majorBidi"/>
        </w:rPr>
        <w:t xml:space="preserve"> increase of </w:t>
      </w:r>
      <w:r w:rsidR="00FB30EA" w:rsidRPr="0028322D">
        <w:rPr>
          <w:rFonts w:asciiTheme="majorHAnsi" w:hAnsiTheme="majorHAnsi" w:cstheme="majorBidi"/>
        </w:rPr>
        <w:t>21</w:t>
      </w:r>
      <w:r w:rsidRPr="0028322D">
        <w:rPr>
          <w:rFonts w:asciiTheme="majorHAnsi" w:hAnsiTheme="majorHAnsi" w:cstheme="majorBidi"/>
        </w:rPr>
        <w:t>% from the total number of complaints (</w:t>
      </w:r>
      <w:r w:rsidR="00AD3947" w:rsidRPr="0028322D">
        <w:rPr>
          <w:rFonts w:asciiTheme="majorHAnsi" w:hAnsiTheme="majorHAnsi" w:cstheme="majorBidi"/>
        </w:rPr>
        <w:t>33</w:t>
      </w:r>
      <w:r w:rsidRPr="0028322D">
        <w:rPr>
          <w:rFonts w:asciiTheme="majorHAnsi" w:hAnsiTheme="majorHAnsi" w:cstheme="majorBidi"/>
        </w:rPr>
        <w:t>) handled in the previous year 202</w:t>
      </w:r>
      <w:r w:rsidR="00AD3947" w:rsidRPr="0028322D">
        <w:rPr>
          <w:rFonts w:asciiTheme="majorHAnsi" w:hAnsiTheme="majorHAnsi" w:cstheme="majorBidi"/>
        </w:rPr>
        <w:t>3</w:t>
      </w:r>
      <w:r w:rsidR="00F5078E">
        <w:rPr>
          <w:rFonts w:asciiTheme="majorHAnsi" w:hAnsiTheme="majorHAnsi" w:cstheme="majorBidi"/>
        </w:rPr>
        <w:t>-20</w:t>
      </w:r>
      <w:r w:rsidRPr="0028322D">
        <w:rPr>
          <w:rFonts w:asciiTheme="majorHAnsi" w:hAnsiTheme="majorHAnsi" w:cstheme="majorBidi"/>
        </w:rPr>
        <w:t>2</w:t>
      </w:r>
      <w:r w:rsidR="00AD3947" w:rsidRPr="0028322D">
        <w:rPr>
          <w:rFonts w:asciiTheme="majorHAnsi" w:hAnsiTheme="majorHAnsi" w:cstheme="majorBidi"/>
        </w:rPr>
        <w:t>4</w:t>
      </w:r>
      <w:r w:rsidRPr="0028322D">
        <w:rPr>
          <w:rFonts w:asciiTheme="majorHAnsi" w:hAnsiTheme="majorHAnsi" w:cstheme="majorBidi"/>
        </w:rPr>
        <w:t>.</w:t>
      </w:r>
      <w:r w:rsidR="00F108BB" w:rsidRPr="0028322D">
        <w:rPr>
          <w:rFonts w:asciiTheme="majorHAnsi" w:hAnsiTheme="majorHAnsi" w:cstheme="majorBidi"/>
        </w:rPr>
        <w:t xml:space="preserve"> </w:t>
      </w:r>
      <w:r w:rsidRPr="00C25623">
        <w:rPr>
          <w:rFonts w:asciiTheme="majorHAnsi" w:hAnsiTheme="majorHAnsi" w:cstheme="majorBidi"/>
        </w:rPr>
        <w:t xml:space="preserve">The number of Stage 1 complaints handled in this reporting year increased by </w:t>
      </w:r>
      <w:r w:rsidR="00175A9C" w:rsidRPr="00C25623">
        <w:rPr>
          <w:rFonts w:asciiTheme="majorHAnsi" w:hAnsiTheme="majorHAnsi" w:cstheme="majorBidi"/>
        </w:rPr>
        <w:t>4.2</w:t>
      </w:r>
      <w:r w:rsidRPr="00C25623">
        <w:rPr>
          <w:rFonts w:asciiTheme="majorHAnsi" w:hAnsiTheme="majorHAnsi" w:cstheme="majorBidi"/>
        </w:rPr>
        <w:t xml:space="preserve">% (from </w:t>
      </w:r>
      <w:r w:rsidR="000E68E2" w:rsidRPr="00C25623">
        <w:rPr>
          <w:rFonts w:asciiTheme="majorHAnsi" w:hAnsiTheme="majorHAnsi" w:cstheme="majorBidi"/>
        </w:rPr>
        <w:t>2</w:t>
      </w:r>
      <w:r w:rsidR="00175A9C" w:rsidRPr="00C25623">
        <w:rPr>
          <w:rFonts w:asciiTheme="majorHAnsi" w:hAnsiTheme="majorHAnsi" w:cstheme="majorBidi"/>
        </w:rPr>
        <w:t>4</w:t>
      </w:r>
      <w:r w:rsidRPr="00C25623">
        <w:rPr>
          <w:rFonts w:asciiTheme="majorHAnsi" w:hAnsiTheme="majorHAnsi" w:cstheme="majorBidi"/>
        </w:rPr>
        <w:t xml:space="preserve"> to 2</w:t>
      </w:r>
      <w:r w:rsidR="00175A9C" w:rsidRPr="00C25623">
        <w:rPr>
          <w:rFonts w:asciiTheme="majorHAnsi" w:hAnsiTheme="majorHAnsi" w:cstheme="majorBidi"/>
        </w:rPr>
        <w:t>5</w:t>
      </w:r>
      <w:r w:rsidRPr="00C25623">
        <w:rPr>
          <w:rFonts w:asciiTheme="majorHAnsi" w:hAnsiTheme="majorHAnsi" w:cstheme="majorBidi"/>
        </w:rPr>
        <w:t xml:space="preserve">), with Stage 2 complaints </w:t>
      </w:r>
      <w:r w:rsidR="00C25623" w:rsidRPr="00C25623">
        <w:rPr>
          <w:rFonts w:asciiTheme="majorHAnsi" w:hAnsiTheme="majorHAnsi" w:cstheme="majorBidi"/>
        </w:rPr>
        <w:t>increasing by 66.7</w:t>
      </w:r>
      <w:r w:rsidRPr="00C25623">
        <w:rPr>
          <w:rFonts w:asciiTheme="majorHAnsi" w:hAnsiTheme="majorHAnsi" w:cstheme="majorBidi"/>
        </w:rPr>
        <w:t xml:space="preserve">% (from </w:t>
      </w:r>
      <w:r w:rsidR="00C25623" w:rsidRPr="00C25623">
        <w:rPr>
          <w:rFonts w:asciiTheme="majorHAnsi" w:hAnsiTheme="majorHAnsi" w:cstheme="majorBidi"/>
        </w:rPr>
        <w:t xml:space="preserve">9 </w:t>
      </w:r>
      <w:r w:rsidRPr="00C25623">
        <w:rPr>
          <w:rFonts w:asciiTheme="majorHAnsi" w:hAnsiTheme="majorHAnsi" w:cstheme="majorBidi"/>
        </w:rPr>
        <w:t xml:space="preserve">to </w:t>
      </w:r>
      <w:r w:rsidR="00C25623" w:rsidRPr="00C25623">
        <w:rPr>
          <w:rFonts w:asciiTheme="majorHAnsi" w:hAnsiTheme="majorHAnsi" w:cstheme="majorBidi"/>
        </w:rPr>
        <w:t>15</w:t>
      </w:r>
      <w:r w:rsidRPr="00C25623">
        <w:rPr>
          <w:rFonts w:asciiTheme="majorHAnsi" w:hAnsiTheme="majorHAnsi" w:cstheme="majorBidi"/>
        </w:rPr>
        <w:t>)</w:t>
      </w:r>
      <w:r w:rsidR="00726658">
        <w:rPr>
          <w:rFonts w:asciiTheme="majorHAnsi" w:hAnsiTheme="majorHAnsi" w:cstheme="majorBidi"/>
        </w:rPr>
        <w:t>.</w:t>
      </w:r>
    </w:p>
    <w:p w14:paraId="0316FF6D" w14:textId="2AAB3F6E" w:rsidR="00DB5061" w:rsidRDefault="00DB5061" w:rsidP="0055104E">
      <w:pPr>
        <w:pStyle w:val="Heading2"/>
        <w:spacing w:line="360" w:lineRule="auto"/>
        <w:rPr>
          <w:rFonts w:eastAsia="Times New Roman"/>
        </w:rPr>
      </w:pPr>
      <w:bookmarkStart w:id="3" w:name="_Toc230957241"/>
      <w:r w:rsidRPr="000B2CF0">
        <w:rPr>
          <w:rFonts w:eastAsia="Times New Roman"/>
        </w:rPr>
        <w:t>Indicator two</w:t>
      </w:r>
      <w:r w:rsidR="007553D6">
        <w:rPr>
          <w:rFonts w:eastAsia="Times New Roman"/>
        </w:rPr>
        <w:t xml:space="preserve">: </w:t>
      </w:r>
      <w:r w:rsidRPr="000B2CF0">
        <w:rPr>
          <w:rFonts w:eastAsia="Times New Roman"/>
        </w:rPr>
        <w:t xml:space="preserve">number and percentage of complaints at each </w:t>
      </w:r>
      <w:r w:rsidR="00B12E46" w:rsidRPr="000B2CF0">
        <w:rPr>
          <w:rFonts w:eastAsia="Times New Roman"/>
        </w:rPr>
        <w:t>s</w:t>
      </w:r>
      <w:r w:rsidRPr="000B2CF0">
        <w:rPr>
          <w:rFonts w:eastAsia="Times New Roman"/>
        </w:rPr>
        <w:t>tage that were closed in full within the set timescales of five and 20 working days</w:t>
      </w:r>
      <w:bookmarkEnd w:id="3"/>
    </w:p>
    <w:p w14:paraId="2F80027E" w14:textId="77777777" w:rsidR="007F2E6C" w:rsidRDefault="006C6A9B" w:rsidP="007F2E6C">
      <w:pPr>
        <w:spacing w:after="240"/>
        <w:rPr>
          <w:rFonts w:ascii="Arial" w:hAnsi="Arial" w:cs="Arial"/>
        </w:rPr>
      </w:pPr>
      <w:r>
        <w:rPr>
          <w:rFonts w:asciiTheme="majorHAnsi" w:hAnsiTheme="majorHAnsi" w:cstheme="majorHAnsi"/>
        </w:rPr>
        <w:t>T</w:t>
      </w:r>
      <w:r w:rsidR="00B12E46" w:rsidRPr="00B12E46">
        <w:rPr>
          <w:rFonts w:asciiTheme="majorHAnsi" w:hAnsiTheme="majorHAnsi" w:cstheme="majorHAnsi"/>
        </w:rPr>
        <w:t xml:space="preserve">his indicator reports on the number of complaints closed in full at Stage 1, Stage 2 and after escalation within MCHP timescales as % of all Stage 1, Stage 2 and escalated complaints </w:t>
      </w:r>
      <w:r w:rsidR="00B12E46" w:rsidRPr="00B12E46">
        <w:rPr>
          <w:rFonts w:ascii="Arial" w:hAnsi="Arial" w:cs="Arial"/>
        </w:rPr>
        <w:t>responded to in full.</w:t>
      </w:r>
    </w:p>
    <w:p w14:paraId="49B28B9E" w14:textId="4E640424" w:rsidR="007F2E6C" w:rsidRPr="007F2E6C" w:rsidRDefault="007F2E6C" w:rsidP="0055104E">
      <w:pPr>
        <w:spacing w:after="240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Figure</w:t>
      </w:r>
      <w:r w:rsidRPr="007F2E6C">
        <w:rPr>
          <w:rFonts w:ascii="Arial" w:eastAsia="Calibri" w:hAnsi="Arial" w:cs="Arial"/>
          <w:b/>
          <w:bCs/>
        </w:rPr>
        <w:t xml:space="preserve"> 2: Stage 1 complaints closed within timescales</w:t>
      </w:r>
    </w:p>
    <w:p w14:paraId="778AC8D5" w14:textId="5BED57BF" w:rsidR="00B12E46" w:rsidRPr="00B12E46" w:rsidRDefault="00B04B07" w:rsidP="0055104E">
      <w:pPr>
        <w:keepNext/>
        <w:spacing w:after="240"/>
        <w:ind w:left="567"/>
        <w:rPr>
          <w:rFonts w:ascii="Arial" w:eastAsia="Calibri" w:hAnsi="Arial" w:cs="Arial"/>
        </w:rPr>
      </w:pPr>
      <w:r>
        <w:rPr>
          <w:noProof/>
        </w:rPr>
        <w:drawing>
          <wp:inline distT="0" distB="0" distL="0" distR="0" wp14:anchorId="1246E0E1" wp14:editId="49B2A459">
            <wp:extent cx="5981700" cy="3571875"/>
            <wp:effectExtent l="0" t="0" r="0" b="9525"/>
            <wp:docPr id="1592822813" name="Chart 1" descr="A bar chart showing the number of stage 1 complaints closed within a five-day timescale. There are two bars. One for 2023 to 2024, and another for 2024 to 2025. The results are described in text in the paragraph below this image.">
              <a:extLst xmlns:a="http://schemas.openxmlformats.org/drawingml/2006/main">
                <a:ext uri="{FF2B5EF4-FFF2-40B4-BE49-F238E27FC236}">
                  <a16:creationId xmlns:a16="http://schemas.microsoft.com/office/drawing/2014/main" id="{FC266027-B890-4FC8-A4FF-3137536757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28BD34" w14:textId="2AA222BE" w:rsidR="00742A9A" w:rsidRPr="00B12E46" w:rsidRDefault="00742A9A" w:rsidP="00742A9A">
      <w:pPr>
        <w:spacing w:after="240"/>
        <w:ind w:left="142"/>
        <w:rPr>
          <w:rFonts w:ascii="Arial" w:eastAsia="Calibri" w:hAnsi="Arial" w:cs="Arial"/>
        </w:rPr>
      </w:pPr>
      <w:r w:rsidRPr="00CC22C1">
        <w:rPr>
          <w:rFonts w:ascii="Arial" w:eastAsia="Calibri" w:hAnsi="Arial" w:cs="Arial"/>
        </w:rPr>
        <w:t>Of the 2</w:t>
      </w:r>
      <w:r w:rsidR="003847CD" w:rsidRPr="00CC22C1">
        <w:rPr>
          <w:rFonts w:ascii="Arial" w:eastAsia="Calibri" w:hAnsi="Arial" w:cs="Arial"/>
        </w:rPr>
        <w:t>4</w:t>
      </w:r>
      <w:r w:rsidRPr="00CC22C1">
        <w:rPr>
          <w:rFonts w:ascii="Arial" w:eastAsia="Calibri" w:hAnsi="Arial" w:cs="Arial"/>
        </w:rPr>
        <w:t xml:space="preserve"> Stage 1 complaints received in 202</w:t>
      </w:r>
      <w:r w:rsidR="003847CD" w:rsidRPr="00CC22C1">
        <w:rPr>
          <w:rFonts w:ascii="Arial" w:eastAsia="Calibri" w:hAnsi="Arial" w:cs="Arial"/>
        </w:rPr>
        <w:t>3</w:t>
      </w:r>
      <w:r w:rsidRPr="00CC22C1">
        <w:rPr>
          <w:rFonts w:ascii="Arial" w:eastAsia="Calibri" w:hAnsi="Arial" w:cs="Arial"/>
        </w:rPr>
        <w:t>-</w:t>
      </w:r>
      <w:r w:rsidRPr="00462E5C">
        <w:rPr>
          <w:rFonts w:ascii="Arial" w:eastAsia="Calibri" w:hAnsi="Arial" w:cs="Arial"/>
        </w:rPr>
        <w:t>202</w:t>
      </w:r>
      <w:r w:rsidR="003847CD" w:rsidRPr="00462E5C">
        <w:rPr>
          <w:rFonts w:ascii="Arial" w:eastAsia="Calibri" w:hAnsi="Arial" w:cs="Arial"/>
        </w:rPr>
        <w:t>4</w:t>
      </w:r>
      <w:r w:rsidRPr="00462E5C">
        <w:rPr>
          <w:rFonts w:ascii="Arial" w:eastAsia="Calibri" w:hAnsi="Arial" w:cs="Arial"/>
        </w:rPr>
        <w:t xml:space="preserve">, </w:t>
      </w:r>
      <w:r w:rsidR="00CC22C1" w:rsidRPr="00462E5C">
        <w:rPr>
          <w:rFonts w:ascii="Arial" w:eastAsia="Calibri" w:hAnsi="Arial" w:cs="Arial"/>
        </w:rPr>
        <w:t>22</w:t>
      </w:r>
      <w:r w:rsidRPr="00462E5C">
        <w:rPr>
          <w:rFonts w:ascii="Arial" w:eastAsia="Calibri" w:hAnsi="Arial" w:cs="Arial"/>
        </w:rPr>
        <w:t xml:space="preserve"> (</w:t>
      </w:r>
      <w:r w:rsidR="00CC22C1" w:rsidRPr="00462E5C">
        <w:rPr>
          <w:rFonts w:ascii="Arial" w:eastAsia="Calibri" w:hAnsi="Arial" w:cs="Arial"/>
        </w:rPr>
        <w:t>91</w:t>
      </w:r>
      <w:r w:rsidRPr="00462E5C">
        <w:rPr>
          <w:rFonts w:ascii="Arial" w:eastAsia="Calibri" w:hAnsi="Arial" w:cs="Arial"/>
        </w:rPr>
        <w:t xml:space="preserve">%) were closed within the recommended 5-day timescale. </w:t>
      </w:r>
      <w:r w:rsidR="00462E5C">
        <w:rPr>
          <w:rFonts w:ascii="Arial" w:eastAsia="Calibri" w:hAnsi="Arial" w:cs="Arial"/>
        </w:rPr>
        <w:t>Similar results were achieved i</w:t>
      </w:r>
      <w:r w:rsidRPr="00462E5C">
        <w:rPr>
          <w:rFonts w:ascii="Arial" w:eastAsia="Calibri" w:hAnsi="Arial" w:cs="Arial"/>
        </w:rPr>
        <w:t>n 202</w:t>
      </w:r>
      <w:r w:rsidR="00CC22C1" w:rsidRPr="00462E5C">
        <w:rPr>
          <w:rFonts w:ascii="Arial" w:eastAsia="Calibri" w:hAnsi="Arial" w:cs="Arial"/>
        </w:rPr>
        <w:t>4</w:t>
      </w:r>
      <w:r w:rsidRPr="00462E5C">
        <w:rPr>
          <w:rFonts w:ascii="Arial" w:eastAsia="Calibri" w:hAnsi="Arial" w:cs="Arial"/>
        </w:rPr>
        <w:t>-202</w:t>
      </w:r>
      <w:r w:rsidR="00CC22C1" w:rsidRPr="00462E5C">
        <w:rPr>
          <w:rFonts w:ascii="Arial" w:eastAsia="Calibri" w:hAnsi="Arial" w:cs="Arial"/>
        </w:rPr>
        <w:t>5</w:t>
      </w:r>
      <w:r w:rsidRPr="00462E5C">
        <w:rPr>
          <w:rFonts w:ascii="Arial" w:eastAsia="Calibri" w:hAnsi="Arial" w:cs="Arial"/>
        </w:rPr>
        <w:t xml:space="preserve">, with </w:t>
      </w:r>
      <w:r w:rsidR="00390A19" w:rsidRPr="00462E5C">
        <w:rPr>
          <w:rFonts w:ascii="Arial" w:eastAsia="Calibri" w:hAnsi="Arial" w:cs="Arial"/>
        </w:rPr>
        <w:t>23</w:t>
      </w:r>
      <w:r w:rsidRPr="00462E5C">
        <w:rPr>
          <w:rFonts w:ascii="Arial" w:eastAsia="Calibri" w:hAnsi="Arial" w:cs="Arial"/>
        </w:rPr>
        <w:t xml:space="preserve"> (</w:t>
      </w:r>
      <w:r w:rsidR="00462E5C" w:rsidRPr="00462E5C">
        <w:rPr>
          <w:rFonts w:ascii="Arial" w:eastAsia="Calibri" w:hAnsi="Arial" w:cs="Arial"/>
        </w:rPr>
        <w:t>92</w:t>
      </w:r>
      <w:r w:rsidRPr="00462E5C">
        <w:rPr>
          <w:rFonts w:ascii="Arial" w:eastAsia="Calibri" w:hAnsi="Arial" w:cs="Arial"/>
        </w:rPr>
        <w:t xml:space="preserve">%) of the </w:t>
      </w:r>
      <w:r w:rsidR="00390A19" w:rsidRPr="00462E5C">
        <w:rPr>
          <w:rFonts w:ascii="Arial" w:eastAsia="Calibri" w:hAnsi="Arial" w:cs="Arial"/>
        </w:rPr>
        <w:t>25</w:t>
      </w:r>
      <w:r w:rsidRPr="00462E5C">
        <w:rPr>
          <w:rFonts w:ascii="Arial" w:eastAsia="Calibri" w:hAnsi="Arial" w:cs="Arial"/>
        </w:rPr>
        <w:t xml:space="preserve"> Stage 1 complaints closed within timescales</w:t>
      </w:r>
      <w:r w:rsidRPr="00CC22C1">
        <w:rPr>
          <w:rFonts w:ascii="Arial" w:eastAsia="Calibri" w:hAnsi="Arial" w:cs="Arial"/>
        </w:rPr>
        <w:t>.</w:t>
      </w:r>
    </w:p>
    <w:p w14:paraId="254C213D" w14:textId="617EA35C" w:rsidR="007F2E6C" w:rsidRPr="007F2E6C" w:rsidRDefault="007F2E6C" w:rsidP="007F2E6C">
      <w:pPr>
        <w:spacing w:after="240"/>
        <w:rPr>
          <w:rFonts w:ascii="Arial" w:eastAsia="Calibri" w:hAnsi="Arial" w:cs="Arial"/>
          <w:b/>
          <w:bCs/>
        </w:rPr>
      </w:pPr>
      <w:r w:rsidRPr="007F2E6C">
        <w:rPr>
          <w:rFonts w:ascii="Arial" w:eastAsia="Calibri" w:hAnsi="Arial" w:cs="Arial"/>
          <w:b/>
          <w:bCs/>
        </w:rPr>
        <w:lastRenderedPageBreak/>
        <w:t>Figure 3: Stage 2 complaints closed within timescales</w:t>
      </w:r>
    </w:p>
    <w:p w14:paraId="2EECED31" w14:textId="5F0F37E7" w:rsidR="00B12E46" w:rsidRPr="00B12E46" w:rsidRDefault="00AB4773" w:rsidP="0055104E">
      <w:pPr>
        <w:keepNext/>
        <w:spacing w:after="240"/>
        <w:ind w:left="567"/>
        <w:rPr>
          <w:rFonts w:ascii="Arial" w:eastAsia="Calibri" w:hAnsi="Arial" w:cs="Arial"/>
        </w:rPr>
      </w:pPr>
      <w:r>
        <w:rPr>
          <w:noProof/>
        </w:rPr>
        <w:drawing>
          <wp:inline distT="0" distB="0" distL="0" distR="0" wp14:anchorId="7638AAD2" wp14:editId="21BD2B28">
            <wp:extent cx="6490970" cy="3804920"/>
            <wp:effectExtent l="0" t="0" r="5080" b="5080"/>
            <wp:docPr id="1454160302" name="Chart 1" descr="A bar chart showing the number of stage 2 complaints closed within the five-day timescale. There are two bars: one for 2023 to 2024, and another for 2024 to 2025. The results are described in text in the paragraph below this image.">
              <a:extLst xmlns:a="http://schemas.openxmlformats.org/drawingml/2006/main">
                <a:ext uri="{FF2B5EF4-FFF2-40B4-BE49-F238E27FC236}">
                  <a16:creationId xmlns:a16="http://schemas.microsoft.com/office/drawing/2014/main" id="{DFC3C235-9350-3870-1290-933FDB4C55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0E7897" w14:textId="7FB22AB0" w:rsidR="007672CD" w:rsidRPr="00B12E46" w:rsidRDefault="00293F47" w:rsidP="00742A9A">
      <w:pPr>
        <w:spacing w:after="240"/>
        <w:rPr>
          <w:rFonts w:ascii="Arial" w:eastAsia="Calibri" w:hAnsi="Arial" w:cs="Arial"/>
          <w:shd w:val="clear" w:color="auto" w:fill="FFFFFF"/>
        </w:rPr>
      </w:pPr>
      <w:r w:rsidRPr="00293F47">
        <w:rPr>
          <w:rFonts w:ascii="Arial" w:eastAsia="Calibri" w:hAnsi="Arial" w:cs="Arial"/>
          <w:shd w:val="clear" w:color="auto" w:fill="FFFFFF"/>
        </w:rPr>
        <w:t>All 9</w:t>
      </w:r>
      <w:r w:rsidR="00742A9A" w:rsidRPr="00293F47">
        <w:rPr>
          <w:rFonts w:ascii="Arial" w:eastAsia="Calibri" w:hAnsi="Arial" w:cs="Arial"/>
          <w:shd w:val="clear" w:color="auto" w:fill="FFFFFF"/>
        </w:rPr>
        <w:t xml:space="preserve"> Stage 2 complaints received in 202</w:t>
      </w:r>
      <w:r w:rsidR="004879DA">
        <w:rPr>
          <w:rFonts w:ascii="Arial" w:eastAsia="Calibri" w:hAnsi="Arial" w:cs="Arial"/>
          <w:shd w:val="clear" w:color="auto" w:fill="FFFFFF"/>
        </w:rPr>
        <w:t>3</w:t>
      </w:r>
      <w:r>
        <w:rPr>
          <w:rFonts w:ascii="Arial" w:eastAsia="Calibri" w:hAnsi="Arial" w:cs="Arial"/>
          <w:shd w:val="clear" w:color="auto" w:fill="FFFFFF"/>
        </w:rPr>
        <w:t>/</w:t>
      </w:r>
      <w:r w:rsidR="00742A9A" w:rsidRPr="00293F47">
        <w:rPr>
          <w:rFonts w:ascii="Arial" w:eastAsia="Calibri" w:hAnsi="Arial" w:cs="Arial"/>
          <w:shd w:val="clear" w:color="auto" w:fill="FFFFFF"/>
        </w:rPr>
        <w:t>2</w:t>
      </w:r>
      <w:r w:rsidR="004879DA">
        <w:rPr>
          <w:rFonts w:ascii="Arial" w:eastAsia="Calibri" w:hAnsi="Arial" w:cs="Arial"/>
          <w:shd w:val="clear" w:color="auto" w:fill="FFFFFF"/>
        </w:rPr>
        <w:t>4</w:t>
      </w:r>
      <w:r w:rsidRPr="00293F47">
        <w:rPr>
          <w:rFonts w:ascii="Arial" w:eastAsia="Calibri" w:hAnsi="Arial" w:cs="Arial"/>
          <w:shd w:val="clear" w:color="auto" w:fill="FFFFFF"/>
        </w:rPr>
        <w:t xml:space="preserve"> </w:t>
      </w:r>
      <w:r w:rsidR="00742A9A" w:rsidRPr="00293F47">
        <w:rPr>
          <w:rFonts w:ascii="Arial" w:eastAsia="Calibri" w:hAnsi="Arial" w:cs="Arial"/>
          <w:shd w:val="clear" w:color="auto" w:fill="FFFFFF"/>
        </w:rPr>
        <w:t>were closed within the recommended 20-day timescale</w:t>
      </w:r>
      <w:r w:rsidR="004879DA">
        <w:rPr>
          <w:rFonts w:ascii="Arial" w:eastAsia="Calibri" w:hAnsi="Arial" w:cs="Arial"/>
          <w:shd w:val="clear" w:color="auto" w:fill="FFFFFF"/>
        </w:rPr>
        <w:t xml:space="preserve">. </w:t>
      </w:r>
      <w:r w:rsidR="00F276DC">
        <w:rPr>
          <w:rFonts w:ascii="Arial" w:eastAsia="Calibri" w:hAnsi="Arial" w:cs="Arial"/>
          <w:shd w:val="clear" w:color="auto" w:fill="FFFFFF"/>
        </w:rPr>
        <w:t xml:space="preserve">In 2024/25, </w:t>
      </w:r>
      <w:r w:rsidR="00DA1C01">
        <w:rPr>
          <w:rFonts w:ascii="Arial" w:eastAsia="Calibri" w:hAnsi="Arial" w:cs="Arial"/>
          <w:shd w:val="clear" w:color="auto" w:fill="FFFFFF"/>
        </w:rPr>
        <w:t xml:space="preserve">13 </w:t>
      </w:r>
      <w:r w:rsidR="00E76E71">
        <w:rPr>
          <w:rFonts w:ascii="Arial" w:eastAsia="Calibri" w:hAnsi="Arial" w:cs="Arial"/>
          <w:shd w:val="clear" w:color="auto" w:fill="FFFFFF"/>
        </w:rPr>
        <w:t xml:space="preserve">(87%) </w:t>
      </w:r>
      <w:r w:rsidR="00DA1C01">
        <w:rPr>
          <w:rFonts w:ascii="Arial" w:eastAsia="Calibri" w:hAnsi="Arial" w:cs="Arial"/>
          <w:shd w:val="clear" w:color="auto" w:fill="FFFFFF"/>
        </w:rPr>
        <w:t xml:space="preserve">of </w:t>
      </w:r>
      <w:r w:rsidR="0056504E">
        <w:rPr>
          <w:rFonts w:ascii="Arial" w:eastAsia="Calibri" w:hAnsi="Arial" w:cs="Arial"/>
          <w:shd w:val="clear" w:color="auto" w:fill="FFFFFF"/>
        </w:rPr>
        <w:t xml:space="preserve">the 15 Stage 2 complaints were completed within </w:t>
      </w:r>
      <w:r w:rsidR="00E76E71">
        <w:rPr>
          <w:rFonts w:ascii="Arial" w:eastAsia="Calibri" w:hAnsi="Arial" w:cs="Arial"/>
          <w:shd w:val="clear" w:color="auto" w:fill="FFFFFF"/>
        </w:rPr>
        <w:t>the timescale</w:t>
      </w:r>
      <w:r w:rsidR="0056504E">
        <w:rPr>
          <w:rFonts w:ascii="Arial" w:eastAsia="Calibri" w:hAnsi="Arial" w:cs="Arial"/>
          <w:shd w:val="clear" w:color="auto" w:fill="FFFFFF"/>
        </w:rPr>
        <w:t>.</w:t>
      </w:r>
    </w:p>
    <w:p w14:paraId="6570F391" w14:textId="45BD31EE" w:rsidR="00DB5061" w:rsidRDefault="00B12E46" w:rsidP="0055104E">
      <w:pPr>
        <w:pStyle w:val="Heading2"/>
        <w:spacing w:line="360" w:lineRule="auto"/>
        <w:rPr>
          <w:rFonts w:eastAsia="Times New Roman"/>
        </w:rPr>
      </w:pPr>
      <w:bookmarkStart w:id="4" w:name="_Toc230957242"/>
      <w:r w:rsidRPr="006A4421">
        <w:rPr>
          <w:shd w:val="clear" w:color="auto" w:fill="FFFFFF"/>
        </w:rPr>
        <w:t xml:space="preserve">Indicator </w:t>
      </w:r>
      <w:r w:rsidR="00585907">
        <w:rPr>
          <w:shd w:val="clear" w:color="auto" w:fill="FFFFFF"/>
        </w:rPr>
        <w:t>t</w:t>
      </w:r>
      <w:r w:rsidR="00585907" w:rsidRPr="006A4421">
        <w:rPr>
          <w:shd w:val="clear" w:color="auto" w:fill="FFFFFF"/>
        </w:rPr>
        <w:t>hree</w:t>
      </w:r>
      <w:r w:rsidR="006A0966">
        <w:rPr>
          <w:shd w:val="clear" w:color="auto" w:fill="FFFFFF"/>
        </w:rPr>
        <w:t xml:space="preserve">: </w:t>
      </w:r>
      <w:r w:rsidRPr="006A4421">
        <w:rPr>
          <w:shd w:val="clear" w:color="auto" w:fill="FFFFFF"/>
        </w:rPr>
        <w:t>average time in working days for a full response to complaints at each stage</w:t>
      </w:r>
      <w:bookmarkEnd w:id="4"/>
    </w:p>
    <w:p w14:paraId="0E84D70F" w14:textId="211BBCB0" w:rsidR="00B12E46" w:rsidRPr="00B12E46" w:rsidRDefault="00B12E46" w:rsidP="0055104E">
      <w:pPr>
        <w:spacing w:after="240"/>
        <w:rPr>
          <w:rFonts w:cstheme="minorHAnsi"/>
          <w:shd w:val="clear" w:color="auto" w:fill="FFFFFF"/>
        </w:rPr>
      </w:pPr>
      <w:r w:rsidRPr="00B12E46">
        <w:rPr>
          <w:rFonts w:cstheme="minorHAnsi"/>
          <w:shd w:val="clear" w:color="auto" w:fill="FFFFFF"/>
        </w:rPr>
        <w:t>This indicator records the average (mean) time in working days to respond at Stage 1, Stage 2 and after escalation.</w:t>
      </w:r>
    </w:p>
    <w:p w14:paraId="193B2288" w14:textId="16A5C2C5" w:rsidR="00B12E46" w:rsidRDefault="00B12E46" w:rsidP="0055104E">
      <w:pPr>
        <w:spacing w:after="240"/>
        <w:rPr>
          <w:rStyle w:val="normaltextrun"/>
          <w:rFonts w:cstheme="minorHAnsi"/>
          <w:shd w:val="clear" w:color="auto" w:fill="FFFFFF"/>
        </w:rPr>
      </w:pPr>
      <w:r w:rsidRPr="00656EF4">
        <w:rPr>
          <w:rStyle w:val="normaltextrun"/>
          <w:rFonts w:cstheme="minorHAnsi"/>
          <w:shd w:val="clear" w:color="auto" w:fill="FFFFFF"/>
        </w:rPr>
        <w:t xml:space="preserve">Response times to Stage 1 and Stage 2 complaints </w:t>
      </w:r>
      <w:r w:rsidR="004312C1" w:rsidRPr="00656EF4">
        <w:rPr>
          <w:rStyle w:val="normaltextrun"/>
          <w:rFonts w:cstheme="minorHAnsi"/>
          <w:shd w:val="clear" w:color="auto" w:fill="FFFFFF"/>
        </w:rPr>
        <w:t xml:space="preserve">remained </w:t>
      </w:r>
      <w:r w:rsidR="00656EF4" w:rsidRPr="00656EF4">
        <w:rPr>
          <w:rStyle w:val="normaltextrun"/>
          <w:rFonts w:cstheme="minorHAnsi"/>
          <w:shd w:val="clear" w:color="auto" w:fill="FFFFFF"/>
        </w:rPr>
        <w:t>consistent</w:t>
      </w:r>
      <w:r w:rsidRPr="00656EF4">
        <w:rPr>
          <w:rStyle w:val="normaltextrun"/>
          <w:rFonts w:cstheme="minorHAnsi"/>
          <w:shd w:val="clear" w:color="auto" w:fill="FFFFFF"/>
        </w:rPr>
        <w:t xml:space="preserve"> in the reporting year with the average number of days for Stage 1 complaints </w:t>
      </w:r>
      <w:r w:rsidR="00656EF4" w:rsidRPr="00656EF4">
        <w:rPr>
          <w:rStyle w:val="normaltextrun"/>
          <w:rFonts w:cstheme="minorHAnsi"/>
          <w:shd w:val="clear" w:color="auto" w:fill="FFFFFF"/>
        </w:rPr>
        <w:t>remaining at</w:t>
      </w:r>
      <w:r w:rsidRPr="00656EF4">
        <w:rPr>
          <w:rStyle w:val="normaltextrun"/>
          <w:rFonts w:cstheme="minorHAnsi"/>
          <w:shd w:val="clear" w:color="auto" w:fill="FFFFFF"/>
        </w:rPr>
        <w:t xml:space="preserve"> </w:t>
      </w:r>
      <w:r w:rsidR="004312C1" w:rsidRPr="00656EF4">
        <w:rPr>
          <w:rStyle w:val="normaltextrun"/>
          <w:rFonts w:cstheme="minorHAnsi"/>
          <w:shd w:val="clear" w:color="auto" w:fill="FFFFFF"/>
        </w:rPr>
        <w:t>3.9</w:t>
      </w:r>
      <w:r w:rsidRPr="00656EF4">
        <w:rPr>
          <w:rStyle w:val="normaltextrun"/>
          <w:rFonts w:cstheme="minorHAnsi"/>
          <w:shd w:val="clear" w:color="auto" w:fill="FFFFFF"/>
        </w:rPr>
        <w:t xml:space="preserve"> days</w:t>
      </w:r>
      <w:r w:rsidR="00656EF4" w:rsidRPr="00656EF4">
        <w:rPr>
          <w:rStyle w:val="normaltextrun"/>
          <w:rFonts w:cstheme="minorHAnsi"/>
          <w:shd w:val="clear" w:color="auto" w:fill="FFFFFF"/>
        </w:rPr>
        <w:t>, the same as in 2023/</w:t>
      </w:r>
      <w:r w:rsidR="00962F86">
        <w:rPr>
          <w:rStyle w:val="normaltextrun"/>
          <w:rFonts w:cstheme="minorHAnsi"/>
          <w:shd w:val="clear" w:color="auto" w:fill="FFFFFF"/>
        </w:rPr>
        <w:t>20</w:t>
      </w:r>
      <w:r w:rsidR="00656EF4" w:rsidRPr="00656EF4">
        <w:rPr>
          <w:rStyle w:val="normaltextrun"/>
          <w:rFonts w:cstheme="minorHAnsi"/>
          <w:shd w:val="clear" w:color="auto" w:fill="FFFFFF"/>
        </w:rPr>
        <w:t>24</w:t>
      </w:r>
      <w:r w:rsidRPr="00656EF4">
        <w:rPr>
          <w:rStyle w:val="normaltextrun"/>
          <w:rFonts w:cstheme="minorHAnsi"/>
          <w:shd w:val="clear" w:color="auto" w:fill="FFFFFF"/>
        </w:rPr>
        <w:t xml:space="preserve"> </w:t>
      </w:r>
      <w:r w:rsidR="00656EF4" w:rsidRPr="00656EF4">
        <w:rPr>
          <w:rStyle w:val="normaltextrun"/>
          <w:rFonts w:cstheme="minorHAnsi"/>
          <w:shd w:val="clear" w:color="auto" w:fill="FFFFFF"/>
        </w:rPr>
        <w:t>and</w:t>
      </w:r>
      <w:r w:rsidRPr="00656EF4">
        <w:rPr>
          <w:rStyle w:val="normaltextrun"/>
          <w:rFonts w:cstheme="minorHAnsi"/>
          <w:shd w:val="clear" w:color="auto" w:fill="FFFFFF"/>
        </w:rPr>
        <w:t xml:space="preserve"> the average number of days for Stage 2 complaints reducing</w:t>
      </w:r>
      <w:r w:rsidR="00656EF4" w:rsidRPr="00656EF4">
        <w:rPr>
          <w:rStyle w:val="normaltextrun"/>
          <w:rFonts w:cstheme="minorHAnsi"/>
          <w:shd w:val="clear" w:color="auto" w:fill="FFFFFF"/>
        </w:rPr>
        <w:t xml:space="preserve"> slightly</w:t>
      </w:r>
      <w:r w:rsidRPr="00656EF4">
        <w:rPr>
          <w:rStyle w:val="normaltextrun"/>
          <w:rFonts w:cstheme="minorHAnsi"/>
          <w:shd w:val="clear" w:color="auto" w:fill="FFFFFF"/>
        </w:rPr>
        <w:t xml:space="preserve"> from </w:t>
      </w:r>
      <w:r w:rsidR="00AA6E74" w:rsidRPr="00656EF4">
        <w:rPr>
          <w:rStyle w:val="normaltextrun"/>
          <w:rFonts w:cstheme="minorHAnsi"/>
          <w:shd w:val="clear" w:color="auto" w:fill="FFFFFF"/>
        </w:rPr>
        <w:t>19.5</w:t>
      </w:r>
      <w:r w:rsidRPr="00656EF4">
        <w:rPr>
          <w:rStyle w:val="normaltextrun"/>
          <w:rFonts w:cstheme="minorHAnsi"/>
          <w:shd w:val="clear" w:color="auto" w:fill="FFFFFF"/>
        </w:rPr>
        <w:t xml:space="preserve"> </w:t>
      </w:r>
      <w:r w:rsidR="003A0364" w:rsidRPr="00656EF4">
        <w:rPr>
          <w:rStyle w:val="normaltextrun"/>
          <w:rFonts w:cstheme="minorHAnsi"/>
          <w:shd w:val="clear" w:color="auto" w:fill="FFFFFF"/>
        </w:rPr>
        <w:t xml:space="preserve">to 19.1 </w:t>
      </w:r>
      <w:r w:rsidRPr="00656EF4">
        <w:rPr>
          <w:rStyle w:val="normaltextrun"/>
          <w:rFonts w:cstheme="minorHAnsi"/>
          <w:shd w:val="clear" w:color="auto" w:fill="FFFFFF"/>
        </w:rPr>
        <w:t>days</w:t>
      </w:r>
      <w:r w:rsidR="00656EF4" w:rsidRPr="00656EF4">
        <w:rPr>
          <w:rStyle w:val="normaltextrun"/>
          <w:rFonts w:cstheme="minorHAnsi"/>
          <w:shd w:val="clear" w:color="auto" w:fill="FFFFFF"/>
        </w:rPr>
        <w:t xml:space="preserve"> for the same period</w:t>
      </w:r>
      <w:r w:rsidRPr="00656EF4">
        <w:rPr>
          <w:rStyle w:val="normaltextrun"/>
          <w:rFonts w:cstheme="minorHAnsi"/>
          <w:shd w:val="clear" w:color="auto" w:fill="FFFFFF"/>
        </w:rPr>
        <w:t xml:space="preserve">. </w:t>
      </w:r>
    </w:p>
    <w:p w14:paraId="7CA17A02" w14:textId="2586923C" w:rsidR="00C112C6" w:rsidRDefault="00755078" w:rsidP="001404BA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r w:rsidRPr="00755078">
        <w:rPr>
          <w:b/>
          <w:bCs/>
          <w:i w:val="0"/>
          <w:iCs w:val="0"/>
          <w:color w:val="auto"/>
          <w:sz w:val="24"/>
          <w:szCs w:val="24"/>
        </w:rPr>
        <w:lastRenderedPageBreak/>
        <w:t>Figure 4: Average time to respond to complaints</w:t>
      </w:r>
    </w:p>
    <w:p w14:paraId="1D663426" w14:textId="74EB581D" w:rsidR="001404BA" w:rsidRDefault="001404BA" w:rsidP="001404BA">
      <w:r>
        <w:rPr>
          <w:noProof/>
        </w:rPr>
        <w:drawing>
          <wp:inline distT="0" distB="0" distL="0" distR="0" wp14:anchorId="03A0473A" wp14:editId="36D924C2">
            <wp:extent cx="6419850" cy="3952875"/>
            <wp:effectExtent l="0" t="0" r="0" b="9525"/>
            <wp:docPr id="1857239511" name="Chart 1" descr="A bar graph showing the average time to respond to complaints, for 2023 to 2024 and 2024 to 2025. There are four bars on the chart, for stage 1 and stage 2 of both year groups. The results are described in text in the paragraph above the image. ">
              <a:extLst xmlns:a="http://schemas.openxmlformats.org/drawingml/2006/main">
                <a:ext uri="{FF2B5EF4-FFF2-40B4-BE49-F238E27FC236}">
                  <a16:creationId xmlns:a16="http://schemas.microsoft.com/office/drawing/2014/main" id="{5022AC1C-ADE3-278B-78C7-7EC6C88CE0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CE90880" w14:textId="77777777" w:rsidR="000A620E" w:rsidRPr="001404BA" w:rsidRDefault="000A620E" w:rsidP="001404BA"/>
    <w:p w14:paraId="7011595D" w14:textId="4693FC9A" w:rsidR="00DB5061" w:rsidRDefault="00B12E46" w:rsidP="0055104E">
      <w:pPr>
        <w:pStyle w:val="Heading2"/>
        <w:spacing w:line="360" w:lineRule="auto"/>
        <w:rPr>
          <w:rFonts w:eastAsia="Times New Roman"/>
        </w:rPr>
      </w:pPr>
      <w:bookmarkStart w:id="5" w:name="_Toc230957243"/>
      <w:r w:rsidRPr="00DA39E5">
        <w:t xml:space="preserve">Indicator </w:t>
      </w:r>
      <w:r w:rsidR="00962F86">
        <w:t>f</w:t>
      </w:r>
      <w:r w:rsidRPr="00DA39E5">
        <w:t>our</w:t>
      </w:r>
      <w:r w:rsidR="006A0966">
        <w:t>:</w:t>
      </w:r>
      <w:r w:rsidRPr="00DA39E5">
        <w:t xml:space="preserve"> outcome of complaints at each Stage</w:t>
      </w:r>
      <w:bookmarkEnd w:id="5"/>
    </w:p>
    <w:p w14:paraId="3C406DBD" w14:textId="04157BD2" w:rsidR="00B12E46" w:rsidRDefault="00B12E46" w:rsidP="0055104E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>This</w:t>
      </w:r>
      <w:r w:rsidRPr="00B12E46">
        <w:rPr>
          <w:rFonts w:eastAsia="Calibri" w:cstheme="minorHAnsi"/>
        </w:rPr>
        <w:t xml:space="preserve"> indicator quantifies the number of complaints upheld, partially upheld, not upheld and resolved at Stage 1</w:t>
      </w:r>
      <w:r w:rsidR="00CC2654">
        <w:rPr>
          <w:rFonts w:eastAsia="Calibri" w:cstheme="minorHAnsi"/>
        </w:rPr>
        <w:t xml:space="preserve"> and</w:t>
      </w:r>
      <w:r w:rsidR="00431BB3">
        <w:rPr>
          <w:rFonts w:eastAsia="Calibri" w:cstheme="minorHAnsi"/>
        </w:rPr>
        <w:t xml:space="preserve"> </w:t>
      </w:r>
      <w:r w:rsidRPr="00B12E46">
        <w:rPr>
          <w:rFonts w:eastAsia="Calibri" w:cstheme="minorHAnsi"/>
        </w:rPr>
        <w:t>Stage 2</w:t>
      </w:r>
      <w:r w:rsidR="00CC2654">
        <w:rPr>
          <w:rFonts w:eastAsia="Calibri" w:cstheme="minorHAnsi"/>
        </w:rPr>
        <w:t>,</w:t>
      </w:r>
      <w:r w:rsidRPr="00B12E46">
        <w:rPr>
          <w:rFonts w:eastAsia="Calibri" w:cstheme="minorHAnsi"/>
        </w:rPr>
        <w:t xml:space="preserve"> and after escalation as </w:t>
      </w:r>
      <w:r w:rsidR="00CC2654">
        <w:rPr>
          <w:rFonts w:eastAsia="Calibri" w:cstheme="minorHAnsi"/>
        </w:rPr>
        <w:t>percentage</w:t>
      </w:r>
      <w:r w:rsidRPr="00B12E46">
        <w:rPr>
          <w:rFonts w:eastAsia="Calibri" w:cstheme="minorHAnsi"/>
        </w:rPr>
        <w:t xml:space="preserve"> of all complaints closed at Stage 1</w:t>
      </w:r>
      <w:r w:rsidR="00CC2654">
        <w:rPr>
          <w:rFonts w:eastAsia="Calibri" w:cstheme="minorHAnsi"/>
        </w:rPr>
        <w:t xml:space="preserve"> and</w:t>
      </w:r>
      <w:r w:rsidRPr="00B12E46">
        <w:rPr>
          <w:rFonts w:eastAsia="Calibri" w:cstheme="minorHAnsi"/>
        </w:rPr>
        <w:t xml:space="preserve"> Stage 2 and after escalation.</w:t>
      </w:r>
    </w:p>
    <w:p w14:paraId="2987C60A" w14:textId="77777777" w:rsidR="00755078" w:rsidRDefault="00755078" w:rsidP="0055104E">
      <w:pPr>
        <w:spacing w:after="240"/>
        <w:rPr>
          <w:rFonts w:eastAsia="Calibri" w:cstheme="minorHAnsi"/>
        </w:rPr>
      </w:pPr>
    </w:p>
    <w:p w14:paraId="2017E3E1" w14:textId="77777777" w:rsidR="00755078" w:rsidRDefault="00755078" w:rsidP="0055104E">
      <w:pPr>
        <w:spacing w:after="240"/>
        <w:rPr>
          <w:rFonts w:eastAsia="Calibri" w:cstheme="minorHAnsi"/>
        </w:rPr>
      </w:pPr>
    </w:p>
    <w:p w14:paraId="10BEEE92" w14:textId="77777777" w:rsidR="00755078" w:rsidRDefault="00755078" w:rsidP="0055104E">
      <w:pPr>
        <w:spacing w:after="240"/>
        <w:rPr>
          <w:rFonts w:eastAsia="Calibri" w:cstheme="minorHAnsi"/>
        </w:rPr>
      </w:pPr>
    </w:p>
    <w:p w14:paraId="46AEB6F8" w14:textId="77777777" w:rsidR="00755078" w:rsidRDefault="00755078" w:rsidP="0055104E">
      <w:pPr>
        <w:spacing w:after="240"/>
        <w:rPr>
          <w:rFonts w:eastAsia="Calibri" w:cstheme="minorHAnsi"/>
        </w:rPr>
      </w:pPr>
    </w:p>
    <w:p w14:paraId="6F8F09D6" w14:textId="77777777" w:rsidR="00755078" w:rsidRDefault="00755078" w:rsidP="0055104E">
      <w:pPr>
        <w:spacing w:after="240"/>
        <w:rPr>
          <w:rFonts w:eastAsia="Calibri" w:cstheme="minorHAnsi"/>
        </w:rPr>
      </w:pPr>
    </w:p>
    <w:p w14:paraId="12B3178B" w14:textId="669313D7" w:rsidR="00755078" w:rsidRPr="00755078" w:rsidRDefault="00755078" w:rsidP="00755078">
      <w:pPr>
        <w:pStyle w:val="Caption"/>
        <w:spacing w:afterLines="160" w:after="384" w:line="360" w:lineRule="auto"/>
        <w:rPr>
          <w:rFonts w:ascii="Arial" w:eastAsia="Arial" w:hAnsi="Arial" w:cs="Arial"/>
          <w:b/>
          <w:bCs/>
        </w:rPr>
      </w:pPr>
      <w:r w:rsidRPr="0075507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>Figure 5: Complaint outcomes at each Stage</w:t>
      </w:r>
    </w:p>
    <w:p w14:paraId="0EBECDD2" w14:textId="614264CA" w:rsidR="00B12E46" w:rsidRPr="00B12E46" w:rsidRDefault="00123A29" w:rsidP="0043154A">
      <w:pPr>
        <w:ind w:left="567" w:hanging="567"/>
        <w:jc w:val="center"/>
        <w:rPr>
          <w:rFonts w:eastAsia="Calibri" w:cstheme="minorHAnsi"/>
          <w:b/>
          <w:bCs/>
          <w:lang w:eastAsia="en-GB"/>
        </w:rPr>
      </w:pPr>
      <w:r>
        <w:rPr>
          <w:noProof/>
        </w:rPr>
        <w:drawing>
          <wp:inline distT="0" distB="0" distL="0" distR="0" wp14:anchorId="302A1DDE" wp14:editId="6DB13676">
            <wp:extent cx="6490970" cy="4062730"/>
            <wp:effectExtent l="0" t="0" r="5080" b="13970"/>
            <wp:docPr id="2000198896" name="Chart 1" descr="A bar graph showing the complaint outcomes at stage 1 and stage 2, for the year 2024 to 2025. The complaint outcomes along the X-axis are: 'upheld', 'not upheld', 'partially upheld' and 'resolved'. The results are in text below the image. ">
              <a:extLst xmlns:a="http://schemas.openxmlformats.org/drawingml/2006/main">
                <a:ext uri="{FF2B5EF4-FFF2-40B4-BE49-F238E27FC236}">
                  <a16:creationId xmlns:a16="http://schemas.microsoft.com/office/drawing/2014/main" id="{CC8D5E54-9668-8B3D-4649-49F1C2AD6B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0F43E6D" w14:textId="77777777" w:rsidR="00755078" w:rsidRDefault="00755078" w:rsidP="00B831E5">
      <w:pPr>
        <w:spacing w:afterLines="160" w:after="384"/>
        <w:rPr>
          <w:rFonts w:eastAsia="Calibri" w:cstheme="minorHAnsi"/>
        </w:rPr>
      </w:pPr>
    </w:p>
    <w:p w14:paraId="56344AD3" w14:textId="46E9C340" w:rsidR="00CD00C1" w:rsidRPr="00C24448" w:rsidRDefault="008A29B8" w:rsidP="00B831E5">
      <w:pPr>
        <w:spacing w:afterLines="160" w:after="384"/>
        <w:rPr>
          <w:rFonts w:eastAsia="Calibri" w:cstheme="minorHAnsi"/>
          <w:highlight w:val="yellow"/>
        </w:rPr>
      </w:pPr>
      <w:r w:rsidRPr="00EC4AE2">
        <w:rPr>
          <w:rFonts w:eastAsia="Calibri" w:cstheme="minorHAnsi"/>
        </w:rPr>
        <w:t xml:space="preserve">A total of </w:t>
      </w:r>
      <w:r w:rsidR="00CD00C1" w:rsidRPr="00EC4AE2">
        <w:rPr>
          <w:rFonts w:eastAsia="Calibri" w:cstheme="minorHAnsi"/>
        </w:rPr>
        <w:t>2</w:t>
      </w:r>
      <w:r w:rsidR="00EC4AE2" w:rsidRPr="00EC4AE2">
        <w:rPr>
          <w:rFonts w:eastAsia="Calibri" w:cstheme="minorHAnsi"/>
        </w:rPr>
        <w:t>5</w:t>
      </w:r>
      <w:r w:rsidR="00CD00C1" w:rsidRPr="00EC4AE2">
        <w:rPr>
          <w:rFonts w:eastAsia="Calibri" w:cstheme="minorHAnsi"/>
        </w:rPr>
        <w:t xml:space="preserve"> Stage 1 complaints </w:t>
      </w:r>
      <w:r w:rsidR="00531C62" w:rsidRPr="00EC4AE2">
        <w:rPr>
          <w:rFonts w:eastAsia="Calibri" w:cstheme="minorHAnsi"/>
        </w:rPr>
        <w:t xml:space="preserve">were </w:t>
      </w:r>
      <w:r w:rsidR="00CD00C1" w:rsidRPr="00EC4AE2">
        <w:rPr>
          <w:rFonts w:eastAsia="Calibri" w:cstheme="minorHAnsi"/>
        </w:rPr>
        <w:t>closed in year</w:t>
      </w:r>
      <w:r w:rsidRPr="00EC4AE2">
        <w:rPr>
          <w:rFonts w:eastAsia="Calibri" w:cstheme="minorHAnsi"/>
        </w:rPr>
        <w:t xml:space="preserve">. </w:t>
      </w:r>
      <w:r w:rsidRPr="00513352">
        <w:rPr>
          <w:rFonts w:eastAsia="Calibri" w:cstheme="minorHAnsi"/>
        </w:rPr>
        <w:t>Of these,</w:t>
      </w:r>
      <w:r w:rsidR="00CD00C1" w:rsidRPr="00513352">
        <w:rPr>
          <w:rFonts w:eastAsia="Calibri" w:cstheme="minorHAnsi"/>
        </w:rPr>
        <w:t xml:space="preserve"> </w:t>
      </w:r>
      <w:r w:rsidR="00513352" w:rsidRPr="00513352">
        <w:rPr>
          <w:rFonts w:eastAsia="Calibri" w:cstheme="minorHAnsi"/>
        </w:rPr>
        <w:t>three</w:t>
      </w:r>
      <w:r w:rsidR="00CD00C1" w:rsidRPr="00513352">
        <w:rPr>
          <w:rFonts w:eastAsia="Calibri" w:cstheme="minorHAnsi"/>
        </w:rPr>
        <w:t xml:space="preserve"> </w:t>
      </w:r>
      <w:r w:rsidR="00CD00C1" w:rsidRPr="000E21BC">
        <w:rPr>
          <w:rFonts w:eastAsia="Calibri" w:cstheme="minorHAnsi"/>
        </w:rPr>
        <w:t>(</w:t>
      </w:r>
      <w:r w:rsidR="00CB3624">
        <w:rPr>
          <w:rFonts w:eastAsia="Calibri" w:cstheme="minorHAnsi"/>
        </w:rPr>
        <w:t>12</w:t>
      </w:r>
      <w:r w:rsidR="00CD00C1" w:rsidRPr="000E21BC">
        <w:rPr>
          <w:rFonts w:eastAsia="Calibri" w:cstheme="minorHAnsi"/>
        </w:rPr>
        <w:t xml:space="preserve">%) </w:t>
      </w:r>
      <w:r w:rsidR="00CD00C1" w:rsidRPr="00513352">
        <w:rPr>
          <w:rFonts w:eastAsia="Calibri" w:cstheme="minorHAnsi"/>
        </w:rPr>
        <w:t xml:space="preserve">were </w:t>
      </w:r>
      <w:r w:rsidR="00CC2654">
        <w:rPr>
          <w:rFonts w:eastAsia="Calibri" w:cstheme="minorHAnsi"/>
        </w:rPr>
        <w:t>u</w:t>
      </w:r>
      <w:r w:rsidR="00CD00C1" w:rsidRPr="00513352">
        <w:rPr>
          <w:rFonts w:eastAsia="Calibri" w:cstheme="minorHAnsi"/>
        </w:rPr>
        <w:t>ph</w:t>
      </w:r>
      <w:r w:rsidR="00CD00C1" w:rsidRPr="007B1F85">
        <w:rPr>
          <w:rFonts w:eastAsia="Calibri" w:cstheme="minorHAnsi"/>
        </w:rPr>
        <w:t>eld</w:t>
      </w:r>
      <w:r w:rsidR="007B1F85" w:rsidRPr="007B1F85">
        <w:rPr>
          <w:rFonts w:eastAsia="Calibri" w:cstheme="minorHAnsi"/>
        </w:rPr>
        <w:t xml:space="preserve">, </w:t>
      </w:r>
      <w:r w:rsidR="00972F85">
        <w:rPr>
          <w:rFonts w:eastAsia="Calibri" w:cstheme="minorHAnsi"/>
        </w:rPr>
        <w:t>three (</w:t>
      </w:r>
      <w:r w:rsidR="00E23ECA">
        <w:rPr>
          <w:rFonts w:eastAsia="Calibri" w:cstheme="minorHAnsi"/>
        </w:rPr>
        <w:t>1</w:t>
      </w:r>
      <w:r w:rsidR="00CB3624">
        <w:rPr>
          <w:rFonts w:eastAsia="Calibri" w:cstheme="minorHAnsi"/>
        </w:rPr>
        <w:t>2</w:t>
      </w:r>
      <w:r w:rsidR="00972F85">
        <w:rPr>
          <w:rFonts w:eastAsia="Calibri" w:cstheme="minorHAnsi"/>
        </w:rPr>
        <w:t xml:space="preserve">%) were </w:t>
      </w:r>
      <w:r w:rsidR="00CC2654">
        <w:rPr>
          <w:rFonts w:eastAsia="Calibri" w:cstheme="minorHAnsi"/>
        </w:rPr>
        <w:t>partially upheld</w:t>
      </w:r>
      <w:r w:rsidR="00972F85">
        <w:rPr>
          <w:rFonts w:eastAsia="Calibri" w:cstheme="minorHAnsi"/>
        </w:rPr>
        <w:t xml:space="preserve">, </w:t>
      </w:r>
      <w:r w:rsidR="007B1F85" w:rsidRPr="007B1F85">
        <w:rPr>
          <w:rFonts w:eastAsia="Calibri" w:cstheme="minorHAnsi"/>
        </w:rPr>
        <w:t>15</w:t>
      </w:r>
      <w:r w:rsidR="00CD00C1" w:rsidRPr="007B1F85">
        <w:rPr>
          <w:rFonts w:eastAsia="Calibri" w:cstheme="minorHAnsi"/>
        </w:rPr>
        <w:t xml:space="preserve"> </w:t>
      </w:r>
      <w:r w:rsidR="00CD00C1" w:rsidRPr="00E23ECA">
        <w:rPr>
          <w:rFonts w:eastAsia="Calibri" w:cstheme="minorHAnsi"/>
        </w:rPr>
        <w:t>(</w:t>
      </w:r>
      <w:r w:rsidR="00E23ECA" w:rsidRPr="00E23ECA">
        <w:rPr>
          <w:rFonts w:eastAsia="Calibri" w:cstheme="minorHAnsi"/>
        </w:rPr>
        <w:t>60</w:t>
      </w:r>
      <w:r w:rsidR="00CD00C1" w:rsidRPr="00E23ECA">
        <w:rPr>
          <w:rFonts w:eastAsia="Calibri" w:cstheme="minorHAnsi"/>
        </w:rPr>
        <w:t xml:space="preserve">%) </w:t>
      </w:r>
      <w:r w:rsidR="00CD00C1" w:rsidRPr="007B1F85">
        <w:rPr>
          <w:rFonts w:eastAsia="Calibri" w:cstheme="minorHAnsi"/>
        </w:rPr>
        <w:t xml:space="preserve">were </w:t>
      </w:r>
      <w:r w:rsidR="00CC2654">
        <w:rPr>
          <w:rFonts w:eastAsia="Calibri" w:cstheme="minorHAnsi"/>
        </w:rPr>
        <w:t>n</w:t>
      </w:r>
      <w:r w:rsidR="00CD00C1" w:rsidRPr="007B1F85">
        <w:rPr>
          <w:rFonts w:eastAsia="Calibri" w:cstheme="minorHAnsi"/>
        </w:rPr>
        <w:t xml:space="preserve">ot </w:t>
      </w:r>
      <w:r w:rsidR="00CC2654">
        <w:rPr>
          <w:rFonts w:eastAsia="Calibri" w:cstheme="minorHAnsi"/>
        </w:rPr>
        <w:t>u</w:t>
      </w:r>
      <w:r w:rsidR="00CD00C1" w:rsidRPr="007B1F85">
        <w:rPr>
          <w:rFonts w:eastAsia="Calibri" w:cstheme="minorHAnsi"/>
        </w:rPr>
        <w:t>pheld</w:t>
      </w:r>
      <w:r w:rsidR="007B1F85">
        <w:rPr>
          <w:rFonts w:eastAsia="Calibri" w:cstheme="minorHAnsi"/>
        </w:rPr>
        <w:t xml:space="preserve">, </w:t>
      </w:r>
      <w:r w:rsidR="00972F85">
        <w:rPr>
          <w:rFonts w:eastAsia="Calibri" w:cstheme="minorHAnsi"/>
        </w:rPr>
        <w:t xml:space="preserve">and </w:t>
      </w:r>
      <w:r w:rsidR="002E2D4B">
        <w:rPr>
          <w:rFonts w:eastAsia="Calibri" w:cstheme="minorHAnsi"/>
        </w:rPr>
        <w:t xml:space="preserve">four </w:t>
      </w:r>
      <w:r w:rsidR="00CD00C1" w:rsidRPr="00E23ECA">
        <w:rPr>
          <w:rFonts w:eastAsia="Calibri" w:cstheme="minorHAnsi"/>
        </w:rPr>
        <w:t>(</w:t>
      </w:r>
      <w:r w:rsidR="00E23ECA" w:rsidRPr="00E23ECA">
        <w:rPr>
          <w:rFonts w:eastAsia="Calibri" w:cstheme="minorHAnsi"/>
        </w:rPr>
        <w:t>16</w:t>
      </w:r>
      <w:r w:rsidR="00CD00C1" w:rsidRPr="00E23ECA">
        <w:rPr>
          <w:rFonts w:eastAsia="Calibri" w:cstheme="minorHAnsi"/>
        </w:rPr>
        <w:t xml:space="preserve">%) </w:t>
      </w:r>
      <w:r w:rsidR="00CD00C1" w:rsidRPr="002E2D4B">
        <w:rPr>
          <w:rFonts w:eastAsia="Calibri" w:cstheme="minorHAnsi"/>
        </w:rPr>
        <w:t xml:space="preserve">were </w:t>
      </w:r>
      <w:r w:rsidR="00CC2654">
        <w:rPr>
          <w:rFonts w:eastAsia="Calibri" w:cstheme="minorHAnsi"/>
        </w:rPr>
        <w:t>r</w:t>
      </w:r>
      <w:r w:rsidR="00CD00C1" w:rsidRPr="002E2D4B">
        <w:rPr>
          <w:rFonts w:eastAsia="Calibri" w:cstheme="minorHAnsi"/>
        </w:rPr>
        <w:t xml:space="preserve">esolved. </w:t>
      </w:r>
    </w:p>
    <w:p w14:paraId="5A020226" w14:textId="26E7C82D" w:rsidR="005D652C" w:rsidRDefault="00E5115D" w:rsidP="0055104E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 xml:space="preserve">Details of </w:t>
      </w:r>
      <w:r w:rsidR="00CC2654">
        <w:rPr>
          <w:rFonts w:eastAsia="Calibri" w:cstheme="minorHAnsi"/>
        </w:rPr>
        <w:t>u</w:t>
      </w:r>
      <w:r>
        <w:rPr>
          <w:rFonts w:eastAsia="Calibri" w:cstheme="minorHAnsi"/>
        </w:rPr>
        <w:t>pheld complaints</w:t>
      </w:r>
      <w:r w:rsidR="005D652C">
        <w:rPr>
          <w:rFonts w:eastAsia="Calibri" w:cstheme="minorHAnsi"/>
        </w:rPr>
        <w:t>:</w:t>
      </w:r>
    </w:p>
    <w:p w14:paraId="134AF57B" w14:textId="7319160B" w:rsidR="00E5115D" w:rsidRPr="00E5115D" w:rsidRDefault="00272EC5" w:rsidP="00E5115D">
      <w:pPr>
        <w:pStyle w:val="ListParagraph"/>
        <w:numPr>
          <w:ilvl w:val="0"/>
          <w:numId w:val="13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</w:t>
      </w:r>
      <w:r w:rsidR="00C71038" w:rsidRPr="00E5115D">
        <w:rPr>
          <w:rFonts w:eastAsia="Calibri" w:cstheme="minorHAnsi"/>
        </w:rPr>
        <w:t xml:space="preserve">n </w:t>
      </w:r>
      <w:r w:rsidR="005B0E18">
        <w:rPr>
          <w:rFonts w:eastAsia="Calibri" w:cstheme="minorHAnsi"/>
        </w:rPr>
        <w:t>o</w:t>
      </w:r>
      <w:r w:rsidR="00C71038" w:rsidRPr="00E5115D">
        <w:rPr>
          <w:rFonts w:eastAsia="Calibri" w:cstheme="minorHAnsi"/>
        </w:rPr>
        <w:t xml:space="preserve">fficer parking a SEPA vehicle </w:t>
      </w:r>
      <w:r w:rsidR="00855155">
        <w:rPr>
          <w:rFonts w:eastAsia="Calibri" w:cstheme="minorHAnsi"/>
        </w:rPr>
        <w:t>in an area</w:t>
      </w:r>
      <w:r w:rsidR="00C71038" w:rsidRPr="00E5115D">
        <w:rPr>
          <w:rFonts w:eastAsia="Calibri" w:cstheme="minorHAnsi"/>
        </w:rPr>
        <w:t xml:space="preserve"> without permission</w:t>
      </w:r>
      <w:r w:rsidR="006F0969">
        <w:rPr>
          <w:rFonts w:eastAsia="Calibri" w:cstheme="minorHAnsi"/>
        </w:rPr>
        <w:t>.</w:t>
      </w:r>
    </w:p>
    <w:p w14:paraId="71136F65" w14:textId="0C52018B" w:rsidR="00E5115D" w:rsidRPr="00E5115D" w:rsidRDefault="006F0969" w:rsidP="00E5115D">
      <w:pPr>
        <w:pStyle w:val="ListParagraph"/>
        <w:numPr>
          <w:ilvl w:val="0"/>
          <w:numId w:val="13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The</w:t>
      </w:r>
      <w:r w:rsidR="00023FB5" w:rsidRPr="00E5115D">
        <w:rPr>
          <w:rFonts w:eastAsia="Calibri" w:cstheme="minorHAnsi"/>
        </w:rPr>
        <w:t xml:space="preserve"> customer </w:t>
      </w:r>
      <w:r w:rsidR="00272EC5">
        <w:rPr>
          <w:rFonts w:eastAsia="Calibri" w:cstheme="minorHAnsi"/>
        </w:rPr>
        <w:t>was dissatisfied with the length of time it had taken to get</w:t>
      </w:r>
      <w:r w:rsidR="00023FB5" w:rsidRPr="00E5115D">
        <w:rPr>
          <w:rFonts w:eastAsia="Calibri" w:cstheme="minorHAnsi"/>
        </w:rPr>
        <w:t xml:space="preserve"> information</w:t>
      </w:r>
      <w:r>
        <w:rPr>
          <w:rFonts w:eastAsia="Calibri" w:cstheme="minorHAnsi"/>
        </w:rPr>
        <w:t>.</w:t>
      </w:r>
    </w:p>
    <w:p w14:paraId="34EBF5A1" w14:textId="06C0A8FB" w:rsidR="008A29B8" w:rsidRPr="00E5115D" w:rsidRDefault="006F0969" w:rsidP="00E5115D">
      <w:pPr>
        <w:pStyle w:val="ListParagraph"/>
        <w:numPr>
          <w:ilvl w:val="0"/>
          <w:numId w:val="13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The customer was dissatisfied</w:t>
      </w:r>
      <w:r w:rsidR="006941D8" w:rsidRPr="00E5115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with </w:t>
      </w:r>
      <w:r w:rsidR="006941D8" w:rsidRPr="00E5115D">
        <w:rPr>
          <w:rFonts w:eastAsia="Calibri" w:cstheme="minorHAnsi"/>
        </w:rPr>
        <w:t>length of time it had taken for SEPA to respond to a</w:t>
      </w:r>
      <w:r w:rsidR="005C6F2A" w:rsidRPr="00E5115D">
        <w:rPr>
          <w:rFonts w:eastAsia="Calibri" w:cstheme="minorHAnsi"/>
        </w:rPr>
        <w:t xml:space="preserve"> request for information relating to a</w:t>
      </w:r>
      <w:r w:rsidR="006941D8" w:rsidRPr="00E5115D">
        <w:rPr>
          <w:rFonts w:eastAsia="Calibri" w:cstheme="minorHAnsi"/>
        </w:rPr>
        <w:t xml:space="preserve"> </w:t>
      </w:r>
      <w:r w:rsidR="0065451B" w:rsidRPr="00E5115D">
        <w:rPr>
          <w:rFonts w:eastAsia="Calibri" w:cstheme="minorHAnsi"/>
        </w:rPr>
        <w:t>planning appeal</w:t>
      </w:r>
      <w:r w:rsidR="00855E70" w:rsidRPr="00E5115D">
        <w:rPr>
          <w:rFonts w:eastAsia="Calibri" w:cstheme="minorHAnsi"/>
        </w:rPr>
        <w:t>.</w:t>
      </w:r>
    </w:p>
    <w:p w14:paraId="1B9494AC" w14:textId="19198ED6" w:rsidR="00E5115D" w:rsidRDefault="00E5115D" w:rsidP="0055104E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 xml:space="preserve">Details of complaints </w:t>
      </w:r>
      <w:r w:rsidR="009060F5">
        <w:rPr>
          <w:rFonts w:eastAsia="Calibri" w:cstheme="minorHAnsi"/>
        </w:rPr>
        <w:t>partially upheld</w:t>
      </w:r>
      <w:r>
        <w:rPr>
          <w:rFonts w:eastAsia="Calibri" w:cstheme="minorHAnsi"/>
        </w:rPr>
        <w:t>:</w:t>
      </w:r>
    </w:p>
    <w:p w14:paraId="76D35D85" w14:textId="04A81B86" w:rsidR="003E5DF6" w:rsidRDefault="006F0969" w:rsidP="001A431C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 xml:space="preserve">The </w:t>
      </w:r>
      <w:r w:rsidR="00015799">
        <w:rPr>
          <w:rFonts w:eastAsia="Calibri" w:cstheme="minorHAnsi"/>
        </w:rPr>
        <w:t>c</w:t>
      </w:r>
      <w:r w:rsidR="007C744B" w:rsidRPr="001A431C">
        <w:rPr>
          <w:rFonts w:eastAsia="Calibri" w:cstheme="minorHAnsi"/>
        </w:rPr>
        <w:t xml:space="preserve">ustomer was dissatisfied with </w:t>
      </w:r>
      <w:r w:rsidR="00015799">
        <w:rPr>
          <w:rFonts w:eastAsia="Calibri" w:cstheme="minorHAnsi"/>
        </w:rPr>
        <w:t xml:space="preserve">the </w:t>
      </w:r>
      <w:r w:rsidR="001A431C" w:rsidRPr="001A431C">
        <w:rPr>
          <w:rFonts w:eastAsia="Calibri" w:cstheme="minorHAnsi"/>
        </w:rPr>
        <w:t>handling of the</w:t>
      </w:r>
      <w:r w:rsidR="00A243D1">
        <w:rPr>
          <w:rFonts w:eastAsia="Calibri" w:cstheme="minorHAnsi"/>
        </w:rPr>
        <w:t xml:space="preserve">ir case </w:t>
      </w:r>
      <w:r w:rsidR="001A431C" w:rsidRPr="001A431C">
        <w:rPr>
          <w:rFonts w:eastAsia="Calibri" w:cstheme="minorHAnsi"/>
        </w:rPr>
        <w:t xml:space="preserve">by </w:t>
      </w:r>
      <w:r w:rsidR="00E30268">
        <w:rPr>
          <w:rFonts w:eastAsia="Calibri" w:cstheme="minorHAnsi"/>
        </w:rPr>
        <w:t>a</w:t>
      </w:r>
      <w:r w:rsidR="00E30268" w:rsidRPr="001A431C">
        <w:rPr>
          <w:rFonts w:eastAsia="Calibri" w:cstheme="minorHAnsi"/>
        </w:rPr>
        <w:t xml:space="preserve"> </w:t>
      </w:r>
      <w:r w:rsidR="001A431C" w:rsidRPr="001A431C">
        <w:rPr>
          <w:rFonts w:eastAsia="Calibri" w:cstheme="minorHAnsi"/>
        </w:rPr>
        <w:t xml:space="preserve">SEPA </w:t>
      </w:r>
      <w:r w:rsidR="000C2B89">
        <w:rPr>
          <w:rFonts w:eastAsia="Calibri" w:cstheme="minorHAnsi"/>
        </w:rPr>
        <w:t>O</w:t>
      </w:r>
      <w:r w:rsidR="001A431C" w:rsidRPr="001A431C">
        <w:rPr>
          <w:rFonts w:eastAsia="Calibri" w:cstheme="minorHAnsi"/>
        </w:rPr>
        <w:t>fficer</w:t>
      </w:r>
      <w:r w:rsidR="00556624" w:rsidRPr="001A431C">
        <w:rPr>
          <w:rFonts w:eastAsia="Calibri" w:cstheme="minorHAnsi"/>
        </w:rPr>
        <w:t>.</w:t>
      </w:r>
    </w:p>
    <w:p w14:paraId="2AF7E5B8" w14:textId="28D753D2" w:rsidR="00015799" w:rsidRDefault="006F0969" w:rsidP="001A431C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lastRenderedPageBreak/>
        <w:t>The</w:t>
      </w:r>
      <w:r w:rsidR="00971098">
        <w:rPr>
          <w:rFonts w:eastAsia="Calibri" w:cstheme="minorHAnsi"/>
        </w:rPr>
        <w:t xml:space="preserve"> customer believed that SEPA was in </w:t>
      </w:r>
      <w:r w:rsidR="00A16A4F">
        <w:rPr>
          <w:rFonts w:eastAsia="Calibri" w:cstheme="minorHAnsi"/>
        </w:rPr>
        <w:t xml:space="preserve">breach of its statutory duty to ensure a company’s compliance with a PPC permit. </w:t>
      </w:r>
    </w:p>
    <w:p w14:paraId="54C31F9C" w14:textId="5F6F4C6A" w:rsidR="001952A6" w:rsidRPr="00891182" w:rsidRDefault="00294450" w:rsidP="001A431C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 xml:space="preserve">The customer </w:t>
      </w:r>
      <w:r w:rsidR="00AE77FB">
        <w:rPr>
          <w:rFonts w:eastAsia="Calibri" w:cstheme="minorHAnsi"/>
        </w:rPr>
        <w:t>was dissatisfied that SEPA would not provide a timeline for removal o</w:t>
      </w:r>
      <w:r w:rsidR="00276128">
        <w:rPr>
          <w:rFonts w:eastAsia="Calibri" w:cstheme="minorHAnsi"/>
        </w:rPr>
        <w:t xml:space="preserve">f </w:t>
      </w:r>
      <w:r w:rsidR="00B26A64">
        <w:rPr>
          <w:rFonts w:eastAsia="Calibri" w:cstheme="minorHAnsi"/>
        </w:rPr>
        <w:t xml:space="preserve">obsolete tree guards </w:t>
      </w:r>
      <w:r w:rsidR="00164985">
        <w:rPr>
          <w:rFonts w:eastAsia="Calibri" w:cstheme="minorHAnsi"/>
        </w:rPr>
        <w:t xml:space="preserve">from </w:t>
      </w:r>
      <w:r w:rsidR="00E30268">
        <w:rPr>
          <w:rFonts w:eastAsia="Calibri" w:cstheme="minorHAnsi"/>
        </w:rPr>
        <w:t xml:space="preserve">an </w:t>
      </w:r>
      <w:r w:rsidR="00164985">
        <w:rPr>
          <w:rFonts w:eastAsia="Calibri" w:cstheme="minorHAnsi"/>
        </w:rPr>
        <w:t>estate.</w:t>
      </w:r>
    </w:p>
    <w:p w14:paraId="075A3106" w14:textId="4BD35B7E" w:rsidR="00015799" w:rsidRDefault="00015799" w:rsidP="00015799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 xml:space="preserve">Details of </w:t>
      </w:r>
      <w:r w:rsidR="002E683D">
        <w:rPr>
          <w:rFonts w:eastAsia="Calibri" w:cstheme="minorHAnsi"/>
        </w:rPr>
        <w:t>r</w:t>
      </w:r>
      <w:r>
        <w:rPr>
          <w:rFonts w:eastAsia="Calibri" w:cstheme="minorHAnsi"/>
        </w:rPr>
        <w:t>esolved complaints:</w:t>
      </w:r>
    </w:p>
    <w:p w14:paraId="2A09E5A3" w14:textId="2B34E728" w:rsidR="00A30B57" w:rsidRDefault="002E683D" w:rsidP="00805D61">
      <w:pPr>
        <w:pStyle w:val="ListParagraph"/>
        <w:numPr>
          <w:ilvl w:val="0"/>
          <w:numId w:val="15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The cu</w:t>
      </w:r>
      <w:r w:rsidR="00C505DA">
        <w:rPr>
          <w:rFonts w:eastAsia="Calibri" w:cstheme="minorHAnsi"/>
        </w:rPr>
        <w:t xml:space="preserve">stomer </w:t>
      </w:r>
      <w:r>
        <w:rPr>
          <w:rFonts w:eastAsia="Calibri" w:cstheme="minorHAnsi"/>
        </w:rPr>
        <w:t xml:space="preserve">was </w:t>
      </w:r>
      <w:r w:rsidR="00C505DA">
        <w:rPr>
          <w:rFonts w:eastAsia="Calibri" w:cstheme="minorHAnsi"/>
        </w:rPr>
        <w:t>dissatisfied that SEPA</w:t>
      </w:r>
      <w:r w:rsidR="00E0741D">
        <w:rPr>
          <w:rFonts w:eastAsia="Calibri" w:cstheme="minorHAnsi"/>
        </w:rPr>
        <w:t xml:space="preserve"> </w:t>
      </w:r>
      <w:r w:rsidR="00C505DA">
        <w:rPr>
          <w:rFonts w:eastAsia="Calibri" w:cstheme="minorHAnsi"/>
        </w:rPr>
        <w:t xml:space="preserve">had taken no action </w:t>
      </w:r>
      <w:r w:rsidR="00E0741D">
        <w:rPr>
          <w:rFonts w:eastAsia="Calibri" w:cstheme="minorHAnsi"/>
        </w:rPr>
        <w:t xml:space="preserve">against </w:t>
      </w:r>
      <w:r w:rsidR="00682C23">
        <w:rPr>
          <w:rFonts w:eastAsia="Calibri" w:cstheme="minorHAnsi"/>
        </w:rPr>
        <w:t xml:space="preserve">a </w:t>
      </w:r>
      <w:r w:rsidR="00E0741D">
        <w:rPr>
          <w:rFonts w:eastAsia="Calibri" w:cstheme="minorHAnsi"/>
        </w:rPr>
        <w:t xml:space="preserve">company causing river pollution. </w:t>
      </w:r>
      <w:r w:rsidR="00682C23">
        <w:rPr>
          <w:rFonts w:eastAsia="Calibri" w:cstheme="minorHAnsi"/>
        </w:rPr>
        <w:t>The c</w:t>
      </w:r>
      <w:r w:rsidR="00E0741D">
        <w:rPr>
          <w:rFonts w:eastAsia="Calibri" w:cstheme="minorHAnsi"/>
        </w:rPr>
        <w:t xml:space="preserve">omplaint was resolved </w:t>
      </w:r>
      <w:r w:rsidR="00D37D1F">
        <w:rPr>
          <w:rFonts w:eastAsia="Calibri" w:cstheme="minorHAnsi"/>
        </w:rPr>
        <w:t xml:space="preserve">after SEPA </w:t>
      </w:r>
      <w:r w:rsidR="00E616CC">
        <w:rPr>
          <w:rFonts w:eastAsia="Calibri" w:cstheme="minorHAnsi"/>
        </w:rPr>
        <w:t xml:space="preserve">explained actions being taken to </w:t>
      </w:r>
      <w:r w:rsidR="00682C23">
        <w:rPr>
          <w:rFonts w:eastAsia="Calibri" w:cstheme="minorHAnsi"/>
        </w:rPr>
        <w:t>the customer.</w:t>
      </w:r>
    </w:p>
    <w:p w14:paraId="58E2CF26" w14:textId="70FB701B" w:rsidR="00805D61" w:rsidRDefault="00682C23" w:rsidP="00805D61">
      <w:pPr>
        <w:pStyle w:val="ListParagraph"/>
        <w:numPr>
          <w:ilvl w:val="0"/>
          <w:numId w:val="15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b</w:t>
      </w:r>
      <w:r w:rsidR="00546D3D">
        <w:rPr>
          <w:rFonts w:eastAsia="Calibri" w:cstheme="minorHAnsi"/>
        </w:rPr>
        <w:t>usiness owner</w:t>
      </w:r>
      <w:r>
        <w:rPr>
          <w:rFonts w:eastAsia="Calibri" w:cstheme="minorHAnsi"/>
        </w:rPr>
        <w:t xml:space="preserve"> was</w:t>
      </w:r>
      <w:r w:rsidR="00546D3D">
        <w:rPr>
          <w:rFonts w:eastAsia="Calibri" w:cstheme="minorHAnsi"/>
        </w:rPr>
        <w:t xml:space="preserve"> </w:t>
      </w:r>
      <w:r w:rsidR="00BF6AB5">
        <w:rPr>
          <w:rFonts w:eastAsia="Calibri" w:cstheme="minorHAnsi"/>
        </w:rPr>
        <w:t>dissatisfied that SEPA</w:t>
      </w:r>
      <w:r w:rsidR="008F3B6F">
        <w:rPr>
          <w:rFonts w:eastAsia="Calibri" w:cstheme="minorHAnsi"/>
        </w:rPr>
        <w:t xml:space="preserve"> </w:t>
      </w:r>
      <w:r w:rsidR="00BF6AB5">
        <w:rPr>
          <w:rFonts w:eastAsia="Calibri" w:cstheme="minorHAnsi"/>
        </w:rPr>
        <w:t xml:space="preserve">had not taken action </w:t>
      </w:r>
      <w:r w:rsidR="008F3B6F">
        <w:rPr>
          <w:rFonts w:eastAsia="Calibri" w:cstheme="minorHAnsi"/>
        </w:rPr>
        <w:t>against similar businesses that were non-compliant.</w:t>
      </w:r>
      <w:r w:rsidR="00942117">
        <w:rPr>
          <w:rFonts w:eastAsia="Calibri" w:cstheme="minorHAnsi"/>
        </w:rPr>
        <w:t xml:space="preserve"> The c</w:t>
      </w:r>
      <w:r w:rsidR="009E0013">
        <w:rPr>
          <w:rFonts w:eastAsia="Calibri" w:cstheme="minorHAnsi"/>
        </w:rPr>
        <w:t>omplaint was resolved after SEPA provided assurance that actions were underway</w:t>
      </w:r>
      <w:r w:rsidR="004664DB">
        <w:rPr>
          <w:rFonts w:eastAsia="Calibri" w:cstheme="minorHAnsi"/>
        </w:rPr>
        <w:t xml:space="preserve"> to address </w:t>
      </w:r>
      <w:r w:rsidR="00942117">
        <w:rPr>
          <w:rFonts w:eastAsia="Calibri" w:cstheme="minorHAnsi"/>
        </w:rPr>
        <w:t xml:space="preserve">the customers </w:t>
      </w:r>
      <w:r w:rsidR="004664DB">
        <w:rPr>
          <w:rFonts w:eastAsia="Calibri" w:cstheme="minorHAnsi"/>
        </w:rPr>
        <w:t>concerns</w:t>
      </w:r>
      <w:r w:rsidR="009E0013">
        <w:rPr>
          <w:rFonts w:eastAsia="Calibri" w:cstheme="minorHAnsi"/>
        </w:rPr>
        <w:t>.</w:t>
      </w:r>
    </w:p>
    <w:p w14:paraId="189AE7A0" w14:textId="5DDF9F52" w:rsidR="008F3B6F" w:rsidRDefault="00942117" w:rsidP="00805D61">
      <w:pPr>
        <w:pStyle w:val="ListParagraph"/>
        <w:numPr>
          <w:ilvl w:val="0"/>
          <w:numId w:val="15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c</w:t>
      </w:r>
      <w:r w:rsidR="00D042F9">
        <w:rPr>
          <w:rFonts w:eastAsia="Calibri" w:cstheme="minorHAnsi"/>
        </w:rPr>
        <w:t xml:space="preserve">ustomer </w:t>
      </w:r>
      <w:r w:rsidR="000626CF">
        <w:rPr>
          <w:rFonts w:eastAsia="Calibri" w:cstheme="minorHAnsi"/>
        </w:rPr>
        <w:t>was charged</w:t>
      </w:r>
      <w:r w:rsidR="00BD1702">
        <w:rPr>
          <w:rFonts w:eastAsia="Calibri" w:cstheme="minorHAnsi"/>
        </w:rPr>
        <w:t xml:space="preserve"> overstay</w:t>
      </w:r>
      <w:r w:rsidR="000626CF">
        <w:rPr>
          <w:rFonts w:eastAsia="Calibri" w:cstheme="minorHAnsi"/>
        </w:rPr>
        <w:t xml:space="preserve"> fees for vehicle charging at </w:t>
      </w:r>
      <w:r>
        <w:rPr>
          <w:rFonts w:eastAsia="Calibri" w:cstheme="minorHAnsi"/>
        </w:rPr>
        <w:t xml:space="preserve">a </w:t>
      </w:r>
      <w:r w:rsidR="000626CF">
        <w:rPr>
          <w:rFonts w:eastAsia="Calibri" w:cstheme="minorHAnsi"/>
        </w:rPr>
        <w:t>SEPA office</w:t>
      </w:r>
      <w:r w:rsidR="00BD1702">
        <w:rPr>
          <w:rFonts w:eastAsia="Calibri" w:cstheme="minorHAnsi"/>
        </w:rPr>
        <w:t xml:space="preserve">, but there was no signage and </w:t>
      </w:r>
      <w:r w:rsidR="00DA2DD0">
        <w:rPr>
          <w:rFonts w:eastAsia="Calibri" w:cstheme="minorHAnsi"/>
        </w:rPr>
        <w:t xml:space="preserve">they were not informed for three months, resulting in excessive fees. </w:t>
      </w:r>
      <w:r w:rsidR="00C20DC6">
        <w:rPr>
          <w:rFonts w:eastAsia="Calibri" w:cstheme="minorHAnsi"/>
        </w:rPr>
        <w:t>The c</w:t>
      </w:r>
      <w:r w:rsidR="00E25F41">
        <w:rPr>
          <w:rFonts w:eastAsia="Calibri" w:cstheme="minorHAnsi"/>
        </w:rPr>
        <w:t xml:space="preserve">omplaint was resolved after SEPA </w:t>
      </w:r>
      <w:r w:rsidR="00673AAF">
        <w:rPr>
          <w:rFonts w:eastAsia="Calibri" w:cstheme="minorHAnsi"/>
        </w:rPr>
        <w:t>liaised with</w:t>
      </w:r>
      <w:r w:rsidR="00E25F41">
        <w:rPr>
          <w:rFonts w:eastAsia="Calibri" w:cstheme="minorHAnsi"/>
        </w:rPr>
        <w:t xml:space="preserve"> </w:t>
      </w:r>
      <w:r w:rsidR="00D952ED">
        <w:rPr>
          <w:rFonts w:eastAsia="Calibri" w:cstheme="minorHAnsi"/>
        </w:rPr>
        <w:t>the vehicle charging supplier. It was found the charging unit had been mislabelled and the</w:t>
      </w:r>
      <w:r w:rsidR="00831626">
        <w:rPr>
          <w:rFonts w:eastAsia="Calibri" w:cstheme="minorHAnsi"/>
        </w:rPr>
        <w:t xml:space="preserve"> fees </w:t>
      </w:r>
      <w:r w:rsidR="0047281C">
        <w:rPr>
          <w:rFonts w:eastAsia="Calibri" w:cstheme="minorHAnsi"/>
        </w:rPr>
        <w:t xml:space="preserve">applied were much higher than </w:t>
      </w:r>
      <w:r w:rsidR="008E4BDC">
        <w:rPr>
          <w:rFonts w:eastAsia="Calibri" w:cstheme="minorHAnsi"/>
        </w:rPr>
        <w:t>they should have been</w:t>
      </w:r>
      <w:r w:rsidR="00D952ED">
        <w:rPr>
          <w:rFonts w:eastAsia="Calibri" w:cstheme="minorHAnsi"/>
        </w:rPr>
        <w:t>. The customer was</w:t>
      </w:r>
      <w:r w:rsidR="00C632C2">
        <w:rPr>
          <w:rFonts w:eastAsia="Calibri" w:cstheme="minorHAnsi"/>
        </w:rPr>
        <w:t xml:space="preserve"> refunded and </w:t>
      </w:r>
      <w:r w:rsidR="00D952ED">
        <w:rPr>
          <w:rFonts w:eastAsia="Calibri" w:cstheme="minorHAnsi"/>
        </w:rPr>
        <w:t xml:space="preserve">the fees </w:t>
      </w:r>
      <w:r w:rsidR="00C632C2">
        <w:rPr>
          <w:rFonts w:eastAsia="Calibri" w:cstheme="minorHAnsi"/>
        </w:rPr>
        <w:t xml:space="preserve">removed from </w:t>
      </w:r>
      <w:r w:rsidR="00D952ED">
        <w:rPr>
          <w:rFonts w:eastAsia="Calibri" w:cstheme="minorHAnsi"/>
        </w:rPr>
        <w:t>their</w:t>
      </w:r>
      <w:r w:rsidR="00C632C2">
        <w:rPr>
          <w:rFonts w:eastAsia="Calibri" w:cstheme="minorHAnsi"/>
        </w:rPr>
        <w:t xml:space="preserve"> account.</w:t>
      </w:r>
    </w:p>
    <w:p w14:paraId="7DAC3C75" w14:textId="66EFEE6B" w:rsidR="00813A22" w:rsidRPr="00C20DC6" w:rsidRDefault="00C20DC6" w:rsidP="00813A22">
      <w:pPr>
        <w:pStyle w:val="ListParagraph"/>
        <w:numPr>
          <w:ilvl w:val="0"/>
          <w:numId w:val="15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c</w:t>
      </w:r>
      <w:r w:rsidR="0030601A">
        <w:rPr>
          <w:rFonts w:eastAsia="Calibri" w:cstheme="minorHAnsi"/>
        </w:rPr>
        <w:t xml:space="preserve">ustomer </w:t>
      </w:r>
      <w:r w:rsidR="000A2502">
        <w:rPr>
          <w:rFonts w:eastAsia="Calibri" w:cstheme="minorHAnsi"/>
        </w:rPr>
        <w:t xml:space="preserve">raised </w:t>
      </w:r>
      <w:r>
        <w:rPr>
          <w:rFonts w:eastAsia="Calibri" w:cstheme="minorHAnsi"/>
        </w:rPr>
        <w:t xml:space="preserve">an </w:t>
      </w:r>
      <w:r w:rsidR="000A2502">
        <w:rPr>
          <w:rFonts w:eastAsia="Calibri" w:cstheme="minorHAnsi"/>
        </w:rPr>
        <w:t>issue with SEPA not providing information in a timely manner</w:t>
      </w:r>
      <w:r w:rsidR="00095B3C">
        <w:rPr>
          <w:rFonts w:eastAsia="Calibri" w:cstheme="minorHAnsi"/>
        </w:rPr>
        <w:t>, resulting in a lengthy delay</w:t>
      </w:r>
      <w:r w:rsidR="00E84203">
        <w:rPr>
          <w:rFonts w:eastAsia="Calibri" w:cstheme="minorHAnsi"/>
        </w:rPr>
        <w:t xml:space="preserve"> of their work</w:t>
      </w:r>
      <w:r w:rsidR="00FE37DD">
        <w:rPr>
          <w:rFonts w:eastAsia="Calibri" w:cstheme="minorHAnsi"/>
        </w:rPr>
        <w:t xml:space="preserve">. This was resolved </w:t>
      </w:r>
      <w:r w:rsidR="00F5749D">
        <w:rPr>
          <w:rFonts w:eastAsia="Calibri" w:cstheme="minorHAnsi"/>
        </w:rPr>
        <w:t xml:space="preserve">by </w:t>
      </w:r>
      <w:r w:rsidR="00AA25B4">
        <w:rPr>
          <w:rFonts w:eastAsia="Calibri" w:cstheme="minorHAnsi"/>
        </w:rPr>
        <w:t>a SEPA manager providing the requested data and issuing an apology to the customer.</w:t>
      </w:r>
    </w:p>
    <w:p w14:paraId="0459E0D7" w14:textId="3328BB6F" w:rsidR="00484BBC" w:rsidRDefault="00B12E46" w:rsidP="0055104E">
      <w:pPr>
        <w:spacing w:after="240"/>
        <w:rPr>
          <w:rFonts w:eastAsia="Calibri" w:cstheme="minorHAnsi"/>
        </w:rPr>
      </w:pPr>
      <w:r w:rsidRPr="0024335F">
        <w:rPr>
          <w:rFonts w:eastAsia="Calibri" w:cstheme="minorHAnsi"/>
        </w:rPr>
        <w:t xml:space="preserve">Of the </w:t>
      </w:r>
      <w:r w:rsidR="006D79DC" w:rsidRPr="0024335F">
        <w:rPr>
          <w:rFonts w:eastAsia="Calibri" w:cstheme="minorHAnsi"/>
        </w:rPr>
        <w:t>1</w:t>
      </w:r>
      <w:r w:rsidR="00AC677B">
        <w:rPr>
          <w:rFonts w:eastAsia="Calibri" w:cstheme="minorHAnsi"/>
        </w:rPr>
        <w:t>5</w:t>
      </w:r>
      <w:r w:rsidRPr="0024335F">
        <w:rPr>
          <w:rFonts w:eastAsia="Calibri" w:cstheme="minorHAnsi"/>
        </w:rPr>
        <w:t xml:space="preserve"> Stage 2 complaints closed in the period, </w:t>
      </w:r>
      <w:r w:rsidR="00C50749" w:rsidRPr="0024335F">
        <w:rPr>
          <w:rFonts w:eastAsia="Calibri" w:cstheme="minorHAnsi"/>
        </w:rPr>
        <w:t>one</w:t>
      </w:r>
      <w:r w:rsidRPr="0024335F">
        <w:rPr>
          <w:rFonts w:eastAsia="Calibri" w:cstheme="minorHAnsi"/>
        </w:rPr>
        <w:t xml:space="preserve"> (</w:t>
      </w:r>
      <w:r w:rsidR="0091499E">
        <w:rPr>
          <w:rFonts w:eastAsia="Calibri" w:cstheme="minorHAnsi"/>
        </w:rPr>
        <w:t>6</w:t>
      </w:r>
      <w:r w:rsidR="00CE5C43">
        <w:rPr>
          <w:rFonts w:eastAsia="Calibri" w:cstheme="minorHAnsi"/>
        </w:rPr>
        <w:t>.5</w:t>
      </w:r>
      <w:r w:rsidRPr="0024335F">
        <w:rPr>
          <w:rFonts w:eastAsia="Calibri" w:cstheme="minorHAnsi"/>
        </w:rPr>
        <w:t xml:space="preserve">%) </w:t>
      </w:r>
      <w:r w:rsidR="00C5273F" w:rsidRPr="0024335F">
        <w:rPr>
          <w:rFonts w:eastAsia="Calibri" w:cstheme="minorHAnsi"/>
        </w:rPr>
        <w:t>was upheld,</w:t>
      </w:r>
      <w:r w:rsidR="00FF38D0" w:rsidRPr="0024335F">
        <w:rPr>
          <w:rFonts w:eastAsia="Calibri" w:cstheme="minorHAnsi"/>
        </w:rPr>
        <w:t xml:space="preserve"> five were upheld in part (</w:t>
      </w:r>
      <w:r w:rsidR="00013366">
        <w:rPr>
          <w:rFonts w:eastAsia="Calibri" w:cstheme="minorHAnsi"/>
        </w:rPr>
        <w:t>3</w:t>
      </w:r>
      <w:r w:rsidR="00CE5C43">
        <w:rPr>
          <w:rFonts w:eastAsia="Calibri" w:cstheme="minorHAnsi"/>
        </w:rPr>
        <w:t>3.3</w:t>
      </w:r>
      <w:r w:rsidR="00FF38D0" w:rsidRPr="0024335F">
        <w:rPr>
          <w:rFonts w:eastAsia="Calibri" w:cstheme="minorHAnsi"/>
        </w:rPr>
        <w:t>%),</w:t>
      </w:r>
      <w:r w:rsidR="00042E0C" w:rsidRPr="0024335F">
        <w:rPr>
          <w:rFonts w:eastAsia="Calibri" w:cstheme="minorHAnsi"/>
        </w:rPr>
        <w:t xml:space="preserve"> eight were</w:t>
      </w:r>
      <w:r w:rsidRPr="0024335F">
        <w:rPr>
          <w:rFonts w:eastAsia="Calibri" w:cstheme="minorHAnsi"/>
        </w:rPr>
        <w:t xml:space="preserve"> </w:t>
      </w:r>
      <w:r w:rsidR="00042E0C" w:rsidRPr="0024335F">
        <w:rPr>
          <w:rFonts w:eastAsia="Calibri" w:cstheme="minorHAnsi"/>
        </w:rPr>
        <w:t>n</w:t>
      </w:r>
      <w:r w:rsidRPr="0024335F">
        <w:rPr>
          <w:rFonts w:eastAsia="Calibri" w:cstheme="minorHAnsi"/>
        </w:rPr>
        <w:t xml:space="preserve">ot </w:t>
      </w:r>
      <w:r w:rsidR="00042E0C" w:rsidRPr="0024335F">
        <w:rPr>
          <w:rFonts w:eastAsia="Calibri" w:cstheme="minorHAnsi"/>
        </w:rPr>
        <w:t>u</w:t>
      </w:r>
      <w:r w:rsidRPr="0024335F">
        <w:rPr>
          <w:rFonts w:eastAsia="Calibri" w:cstheme="minorHAnsi"/>
        </w:rPr>
        <w:t>pheld</w:t>
      </w:r>
      <w:r w:rsidR="00042E0C" w:rsidRPr="0024335F">
        <w:rPr>
          <w:rFonts w:eastAsia="Calibri" w:cstheme="minorHAnsi"/>
        </w:rPr>
        <w:t xml:space="preserve"> (</w:t>
      </w:r>
      <w:r w:rsidR="00591EDD">
        <w:rPr>
          <w:rFonts w:eastAsia="Calibri" w:cstheme="minorHAnsi"/>
        </w:rPr>
        <w:t>5</w:t>
      </w:r>
      <w:r w:rsidR="00131A2F">
        <w:rPr>
          <w:rFonts w:eastAsia="Calibri" w:cstheme="minorHAnsi"/>
        </w:rPr>
        <w:t>3.3</w:t>
      </w:r>
      <w:r w:rsidR="00042E0C" w:rsidRPr="0024335F">
        <w:rPr>
          <w:rFonts w:eastAsia="Calibri" w:cstheme="minorHAnsi"/>
        </w:rPr>
        <w:t>%),</w:t>
      </w:r>
      <w:r w:rsidRPr="0024335F">
        <w:rPr>
          <w:rFonts w:eastAsia="Calibri" w:cstheme="minorHAnsi"/>
        </w:rPr>
        <w:t xml:space="preserve"> and </w:t>
      </w:r>
      <w:r w:rsidR="0024335F" w:rsidRPr="0024335F">
        <w:rPr>
          <w:rFonts w:eastAsia="Calibri" w:cstheme="minorHAnsi"/>
        </w:rPr>
        <w:t>one</w:t>
      </w:r>
      <w:r w:rsidRPr="0024335F">
        <w:rPr>
          <w:rFonts w:eastAsia="Calibri" w:cstheme="minorHAnsi"/>
        </w:rPr>
        <w:t xml:space="preserve"> </w:t>
      </w:r>
      <w:r w:rsidR="00591EDD">
        <w:rPr>
          <w:rFonts w:eastAsia="Calibri" w:cstheme="minorHAnsi"/>
        </w:rPr>
        <w:t>(6</w:t>
      </w:r>
      <w:r w:rsidR="00CE5C43">
        <w:rPr>
          <w:rFonts w:eastAsia="Calibri" w:cstheme="minorHAnsi"/>
        </w:rPr>
        <w:t>.5</w:t>
      </w:r>
      <w:r w:rsidRPr="0024335F">
        <w:rPr>
          <w:rFonts w:eastAsia="Calibri" w:cstheme="minorHAnsi"/>
        </w:rPr>
        <w:t xml:space="preserve">%) </w:t>
      </w:r>
      <w:r w:rsidR="0024335F" w:rsidRPr="0024335F">
        <w:rPr>
          <w:rFonts w:eastAsia="Calibri" w:cstheme="minorHAnsi"/>
        </w:rPr>
        <w:t xml:space="preserve">was </w:t>
      </w:r>
      <w:r w:rsidR="00CA2F0B">
        <w:rPr>
          <w:rFonts w:eastAsia="Calibri" w:cstheme="minorHAnsi"/>
        </w:rPr>
        <w:t>resolved</w:t>
      </w:r>
      <w:r w:rsidRPr="0024335F">
        <w:rPr>
          <w:rFonts w:eastAsia="Calibri" w:cstheme="minorHAnsi"/>
        </w:rPr>
        <w:t>.</w:t>
      </w:r>
      <w:r w:rsidR="00F108BB" w:rsidRPr="0024335F">
        <w:rPr>
          <w:rFonts w:eastAsia="Calibri" w:cstheme="minorHAnsi"/>
        </w:rPr>
        <w:t xml:space="preserve"> </w:t>
      </w:r>
    </w:p>
    <w:p w14:paraId="16C229CE" w14:textId="77777777" w:rsidR="00C112C6" w:rsidRDefault="00C112C6" w:rsidP="0055104E">
      <w:pPr>
        <w:spacing w:after="240"/>
        <w:rPr>
          <w:rFonts w:eastAsia="Calibri" w:cstheme="minorHAnsi"/>
        </w:rPr>
      </w:pPr>
    </w:p>
    <w:p w14:paraId="0C4D4E71" w14:textId="0C7A8D52" w:rsidR="00AD6D18" w:rsidRDefault="00AD6D18" w:rsidP="0055104E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 xml:space="preserve">Details of </w:t>
      </w:r>
      <w:r w:rsidR="006D4160">
        <w:rPr>
          <w:rFonts w:eastAsia="Calibri" w:cstheme="minorHAnsi"/>
        </w:rPr>
        <w:t>upheld complaint:</w:t>
      </w:r>
    </w:p>
    <w:p w14:paraId="4E577A6C" w14:textId="712B154A" w:rsidR="006D4160" w:rsidRDefault="00C20DC6" w:rsidP="005B5BDD">
      <w:pPr>
        <w:pStyle w:val="ListParagraph"/>
        <w:numPr>
          <w:ilvl w:val="0"/>
          <w:numId w:val="16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The c</w:t>
      </w:r>
      <w:r w:rsidR="002A6D0A" w:rsidRPr="005B5BDD">
        <w:rPr>
          <w:rFonts w:eastAsia="Calibri" w:cstheme="minorHAnsi"/>
        </w:rPr>
        <w:t xml:space="preserve">ustomer </w:t>
      </w:r>
      <w:r w:rsidR="00892AEA" w:rsidRPr="005B5BDD">
        <w:rPr>
          <w:rFonts w:eastAsia="Calibri" w:cstheme="minorHAnsi"/>
        </w:rPr>
        <w:t xml:space="preserve">was dissatisfied with </w:t>
      </w:r>
      <w:r w:rsidR="00131A2F" w:rsidRPr="005B5BDD">
        <w:rPr>
          <w:rFonts w:eastAsia="Calibri" w:cstheme="minorHAnsi"/>
        </w:rPr>
        <w:t>the</w:t>
      </w:r>
      <w:r w:rsidR="00892AEA" w:rsidRPr="005B5BDD">
        <w:rPr>
          <w:rFonts w:eastAsia="Calibri" w:cstheme="minorHAnsi"/>
        </w:rPr>
        <w:t xml:space="preserve"> handling of </w:t>
      </w:r>
      <w:r w:rsidR="000647C8" w:rsidRPr="005B5BDD">
        <w:rPr>
          <w:rFonts w:eastAsia="Calibri" w:cstheme="minorHAnsi"/>
        </w:rPr>
        <w:t xml:space="preserve">the </w:t>
      </w:r>
      <w:r w:rsidR="001B3654">
        <w:rPr>
          <w:rFonts w:eastAsia="Calibri" w:cstheme="minorHAnsi"/>
        </w:rPr>
        <w:t xml:space="preserve">authorisation </w:t>
      </w:r>
      <w:r w:rsidR="000647C8" w:rsidRPr="005B5BDD">
        <w:rPr>
          <w:rFonts w:eastAsia="Calibri" w:cstheme="minorHAnsi"/>
        </w:rPr>
        <w:t>determination</w:t>
      </w:r>
      <w:r w:rsidR="00801F85">
        <w:rPr>
          <w:rFonts w:eastAsia="Calibri" w:cstheme="minorHAnsi"/>
        </w:rPr>
        <w:t>.</w:t>
      </w:r>
    </w:p>
    <w:p w14:paraId="6253B255" w14:textId="10DAA535" w:rsidR="006D4160" w:rsidRDefault="006D4160" w:rsidP="0055104E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>Details of complaint</w:t>
      </w:r>
      <w:r w:rsidR="002A68FA">
        <w:rPr>
          <w:rFonts w:eastAsia="Calibri" w:cstheme="minorHAnsi"/>
        </w:rPr>
        <w:t>s</w:t>
      </w:r>
      <w:r>
        <w:rPr>
          <w:rFonts w:eastAsia="Calibri" w:cstheme="minorHAnsi"/>
        </w:rPr>
        <w:t xml:space="preserve"> upheld in part:</w:t>
      </w:r>
    </w:p>
    <w:p w14:paraId="64B68876" w14:textId="6BA8079D" w:rsidR="005B5BDD" w:rsidRDefault="008B0A80" w:rsidP="005B5BDD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lastRenderedPageBreak/>
        <w:t>A cu</w:t>
      </w:r>
      <w:r w:rsidR="005B5BDD" w:rsidRPr="001A431C">
        <w:rPr>
          <w:rFonts w:eastAsia="Calibri" w:cstheme="minorHAnsi"/>
        </w:rPr>
        <w:t xml:space="preserve">stomer was dissatisfied with </w:t>
      </w:r>
      <w:r>
        <w:rPr>
          <w:rFonts w:eastAsia="Calibri" w:cstheme="minorHAnsi"/>
        </w:rPr>
        <w:t xml:space="preserve">an item of theirs </w:t>
      </w:r>
      <w:r w:rsidR="005B5BDD" w:rsidRPr="001A431C">
        <w:rPr>
          <w:rFonts w:eastAsia="Calibri" w:cstheme="minorHAnsi"/>
        </w:rPr>
        <w:t xml:space="preserve">being held and </w:t>
      </w:r>
      <w:r w:rsidR="005B5BDD">
        <w:rPr>
          <w:rFonts w:eastAsia="Calibri" w:cstheme="minorHAnsi"/>
        </w:rPr>
        <w:t xml:space="preserve">the </w:t>
      </w:r>
      <w:r w:rsidR="005B5BDD" w:rsidRPr="001A431C">
        <w:rPr>
          <w:rFonts w:eastAsia="Calibri" w:cstheme="minorHAnsi"/>
        </w:rPr>
        <w:t xml:space="preserve">handling of the matter by </w:t>
      </w:r>
      <w:r>
        <w:rPr>
          <w:rFonts w:eastAsia="Calibri" w:cstheme="minorHAnsi"/>
        </w:rPr>
        <w:t>a</w:t>
      </w:r>
      <w:r w:rsidRPr="001A431C">
        <w:rPr>
          <w:rFonts w:eastAsia="Calibri" w:cstheme="minorHAnsi"/>
        </w:rPr>
        <w:t xml:space="preserve"> </w:t>
      </w:r>
      <w:r w:rsidR="005B5BDD" w:rsidRPr="001A431C">
        <w:rPr>
          <w:rFonts w:eastAsia="Calibri" w:cstheme="minorHAnsi"/>
        </w:rPr>
        <w:t xml:space="preserve">SEPA </w:t>
      </w:r>
      <w:r w:rsidR="000C2B89">
        <w:rPr>
          <w:rFonts w:eastAsia="Calibri" w:cstheme="minorHAnsi"/>
        </w:rPr>
        <w:t>O</w:t>
      </w:r>
      <w:r w:rsidR="005B5BDD" w:rsidRPr="001A431C">
        <w:rPr>
          <w:rFonts w:eastAsia="Calibri" w:cstheme="minorHAnsi"/>
        </w:rPr>
        <w:t>fficer.</w:t>
      </w:r>
    </w:p>
    <w:p w14:paraId="2FCAC9BD" w14:textId="283902A7" w:rsidR="00F52AA8" w:rsidRPr="00E5115D" w:rsidRDefault="008B0A80" w:rsidP="00F52AA8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c</w:t>
      </w:r>
      <w:r w:rsidR="00F52AA8">
        <w:rPr>
          <w:rFonts w:eastAsia="Calibri" w:cstheme="minorHAnsi"/>
        </w:rPr>
        <w:t>ustomer was dissatisfied</w:t>
      </w:r>
      <w:r w:rsidR="00F52AA8" w:rsidRPr="00E5115D">
        <w:rPr>
          <w:rFonts w:eastAsia="Calibri" w:cstheme="minorHAnsi"/>
        </w:rPr>
        <w:t xml:space="preserve"> </w:t>
      </w:r>
      <w:r w:rsidR="00F52AA8">
        <w:rPr>
          <w:rFonts w:eastAsia="Calibri" w:cstheme="minorHAnsi"/>
        </w:rPr>
        <w:t xml:space="preserve">with </w:t>
      </w:r>
      <w:r w:rsidR="00F52AA8" w:rsidRPr="00E5115D">
        <w:rPr>
          <w:rFonts w:eastAsia="Calibri" w:cstheme="minorHAnsi"/>
        </w:rPr>
        <w:t>length of time it had taken for SEPA to respond to a request for information relating to a planning appeal.</w:t>
      </w:r>
    </w:p>
    <w:p w14:paraId="097F6B6D" w14:textId="2E279ACF" w:rsidR="005B5BDD" w:rsidRDefault="008B0A80" w:rsidP="00E96691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c</w:t>
      </w:r>
      <w:r w:rsidR="00E96691">
        <w:rPr>
          <w:rFonts w:eastAsia="Calibri" w:cstheme="minorHAnsi"/>
        </w:rPr>
        <w:t>ustomer did not agree with SEPA’s flood maps, and believed initial complaint was not dealt with properly</w:t>
      </w:r>
      <w:r w:rsidR="00E96691" w:rsidRPr="00E96691">
        <w:rPr>
          <w:rFonts w:eastAsia="Calibri" w:cstheme="minorHAnsi"/>
        </w:rPr>
        <w:t>.</w:t>
      </w:r>
    </w:p>
    <w:p w14:paraId="46FC4C1E" w14:textId="406ABE62" w:rsidR="00E96691" w:rsidRDefault="008B0A80" w:rsidP="00E96691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c</w:t>
      </w:r>
      <w:r w:rsidR="00591BCB">
        <w:rPr>
          <w:rFonts w:eastAsia="Calibri" w:cstheme="minorHAnsi"/>
        </w:rPr>
        <w:t xml:space="preserve">ustomer </w:t>
      </w:r>
      <w:r w:rsidR="00AA0E96">
        <w:rPr>
          <w:rFonts w:eastAsia="Calibri" w:cstheme="minorHAnsi"/>
        </w:rPr>
        <w:t xml:space="preserve">was dissatisfied that SEPA failed to keep septic tank registration details and was being asked to pay to re-register </w:t>
      </w:r>
      <w:r w:rsidR="009E2557">
        <w:rPr>
          <w:rFonts w:eastAsia="Calibri" w:cstheme="minorHAnsi"/>
        </w:rPr>
        <w:t>the information.</w:t>
      </w:r>
    </w:p>
    <w:p w14:paraId="3E460ED7" w14:textId="19971E4F" w:rsidR="006D4160" w:rsidRPr="009E2557" w:rsidRDefault="000C2B89" w:rsidP="0055104E">
      <w:pPr>
        <w:pStyle w:val="ListParagraph"/>
        <w:numPr>
          <w:ilvl w:val="0"/>
          <w:numId w:val="14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c</w:t>
      </w:r>
      <w:r w:rsidR="005009A4">
        <w:rPr>
          <w:rFonts w:eastAsia="Calibri" w:cstheme="minorHAnsi"/>
        </w:rPr>
        <w:t xml:space="preserve">ustomer </w:t>
      </w:r>
      <w:r w:rsidR="00234940">
        <w:rPr>
          <w:rFonts w:eastAsia="Calibri" w:cstheme="minorHAnsi"/>
        </w:rPr>
        <w:t xml:space="preserve">believed that SEPA’s flood maps were </w:t>
      </w:r>
      <w:r w:rsidR="00FC5732">
        <w:rPr>
          <w:rFonts w:eastAsia="Calibri" w:cstheme="minorHAnsi"/>
        </w:rPr>
        <w:t>inaccurate and</w:t>
      </w:r>
      <w:r w:rsidR="00234940">
        <w:rPr>
          <w:rFonts w:eastAsia="Calibri" w:cstheme="minorHAnsi"/>
        </w:rPr>
        <w:t xml:space="preserve"> was dissatisfied </w:t>
      </w:r>
      <w:r>
        <w:rPr>
          <w:rFonts w:eastAsia="Calibri" w:cstheme="minorHAnsi"/>
        </w:rPr>
        <w:t>they were</w:t>
      </w:r>
      <w:r w:rsidR="00234940">
        <w:rPr>
          <w:rFonts w:eastAsia="Calibri" w:cstheme="minorHAnsi"/>
        </w:rPr>
        <w:t xml:space="preserve"> not given a timeline for when they would be updated.</w:t>
      </w:r>
    </w:p>
    <w:p w14:paraId="39704BF8" w14:textId="320DA141" w:rsidR="006D4160" w:rsidRDefault="006D4160" w:rsidP="0055104E">
      <w:pPr>
        <w:spacing w:after="240"/>
        <w:rPr>
          <w:rFonts w:eastAsia="Calibri" w:cstheme="minorHAnsi"/>
        </w:rPr>
      </w:pPr>
      <w:r>
        <w:rPr>
          <w:rFonts w:eastAsia="Calibri" w:cstheme="minorHAnsi"/>
        </w:rPr>
        <w:t xml:space="preserve">Details of </w:t>
      </w:r>
      <w:r w:rsidR="00CA2F0B">
        <w:rPr>
          <w:rFonts w:eastAsia="Calibri" w:cstheme="minorHAnsi"/>
        </w:rPr>
        <w:t>resolved</w:t>
      </w:r>
      <w:r w:rsidR="002A68FA">
        <w:rPr>
          <w:rFonts w:eastAsia="Calibri" w:cstheme="minorHAnsi"/>
        </w:rPr>
        <w:t xml:space="preserve"> complaint:</w:t>
      </w:r>
    </w:p>
    <w:p w14:paraId="51B80E30" w14:textId="557282FB" w:rsidR="002A68FA" w:rsidRPr="00651DB0" w:rsidRDefault="000C2B89" w:rsidP="00651DB0">
      <w:pPr>
        <w:pStyle w:val="ListParagraph"/>
        <w:numPr>
          <w:ilvl w:val="0"/>
          <w:numId w:val="17"/>
        </w:numPr>
        <w:spacing w:after="240"/>
        <w:rPr>
          <w:rFonts w:eastAsia="Calibri" w:cstheme="minorHAnsi"/>
        </w:rPr>
      </w:pPr>
      <w:r>
        <w:rPr>
          <w:rFonts w:eastAsia="Calibri" w:cstheme="minorHAnsi"/>
        </w:rPr>
        <w:t>A c</w:t>
      </w:r>
      <w:r w:rsidR="00651DB0">
        <w:rPr>
          <w:rFonts w:eastAsia="Calibri" w:cstheme="minorHAnsi"/>
        </w:rPr>
        <w:t xml:space="preserve">ustomer was dissatisfied that there had been a lack of action following his </w:t>
      </w:r>
      <w:r w:rsidR="006B3D39">
        <w:rPr>
          <w:rFonts w:eastAsia="Calibri" w:cstheme="minorHAnsi"/>
        </w:rPr>
        <w:t xml:space="preserve">reports </w:t>
      </w:r>
      <w:r w:rsidR="002A2149">
        <w:rPr>
          <w:rFonts w:eastAsia="Calibri" w:cstheme="minorHAnsi"/>
        </w:rPr>
        <w:t>of pollution in a watercourse</w:t>
      </w:r>
      <w:r w:rsidR="006B3D39">
        <w:rPr>
          <w:rFonts w:eastAsia="Calibri" w:cstheme="minorHAnsi"/>
        </w:rPr>
        <w:t xml:space="preserve">. This was </w:t>
      </w:r>
      <w:r w:rsidR="00CA2F0B">
        <w:rPr>
          <w:rFonts w:eastAsia="Calibri" w:cstheme="minorHAnsi"/>
        </w:rPr>
        <w:t>resolved</w:t>
      </w:r>
      <w:r w:rsidR="000F2CB9">
        <w:rPr>
          <w:rFonts w:eastAsia="Calibri" w:cstheme="minorHAnsi"/>
        </w:rPr>
        <w:t xml:space="preserve"> after a SEPA Officer spoke to the customer to explain the </w:t>
      </w:r>
      <w:r w:rsidR="002B0BD2">
        <w:rPr>
          <w:rFonts w:eastAsia="Calibri" w:cstheme="minorHAnsi"/>
        </w:rPr>
        <w:t>situation and the actions being taken to rectify the issue.</w:t>
      </w:r>
    </w:p>
    <w:p w14:paraId="0706F69F" w14:textId="73252B41" w:rsidR="00B12E46" w:rsidRPr="00856913" w:rsidRDefault="00B12E46" w:rsidP="0055104E">
      <w:pPr>
        <w:pStyle w:val="Heading1"/>
        <w:rPr>
          <w:rFonts w:eastAsia="Calibri"/>
        </w:rPr>
      </w:pPr>
      <w:bookmarkStart w:id="6" w:name="_Toc230957244"/>
      <w:r w:rsidRPr="00856913">
        <w:rPr>
          <w:rFonts w:eastAsia="Calibri"/>
        </w:rPr>
        <w:t>Complaint trends</w:t>
      </w:r>
      <w:bookmarkEnd w:id="6"/>
    </w:p>
    <w:p w14:paraId="599FDB92" w14:textId="7238F354" w:rsidR="00C112C6" w:rsidRPr="00D05EDD" w:rsidRDefault="00B12E46" w:rsidP="00D05EDD">
      <w:pPr>
        <w:spacing w:after="240"/>
        <w:rPr>
          <w:rFonts w:eastAsia="Calibri" w:cstheme="minorHAnsi"/>
        </w:rPr>
      </w:pPr>
      <w:r w:rsidRPr="00856913">
        <w:rPr>
          <w:rFonts w:eastAsia="Calibri" w:cstheme="minorHAnsi"/>
        </w:rPr>
        <w:t>No clear trends were identified from the complaints handled in the reporting period, but this will continue to be monitored and reported</w:t>
      </w:r>
      <w:r w:rsidR="0084081E">
        <w:rPr>
          <w:rFonts w:eastAsia="Calibri" w:cstheme="minorHAnsi"/>
        </w:rPr>
        <w:t xml:space="preserve"> for future years</w:t>
      </w:r>
      <w:r w:rsidRPr="00856913">
        <w:rPr>
          <w:rFonts w:eastAsia="Calibri" w:cstheme="minorHAnsi"/>
        </w:rPr>
        <w:t>.</w:t>
      </w:r>
    </w:p>
    <w:p w14:paraId="50F6CA5D" w14:textId="748D43A6" w:rsidR="00B12E46" w:rsidRPr="00F108BB" w:rsidRDefault="00B12E46" w:rsidP="0055104E">
      <w:pPr>
        <w:pStyle w:val="Heading1"/>
        <w:rPr>
          <w:rFonts w:eastAsia="Calibri"/>
        </w:rPr>
      </w:pPr>
      <w:bookmarkStart w:id="7" w:name="_Toc230957245"/>
      <w:r w:rsidRPr="00C6296D">
        <w:rPr>
          <w:rFonts w:eastAsia="Calibri"/>
        </w:rPr>
        <w:t>Lessons learned</w:t>
      </w:r>
      <w:r w:rsidR="00D47D31">
        <w:rPr>
          <w:rFonts w:eastAsia="Calibri"/>
        </w:rPr>
        <w:t xml:space="preserve"> and </w:t>
      </w:r>
      <w:r w:rsidRPr="00C6296D">
        <w:rPr>
          <w:rFonts w:eastAsia="Calibri"/>
        </w:rPr>
        <w:t>actions taken</w:t>
      </w:r>
      <w:bookmarkEnd w:id="7"/>
    </w:p>
    <w:p w14:paraId="68462EAD" w14:textId="2E4D1F5D" w:rsidR="00B12E46" w:rsidRPr="00F108BB" w:rsidRDefault="00B12E46" w:rsidP="0055104E">
      <w:pPr>
        <w:spacing w:after="240"/>
        <w:rPr>
          <w:rFonts w:cstheme="minorHAnsi"/>
        </w:rPr>
      </w:pPr>
      <w:r w:rsidRPr="00A05A45">
        <w:rPr>
          <w:rFonts w:eastAsia="Calibri" w:cstheme="minorHAnsi"/>
        </w:rPr>
        <w:t>A key part of SEPA's CHP is to learn from the complaints and implement changes to improve service</w:t>
      </w:r>
      <w:r w:rsidR="0084081E">
        <w:rPr>
          <w:rFonts w:eastAsia="Calibri" w:cstheme="minorHAnsi"/>
        </w:rPr>
        <w:t>s</w:t>
      </w:r>
      <w:r w:rsidRPr="00A05A45">
        <w:rPr>
          <w:rFonts w:eastAsia="Calibri" w:cstheme="minorHAnsi"/>
        </w:rPr>
        <w:t xml:space="preserve">. </w:t>
      </w:r>
    </w:p>
    <w:p w14:paraId="2369C94B" w14:textId="1402E34D" w:rsidR="00F62058" w:rsidRDefault="00B12E46" w:rsidP="00F62058">
      <w:pPr>
        <w:spacing w:after="240"/>
        <w:rPr>
          <w:rFonts w:eastAsia="Calibri" w:cstheme="minorHAnsi"/>
        </w:rPr>
      </w:pPr>
      <w:r w:rsidRPr="00220C8C">
        <w:rPr>
          <w:rFonts w:eastAsia="Calibri" w:cstheme="minorHAnsi"/>
        </w:rPr>
        <w:t xml:space="preserve">In the </w:t>
      </w:r>
      <w:r w:rsidR="00F62058">
        <w:rPr>
          <w:rFonts w:eastAsia="Calibri" w:cstheme="minorHAnsi"/>
        </w:rPr>
        <w:t>four</w:t>
      </w:r>
      <w:r w:rsidRPr="00220C8C">
        <w:rPr>
          <w:rFonts w:eastAsia="Calibri" w:cstheme="minorHAnsi"/>
        </w:rPr>
        <w:t xml:space="preserve"> complaint</w:t>
      </w:r>
      <w:r w:rsidR="009B031A" w:rsidRPr="00220C8C">
        <w:rPr>
          <w:rFonts w:eastAsia="Calibri" w:cstheme="minorHAnsi"/>
        </w:rPr>
        <w:t>s</w:t>
      </w:r>
      <w:r w:rsidRPr="00220C8C">
        <w:rPr>
          <w:rFonts w:eastAsia="Calibri" w:cstheme="minorHAnsi"/>
        </w:rPr>
        <w:t xml:space="preserve"> which </w:t>
      </w:r>
      <w:r w:rsidR="007F302D" w:rsidRPr="00220C8C">
        <w:rPr>
          <w:rFonts w:eastAsia="Calibri" w:cstheme="minorHAnsi"/>
        </w:rPr>
        <w:t>were</w:t>
      </w:r>
      <w:r w:rsidRPr="00220C8C">
        <w:rPr>
          <w:rFonts w:eastAsia="Calibri" w:cstheme="minorHAnsi"/>
        </w:rPr>
        <w:t xml:space="preserve"> </w:t>
      </w:r>
      <w:r w:rsidR="0084081E">
        <w:rPr>
          <w:rFonts w:eastAsia="Calibri" w:cstheme="minorHAnsi"/>
        </w:rPr>
        <w:t>u</w:t>
      </w:r>
      <w:r w:rsidRPr="00983428">
        <w:rPr>
          <w:rFonts w:eastAsia="Calibri" w:cstheme="minorHAnsi"/>
        </w:rPr>
        <w:t>pheld,</w:t>
      </w:r>
      <w:r w:rsidR="007F302D" w:rsidRPr="00983428">
        <w:rPr>
          <w:rFonts w:eastAsia="Calibri" w:cstheme="minorHAnsi"/>
        </w:rPr>
        <w:t xml:space="preserve"> </w:t>
      </w:r>
      <w:r w:rsidR="00475CB4" w:rsidRPr="00983428">
        <w:rPr>
          <w:rFonts w:eastAsia="Calibri" w:cstheme="minorHAnsi"/>
        </w:rPr>
        <w:t>each</w:t>
      </w:r>
      <w:r w:rsidRPr="00983428">
        <w:rPr>
          <w:rFonts w:eastAsia="Calibri" w:cstheme="minorHAnsi"/>
        </w:rPr>
        <w:t xml:space="preserve"> customer was provided with an apology, an explanation for the service failure was given </w:t>
      </w:r>
      <w:r w:rsidR="002C3C68">
        <w:rPr>
          <w:rFonts w:eastAsia="Calibri" w:cstheme="minorHAnsi"/>
        </w:rPr>
        <w:t xml:space="preserve">and </w:t>
      </w:r>
      <w:r w:rsidRPr="00983428">
        <w:rPr>
          <w:rFonts w:eastAsia="Calibri" w:cstheme="minorHAnsi"/>
        </w:rPr>
        <w:t>assurances that appropriate actions would be taken to address those failures, improve service and prevent any recurrence.</w:t>
      </w:r>
    </w:p>
    <w:p w14:paraId="702159FC" w14:textId="29B7351E" w:rsidR="00F62058" w:rsidRDefault="00034FCA" w:rsidP="00F62058">
      <w:pPr>
        <w:spacing w:after="240"/>
        <w:rPr>
          <w:rFonts w:cstheme="minorHAnsi"/>
        </w:rPr>
      </w:pPr>
      <w:r w:rsidRPr="00035667">
        <w:rPr>
          <w:rFonts w:cstheme="minorHAnsi"/>
        </w:rPr>
        <w:t xml:space="preserve">Eight complaints were also </w:t>
      </w:r>
      <w:r w:rsidR="00EB132E">
        <w:rPr>
          <w:rFonts w:cstheme="minorHAnsi"/>
        </w:rPr>
        <w:t xml:space="preserve">partially </w:t>
      </w:r>
      <w:r w:rsidR="00035667" w:rsidDel="00EB132E">
        <w:rPr>
          <w:rFonts w:cstheme="minorHAnsi"/>
        </w:rPr>
        <w:t>upheld</w:t>
      </w:r>
      <w:r w:rsidR="00035667">
        <w:rPr>
          <w:rFonts w:cstheme="minorHAnsi"/>
        </w:rPr>
        <w:t xml:space="preserve">. For these, </w:t>
      </w:r>
      <w:r w:rsidR="00E8712C">
        <w:rPr>
          <w:rFonts w:cstheme="minorHAnsi"/>
        </w:rPr>
        <w:t>apologies were issued where appropriate for the parts of the complaints that were upheld</w:t>
      </w:r>
      <w:r w:rsidR="00CE570F">
        <w:rPr>
          <w:rFonts w:cstheme="minorHAnsi"/>
        </w:rPr>
        <w:t xml:space="preserve"> </w:t>
      </w:r>
      <w:r w:rsidR="00EB132E">
        <w:rPr>
          <w:rFonts w:cstheme="minorHAnsi"/>
        </w:rPr>
        <w:t>and</w:t>
      </w:r>
      <w:r w:rsidR="00E8712C">
        <w:rPr>
          <w:rFonts w:cstheme="minorHAnsi"/>
        </w:rPr>
        <w:t xml:space="preserve"> the customers were also </w:t>
      </w:r>
      <w:r w:rsidR="000D1AC8">
        <w:rPr>
          <w:rFonts w:cstheme="minorHAnsi"/>
        </w:rPr>
        <w:t xml:space="preserve">given assurances </w:t>
      </w:r>
      <w:r w:rsidR="000D1AC8">
        <w:rPr>
          <w:rFonts w:cstheme="minorHAnsi"/>
        </w:rPr>
        <w:lastRenderedPageBreak/>
        <w:t>that appropriate actions would be taken to address any service failures identified to prevent them from occurring again.</w:t>
      </w:r>
    </w:p>
    <w:p w14:paraId="5B29DDD6" w14:textId="5E9DF6D0" w:rsidR="00B12E46" w:rsidRPr="00F108BB" w:rsidRDefault="00B12E46" w:rsidP="0055104E">
      <w:pPr>
        <w:pStyle w:val="Heading1"/>
        <w:rPr>
          <w:rFonts w:eastAsia="Calibri"/>
        </w:rPr>
      </w:pPr>
      <w:bookmarkStart w:id="8" w:name="_Toc230957246"/>
      <w:r w:rsidRPr="00530B61">
        <w:rPr>
          <w:rFonts w:eastAsia="Calibri"/>
        </w:rPr>
        <w:t>Improving services and performance</w:t>
      </w:r>
      <w:bookmarkEnd w:id="8"/>
      <w:r w:rsidR="004D30B5">
        <w:rPr>
          <w:rFonts w:eastAsia="Calibri"/>
        </w:rPr>
        <w:t xml:space="preserve"> </w:t>
      </w:r>
    </w:p>
    <w:p w14:paraId="06FEAB8B" w14:textId="386D23FA" w:rsidR="00B12E46" w:rsidRPr="007C25B7" w:rsidRDefault="00B12E46" w:rsidP="0055104E">
      <w:pPr>
        <w:spacing w:after="240"/>
        <w:rPr>
          <w:rFonts w:cstheme="minorHAnsi"/>
        </w:rPr>
      </w:pPr>
      <w:r w:rsidRPr="007C25B7">
        <w:rPr>
          <w:rFonts w:eastAsia="Calibri" w:cstheme="minorHAnsi"/>
        </w:rPr>
        <w:t>As part of SEPA’s commitment to learning from complaints</w:t>
      </w:r>
      <w:r w:rsidR="00446E33">
        <w:rPr>
          <w:rFonts w:eastAsia="Calibri" w:cstheme="minorHAnsi"/>
        </w:rPr>
        <w:t>,</w:t>
      </w:r>
      <w:r w:rsidRPr="007C25B7">
        <w:rPr>
          <w:rFonts w:eastAsia="Calibri" w:cstheme="minorHAnsi"/>
        </w:rPr>
        <w:t xml:space="preserve"> any necessary outcome actions identified are shared with appropriate management and monitored to ensure they are implemented, and that service improvements are delivered.</w:t>
      </w:r>
    </w:p>
    <w:p w14:paraId="17DBE3CB" w14:textId="2A88742F" w:rsidR="00601813" w:rsidRDefault="00B12E46" w:rsidP="0055104E">
      <w:pPr>
        <w:spacing w:after="240"/>
        <w:rPr>
          <w:rFonts w:eastAsia="Calibri" w:cstheme="minorHAnsi"/>
        </w:rPr>
      </w:pPr>
      <w:r w:rsidRPr="00160DD9">
        <w:rPr>
          <w:rFonts w:eastAsia="Calibri" w:cstheme="minorHAnsi"/>
        </w:rPr>
        <w:t xml:space="preserve">To ensure that complaints handling is embedded across the </w:t>
      </w:r>
      <w:r w:rsidR="003E11BC">
        <w:rPr>
          <w:rFonts w:eastAsia="Calibri" w:cstheme="minorHAnsi"/>
        </w:rPr>
        <w:t>organisation</w:t>
      </w:r>
      <w:r w:rsidRPr="00160DD9">
        <w:rPr>
          <w:rFonts w:eastAsia="Calibri" w:cstheme="minorHAnsi"/>
        </w:rPr>
        <w:t xml:space="preserve">, a programme of training in handling Stage 1 complaints has been developed and is being delivered for all SEPA </w:t>
      </w:r>
      <w:r w:rsidR="003E11BC">
        <w:rPr>
          <w:rFonts w:eastAsia="Calibri" w:cstheme="minorHAnsi"/>
        </w:rPr>
        <w:t>colleagues</w:t>
      </w:r>
      <w:r w:rsidR="003E11BC" w:rsidRPr="00160DD9">
        <w:rPr>
          <w:rFonts w:eastAsia="Calibri" w:cstheme="minorHAnsi"/>
        </w:rPr>
        <w:t xml:space="preserve"> </w:t>
      </w:r>
      <w:r w:rsidRPr="00160DD9">
        <w:rPr>
          <w:rFonts w:eastAsia="Calibri" w:cstheme="minorHAnsi"/>
        </w:rPr>
        <w:t xml:space="preserve">who engage with customers directly; </w:t>
      </w:r>
      <w:r w:rsidR="004E3DA7" w:rsidRPr="00160DD9">
        <w:rPr>
          <w:rFonts w:eastAsia="Calibri" w:cstheme="minorHAnsi"/>
        </w:rPr>
        <w:t>enabling</w:t>
      </w:r>
      <w:r w:rsidRPr="00160DD9">
        <w:rPr>
          <w:rFonts w:eastAsia="Calibri" w:cstheme="minorHAnsi"/>
        </w:rPr>
        <w:t xml:space="preserve"> them to handle Stage 1 complaints in accordance with the CHP. </w:t>
      </w:r>
    </w:p>
    <w:p w14:paraId="06C2F9F6" w14:textId="4FDDF368" w:rsidR="00B12E46" w:rsidRPr="00160DD9" w:rsidRDefault="00B12E46" w:rsidP="0055104E">
      <w:pPr>
        <w:spacing w:after="240"/>
        <w:rPr>
          <w:rFonts w:cstheme="minorHAnsi"/>
        </w:rPr>
      </w:pPr>
      <w:r w:rsidRPr="00160DD9">
        <w:rPr>
          <w:rFonts w:eastAsia="Calibri" w:cstheme="minorHAnsi"/>
        </w:rPr>
        <w:t xml:space="preserve">Similarly, training for managers has been developed to provide them with guidance on supporting </w:t>
      </w:r>
      <w:r w:rsidR="00601813">
        <w:rPr>
          <w:rFonts w:eastAsia="Calibri" w:cstheme="minorHAnsi"/>
        </w:rPr>
        <w:t>colleagues</w:t>
      </w:r>
      <w:r w:rsidR="00601813" w:rsidRPr="00160DD9">
        <w:rPr>
          <w:rFonts w:eastAsia="Calibri" w:cstheme="minorHAnsi"/>
        </w:rPr>
        <w:t xml:space="preserve"> </w:t>
      </w:r>
      <w:r w:rsidRPr="00160DD9">
        <w:rPr>
          <w:rFonts w:eastAsia="Calibri" w:cstheme="minorHAnsi"/>
        </w:rPr>
        <w:t>through the complaints process.</w:t>
      </w:r>
    </w:p>
    <w:p w14:paraId="00FC0BD7" w14:textId="298C5C01" w:rsidR="00B12E46" w:rsidRDefault="00B12E46" w:rsidP="0055104E">
      <w:pPr>
        <w:spacing w:after="240"/>
        <w:rPr>
          <w:rFonts w:eastAsia="Calibri" w:cstheme="minorHAnsi"/>
        </w:rPr>
      </w:pPr>
      <w:r w:rsidRPr="00160DD9">
        <w:rPr>
          <w:rFonts w:eastAsia="Calibri" w:cstheme="minorHAnsi"/>
        </w:rPr>
        <w:t xml:space="preserve">These CHP training resources </w:t>
      </w:r>
      <w:r w:rsidR="00B41047" w:rsidRPr="00160DD9">
        <w:rPr>
          <w:rFonts w:eastAsia="Calibri" w:cstheme="minorHAnsi"/>
        </w:rPr>
        <w:t>are</w:t>
      </w:r>
      <w:r w:rsidRPr="00160DD9">
        <w:rPr>
          <w:rFonts w:eastAsia="Calibri" w:cstheme="minorHAnsi"/>
        </w:rPr>
        <w:t xml:space="preserve"> maintained as an open-access reference library, allowing </w:t>
      </w:r>
      <w:r w:rsidR="009526EF">
        <w:rPr>
          <w:rFonts w:eastAsia="Calibri" w:cstheme="minorHAnsi"/>
        </w:rPr>
        <w:t>colleagues</w:t>
      </w:r>
      <w:r w:rsidRPr="00160DD9">
        <w:rPr>
          <w:rFonts w:eastAsia="Calibri" w:cstheme="minorHAnsi"/>
        </w:rPr>
        <w:t xml:space="preserve"> to refresh their knowledge and skills on an ongoing basis, and with additional support and guidance available from members of SEPA’s </w:t>
      </w:r>
      <w:r w:rsidR="005D3884" w:rsidRPr="00160DD9">
        <w:rPr>
          <w:rFonts w:eastAsia="Calibri" w:cstheme="minorHAnsi"/>
        </w:rPr>
        <w:t>Complaints team</w:t>
      </w:r>
      <w:r w:rsidRPr="00160DD9">
        <w:rPr>
          <w:rFonts w:eastAsia="Calibri" w:cstheme="minorHAnsi"/>
        </w:rPr>
        <w:t>.</w:t>
      </w:r>
    </w:p>
    <w:p w14:paraId="60B58571" w14:textId="6C1456AE" w:rsidR="00CB75C4" w:rsidRPr="0084438E" w:rsidRDefault="00B12E46" w:rsidP="0084438E">
      <w:pPr>
        <w:spacing w:after="240"/>
        <w:rPr>
          <w:rFonts w:eastAsia="Calibri" w:cstheme="minorHAnsi"/>
        </w:rPr>
      </w:pPr>
      <w:r w:rsidRPr="00160DD9">
        <w:rPr>
          <w:rFonts w:eastAsia="Calibri" w:cstheme="minorHAnsi"/>
        </w:rPr>
        <w:t xml:space="preserve">To further build on the Stage 1 and Managers’ CHP training modules, ad hoc online “drop-in” sessions </w:t>
      </w:r>
      <w:r w:rsidR="00036EA2" w:rsidRPr="00160DD9">
        <w:rPr>
          <w:rFonts w:eastAsia="Calibri" w:cstheme="minorHAnsi"/>
        </w:rPr>
        <w:t>will continue to be</w:t>
      </w:r>
      <w:r w:rsidRPr="00160DD9">
        <w:rPr>
          <w:rFonts w:eastAsia="Calibri" w:cstheme="minorHAnsi"/>
        </w:rPr>
        <w:t xml:space="preserve"> held to refresh teams’ awareness of the CHP processes and provide further support in complaints handling.</w:t>
      </w:r>
    </w:p>
    <w:p w14:paraId="314F8441" w14:textId="77777777" w:rsidR="00C24448" w:rsidRDefault="00C24448" w:rsidP="0055104E">
      <w:pPr>
        <w:pStyle w:val="BodyText1"/>
        <w:rPr>
          <w:rFonts w:eastAsia="Times New Roman"/>
        </w:rPr>
      </w:pPr>
    </w:p>
    <w:p w14:paraId="66A3A559" w14:textId="77777777" w:rsidR="00E2100F" w:rsidRDefault="00E2100F" w:rsidP="0055104E">
      <w:pPr>
        <w:pStyle w:val="BodyText1"/>
        <w:rPr>
          <w:rFonts w:eastAsia="Times New Roman"/>
        </w:rPr>
      </w:pPr>
    </w:p>
    <w:p w14:paraId="30588416" w14:textId="77777777" w:rsidR="00C24448" w:rsidRDefault="00C24448" w:rsidP="0055104E">
      <w:pPr>
        <w:pStyle w:val="BodyText1"/>
        <w:rPr>
          <w:rFonts w:eastAsia="Times New Roman"/>
        </w:rPr>
      </w:pPr>
    </w:p>
    <w:p w14:paraId="203CDB85" w14:textId="41B0F7C3" w:rsidR="006243FF" w:rsidRPr="00255307" w:rsidRDefault="005D7EFB" w:rsidP="005D7EFB">
      <w:pPr>
        <w:pStyle w:val="BodyText1"/>
        <w:rPr>
          <w:rFonts w:eastAsia="Times New Roman"/>
          <w:sz w:val="32"/>
          <w:szCs w:val="32"/>
        </w:rPr>
      </w:pPr>
      <w:r w:rsidRPr="00874415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7" w:tgtFrame="_blank" w:tooltip="mailto:equalities@sepa.org.uk" w:history="1">
        <w:r w:rsidRPr="00782A38">
          <w:rPr>
            <w:rFonts w:eastAsia="Times New Roman"/>
            <w:color w:val="016574"/>
            <w:sz w:val="32"/>
            <w:szCs w:val="32"/>
            <w:u w:val="single"/>
          </w:rPr>
          <w:t>equalities@sepa.org.uk</w:t>
        </w:r>
      </w:hyperlink>
      <w:r w:rsidRPr="00782A38">
        <w:rPr>
          <w:rFonts w:eastAsia="Times New Roman"/>
          <w:color w:val="016574"/>
          <w:sz w:val="32"/>
          <w:szCs w:val="32"/>
        </w:rPr>
        <w:t xml:space="preserve"> </w:t>
      </w:r>
    </w:p>
    <w:sectPr w:rsidR="006243FF" w:rsidRPr="00255307" w:rsidSect="00042B3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839" w:right="839" w:bottom="839" w:left="839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51F9" w14:textId="77777777" w:rsidR="00611CC0" w:rsidRDefault="00611CC0" w:rsidP="00660C79">
      <w:pPr>
        <w:spacing w:line="240" w:lineRule="auto"/>
      </w:pPr>
      <w:r>
        <w:separator/>
      </w:r>
    </w:p>
  </w:endnote>
  <w:endnote w:type="continuationSeparator" w:id="0">
    <w:p w14:paraId="367504CA" w14:textId="77777777" w:rsidR="00611CC0" w:rsidRDefault="00611CC0" w:rsidP="00660C79">
      <w:pPr>
        <w:spacing w:line="240" w:lineRule="auto"/>
      </w:pPr>
      <w:r>
        <w:continuationSeparator/>
      </w:r>
    </w:p>
  </w:endnote>
  <w:endnote w:type="continuationNotice" w:id="1">
    <w:p w14:paraId="0355D610" w14:textId="77777777" w:rsidR="00611CC0" w:rsidRDefault="00611C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2142" w14:textId="76C44CC0" w:rsidR="00EC6A73" w:rsidRDefault="003875B6" w:rsidP="00F66C8B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63C14E18" wp14:editId="48632A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06025112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9BC2B" w14:textId="7C249369" w:rsidR="003875B6" w:rsidRPr="003875B6" w:rsidRDefault="003875B6" w:rsidP="00387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14E1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PUBLIC" style="position:absolute;margin-left:0;margin-top:0;width:33.15pt;height:33.3pt;z-index:2516633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2029BC2B" w14:textId="7C249369" w:rsidR="003875B6" w:rsidRPr="003875B6" w:rsidRDefault="003875B6" w:rsidP="00387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0BEBF8" w14:textId="77777777" w:rsidR="00EC6A73" w:rsidRDefault="00EC6A73" w:rsidP="00F66C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B6860D6" w14:textId="77777777" w:rsidR="00917BB1" w:rsidRDefault="00917BB1" w:rsidP="00EC6A7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57C01F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1C97" w14:textId="2F471C8E" w:rsidR="00EC6A73" w:rsidRDefault="003875B6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561F379F" wp14:editId="38F56C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930185741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A7247" w14:textId="265EBBBA" w:rsidR="003875B6" w:rsidRPr="003875B6" w:rsidRDefault="003875B6" w:rsidP="00387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F379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alt="PUBLIC" style="position:absolute;margin-left:0;margin-top:0;width:33.15pt;height:33.3pt;z-index:2516643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1BDA7247" w14:textId="265EBBBA" w:rsidR="003875B6" w:rsidRPr="003875B6" w:rsidRDefault="003875B6" w:rsidP="00387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23AE7E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C331C3" wp14:editId="048E39E1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0" b="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rgbClr val="0165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21232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" strokecolor="#016574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67E9BEE2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4CDD44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0506B2E5" wp14:editId="6D09B9E7">
          <wp:extent cx="1007167" cy="265044"/>
          <wp:effectExtent l="0" t="0" r="0" b="1905"/>
          <wp:docPr id="1562721687" name="Picture 15627216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FB0" w14:textId="64FB94D5" w:rsidR="006A7344" w:rsidRDefault="003875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2289A791" wp14:editId="7F4854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267623830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D278F" w14:textId="66F38BD0" w:rsidR="003875B6" w:rsidRPr="003875B6" w:rsidRDefault="003875B6" w:rsidP="00387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9A79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PUBLIC" style="position:absolute;margin-left:0;margin-top:0;width:33.15pt;height:33.3pt;z-index:2516623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6C4D278F" w14:textId="66F38BD0" w:rsidR="003875B6" w:rsidRPr="003875B6" w:rsidRDefault="003875B6" w:rsidP="00387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AF9F" w14:textId="77777777" w:rsidR="00611CC0" w:rsidRDefault="00611CC0" w:rsidP="00660C79">
      <w:pPr>
        <w:spacing w:line="240" w:lineRule="auto"/>
      </w:pPr>
      <w:r>
        <w:separator/>
      </w:r>
    </w:p>
  </w:footnote>
  <w:footnote w:type="continuationSeparator" w:id="0">
    <w:p w14:paraId="33D1D7DA" w14:textId="77777777" w:rsidR="00611CC0" w:rsidRDefault="00611CC0" w:rsidP="00660C79">
      <w:pPr>
        <w:spacing w:line="240" w:lineRule="auto"/>
      </w:pPr>
      <w:r>
        <w:continuationSeparator/>
      </w:r>
    </w:p>
  </w:footnote>
  <w:footnote w:type="continuationNotice" w:id="1">
    <w:p w14:paraId="419B81E4" w14:textId="77777777" w:rsidR="00611CC0" w:rsidRDefault="00611C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3F57" w14:textId="2E860BF1" w:rsidR="006A7344" w:rsidRDefault="003875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6784F1E4" wp14:editId="687F27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074877962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D03F3" w14:textId="3ACD5F76" w:rsidR="003875B6" w:rsidRPr="003875B6" w:rsidRDefault="003875B6" w:rsidP="00387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4F1E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PUBLIC" style="position:absolute;margin-left:0;margin-top:0;width:33.15pt;height:33.3pt;z-index:2516602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textbox style="mso-fit-shape-to-text:t" inset="0,15pt,0,0">
                <w:txbxContent>
                  <w:p w14:paraId="373D03F3" w14:textId="3ACD5F76" w:rsidR="003875B6" w:rsidRPr="003875B6" w:rsidRDefault="003875B6" w:rsidP="00387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AAAC" w14:textId="6E568512" w:rsidR="00DB5061" w:rsidRPr="00DB5061" w:rsidRDefault="003875B6" w:rsidP="00042B36">
    <w:pPr>
      <w:pStyle w:val="BodyText1"/>
      <w:spacing w:line="240" w:lineRule="auto"/>
      <w:jc w:val="right"/>
      <w:rPr>
        <w:color w:val="44546A" w:themeColor="text2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5C28B633" wp14:editId="204C07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09476543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2FEAB" w14:textId="0060B9BF" w:rsidR="003875B6" w:rsidRPr="003875B6" w:rsidRDefault="003875B6" w:rsidP="00387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8B63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PUBLIC" style="position:absolute;left:0;text-align:left;margin-left:0;margin-top:0;width:33.15pt;height:33.3pt;z-index:25166131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textbox style="mso-fit-shape-to-text:t" inset="0,15pt,0,0">
                <w:txbxContent>
                  <w:p w14:paraId="3532FEAB" w14:textId="0060B9BF" w:rsidR="003875B6" w:rsidRPr="003875B6" w:rsidRDefault="003875B6" w:rsidP="00387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5C80">
      <w:rPr>
        <w:color w:val="44546A" w:themeColor="text2"/>
      </w:rPr>
      <w:t xml:space="preserve">Customer Service </w:t>
    </w:r>
    <w:r w:rsidR="00DB5061">
      <w:rPr>
        <w:color w:val="44546A" w:themeColor="text2"/>
      </w:rPr>
      <w:t xml:space="preserve">Complaints </w:t>
    </w:r>
    <w:r w:rsidR="00DB5061" w:rsidRPr="00DB5061">
      <w:rPr>
        <w:color w:val="44546A" w:themeColor="text2"/>
      </w:rPr>
      <w:t>Performance Report</w:t>
    </w:r>
  </w:p>
  <w:p w14:paraId="5905F1F1" w14:textId="0D15D236" w:rsidR="008D113C" w:rsidRPr="00917BB1" w:rsidRDefault="00DB5061" w:rsidP="00042B36">
    <w:pPr>
      <w:pStyle w:val="BodyText1"/>
      <w:spacing w:line="240" w:lineRule="auto"/>
      <w:jc w:val="right"/>
      <w:rPr>
        <w:color w:val="44546A" w:themeColor="text2"/>
      </w:rPr>
    </w:pPr>
    <w:r w:rsidRPr="00DB5061">
      <w:rPr>
        <w:color w:val="44546A" w:themeColor="text2"/>
      </w:rPr>
      <w:t>April 202</w:t>
    </w:r>
    <w:r w:rsidR="005F62EF">
      <w:rPr>
        <w:color w:val="44546A" w:themeColor="text2"/>
      </w:rPr>
      <w:t>4</w:t>
    </w:r>
    <w:r>
      <w:rPr>
        <w:color w:val="44546A" w:themeColor="text2"/>
      </w:rPr>
      <w:t xml:space="preserve"> </w:t>
    </w:r>
    <w:r w:rsidR="002955A4">
      <w:rPr>
        <w:color w:val="44546A" w:themeColor="text2"/>
      </w:rPr>
      <w:t>to</w:t>
    </w:r>
    <w:r w:rsidRPr="00DB5061">
      <w:rPr>
        <w:color w:val="44546A" w:themeColor="text2"/>
      </w:rPr>
      <w:t xml:space="preserve"> March 202</w:t>
    </w:r>
    <w:r w:rsidR="005F62EF">
      <w:rPr>
        <w:color w:val="44546A" w:themeColor="text2"/>
      </w:rPr>
      <w:t>5</w:t>
    </w:r>
  </w:p>
  <w:p w14:paraId="541F9FE3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2560CE" wp14:editId="25B72A96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0" b="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rgbClr val="0165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D7D47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" strokecolor="#016574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8264" w14:textId="5EC28C10" w:rsidR="006A7344" w:rsidRDefault="003875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68842E15" wp14:editId="38B439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016964948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B4F19" w14:textId="60564FBE" w:rsidR="003875B6" w:rsidRPr="003875B6" w:rsidRDefault="003875B6" w:rsidP="003875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5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42E1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PUBLIC" style="position:absolute;margin-left:0;margin-top:0;width:33.15pt;height:33.3pt;z-index:2516592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4A3B4F19" w14:textId="60564FBE" w:rsidR="003875B6" w:rsidRPr="003875B6" w:rsidRDefault="003875B6" w:rsidP="003875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5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C47ACD"/>
    <w:multiLevelType w:val="hybridMultilevel"/>
    <w:tmpl w:val="A434E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339EC"/>
    <w:multiLevelType w:val="hybridMultilevel"/>
    <w:tmpl w:val="C192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133F8"/>
    <w:multiLevelType w:val="hybridMultilevel"/>
    <w:tmpl w:val="F2902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77A61"/>
    <w:multiLevelType w:val="hybridMultilevel"/>
    <w:tmpl w:val="78C2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308A7"/>
    <w:multiLevelType w:val="hybridMultilevel"/>
    <w:tmpl w:val="3AE0F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67CE0"/>
    <w:multiLevelType w:val="hybridMultilevel"/>
    <w:tmpl w:val="EDB83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77673471">
    <w:abstractNumId w:val="12"/>
  </w:num>
  <w:num w:numId="12" w16cid:durableId="1034039431">
    <w:abstractNumId w:val="13"/>
  </w:num>
  <w:num w:numId="13" w16cid:durableId="451871289">
    <w:abstractNumId w:val="10"/>
  </w:num>
  <w:num w:numId="14" w16cid:durableId="1243642624">
    <w:abstractNumId w:val="15"/>
  </w:num>
  <w:num w:numId="15" w16cid:durableId="1695106044">
    <w:abstractNumId w:val="11"/>
  </w:num>
  <w:num w:numId="16" w16cid:durableId="180827135">
    <w:abstractNumId w:val="14"/>
  </w:num>
  <w:num w:numId="17" w16cid:durableId="1652366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61"/>
    <w:rsid w:val="00006491"/>
    <w:rsid w:val="00013366"/>
    <w:rsid w:val="0001344E"/>
    <w:rsid w:val="0001405F"/>
    <w:rsid w:val="00015324"/>
    <w:rsid w:val="00015799"/>
    <w:rsid w:val="00022A2C"/>
    <w:rsid w:val="00023FB5"/>
    <w:rsid w:val="00024377"/>
    <w:rsid w:val="00027460"/>
    <w:rsid w:val="000313BB"/>
    <w:rsid w:val="00032829"/>
    <w:rsid w:val="00034FCA"/>
    <w:rsid w:val="00035667"/>
    <w:rsid w:val="000359CC"/>
    <w:rsid w:val="00036EA2"/>
    <w:rsid w:val="00040155"/>
    <w:rsid w:val="00040561"/>
    <w:rsid w:val="00042B36"/>
    <w:rsid w:val="00042E0C"/>
    <w:rsid w:val="00044D7E"/>
    <w:rsid w:val="00051FD9"/>
    <w:rsid w:val="0005284E"/>
    <w:rsid w:val="0005702E"/>
    <w:rsid w:val="000626CF"/>
    <w:rsid w:val="000647C8"/>
    <w:rsid w:val="0007013D"/>
    <w:rsid w:val="00070367"/>
    <w:rsid w:val="00070937"/>
    <w:rsid w:val="00074818"/>
    <w:rsid w:val="00077602"/>
    <w:rsid w:val="00081ED9"/>
    <w:rsid w:val="0008315A"/>
    <w:rsid w:val="000841C0"/>
    <w:rsid w:val="000859AF"/>
    <w:rsid w:val="00085D32"/>
    <w:rsid w:val="0009238C"/>
    <w:rsid w:val="000954FA"/>
    <w:rsid w:val="00095536"/>
    <w:rsid w:val="00095B3C"/>
    <w:rsid w:val="0009706C"/>
    <w:rsid w:val="000973B4"/>
    <w:rsid w:val="000974B3"/>
    <w:rsid w:val="0009772B"/>
    <w:rsid w:val="000A0876"/>
    <w:rsid w:val="000A2502"/>
    <w:rsid w:val="000A5649"/>
    <w:rsid w:val="000A620E"/>
    <w:rsid w:val="000A74C5"/>
    <w:rsid w:val="000B2324"/>
    <w:rsid w:val="000B2CF0"/>
    <w:rsid w:val="000B7559"/>
    <w:rsid w:val="000C186C"/>
    <w:rsid w:val="000C2438"/>
    <w:rsid w:val="000C2B89"/>
    <w:rsid w:val="000D1AC8"/>
    <w:rsid w:val="000E08A7"/>
    <w:rsid w:val="000E0D15"/>
    <w:rsid w:val="000E21BC"/>
    <w:rsid w:val="000E2384"/>
    <w:rsid w:val="000E68E2"/>
    <w:rsid w:val="000F1196"/>
    <w:rsid w:val="000F2CB9"/>
    <w:rsid w:val="000F69AC"/>
    <w:rsid w:val="00101297"/>
    <w:rsid w:val="00105F31"/>
    <w:rsid w:val="001064C3"/>
    <w:rsid w:val="001122AE"/>
    <w:rsid w:val="001135C6"/>
    <w:rsid w:val="0011572A"/>
    <w:rsid w:val="00116863"/>
    <w:rsid w:val="00120209"/>
    <w:rsid w:val="00120A93"/>
    <w:rsid w:val="00121AA4"/>
    <w:rsid w:val="00123A29"/>
    <w:rsid w:val="00131A2F"/>
    <w:rsid w:val="001335A1"/>
    <w:rsid w:val="001336DF"/>
    <w:rsid w:val="001346C1"/>
    <w:rsid w:val="00135FD1"/>
    <w:rsid w:val="001404BA"/>
    <w:rsid w:val="00141A19"/>
    <w:rsid w:val="0014373E"/>
    <w:rsid w:val="001463F6"/>
    <w:rsid w:val="0015016D"/>
    <w:rsid w:val="00155FEC"/>
    <w:rsid w:val="0015789C"/>
    <w:rsid w:val="00160DD9"/>
    <w:rsid w:val="00164985"/>
    <w:rsid w:val="00175A9C"/>
    <w:rsid w:val="00177924"/>
    <w:rsid w:val="0019375C"/>
    <w:rsid w:val="00194EF9"/>
    <w:rsid w:val="001952A6"/>
    <w:rsid w:val="00196A1C"/>
    <w:rsid w:val="001A1797"/>
    <w:rsid w:val="001A32D6"/>
    <w:rsid w:val="001A431C"/>
    <w:rsid w:val="001A4390"/>
    <w:rsid w:val="001B3654"/>
    <w:rsid w:val="001D5C1B"/>
    <w:rsid w:val="001E6E7A"/>
    <w:rsid w:val="001F3236"/>
    <w:rsid w:val="001F4B01"/>
    <w:rsid w:val="00200443"/>
    <w:rsid w:val="00210A9C"/>
    <w:rsid w:val="00211F2A"/>
    <w:rsid w:val="00216305"/>
    <w:rsid w:val="002204BC"/>
    <w:rsid w:val="00220C8C"/>
    <w:rsid w:val="00223F3A"/>
    <w:rsid w:val="002309B7"/>
    <w:rsid w:val="00234940"/>
    <w:rsid w:val="002350E4"/>
    <w:rsid w:val="00236552"/>
    <w:rsid w:val="00237E3B"/>
    <w:rsid w:val="0024335F"/>
    <w:rsid w:val="00245463"/>
    <w:rsid w:val="00252983"/>
    <w:rsid w:val="00254AE9"/>
    <w:rsid w:val="00255307"/>
    <w:rsid w:val="00257E08"/>
    <w:rsid w:val="00267E6C"/>
    <w:rsid w:val="00272EC5"/>
    <w:rsid w:val="00273A6F"/>
    <w:rsid w:val="00276128"/>
    <w:rsid w:val="00277D45"/>
    <w:rsid w:val="00281BB1"/>
    <w:rsid w:val="0028322D"/>
    <w:rsid w:val="00285322"/>
    <w:rsid w:val="0028591B"/>
    <w:rsid w:val="002861DF"/>
    <w:rsid w:val="00286523"/>
    <w:rsid w:val="00290B1F"/>
    <w:rsid w:val="00293F47"/>
    <w:rsid w:val="00294450"/>
    <w:rsid w:val="002955A4"/>
    <w:rsid w:val="0029604B"/>
    <w:rsid w:val="002A2149"/>
    <w:rsid w:val="002A2F28"/>
    <w:rsid w:val="002A66B3"/>
    <w:rsid w:val="002A68FA"/>
    <w:rsid w:val="002A6D0A"/>
    <w:rsid w:val="002B0BD2"/>
    <w:rsid w:val="002B6E7E"/>
    <w:rsid w:val="002B71D9"/>
    <w:rsid w:val="002C1A86"/>
    <w:rsid w:val="002C34F3"/>
    <w:rsid w:val="002C3C68"/>
    <w:rsid w:val="002C4A76"/>
    <w:rsid w:val="002C5767"/>
    <w:rsid w:val="002C757F"/>
    <w:rsid w:val="002E2D4B"/>
    <w:rsid w:val="002E683D"/>
    <w:rsid w:val="002F5732"/>
    <w:rsid w:val="002F5E03"/>
    <w:rsid w:val="002F5E56"/>
    <w:rsid w:val="0030096D"/>
    <w:rsid w:val="0030601A"/>
    <w:rsid w:val="00306920"/>
    <w:rsid w:val="00317618"/>
    <w:rsid w:val="00322C37"/>
    <w:rsid w:val="00327512"/>
    <w:rsid w:val="00343114"/>
    <w:rsid w:val="00343427"/>
    <w:rsid w:val="003530A9"/>
    <w:rsid w:val="0037405C"/>
    <w:rsid w:val="003847CD"/>
    <w:rsid w:val="00386EE6"/>
    <w:rsid w:val="003875B6"/>
    <w:rsid w:val="00390A19"/>
    <w:rsid w:val="00391A3A"/>
    <w:rsid w:val="00395DC6"/>
    <w:rsid w:val="0039617B"/>
    <w:rsid w:val="003A0364"/>
    <w:rsid w:val="003A5D09"/>
    <w:rsid w:val="003B1060"/>
    <w:rsid w:val="003B6640"/>
    <w:rsid w:val="003C09B2"/>
    <w:rsid w:val="003C2D46"/>
    <w:rsid w:val="003C6F86"/>
    <w:rsid w:val="003D0F6D"/>
    <w:rsid w:val="003D280A"/>
    <w:rsid w:val="003D3A4A"/>
    <w:rsid w:val="003D591C"/>
    <w:rsid w:val="003E11BC"/>
    <w:rsid w:val="003E1E3D"/>
    <w:rsid w:val="003E26FA"/>
    <w:rsid w:val="003E5959"/>
    <w:rsid w:val="003E5DF6"/>
    <w:rsid w:val="003E6007"/>
    <w:rsid w:val="003F5384"/>
    <w:rsid w:val="003F5C80"/>
    <w:rsid w:val="004014D1"/>
    <w:rsid w:val="00402277"/>
    <w:rsid w:val="00403309"/>
    <w:rsid w:val="004073BC"/>
    <w:rsid w:val="004257BD"/>
    <w:rsid w:val="004312C1"/>
    <w:rsid w:val="0043154A"/>
    <w:rsid w:val="00431BB3"/>
    <w:rsid w:val="0043747C"/>
    <w:rsid w:val="00441473"/>
    <w:rsid w:val="0044182E"/>
    <w:rsid w:val="00444AA1"/>
    <w:rsid w:val="00446E33"/>
    <w:rsid w:val="004503C3"/>
    <w:rsid w:val="00453B47"/>
    <w:rsid w:val="00462E5C"/>
    <w:rsid w:val="004664DB"/>
    <w:rsid w:val="0047281C"/>
    <w:rsid w:val="00475CB4"/>
    <w:rsid w:val="00481CD8"/>
    <w:rsid w:val="00484BBC"/>
    <w:rsid w:val="00485846"/>
    <w:rsid w:val="004879DA"/>
    <w:rsid w:val="0049284E"/>
    <w:rsid w:val="00493E7B"/>
    <w:rsid w:val="004A45D0"/>
    <w:rsid w:val="004C1F8A"/>
    <w:rsid w:val="004C62FE"/>
    <w:rsid w:val="004D266B"/>
    <w:rsid w:val="004D30B5"/>
    <w:rsid w:val="004D3FE1"/>
    <w:rsid w:val="004D6098"/>
    <w:rsid w:val="004E1607"/>
    <w:rsid w:val="004E3DA7"/>
    <w:rsid w:val="004E57E6"/>
    <w:rsid w:val="004E7945"/>
    <w:rsid w:val="004F3840"/>
    <w:rsid w:val="004F66E5"/>
    <w:rsid w:val="004F70A9"/>
    <w:rsid w:val="005009A4"/>
    <w:rsid w:val="0050216F"/>
    <w:rsid w:val="00507E4C"/>
    <w:rsid w:val="00513352"/>
    <w:rsid w:val="005167AE"/>
    <w:rsid w:val="00516FD4"/>
    <w:rsid w:val="00520996"/>
    <w:rsid w:val="005244EF"/>
    <w:rsid w:val="00530B61"/>
    <w:rsid w:val="00531443"/>
    <w:rsid w:val="00531C62"/>
    <w:rsid w:val="00537F07"/>
    <w:rsid w:val="00544A95"/>
    <w:rsid w:val="00546D3D"/>
    <w:rsid w:val="0055104E"/>
    <w:rsid w:val="00551989"/>
    <w:rsid w:val="00556371"/>
    <w:rsid w:val="00556624"/>
    <w:rsid w:val="00560032"/>
    <w:rsid w:val="00560C70"/>
    <w:rsid w:val="0056504E"/>
    <w:rsid w:val="0057303A"/>
    <w:rsid w:val="005741E3"/>
    <w:rsid w:val="00582076"/>
    <w:rsid w:val="00585907"/>
    <w:rsid w:val="00591BCB"/>
    <w:rsid w:val="00591EDD"/>
    <w:rsid w:val="00596D72"/>
    <w:rsid w:val="005970B4"/>
    <w:rsid w:val="005A17D0"/>
    <w:rsid w:val="005A1918"/>
    <w:rsid w:val="005A1B8E"/>
    <w:rsid w:val="005A355E"/>
    <w:rsid w:val="005A3DA2"/>
    <w:rsid w:val="005B0E18"/>
    <w:rsid w:val="005B4560"/>
    <w:rsid w:val="005B56A1"/>
    <w:rsid w:val="005B5BDD"/>
    <w:rsid w:val="005B63DB"/>
    <w:rsid w:val="005C111B"/>
    <w:rsid w:val="005C6F2A"/>
    <w:rsid w:val="005D1213"/>
    <w:rsid w:val="005D3884"/>
    <w:rsid w:val="005D440D"/>
    <w:rsid w:val="005D556F"/>
    <w:rsid w:val="005D5972"/>
    <w:rsid w:val="005D652C"/>
    <w:rsid w:val="005D7EFB"/>
    <w:rsid w:val="005F4B33"/>
    <w:rsid w:val="005F4C32"/>
    <w:rsid w:val="005F62EF"/>
    <w:rsid w:val="00601474"/>
    <w:rsid w:val="00601813"/>
    <w:rsid w:val="00601912"/>
    <w:rsid w:val="00601C18"/>
    <w:rsid w:val="00611CC0"/>
    <w:rsid w:val="00620645"/>
    <w:rsid w:val="00623902"/>
    <w:rsid w:val="006243FF"/>
    <w:rsid w:val="00626247"/>
    <w:rsid w:val="00651DB0"/>
    <w:rsid w:val="00653645"/>
    <w:rsid w:val="0065451B"/>
    <w:rsid w:val="00656EF4"/>
    <w:rsid w:val="00660C79"/>
    <w:rsid w:val="0066174C"/>
    <w:rsid w:val="006668E5"/>
    <w:rsid w:val="00673AAF"/>
    <w:rsid w:val="0067677D"/>
    <w:rsid w:val="00682C23"/>
    <w:rsid w:val="00691291"/>
    <w:rsid w:val="006941D8"/>
    <w:rsid w:val="006948B2"/>
    <w:rsid w:val="00697892"/>
    <w:rsid w:val="006A0966"/>
    <w:rsid w:val="006A0CAB"/>
    <w:rsid w:val="006A1FC6"/>
    <w:rsid w:val="006A3EC9"/>
    <w:rsid w:val="006A4421"/>
    <w:rsid w:val="006A5D0C"/>
    <w:rsid w:val="006A7344"/>
    <w:rsid w:val="006B1827"/>
    <w:rsid w:val="006B3D39"/>
    <w:rsid w:val="006B65FC"/>
    <w:rsid w:val="006C6A9B"/>
    <w:rsid w:val="006D16CE"/>
    <w:rsid w:val="006D4160"/>
    <w:rsid w:val="006D79DC"/>
    <w:rsid w:val="006F0969"/>
    <w:rsid w:val="006F5A38"/>
    <w:rsid w:val="00703A29"/>
    <w:rsid w:val="00706B82"/>
    <w:rsid w:val="0070775B"/>
    <w:rsid w:val="00723234"/>
    <w:rsid w:val="00725CDB"/>
    <w:rsid w:val="00726658"/>
    <w:rsid w:val="00726DE1"/>
    <w:rsid w:val="007301C3"/>
    <w:rsid w:val="0073043D"/>
    <w:rsid w:val="0073089E"/>
    <w:rsid w:val="007371D9"/>
    <w:rsid w:val="00742A9A"/>
    <w:rsid w:val="007457D2"/>
    <w:rsid w:val="00754D28"/>
    <w:rsid w:val="00754EB9"/>
    <w:rsid w:val="00755078"/>
    <w:rsid w:val="007553D6"/>
    <w:rsid w:val="0075620F"/>
    <w:rsid w:val="0076258F"/>
    <w:rsid w:val="007672CD"/>
    <w:rsid w:val="0078186C"/>
    <w:rsid w:val="00782A38"/>
    <w:rsid w:val="007832D1"/>
    <w:rsid w:val="0078418D"/>
    <w:rsid w:val="00785FF5"/>
    <w:rsid w:val="00796410"/>
    <w:rsid w:val="007A5070"/>
    <w:rsid w:val="007B0ACB"/>
    <w:rsid w:val="007B1F85"/>
    <w:rsid w:val="007B5D44"/>
    <w:rsid w:val="007B6143"/>
    <w:rsid w:val="007C25B7"/>
    <w:rsid w:val="007C3F12"/>
    <w:rsid w:val="007C61F0"/>
    <w:rsid w:val="007C744B"/>
    <w:rsid w:val="007D14D9"/>
    <w:rsid w:val="007D28C5"/>
    <w:rsid w:val="007D441B"/>
    <w:rsid w:val="007D47D0"/>
    <w:rsid w:val="007E0458"/>
    <w:rsid w:val="007E1A60"/>
    <w:rsid w:val="007E4EBE"/>
    <w:rsid w:val="007F2E6C"/>
    <w:rsid w:val="007F302D"/>
    <w:rsid w:val="00801105"/>
    <w:rsid w:val="00801593"/>
    <w:rsid w:val="00801682"/>
    <w:rsid w:val="00801690"/>
    <w:rsid w:val="00801F85"/>
    <w:rsid w:val="00805D61"/>
    <w:rsid w:val="00812CD5"/>
    <w:rsid w:val="00813A22"/>
    <w:rsid w:val="008152A7"/>
    <w:rsid w:val="00817ADB"/>
    <w:rsid w:val="008206B6"/>
    <w:rsid w:val="008264E0"/>
    <w:rsid w:val="00831626"/>
    <w:rsid w:val="00832CC3"/>
    <w:rsid w:val="0084081E"/>
    <w:rsid w:val="0084438E"/>
    <w:rsid w:val="00851183"/>
    <w:rsid w:val="00855155"/>
    <w:rsid w:val="00855E70"/>
    <w:rsid w:val="00856913"/>
    <w:rsid w:val="00861B46"/>
    <w:rsid w:val="00862B8A"/>
    <w:rsid w:val="0086757D"/>
    <w:rsid w:val="00870BE2"/>
    <w:rsid w:val="008816F1"/>
    <w:rsid w:val="008832C3"/>
    <w:rsid w:val="00891182"/>
    <w:rsid w:val="00892AEA"/>
    <w:rsid w:val="00892FEB"/>
    <w:rsid w:val="008A29B8"/>
    <w:rsid w:val="008B08CE"/>
    <w:rsid w:val="008B0A80"/>
    <w:rsid w:val="008B2E7F"/>
    <w:rsid w:val="008B6F70"/>
    <w:rsid w:val="008C1A73"/>
    <w:rsid w:val="008C4DB7"/>
    <w:rsid w:val="008C6C53"/>
    <w:rsid w:val="008C71E6"/>
    <w:rsid w:val="008D113C"/>
    <w:rsid w:val="008D376F"/>
    <w:rsid w:val="008D38B0"/>
    <w:rsid w:val="008D50E7"/>
    <w:rsid w:val="008E12C6"/>
    <w:rsid w:val="008E378F"/>
    <w:rsid w:val="008E4BDC"/>
    <w:rsid w:val="008F3B6F"/>
    <w:rsid w:val="008F4E0B"/>
    <w:rsid w:val="00901948"/>
    <w:rsid w:val="009030E1"/>
    <w:rsid w:val="009060F5"/>
    <w:rsid w:val="00906579"/>
    <w:rsid w:val="00914962"/>
    <w:rsid w:val="0091499E"/>
    <w:rsid w:val="009149A4"/>
    <w:rsid w:val="00917BB1"/>
    <w:rsid w:val="00934489"/>
    <w:rsid w:val="0094087C"/>
    <w:rsid w:val="0094194C"/>
    <w:rsid w:val="00942117"/>
    <w:rsid w:val="00943A0F"/>
    <w:rsid w:val="009526EF"/>
    <w:rsid w:val="00952883"/>
    <w:rsid w:val="00962F86"/>
    <w:rsid w:val="00971098"/>
    <w:rsid w:val="00972F85"/>
    <w:rsid w:val="00975D21"/>
    <w:rsid w:val="00977810"/>
    <w:rsid w:val="00980531"/>
    <w:rsid w:val="00983428"/>
    <w:rsid w:val="00984EDC"/>
    <w:rsid w:val="00985C7A"/>
    <w:rsid w:val="009A240D"/>
    <w:rsid w:val="009A4060"/>
    <w:rsid w:val="009A48E9"/>
    <w:rsid w:val="009A55B3"/>
    <w:rsid w:val="009B031A"/>
    <w:rsid w:val="009B0657"/>
    <w:rsid w:val="009B33DC"/>
    <w:rsid w:val="009B4556"/>
    <w:rsid w:val="009C0A36"/>
    <w:rsid w:val="009C3CDF"/>
    <w:rsid w:val="009D2635"/>
    <w:rsid w:val="009D5F63"/>
    <w:rsid w:val="009E0013"/>
    <w:rsid w:val="009E198C"/>
    <w:rsid w:val="009E2557"/>
    <w:rsid w:val="009E3418"/>
    <w:rsid w:val="009E3FA6"/>
    <w:rsid w:val="009E7DCD"/>
    <w:rsid w:val="009F2E0D"/>
    <w:rsid w:val="00A04592"/>
    <w:rsid w:val="00A05A45"/>
    <w:rsid w:val="00A0637C"/>
    <w:rsid w:val="00A12853"/>
    <w:rsid w:val="00A12C2E"/>
    <w:rsid w:val="00A12EAA"/>
    <w:rsid w:val="00A16A4F"/>
    <w:rsid w:val="00A243D1"/>
    <w:rsid w:val="00A307BA"/>
    <w:rsid w:val="00A30B57"/>
    <w:rsid w:val="00A336C8"/>
    <w:rsid w:val="00A3727A"/>
    <w:rsid w:val="00A4629C"/>
    <w:rsid w:val="00A5034C"/>
    <w:rsid w:val="00A54C63"/>
    <w:rsid w:val="00A604BC"/>
    <w:rsid w:val="00A702DE"/>
    <w:rsid w:val="00A82CCE"/>
    <w:rsid w:val="00A93138"/>
    <w:rsid w:val="00A9349C"/>
    <w:rsid w:val="00AA0E72"/>
    <w:rsid w:val="00AA0E96"/>
    <w:rsid w:val="00AA12FB"/>
    <w:rsid w:val="00AA25B4"/>
    <w:rsid w:val="00AA6E74"/>
    <w:rsid w:val="00AB4773"/>
    <w:rsid w:val="00AC0649"/>
    <w:rsid w:val="00AC66F2"/>
    <w:rsid w:val="00AC677B"/>
    <w:rsid w:val="00AC6E4F"/>
    <w:rsid w:val="00AC7482"/>
    <w:rsid w:val="00AC752C"/>
    <w:rsid w:val="00AD3813"/>
    <w:rsid w:val="00AD3947"/>
    <w:rsid w:val="00AD4ABE"/>
    <w:rsid w:val="00AD4EF5"/>
    <w:rsid w:val="00AD6D18"/>
    <w:rsid w:val="00AD792F"/>
    <w:rsid w:val="00AE068C"/>
    <w:rsid w:val="00AE1134"/>
    <w:rsid w:val="00AE6C03"/>
    <w:rsid w:val="00AE77FB"/>
    <w:rsid w:val="00AF2C19"/>
    <w:rsid w:val="00AF6A7C"/>
    <w:rsid w:val="00B03EB2"/>
    <w:rsid w:val="00B04B07"/>
    <w:rsid w:val="00B12E46"/>
    <w:rsid w:val="00B13C6B"/>
    <w:rsid w:val="00B16D14"/>
    <w:rsid w:val="00B17576"/>
    <w:rsid w:val="00B213D6"/>
    <w:rsid w:val="00B26A64"/>
    <w:rsid w:val="00B30982"/>
    <w:rsid w:val="00B31FD8"/>
    <w:rsid w:val="00B36557"/>
    <w:rsid w:val="00B41047"/>
    <w:rsid w:val="00B46E48"/>
    <w:rsid w:val="00B502D3"/>
    <w:rsid w:val="00B5127D"/>
    <w:rsid w:val="00B54CF4"/>
    <w:rsid w:val="00B6581E"/>
    <w:rsid w:val="00B739D0"/>
    <w:rsid w:val="00B76BAA"/>
    <w:rsid w:val="00B76D12"/>
    <w:rsid w:val="00B772A5"/>
    <w:rsid w:val="00B82676"/>
    <w:rsid w:val="00B831E5"/>
    <w:rsid w:val="00B84193"/>
    <w:rsid w:val="00B85625"/>
    <w:rsid w:val="00B91015"/>
    <w:rsid w:val="00BA00D5"/>
    <w:rsid w:val="00BA132E"/>
    <w:rsid w:val="00BA2A6C"/>
    <w:rsid w:val="00BB0D9D"/>
    <w:rsid w:val="00BB1B83"/>
    <w:rsid w:val="00BC1F94"/>
    <w:rsid w:val="00BD1702"/>
    <w:rsid w:val="00BE616F"/>
    <w:rsid w:val="00BF33A2"/>
    <w:rsid w:val="00BF3D37"/>
    <w:rsid w:val="00BF6AB5"/>
    <w:rsid w:val="00BF6F28"/>
    <w:rsid w:val="00C1126A"/>
    <w:rsid w:val="00C112C6"/>
    <w:rsid w:val="00C16DB3"/>
    <w:rsid w:val="00C20DC6"/>
    <w:rsid w:val="00C213D4"/>
    <w:rsid w:val="00C24448"/>
    <w:rsid w:val="00C24CAB"/>
    <w:rsid w:val="00C25623"/>
    <w:rsid w:val="00C265FF"/>
    <w:rsid w:val="00C3289F"/>
    <w:rsid w:val="00C35290"/>
    <w:rsid w:val="00C42AB4"/>
    <w:rsid w:val="00C44D58"/>
    <w:rsid w:val="00C459B1"/>
    <w:rsid w:val="00C5000D"/>
    <w:rsid w:val="00C505DA"/>
    <w:rsid w:val="00C50749"/>
    <w:rsid w:val="00C5273F"/>
    <w:rsid w:val="00C569B9"/>
    <w:rsid w:val="00C60F37"/>
    <w:rsid w:val="00C6296D"/>
    <w:rsid w:val="00C632C2"/>
    <w:rsid w:val="00C662BC"/>
    <w:rsid w:val="00C71038"/>
    <w:rsid w:val="00C77F0F"/>
    <w:rsid w:val="00C813C9"/>
    <w:rsid w:val="00C8297E"/>
    <w:rsid w:val="00C83FE2"/>
    <w:rsid w:val="00C8509F"/>
    <w:rsid w:val="00CA2F0B"/>
    <w:rsid w:val="00CA4FA5"/>
    <w:rsid w:val="00CB1997"/>
    <w:rsid w:val="00CB3624"/>
    <w:rsid w:val="00CB75C4"/>
    <w:rsid w:val="00CB7941"/>
    <w:rsid w:val="00CB7E4D"/>
    <w:rsid w:val="00CC22C1"/>
    <w:rsid w:val="00CC2654"/>
    <w:rsid w:val="00CC2F4C"/>
    <w:rsid w:val="00CD00C1"/>
    <w:rsid w:val="00CD062F"/>
    <w:rsid w:val="00CD1B2B"/>
    <w:rsid w:val="00CD3B5D"/>
    <w:rsid w:val="00CD6AC0"/>
    <w:rsid w:val="00CD6FE4"/>
    <w:rsid w:val="00CE570F"/>
    <w:rsid w:val="00CE5C43"/>
    <w:rsid w:val="00CF4E92"/>
    <w:rsid w:val="00CF695A"/>
    <w:rsid w:val="00CF7EFB"/>
    <w:rsid w:val="00CF7F8B"/>
    <w:rsid w:val="00D042F9"/>
    <w:rsid w:val="00D05EDD"/>
    <w:rsid w:val="00D12599"/>
    <w:rsid w:val="00D14F3F"/>
    <w:rsid w:val="00D15EA5"/>
    <w:rsid w:val="00D1735A"/>
    <w:rsid w:val="00D23ECB"/>
    <w:rsid w:val="00D25087"/>
    <w:rsid w:val="00D35448"/>
    <w:rsid w:val="00D35C65"/>
    <w:rsid w:val="00D360D1"/>
    <w:rsid w:val="00D37D1F"/>
    <w:rsid w:val="00D47654"/>
    <w:rsid w:val="00D47D31"/>
    <w:rsid w:val="00D55F15"/>
    <w:rsid w:val="00D7258A"/>
    <w:rsid w:val="00D72E25"/>
    <w:rsid w:val="00D750FF"/>
    <w:rsid w:val="00D7783A"/>
    <w:rsid w:val="00D827CE"/>
    <w:rsid w:val="00D82899"/>
    <w:rsid w:val="00D952ED"/>
    <w:rsid w:val="00DA14E9"/>
    <w:rsid w:val="00DA1C01"/>
    <w:rsid w:val="00DA24D4"/>
    <w:rsid w:val="00DA2DD0"/>
    <w:rsid w:val="00DA39E5"/>
    <w:rsid w:val="00DB1534"/>
    <w:rsid w:val="00DB5061"/>
    <w:rsid w:val="00DB6DDE"/>
    <w:rsid w:val="00DB7C39"/>
    <w:rsid w:val="00DC1DEA"/>
    <w:rsid w:val="00DC6C06"/>
    <w:rsid w:val="00DD1593"/>
    <w:rsid w:val="00DD2FF1"/>
    <w:rsid w:val="00DE742A"/>
    <w:rsid w:val="00DE7C72"/>
    <w:rsid w:val="00DF4640"/>
    <w:rsid w:val="00DF72DA"/>
    <w:rsid w:val="00DF79ED"/>
    <w:rsid w:val="00E03539"/>
    <w:rsid w:val="00E0741D"/>
    <w:rsid w:val="00E10A80"/>
    <w:rsid w:val="00E11A56"/>
    <w:rsid w:val="00E137A1"/>
    <w:rsid w:val="00E14618"/>
    <w:rsid w:val="00E15EA5"/>
    <w:rsid w:val="00E17822"/>
    <w:rsid w:val="00E2100F"/>
    <w:rsid w:val="00E23ECA"/>
    <w:rsid w:val="00E25F41"/>
    <w:rsid w:val="00E270BE"/>
    <w:rsid w:val="00E30268"/>
    <w:rsid w:val="00E304FE"/>
    <w:rsid w:val="00E431AA"/>
    <w:rsid w:val="00E438EE"/>
    <w:rsid w:val="00E5115D"/>
    <w:rsid w:val="00E53470"/>
    <w:rsid w:val="00E55670"/>
    <w:rsid w:val="00E56127"/>
    <w:rsid w:val="00E56838"/>
    <w:rsid w:val="00E56D3C"/>
    <w:rsid w:val="00E616CC"/>
    <w:rsid w:val="00E64484"/>
    <w:rsid w:val="00E66572"/>
    <w:rsid w:val="00E677FA"/>
    <w:rsid w:val="00E67C75"/>
    <w:rsid w:val="00E7053A"/>
    <w:rsid w:val="00E76E71"/>
    <w:rsid w:val="00E84203"/>
    <w:rsid w:val="00E85415"/>
    <w:rsid w:val="00E8712C"/>
    <w:rsid w:val="00E96691"/>
    <w:rsid w:val="00EA19A8"/>
    <w:rsid w:val="00EA2D0B"/>
    <w:rsid w:val="00EA3520"/>
    <w:rsid w:val="00EA677F"/>
    <w:rsid w:val="00EB132E"/>
    <w:rsid w:val="00EC046C"/>
    <w:rsid w:val="00EC08EF"/>
    <w:rsid w:val="00EC2779"/>
    <w:rsid w:val="00EC4AE2"/>
    <w:rsid w:val="00EC658D"/>
    <w:rsid w:val="00EC6A73"/>
    <w:rsid w:val="00ED2197"/>
    <w:rsid w:val="00ED407D"/>
    <w:rsid w:val="00ED4BE8"/>
    <w:rsid w:val="00ED7921"/>
    <w:rsid w:val="00EF2B39"/>
    <w:rsid w:val="00F00CA1"/>
    <w:rsid w:val="00F00F35"/>
    <w:rsid w:val="00F01935"/>
    <w:rsid w:val="00F06728"/>
    <w:rsid w:val="00F06B5D"/>
    <w:rsid w:val="00F07048"/>
    <w:rsid w:val="00F108BB"/>
    <w:rsid w:val="00F118B1"/>
    <w:rsid w:val="00F14610"/>
    <w:rsid w:val="00F276DC"/>
    <w:rsid w:val="00F40D10"/>
    <w:rsid w:val="00F4317C"/>
    <w:rsid w:val="00F5078E"/>
    <w:rsid w:val="00F52AA8"/>
    <w:rsid w:val="00F5340E"/>
    <w:rsid w:val="00F5749D"/>
    <w:rsid w:val="00F62058"/>
    <w:rsid w:val="00F66C8B"/>
    <w:rsid w:val="00F703A1"/>
    <w:rsid w:val="00F708FB"/>
    <w:rsid w:val="00F70B39"/>
    <w:rsid w:val="00F70BA5"/>
    <w:rsid w:val="00F71586"/>
    <w:rsid w:val="00F72274"/>
    <w:rsid w:val="00F74E89"/>
    <w:rsid w:val="00F847E7"/>
    <w:rsid w:val="00F84CD5"/>
    <w:rsid w:val="00F85ABA"/>
    <w:rsid w:val="00F8770A"/>
    <w:rsid w:val="00F924A3"/>
    <w:rsid w:val="00F93388"/>
    <w:rsid w:val="00F95EB3"/>
    <w:rsid w:val="00F970AB"/>
    <w:rsid w:val="00FA1702"/>
    <w:rsid w:val="00FA2EF2"/>
    <w:rsid w:val="00FA3840"/>
    <w:rsid w:val="00FA4CED"/>
    <w:rsid w:val="00FA5F90"/>
    <w:rsid w:val="00FB0737"/>
    <w:rsid w:val="00FB0CD0"/>
    <w:rsid w:val="00FB1F95"/>
    <w:rsid w:val="00FB30EA"/>
    <w:rsid w:val="00FB6E6D"/>
    <w:rsid w:val="00FC5732"/>
    <w:rsid w:val="00FD0BD5"/>
    <w:rsid w:val="00FD362B"/>
    <w:rsid w:val="00FD6BF0"/>
    <w:rsid w:val="00FD734C"/>
    <w:rsid w:val="00FE2CF4"/>
    <w:rsid w:val="00FE37DD"/>
    <w:rsid w:val="00FE416A"/>
    <w:rsid w:val="00FE4720"/>
    <w:rsid w:val="00FE4BCB"/>
    <w:rsid w:val="00FE6164"/>
    <w:rsid w:val="00FE61C4"/>
    <w:rsid w:val="00FE63B0"/>
    <w:rsid w:val="00FF1E83"/>
    <w:rsid w:val="00FF38D0"/>
    <w:rsid w:val="00FF48AC"/>
    <w:rsid w:val="00FF5D5A"/>
    <w:rsid w:val="00FF7396"/>
    <w:rsid w:val="57AD55F9"/>
    <w:rsid w:val="75FAC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71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52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CC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9CC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4A3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24A3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4472C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359CC"/>
    <w:rPr>
      <w:rFonts w:asciiTheme="majorHAnsi" w:eastAsiaTheme="majorEastAsia" w:hAnsiTheme="majorHAnsi" w:cstheme="majorBidi"/>
      <w:b/>
      <w:color w:val="0165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9CC"/>
    <w:rPr>
      <w:rFonts w:asciiTheme="majorHAnsi" w:eastAsiaTheme="majorEastAsia" w:hAnsiTheme="majorHAnsi" w:cstheme="majorBidi"/>
      <w:b/>
      <w:color w:val="01657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24A3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924A3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F924A3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DB5061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B12E46"/>
  </w:style>
  <w:style w:type="character" w:styleId="CommentReference">
    <w:name w:val="annotation reference"/>
    <w:basedOn w:val="DefaultParagraphFont"/>
    <w:uiPriority w:val="99"/>
    <w:semiHidden/>
    <w:unhideWhenUsed/>
    <w:rsid w:val="00F14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61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610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16DB3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15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D47D0"/>
    <w:pPr>
      <w:spacing w:before="240" w:after="0" w:line="259" w:lineRule="auto"/>
      <w:outlineLvl w:val="9"/>
    </w:pPr>
    <w:rPr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D47D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47D0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120A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mailto:equalities@sepa.org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so.org.uk/the-model-complaints-handling-procedure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footer" Target="footer3.xml"/><Relationship Id="rId10" Type="http://schemas.openxmlformats.org/officeDocument/2006/relationships/hyperlink" Target="https://beta.sepa.scot/about-sepa/how-we-work/complaints-handling-procedure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cottishepa.sharepoint.com/sites/GOV-Complaints/Complaints%20Reporting/Trackers/2024-2025/2024-25%20Complaints%20KPI%20Track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scottishepa.sharepoint.com/sites/GOV-Complaints/Complaints%20Reporting/Trackers/2024-2025/2024-25%20Complaints%20KPI%20Track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scottishepa.sharepoint.com/sites/GOV-Complaints/Complaints%20Reporting/Trackers/2024-2025/2024-25%20Complaints%20KPI%20Track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scottishepa.sharepoint.com/sites/GOV-Complaints/Complaints%20Reporting/Trackers/2024-2025/2024-25%20Complaints%20KPI%20Track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scottishepa.sharepoint.com/sites/GOV-Complaints/Complaints%20Reporting/Trackers/2024-2025/2024-25%20Complaints%20KPI%20Tracke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Total number of Stage 1 and Stage 2 complaints 2023 to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3792873999474193E-2"/>
          <c:y val="0.19928272976266018"/>
          <c:w val="0.81786610849457153"/>
          <c:h val="0.6539714140325584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0C47B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1657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63E-497F-AFF9-C960EF1DDF15}"/>
              </c:ext>
            </c:extLst>
          </c:dPt>
          <c:dPt>
            <c:idx val="1"/>
            <c:invertIfNegative val="0"/>
            <c:bubble3D val="0"/>
            <c:spPr>
              <a:solidFill>
                <a:srgbClr val="40C4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63E-497F-AFF9-C960EF1DDF15}"/>
              </c:ext>
            </c:extLst>
          </c:dPt>
          <c:dPt>
            <c:idx val="2"/>
            <c:invertIfNegative val="0"/>
            <c:bubble3D val="0"/>
            <c:spPr>
              <a:solidFill>
                <a:srgbClr val="01657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63E-497F-AFF9-C960EF1DDF15}"/>
              </c:ext>
            </c:extLst>
          </c:dPt>
          <c:dPt>
            <c:idx val="3"/>
            <c:invertIfNegative val="0"/>
            <c:bubble3D val="0"/>
            <c:spPr>
              <a:solidFill>
                <a:srgbClr val="40C4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63E-497F-AFF9-C960EF1DDF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'Annual report graphs'!$G$11:$J$12</c:f>
              <c:multiLvlStrCache>
                <c:ptCount val="4"/>
                <c:lvl>
                  <c:pt idx="0">
                    <c:v>2023-2024</c:v>
                  </c:pt>
                  <c:pt idx="1">
                    <c:v>2024-2025</c:v>
                  </c:pt>
                  <c:pt idx="2">
                    <c:v>2023-2024</c:v>
                  </c:pt>
                  <c:pt idx="3">
                    <c:v>2024-2025</c:v>
                  </c:pt>
                </c:lvl>
                <c:lvl>
                  <c:pt idx="0">
                    <c:v>Frontline Stage 1</c:v>
                  </c:pt>
                  <c:pt idx="2">
                    <c:v>Investigation Stage 2</c:v>
                  </c:pt>
                </c:lvl>
              </c:multiLvlStrCache>
            </c:multiLvlStrRef>
          </c:cat>
          <c:val>
            <c:numRef>
              <c:f>'Annual report graphs'!$G$13:$J$13</c:f>
              <c:numCache>
                <c:formatCode>General</c:formatCode>
                <c:ptCount val="4"/>
                <c:pt idx="0">
                  <c:v>24</c:v>
                </c:pt>
                <c:pt idx="1">
                  <c:v>25</c:v>
                </c:pt>
                <c:pt idx="2">
                  <c:v>9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3E-497F-AFF9-C960EF1DDF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26060976"/>
        <c:axId val="1426044656"/>
      </c:barChart>
      <c:catAx>
        <c:axId val="142606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6044656"/>
        <c:crosses val="autoZero"/>
        <c:auto val="1"/>
        <c:lblAlgn val="ctr"/>
        <c:lblOffset val="100"/>
        <c:noMultiLvlLbl val="0"/>
      </c:catAx>
      <c:valAx>
        <c:axId val="142604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6060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n-lt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Stage 1 complaints closed within/outwith timescales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'Annual report graphs'!$A$5</c:f>
              <c:strCache>
                <c:ptCount val="1"/>
                <c:pt idx="0">
                  <c:v>% closed within 5-day timescale</c:v>
                </c:pt>
              </c:strCache>
            </c:strRef>
          </c:tx>
          <c:spPr>
            <a:solidFill>
              <a:srgbClr val="01657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BBF-4C0D-A7DE-EFAA2C10CD9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BBF-4C0D-A7DE-EFAA2C10CD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'Annual report graphs'!$B$2:$C$2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'Annual report graphs'!$B$5:$C$5</c:f>
              <c:numCache>
                <c:formatCode>0%</c:formatCode>
                <c:ptCount val="2"/>
                <c:pt idx="0">
                  <c:v>0.92</c:v>
                </c:pt>
                <c:pt idx="1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BF-4C0D-A7DE-EFAA2C10CD9C}"/>
            </c:ext>
          </c:extLst>
        </c:ser>
        <c:ser>
          <c:idx val="1"/>
          <c:order val="1"/>
          <c:tx>
            <c:strRef>
              <c:f>'Annual report graphs'!$A$6</c:f>
              <c:strCache>
                <c:ptCount val="1"/>
                <c:pt idx="0">
                  <c:v>% closed outwith 5-day timescale</c:v>
                </c:pt>
              </c:strCache>
            </c:strRef>
          </c:tx>
          <c:spPr>
            <a:solidFill>
              <a:srgbClr val="40C47B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BBF-4C0D-A7DE-EFAA2C10CD9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BBF-4C0D-A7DE-EFAA2C10CD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'Annual report graphs'!$B$2:$C$2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'Annual report graphs'!$B$6:$C$6</c:f>
              <c:numCache>
                <c:formatCode>0%</c:formatCode>
                <c:ptCount val="2"/>
                <c:pt idx="0">
                  <c:v>0.08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BF-4C0D-A7DE-EFAA2C10C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3941888"/>
        <c:axId val="173942368"/>
      </c:barChart>
      <c:catAx>
        <c:axId val="17394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942368"/>
        <c:crosses val="autoZero"/>
        <c:auto val="1"/>
        <c:lblAlgn val="ctr"/>
        <c:lblOffset val="100"/>
        <c:noMultiLvlLbl val="0"/>
      </c:catAx>
      <c:valAx>
        <c:axId val="17394236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94188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n-lt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Stage 2 complaints closed within/outwith timescales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% Closed within 20-day deadline</c:v>
          </c:tx>
          <c:spPr>
            <a:solidFill>
              <a:srgbClr val="01657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0E3-4702-9464-D301C2B73A6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0E3-4702-9464-D301C2B73A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'Annual report graphs'!$B$2:$C$2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'Annual report graphs'!$B$10:$C$10</c:f>
              <c:numCache>
                <c:formatCode>0%</c:formatCode>
                <c:ptCount val="2"/>
                <c:pt idx="0">
                  <c:v>1</c:v>
                </c:pt>
                <c:pt idx="1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12-4891-9176-7D845E4BD908}"/>
            </c:ext>
          </c:extLst>
        </c:ser>
        <c:ser>
          <c:idx val="1"/>
          <c:order val="1"/>
          <c:tx>
            <c:v>% Closed outwith 20-day deadline</c:v>
          </c:tx>
          <c:spPr>
            <a:solidFill>
              <a:srgbClr val="40C47B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12-4891-9176-7D845E4BD90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0E3-4702-9464-D301C2B73A60}"/>
                </c:ext>
              </c:extLst>
            </c:dLbl>
            <c:spPr>
              <a:solidFill>
                <a:srgbClr val="40C47B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'Annual report graphs'!$B$2:$C$2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'Annual report graphs'!$B$11:$C$11</c:f>
              <c:numCache>
                <c:formatCode>0%</c:formatCode>
                <c:ptCount val="2"/>
                <c:pt idx="0">
                  <c:v>0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12-4891-9176-7D845E4BD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10193520"/>
        <c:axId val="910189200"/>
      </c:barChart>
      <c:catAx>
        <c:axId val="91019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0189200"/>
        <c:crosses val="autoZero"/>
        <c:auto val="1"/>
        <c:lblAlgn val="ctr"/>
        <c:lblOffset val="100"/>
        <c:noMultiLvlLbl val="0"/>
      </c:catAx>
      <c:valAx>
        <c:axId val="910189200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019352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n-lt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Average time to respond to complaints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'Annual report graphs'!$F$17</c:f>
              <c:strCache>
                <c:ptCount val="1"/>
                <c:pt idx="0">
                  <c:v>Average days to complete</c:v>
                </c:pt>
              </c:strCache>
            </c:strRef>
          </c:tx>
          <c:spPr>
            <a:solidFill>
              <a:srgbClr val="01657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1657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DE-4100-83C1-1D0ACE54CC84}"/>
              </c:ext>
            </c:extLst>
          </c:dPt>
          <c:dPt>
            <c:idx val="1"/>
            <c:invertIfNegative val="0"/>
            <c:bubble3D val="0"/>
            <c:spPr>
              <a:solidFill>
                <a:srgbClr val="40C4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4DE-4100-83C1-1D0ACE54CC84}"/>
              </c:ext>
            </c:extLst>
          </c:dPt>
          <c:dPt>
            <c:idx val="2"/>
            <c:invertIfNegative val="0"/>
            <c:bubble3D val="0"/>
            <c:spPr>
              <a:solidFill>
                <a:srgbClr val="01657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4DE-4100-83C1-1D0ACE54CC84}"/>
              </c:ext>
            </c:extLst>
          </c:dPt>
          <c:dPt>
            <c:idx val="3"/>
            <c:invertIfNegative val="0"/>
            <c:bubble3D val="0"/>
            <c:spPr>
              <a:solidFill>
                <a:srgbClr val="40C47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4DE-4100-83C1-1D0ACE54CC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'Annual report graphs'!$G$15:$J$16</c:f>
              <c:multiLvlStrCache>
                <c:ptCount val="4"/>
                <c:lvl>
                  <c:pt idx="0">
                    <c:v>Stage 1</c:v>
                  </c:pt>
                  <c:pt idx="1">
                    <c:v>Stage 2</c:v>
                  </c:pt>
                  <c:pt idx="2">
                    <c:v>Stage 1</c:v>
                  </c:pt>
                  <c:pt idx="3">
                    <c:v>Stage 2</c:v>
                  </c:pt>
                </c:lvl>
                <c:lvl>
                  <c:pt idx="0">
                    <c:v>2023-2024</c:v>
                  </c:pt>
                  <c:pt idx="2">
                    <c:v>2024-2025</c:v>
                  </c:pt>
                </c:lvl>
              </c:multiLvlStrCache>
            </c:multiLvlStrRef>
          </c:cat>
          <c:val>
            <c:numRef>
              <c:f>'Annual report graphs'!$G$17:$J$17</c:f>
              <c:numCache>
                <c:formatCode>General</c:formatCode>
                <c:ptCount val="4"/>
                <c:pt idx="0">
                  <c:v>3.9</c:v>
                </c:pt>
                <c:pt idx="1">
                  <c:v>19.5</c:v>
                </c:pt>
                <c:pt idx="2">
                  <c:v>3.9</c:v>
                </c:pt>
                <c:pt idx="3">
                  <c:v>19.100000000000001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DE-4100-83C1-1D0ACE54CC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813231"/>
        <c:axId val="1169813711"/>
      </c:barChart>
      <c:catAx>
        <c:axId val="116981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9813711"/>
        <c:crosses val="autoZero"/>
        <c:auto val="1"/>
        <c:lblAlgn val="ctr"/>
        <c:lblOffset val="100"/>
        <c:noMultiLvlLbl val="0"/>
      </c:catAx>
      <c:valAx>
        <c:axId val="1169813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9813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n-lt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200"/>
              <a:t>Outcomes of complaints at each stage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'Annual report graphs'!$I$1:$I$2</c:f>
              <c:strCache>
                <c:ptCount val="2"/>
                <c:pt idx="0">
                  <c:v>2024-2025</c:v>
                </c:pt>
                <c:pt idx="1">
                  <c:v>Stage 1</c:v>
                </c:pt>
              </c:strCache>
            </c:strRef>
          </c:tx>
          <c:spPr>
            <a:solidFill>
              <a:srgbClr val="01657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'Annual report graphs'!$F$3:$F$6</c:f>
              <c:strCache>
                <c:ptCount val="4"/>
                <c:pt idx="0">
                  <c:v>Upheld</c:v>
                </c:pt>
                <c:pt idx="1">
                  <c:v>Not upheld</c:v>
                </c:pt>
                <c:pt idx="2">
                  <c:v>Partially upheld</c:v>
                </c:pt>
                <c:pt idx="3">
                  <c:v>Resolved</c:v>
                </c:pt>
              </c:strCache>
              <c:extLst/>
            </c:strRef>
          </c:cat>
          <c:val>
            <c:numRef>
              <c:f>'Annual report graphs'!$I$3:$I$6</c:f>
              <c:numCache>
                <c:formatCode>General</c:formatCode>
                <c:ptCount val="4"/>
                <c:pt idx="0">
                  <c:v>3</c:v>
                </c:pt>
                <c:pt idx="1">
                  <c:v>15</c:v>
                </c:pt>
                <c:pt idx="2">
                  <c:v>3</c:v>
                </c:pt>
                <c:pt idx="3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DFD-4284-ADE2-EA6557885698}"/>
            </c:ext>
          </c:extLst>
        </c:ser>
        <c:ser>
          <c:idx val="1"/>
          <c:order val="1"/>
          <c:tx>
            <c:strRef>
              <c:f>'Annual report graphs'!$J$1:$J$2</c:f>
              <c:strCache>
                <c:ptCount val="2"/>
                <c:pt idx="0">
                  <c:v>2024-2025</c:v>
                </c:pt>
                <c:pt idx="1">
                  <c:v>Stage 2</c:v>
                </c:pt>
              </c:strCache>
            </c:strRef>
          </c:tx>
          <c:spPr>
            <a:solidFill>
              <a:srgbClr val="40C47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'Annual report graphs'!$F$3:$F$6</c:f>
              <c:strCache>
                <c:ptCount val="4"/>
                <c:pt idx="0">
                  <c:v>Upheld</c:v>
                </c:pt>
                <c:pt idx="1">
                  <c:v>Not upheld</c:v>
                </c:pt>
                <c:pt idx="2">
                  <c:v>Partially upheld</c:v>
                </c:pt>
                <c:pt idx="3">
                  <c:v>Resolved</c:v>
                </c:pt>
              </c:strCache>
              <c:extLst/>
            </c:strRef>
          </c:cat>
          <c:val>
            <c:numRef>
              <c:f>'Annual report graphs'!$J$3:$J$6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5</c:v>
                </c:pt>
                <c:pt idx="3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DFD-4284-ADE2-EA6557885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575392"/>
        <c:axId val="1433568672"/>
      </c:barChart>
      <c:catAx>
        <c:axId val="143357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3568672"/>
        <c:crosses val="autoZero"/>
        <c:auto val="1"/>
        <c:lblAlgn val="ctr"/>
        <c:lblOffset val="100"/>
        <c:noMultiLvlLbl val="0"/>
      </c:catAx>
      <c:valAx>
        <c:axId val="143356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357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+mn-lt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1531</Words>
  <Characters>8732</Characters>
  <Application>Microsoft Office Word</Application>
  <DocSecurity>2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2026-06-08T09:56:00Z</dcterms:created>
  <dcterms:modified xsi:type="dcterms:W3CDTF">2026-06-10T10:41:00Z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3c9da754,7bac200a,5feea9bf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4b8e6796,c47b198,730c4c0d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2026-06-03T15:00:41Z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e90f6a62-ea87-46a2-b122-df086c50a18b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</Properties>
</file>