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1923907"/>
        <w:docPartObj>
          <w:docPartGallery w:val="Cover Pages"/>
          <w:docPartUnique/>
        </w:docPartObj>
      </w:sdtPr>
      <w:sdtEndPr/>
      <w:sdtContent>
        <w:p w14:paraId="2AF65E12" w14:textId="77777777" w:rsidR="004073BC" w:rsidRDefault="00F72274" w:rsidP="00F72274">
          <w:r>
            <w:rPr>
              <w:noProof/>
            </w:rPr>
            <w:drawing>
              <wp:anchor distT="0" distB="0" distL="114300" distR="114300" simplePos="0" relativeHeight="251666432" behindDoc="1" locked="0" layoutInCell="1" allowOverlap="1" wp14:anchorId="7D5AB219" wp14:editId="082CABCD">
                <wp:simplePos x="0" y="0"/>
                <wp:positionH relativeFrom="column">
                  <wp:posOffset>-532765</wp:posOffset>
                </wp:positionH>
                <wp:positionV relativeFrom="paragraph">
                  <wp:posOffset>-723900</wp:posOffset>
                </wp:positionV>
                <wp:extent cx="7559645" cy="10881995"/>
                <wp:effectExtent l="0" t="0" r="381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45" cy="10881995"/>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1CD91F40" wp14:editId="5090A148">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4883AF3B" w14:textId="77777777" w:rsidR="004073BC" w:rsidRDefault="004073BC" w:rsidP="008C1A73"/>
        <w:p w14:paraId="7EE64A57" w14:textId="77777777" w:rsidR="004073BC" w:rsidRDefault="004073BC" w:rsidP="008C1A73"/>
        <w:p w14:paraId="0BE80D70" w14:textId="070DC178" w:rsidR="00801105" w:rsidRDefault="00281BB1" w:rsidP="00801105">
          <w:pPr>
            <w:rPr>
              <w:b/>
              <w:bCs/>
              <w:color w:val="FFFFFF" w:themeColor="background1"/>
              <w:sz w:val="84"/>
              <w:szCs w:val="84"/>
            </w:rPr>
          </w:pPr>
          <w:r>
            <w:rPr>
              <w:noProof/>
            </w:rPr>
            <mc:AlternateContent>
              <mc:Choice Requires="wps">
                <w:drawing>
                  <wp:anchor distT="0" distB="0" distL="114300" distR="114300" simplePos="0" relativeHeight="251665408" behindDoc="0" locked="1" layoutInCell="1" allowOverlap="1" wp14:anchorId="5788287D" wp14:editId="76483FA8">
                    <wp:simplePos x="0" y="0"/>
                    <wp:positionH relativeFrom="column">
                      <wp:posOffset>38735</wp:posOffset>
                    </wp:positionH>
                    <wp:positionV relativeFrom="paragraph">
                      <wp:posOffset>7514590</wp:posOffset>
                    </wp:positionV>
                    <wp:extent cx="4308475" cy="523875"/>
                    <wp:effectExtent l="0" t="0" r="0" b="9525"/>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523875"/>
                            </a:xfrm>
                            <a:prstGeom prst="rect">
                              <a:avLst/>
                            </a:prstGeom>
                            <a:noFill/>
                            <a:ln w="6350">
                              <a:noFill/>
                            </a:ln>
                          </wps:spPr>
                          <wps:txbx>
                            <w:txbxContent>
                              <w:p w14:paraId="48D452FD" w14:textId="5112EE21" w:rsidR="00281BB1" w:rsidRDefault="00A77DCF" w:rsidP="00507E2D">
                                <w:pPr>
                                  <w:rPr>
                                    <w:color w:val="FFFFFF" w:themeColor="background1"/>
                                  </w:rPr>
                                </w:pPr>
                                <w:r>
                                  <w:rPr>
                                    <w:color w:val="FFFFFF" w:themeColor="background1"/>
                                  </w:rPr>
                                  <w:t xml:space="preserve">Version </w:t>
                                </w:r>
                                <w:r w:rsidR="00370BFC">
                                  <w:rPr>
                                    <w:color w:val="FFFFFF" w:themeColor="background1"/>
                                  </w:rPr>
                                  <w:t>2</w:t>
                                </w:r>
                                <w:r>
                                  <w:rPr>
                                    <w:color w:val="FFFFFF" w:themeColor="background1"/>
                                  </w:rPr>
                                  <w:t xml:space="preserve">.0: </w:t>
                                </w:r>
                                <w:r w:rsidR="00370BFC">
                                  <w:rPr>
                                    <w:color w:val="FFFFFF" w:themeColor="background1"/>
                                  </w:rPr>
                                  <w:t>August</w:t>
                                </w:r>
                                <w:r>
                                  <w:rPr>
                                    <w:color w:val="FFFFFF" w:themeColor="background1"/>
                                  </w:rPr>
                                  <w:t xml:space="preserve"> 2025</w:t>
                                </w:r>
                              </w:p>
                              <w:p w14:paraId="57CD8BC1" w14:textId="48C855EF" w:rsidR="00D9625A" w:rsidRPr="00507E2D" w:rsidRDefault="00D9625A" w:rsidP="00507E2D">
                                <w:pPr>
                                  <w:rPr>
                                    <w:color w:val="FFFFFF" w:themeColor="background1"/>
                                  </w:rPr>
                                </w:pPr>
                                <w:r>
                                  <w:rPr>
                                    <w:color w:val="FFFFFF" w:themeColor="background1"/>
                                  </w:rPr>
                                  <w:t>IND-LF-G-005</w:t>
                                </w:r>
                                <w:r>
                                  <w:rPr>
                                    <w:color w:val="FFFFFF" w:themeColor="background1"/>
                                  </w:rPr>
                                  <w:tab/>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88287D" id="_x0000_t202" coordsize="21600,21600" o:spt="202" path="m,l,21600r21600,l21600,xe">
                    <v:stroke joinstyle="miter"/>
                    <v:path gradientshapeok="t" o:connecttype="rect"/>
                  </v:shapetype>
                  <v:shape id="Text Box 3" o:spid="_x0000_s1026" type="#_x0000_t202" alt="&quot;&quot;" style="position:absolute;margin-left:3.05pt;margin-top:591.7pt;width:339.25pt;height:4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" filled="f" stroked="f" strokeweight=".5pt">
                    <v:textbox inset="0,0,0,0">
                      <w:txbxContent>
                        <w:p w14:paraId="48D452FD" w14:textId="5112EE21" w:rsidR="00281BB1" w:rsidRDefault="00A77DCF" w:rsidP="00507E2D">
                          <w:pPr>
                            <w:rPr>
                              <w:color w:val="FFFFFF" w:themeColor="background1"/>
                            </w:rPr>
                          </w:pPr>
                          <w:r>
                            <w:rPr>
                              <w:color w:val="FFFFFF" w:themeColor="background1"/>
                            </w:rPr>
                            <w:t xml:space="preserve">Version </w:t>
                          </w:r>
                          <w:r w:rsidR="00370BFC">
                            <w:rPr>
                              <w:color w:val="FFFFFF" w:themeColor="background1"/>
                            </w:rPr>
                            <w:t>2</w:t>
                          </w:r>
                          <w:r>
                            <w:rPr>
                              <w:color w:val="FFFFFF" w:themeColor="background1"/>
                            </w:rPr>
                            <w:t xml:space="preserve">.0: </w:t>
                          </w:r>
                          <w:r w:rsidR="00370BFC">
                            <w:rPr>
                              <w:color w:val="FFFFFF" w:themeColor="background1"/>
                            </w:rPr>
                            <w:t>August</w:t>
                          </w:r>
                          <w:r>
                            <w:rPr>
                              <w:color w:val="FFFFFF" w:themeColor="background1"/>
                            </w:rPr>
                            <w:t xml:space="preserve"> 2025</w:t>
                          </w:r>
                        </w:p>
                        <w:p w14:paraId="57CD8BC1" w14:textId="48C855EF" w:rsidR="00D9625A" w:rsidRPr="00507E2D" w:rsidRDefault="00D9625A" w:rsidP="00507E2D">
                          <w:pPr>
                            <w:rPr>
                              <w:color w:val="FFFFFF" w:themeColor="background1"/>
                            </w:rPr>
                          </w:pPr>
                          <w:r>
                            <w:rPr>
                              <w:color w:val="FFFFFF" w:themeColor="background1"/>
                            </w:rPr>
                            <w:t>IND-LF-G-005</w:t>
                          </w:r>
                          <w:r>
                            <w:rPr>
                              <w:color w:val="FFFFFF" w:themeColor="background1"/>
                            </w:rPr>
                            <w:tab/>
                          </w:r>
                        </w:p>
                      </w:txbxContent>
                    </v:textbox>
                    <w10:anchorlock/>
                  </v:shape>
                </w:pict>
              </mc:Fallback>
            </mc:AlternateContent>
          </w:r>
          <w:r w:rsidR="00B728DE">
            <w:rPr>
              <w:b/>
              <w:bCs/>
              <w:color w:val="FFFFFF" w:themeColor="background1"/>
              <w:sz w:val="84"/>
              <w:szCs w:val="84"/>
            </w:rPr>
            <w:t>SEPA</w:t>
          </w:r>
          <w:r w:rsidR="00A77DCF">
            <w:rPr>
              <w:b/>
              <w:bCs/>
              <w:color w:val="FFFFFF" w:themeColor="background1"/>
              <w:sz w:val="84"/>
              <w:szCs w:val="84"/>
            </w:rPr>
            <w:t xml:space="preserve"> Guidance</w:t>
          </w:r>
          <w:r w:rsidR="00B728DE">
            <w:rPr>
              <w:b/>
              <w:bCs/>
              <w:color w:val="FFFFFF" w:themeColor="background1"/>
              <w:sz w:val="84"/>
              <w:szCs w:val="84"/>
            </w:rPr>
            <w:t>:</w:t>
          </w:r>
        </w:p>
        <w:p w14:paraId="605836F6" w14:textId="25BCE55F" w:rsidR="008C1A73" w:rsidRPr="00CF7EFB" w:rsidRDefault="00842760" w:rsidP="00CF7EFB">
          <w:pPr>
            <w:rPr>
              <w:b/>
              <w:bCs/>
              <w:color w:val="FFFFFF" w:themeColor="background1"/>
              <w:sz w:val="84"/>
              <w:szCs w:val="84"/>
            </w:rPr>
          </w:pPr>
          <w:r w:rsidRPr="00842760">
            <w:rPr>
              <w:b/>
              <w:bCs/>
              <w:color w:val="FFFFFF" w:themeColor="background1"/>
              <w:sz w:val="72"/>
              <w:szCs w:val="72"/>
            </w:rPr>
            <w:t>The disposal of gypsum wastes in non-hazardous waste landfills</w:t>
          </w:r>
          <w:r w:rsidR="008C1A73">
            <w:br w:type="page"/>
          </w:r>
        </w:p>
      </w:sdtContent>
    </w:sdt>
    <w:p w14:paraId="54D55146" w14:textId="36D954CD" w:rsidR="000E7194" w:rsidRPr="004E0CE1" w:rsidRDefault="000E7194" w:rsidP="004E0CE1">
      <w:pPr>
        <w:rPr>
          <w:rFonts w:ascii="Arial" w:hAnsi="Arial" w:cs="Arial"/>
          <w:sz w:val="20"/>
          <w:szCs w:val="20"/>
        </w:rPr>
      </w:pPr>
      <w:r w:rsidRPr="004E0CE1">
        <w:rPr>
          <w:rFonts w:ascii="Arial" w:hAnsi="Arial" w:cs="Arial"/>
          <w:b/>
          <w:bCs/>
        </w:rPr>
        <w:lastRenderedPageBreak/>
        <w:t>This guidance has been updated to meet accessibility standards and to replace certain references to legislation with references to the Environmental Authorisations (Scotland) Regulations 2018. It has not been reviewed beyond this. We are aware that sections of this guidance may need to be updated, and this work will be completed in due course.</w:t>
      </w:r>
    </w:p>
    <w:p w14:paraId="40E16C34" w14:textId="77777777" w:rsidR="000E7194" w:rsidRPr="000E7194" w:rsidRDefault="000E7194" w:rsidP="000E7194"/>
    <w:p w14:paraId="141664A9" w14:textId="10EC8EB8" w:rsidR="00A77DCF" w:rsidRDefault="00A77DCF" w:rsidP="000E7194">
      <w:pPr>
        <w:pStyle w:val="Heading1"/>
        <w:spacing w:after="120"/>
      </w:pPr>
      <w:r>
        <w:t>Background</w:t>
      </w:r>
    </w:p>
    <w:p w14:paraId="48A42856" w14:textId="43BE13D4" w:rsidR="00996B32" w:rsidRDefault="00996B32" w:rsidP="000E7194">
      <w:pPr>
        <w:spacing w:after="240"/>
      </w:pPr>
      <w:r>
        <w:t>In relation to the disposal of gypsum wastes, COUNCIL DECISION of 19 December 2002 establishing criteria and procedures for the acceptance of waste at landfills pursuant to Article 16 of and Annex II to Directive 1999/31/EC states that, “non</w:t>
      </w:r>
      <w:r w:rsidR="00370BFC">
        <w:t>-</w:t>
      </w:r>
      <w:r>
        <w:t>hazardous gypsum-based materials should be disposed of only in landfills for non</w:t>
      </w:r>
      <w:r w:rsidR="00370BFC">
        <w:t>-</w:t>
      </w:r>
      <w:r>
        <w:t>hazardous waste in cells where no biodegradable waste is accepted”.</w:t>
      </w:r>
    </w:p>
    <w:p w14:paraId="0650AE6E" w14:textId="1F9ADCDC" w:rsidR="00A77DCF" w:rsidRDefault="00996B32" w:rsidP="000E7194">
      <w:pPr>
        <w:spacing w:after="240"/>
      </w:pPr>
      <w:r>
        <w:t>This is because the disposal of gypsum wastes with biodegradable wastes can lead to the evolution of hydrogen sulphide, which can be harmful to health.</w:t>
      </w:r>
    </w:p>
    <w:p w14:paraId="0D093F5B" w14:textId="77777777" w:rsidR="00996B32" w:rsidRDefault="00996B32" w:rsidP="00996B32"/>
    <w:p w14:paraId="51278BED" w14:textId="347D243E" w:rsidR="00996B32" w:rsidRDefault="00996B32" w:rsidP="000E7194">
      <w:pPr>
        <w:pStyle w:val="Heading1"/>
        <w:spacing w:after="120"/>
      </w:pPr>
      <w:r>
        <w:t>Disposal of Gypsum Waste</w:t>
      </w:r>
    </w:p>
    <w:p w14:paraId="66722ACD" w14:textId="1FAD5ED8" w:rsidR="00327801" w:rsidRDefault="00327801" w:rsidP="000E7194">
      <w:pPr>
        <w:spacing w:after="240"/>
      </w:pPr>
      <w:r>
        <w:t xml:space="preserve">Producers of gypsum waste should separate it for </w:t>
      </w:r>
      <w:r w:rsidRPr="00327801">
        <w:rPr>
          <w:b/>
          <w:bCs/>
        </w:rPr>
        <w:t>recovery and recycling</w:t>
      </w:r>
      <w:r>
        <w:t xml:space="preserve"> wherever possible. Where this is not possible and wastes containing gypsum are sent to landfill, they must be deposited in a separate cell in which no biodegradable waste is accepted.</w:t>
      </w:r>
      <w:r w:rsidR="000E7194">
        <w:t xml:space="preserve"> </w:t>
      </w:r>
      <w:r>
        <w:t xml:space="preserve"> </w:t>
      </w:r>
    </w:p>
    <w:p w14:paraId="048AC135" w14:textId="2AC34EC7" w:rsidR="00327801" w:rsidRDefault="00327801" w:rsidP="000E7194">
      <w:pPr>
        <w:spacing w:after="240"/>
      </w:pPr>
      <w:r>
        <w:t xml:space="preserve">The design of a separate cell for gypsum wastes must be risk assessed and addressed on a </w:t>
      </w:r>
      <w:r w:rsidR="00A140BF">
        <w:t>site-specific</w:t>
      </w:r>
      <w:r>
        <w:t xml:space="preserve"> basis. The following principles apply:</w:t>
      </w:r>
      <w:r w:rsidR="000E7194">
        <w:t xml:space="preserve"> </w:t>
      </w:r>
    </w:p>
    <w:p w14:paraId="018BDED4" w14:textId="4211C62A" w:rsidR="00327801" w:rsidRDefault="000E7194" w:rsidP="000E7194">
      <w:pPr>
        <w:pStyle w:val="ListParagraph"/>
        <w:numPr>
          <w:ilvl w:val="0"/>
          <w:numId w:val="16"/>
        </w:numPr>
        <w:spacing w:after="240"/>
        <w:ind w:left="670"/>
      </w:pPr>
      <w:r>
        <w:t>N</w:t>
      </w:r>
      <w:r w:rsidR="00327801">
        <w:t>o contact with other wastes except suitable inert wastes used as cover material</w:t>
      </w:r>
      <w:r>
        <w:t xml:space="preserve">. </w:t>
      </w:r>
      <w:r w:rsidR="00327801">
        <w:t xml:space="preserve"> </w:t>
      </w:r>
    </w:p>
    <w:p w14:paraId="2CC95C3D" w14:textId="432386D1" w:rsidR="00327801" w:rsidRDefault="000E7194" w:rsidP="000E7194">
      <w:pPr>
        <w:pStyle w:val="ListParagraph"/>
        <w:numPr>
          <w:ilvl w:val="0"/>
          <w:numId w:val="16"/>
        </w:numPr>
        <w:spacing w:after="240"/>
        <w:ind w:left="670"/>
      </w:pPr>
      <w:r>
        <w:t>T</w:t>
      </w:r>
      <w:r w:rsidR="00327801">
        <w:t>he generation of leachate within the gypsum cell should be minimised</w:t>
      </w:r>
      <w:r>
        <w:t>.</w:t>
      </w:r>
      <w:r w:rsidR="00327801">
        <w:t xml:space="preserve"> </w:t>
      </w:r>
    </w:p>
    <w:p w14:paraId="28178979" w14:textId="4CE0C32A" w:rsidR="00327801" w:rsidRDefault="000E7194" w:rsidP="000E7194">
      <w:pPr>
        <w:pStyle w:val="ListParagraph"/>
        <w:numPr>
          <w:ilvl w:val="0"/>
          <w:numId w:val="16"/>
        </w:numPr>
        <w:spacing w:after="240"/>
        <w:ind w:left="670"/>
      </w:pPr>
      <w:r>
        <w:t>C</w:t>
      </w:r>
      <w:r w:rsidR="00327801">
        <w:t>ontact should be minimised between leachate arising from biodegradable wastes and that arising from gypsum wastes</w:t>
      </w:r>
      <w:r>
        <w:t>.</w:t>
      </w:r>
      <w:r w:rsidR="00327801">
        <w:t xml:space="preserve"> and </w:t>
      </w:r>
    </w:p>
    <w:p w14:paraId="6F8F13AB" w14:textId="3386D151" w:rsidR="00996B32" w:rsidRDefault="000E7194" w:rsidP="000E7194">
      <w:pPr>
        <w:pStyle w:val="ListParagraph"/>
        <w:numPr>
          <w:ilvl w:val="0"/>
          <w:numId w:val="16"/>
        </w:numPr>
        <w:spacing w:after="240"/>
        <w:ind w:left="670"/>
      </w:pPr>
      <w:r>
        <w:t>T</w:t>
      </w:r>
      <w:r w:rsidR="00327801">
        <w:t>he gypsum waste cell must not compromise the landfill gas and leachate management of the biodegradable waste cells.</w:t>
      </w:r>
    </w:p>
    <w:p w14:paraId="3BE1B9A5" w14:textId="554838E9" w:rsidR="00327801" w:rsidRDefault="00A4690A" w:rsidP="000E7194">
      <w:pPr>
        <w:pStyle w:val="Heading1"/>
        <w:spacing w:after="120"/>
      </w:pPr>
      <w:r>
        <w:lastRenderedPageBreak/>
        <w:t>Limits on Biodegradability of Wastes Deposited with Gypsum</w:t>
      </w:r>
    </w:p>
    <w:p w14:paraId="58CFA230" w14:textId="4C482C4B" w:rsidR="00633B25" w:rsidRDefault="00633B25" w:rsidP="000E7194">
      <w:pPr>
        <w:spacing w:after="240"/>
      </w:pPr>
      <w:r w:rsidRPr="00633B25">
        <w:t>The following limit values</w:t>
      </w:r>
      <w:r w:rsidR="00A140BF">
        <w:t xml:space="preserve"> in table 1 below</w:t>
      </w:r>
      <w:r w:rsidRPr="00633B25">
        <w:t xml:space="preserve"> apply to wastes landfilled together with Gypsum based materials. The value for Dissolved Organic Carbon applies to a liquid to solid ratio of 10 litres/kilogram using the 2 stage CEN leaching test EN 12457/3.</w:t>
      </w:r>
    </w:p>
    <w:p w14:paraId="3C3BCCD4" w14:textId="1EEF8677" w:rsidR="004E2348" w:rsidRPr="00725AFC" w:rsidRDefault="004E2348" w:rsidP="000E7194">
      <w:pPr>
        <w:pStyle w:val="BodyText1"/>
        <w:rPr>
          <w:rFonts w:eastAsia="Times New Roman"/>
          <w:b/>
          <w:bCs/>
        </w:rPr>
      </w:pPr>
      <w:r w:rsidRPr="00725AFC">
        <w:rPr>
          <w:rFonts w:eastAsia="Times New Roman"/>
          <w:b/>
          <w:bCs/>
        </w:rPr>
        <w:t xml:space="preserve">Table </w:t>
      </w:r>
      <w:r w:rsidR="00633B25">
        <w:rPr>
          <w:rFonts w:eastAsia="Times New Roman"/>
          <w:b/>
          <w:bCs/>
        </w:rPr>
        <w:t>1</w:t>
      </w:r>
    </w:p>
    <w:tbl>
      <w:tblPr>
        <w:tblW w:w="10204" w:type="dxa"/>
        <w:tblLayout w:type="fixed"/>
        <w:tblCellMar>
          <w:left w:w="0" w:type="dxa"/>
          <w:right w:w="0" w:type="dxa"/>
        </w:tblCellMar>
        <w:tblLook w:val="04A0" w:firstRow="1" w:lastRow="0" w:firstColumn="1" w:lastColumn="0" w:noHBand="0" w:noVBand="1"/>
        <w:tblCaption w:val="Table 1"/>
        <w:tblDescription w:val="Table 1 shows the limit value of dissolved organic carbon is 800 mg/kg with a caveat note under the table. The limit value of total organic cardbon is 5%. "/>
      </w:tblPr>
      <w:tblGrid>
        <w:gridCol w:w="5102"/>
        <w:gridCol w:w="5102"/>
      </w:tblGrid>
      <w:tr w:rsidR="00A4690A" w:rsidRPr="004E2348" w14:paraId="6AE665AD" w14:textId="77777777" w:rsidTr="00124CE6">
        <w:trPr>
          <w:cantSplit/>
          <w:trHeight w:val="610"/>
          <w:tblHeader/>
        </w:trPr>
        <w:tc>
          <w:tcPr>
            <w:tcW w:w="5102"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5D2DB0BD" w14:textId="05E37E60" w:rsidR="00A4690A" w:rsidRPr="004E2348" w:rsidRDefault="00A4690A" w:rsidP="000E7194">
            <w:pPr>
              <w:spacing w:before="120" w:after="240"/>
              <w:jc w:val="center"/>
              <w:rPr>
                <w:rFonts w:ascii="Arial" w:eastAsia="Times New Roman" w:hAnsi="Arial" w:cs="Arial"/>
                <w:b/>
                <w:bCs/>
                <w:color w:val="FFFFFF"/>
                <w:lang w:eastAsia="en-GB"/>
              </w:rPr>
            </w:pPr>
            <w:r>
              <w:rPr>
                <w:rFonts w:ascii="Arial" w:eastAsia="Times New Roman" w:hAnsi="Arial" w:cs="Arial"/>
                <w:b/>
                <w:bCs/>
                <w:color w:val="FFFFFF"/>
                <w:lang w:eastAsia="en-GB"/>
              </w:rPr>
              <w:t>Component</w:t>
            </w:r>
          </w:p>
        </w:tc>
        <w:tc>
          <w:tcPr>
            <w:tcW w:w="5102"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3CE226B1" w14:textId="7D01228D" w:rsidR="00A4690A" w:rsidRPr="004E2348" w:rsidRDefault="00A4690A" w:rsidP="000E7194">
            <w:pPr>
              <w:spacing w:before="120" w:after="240"/>
              <w:jc w:val="center"/>
              <w:rPr>
                <w:rFonts w:ascii="Arial" w:eastAsia="Times New Roman" w:hAnsi="Arial" w:cs="Arial"/>
                <w:b/>
                <w:bCs/>
                <w:color w:val="FFFFFF"/>
                <w:lang w:eastAsia="en-GB"/>
              </w:rPr>
            </w:pPr>
            <w:r>
              <w:rPr>
                <w:rFonts w:ascii="Arial" w:eastAsia="Times New Roman" w:hAnsi="Arial" w:cs="Arial"/>
                <w:b/>
                <w:bCs/>
                <w:color w:val="FFFFFF"/>
                <w:lang w:eastAsia="en-GB"/>
              </w:rPr>
              <w:t>Limit Value</w:t>
            </w:r>
          </w:p>
        </w:tc>
      </w:tr>
      <w:tr w:rsidR="00A4690A" w:rsidRPr="004E2348" w14:paraId="5D7115A1" w14:textId="77777777" w:rsidTr="00A4690A">
        <w:trPr>
          <w:trHeight w:val="315"/>
        </w:trPr>
        <w:tc>
          <w:tcPr>
            <w:tcW w:w="5102"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23D77D62" w14:textId="2CF0A048" w:rsidR="00A4690A" w:rsidRPr="004E2348" w:rsidRDefault="00A4690A" w:rsidP="000E7194">
            <w:pPr>
              <w:spacing w:before="120" w:after="240"/>
              <w:jc w:val="center"/>
              <w:rPr>
                <w:rFonts w:ascii="Arial" w:eastAsia="Times New Roman" w:hAnsi="Arial" w:cs="Arial"/>
                <w:lang w:eastAsia="en-GB"/>
              </w:rPr>
            </w:pPr>
            <w:r>
              <w:rPr>
                <w:rFonts w:ascii="Arial" w:eastAsia="Times New Roman" w:hAnsi="Arial" w:cs="Arial"/>
                <w:lang w:eastAsia="en-GB"/>
              </w:rPr>
              <w:t>Dissolved Organic Carbon*</w:t>
            </w:r>
          </w:p>
        </w:tc>
        <w:tc>
          <w:tcPr>
            <w:tcW w:w="5102" w:type="dxa"/>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1CF1E2DC" w14:textId="6A4232DA" w:rsidR="00A4690A" w:rsidRPr="004E2348" w:rsidRDefault="00A4690A" w:rsidP="000E7194">
            <w:pPr>
              <w:spacing w:before="120" w:after="240"/>
              <w:jc w:val="center"/>
              <w:rPr>
                <w:rFonts w:ascii="Arial" w:eastAsia="Times New Roman" w:hAnsi="Arial" w:cs="Arial"/>
                <w:lang w:eastAsia="en-GB"/>
              </w:rPr>
            </w:pPr>
            <w:r>
              <w:rPr>
                <w:rFonts w:ascii="Arial" w:eastAsia="Times New Roman" w:hAnsi="Arial" w:cs="Arial"/>
                <w:lang w:eastAsia="en-GB"/>
              </w:rPr>
              <w:t>800 mg/kg dry substance</w:t>
            </w:r>
          </w:p>
        </w:tc>
      </w:tr>
      <w:tr w:rsidR="00A4690A" w:rsidRPr="004E2348" w14:paraId="7394BF69" w14:textId="77777777" w:rsidTr="00A4690A">
        <w:trPr>
          <w:trHeight w:val="300"/>
        </w:trPr>
        <w:tc>
          <w:tcPr>
            <w:tcW w:w="5102"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5657B733" w14:textId="75DC77A4" w:rsidR="00A4690A" w:rsidRPr="004E2348" w:rsidRDefault="00A4690A" w:rsidP="000E7194">
            <w:pPr>
              <w:spacing w:before="120" w:after="240"/>
              <w:jc w:val="center"/>
              <w:rPr>
                <w:rFonts w:ascii="Arial" w:eastAsia="Times New Roman" w:hAnsi="Arial" w:cs="Arial"/>
                <w:lang w:eastAsia="en-GB"/>
              </w:rPr>
            </w:pPr>
            <w:r>
              <w:rPr>
                <w:rFonts w:ascii="Arial" w:eastAsia="Times New Roman" w:hAnsi="Arial" w:cs="Arial"/>
                <w:lang w:eastAsia="en-GB"/>
              </w:rPr>
              <w:t>Total Organic Carbon</w:t>
            </w:r>
          </w:p>
        </w:tc>
        <w:tc>
          <w:tcPr>
            <w:tcW w:w="5102" w:type="dxa"/>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7E1C0713" w14:textId="1C78F3C1" w:rsidR="00A4690A" w:rsidRPr="004E2348" w:rsidRDefault="00A4690A" w:rsidP="000E7194">
            <w:pPr>
              <w:spacing w:before="120" w:after="240"/>
              <w:jc w:val="center"/>
              <w:rPr>
                <w:rFonts w:ascii="Arial" w:eastAsia="Times New Roman" w:hAnsi="Arial" w:cs="Arial"/>
                <w:lang w:eastAsia="en-GB"/>
              </w:rPr>
            </w:pPr>
            <w:r>
              <w:rPr>
                <w:rFonts w:ascii="Arial" w:eastAsia="Times New Roman" w:hAnsi="Arial" w:cs="Arial"/>
                <w:lang w:eastAsia="en-GB"/>
              </w:rPr>
              <w:t>5%</w:t>
            </w:r>
          </w:p>
        </w:tc>
      </w:tr>
    </w:tbl>
    <w:p w14:paraId="070DE436" w14:textId="72137AA6" w:rsidR="004E2348" w:rsidRPr="004E2348" w:rsidRDefault="006843BB" w:rsidP="000E7194">
      <w:pPr>
        <w:spacing w:after="240"/>
        <w:rPr>
          <w:rFonts w:ascii="Arial" w:eastAsia="Times New Roman" w:hAnsi="Arial" w:cs="Arial"/>
          <w:b/>
          <w:color w:val="016574"/>
          <w:sz w:val="40"/>
          <w:szCs w:val="32"/>
        </w:rPr>
      </w:pPr>
      <w:r>
        <w:rPr>
          <w:rFonts w:eastAsia="Times New Roman"/>
        </w:rPr>
        <w:t>*</w:t>
      </w:r>
      <w:r w:rsidR="00124CE6" w:rsidRPr="00124CE6">
        <w:t xml:space="preserve"> </w:t>
      </w:r>
      <w:r w:rsidR="00124CE6" w:rsidRPr="00124CE6">
        <w:rPr>
          <w:rFonts w:eastAsia="Times New Roman"/>
        </w:rPr>
        <w:t>If the waste does not meet these values for dissolved organic carbon (DOC) at its own pH, it may be tested at L/S = 10 l/kg and pH of 7.5 to 8.0. If the result of this determination does not exceed 800 mg/kg, the waste may be considered as complying with the acceptance criteria for DOC. (A method based on BSEN 14429 is available).</w:t>
      </w:r>
      <w:r w:rsidR="004E2348" w:rsidRPr="004E2348">
        <w:rPr>
          <w:rFonts w:eastAsia="Times New Roman"/>
        </w:rPr>
        <w:br/>
      </w:r>
    </w:p>
    <w:p w14:paraId="097653C3" w14:textId="77777777" w:rsidR="004E2348" w:rsidRPr="004E2348" w:rsidRDefault="004E2348" w:rsidP="004E2348">
      <w:pPr>
        <w:spacing w:after="240" w:line="240" w:lineRule="auto"/>
        <w:rPr>
          <w:rFonts w:ascii="Arial" w:eastAsia="Times New Roman" w:hAnsi="Arial" w:cs="Arial"/>
          <w:b/>
          <w:bCs/>
        </w:rPr>
      </w:pPr>
    </w:p>
    <w:p w14:paraId="1B7822FA" w14:textId="77777777" w:rsidR="004E2348" w:rsidRPr="004E2348" w:rsidRDefault="004E2348" w:rsidP="004E2348">
      <w:pPr>
        <w:spacing w:after="240" w:line="240" w:lineRule="auto"/>
        <w:rPr>
          <w:rFonts w:ascii="Arial" w:eastAsia="Times New Roman" w:hAnsi="Arial" w:cs="Arial"/>
          <w:b/>
          <w:bCs/>
        </w:rPr>
      </w:pPr>
      <w:r w:rsidRPr="004E2348">
        <w:rPr>
          <w:rFonts w:ascii="Arial" w:eastAsia="Times New Roman" w:hAnsi="Arial" w:cs="Arial"/>
          <w:b/>
          <w:bCs/>
        </w:rPr>
        <w:br w:type="page"/>
      </w:r>
    </w:p>
    <w:p w14:paraId="204F64C8" w14:textId="77777777" w:rsidR="004E0CE1" w:rsidRPr="004E0CE1" w:rsidRDefault="004E0CE1" w:rsidP="004E0CE1">
      <w:pPr>
        <w:rPr>
          <w:rFonts w:ascii="Arial" w:hAnsi="Arial" w:cs="Arial"/>
          <w:sz w:val="20"/>
          <w:szCs w:val="20"/>
        </w:rPr>
      </w:pPr>
      <w:r w:rsidRPr="004E0CE1">
        <w:rPr>
          <w:rFonts w:ascii="Arial" w:hAnsi="Arial" w:cs="Arial"/>
          <w:b/>
          <w:bCs/>
        </w:rPr>
        <w:lastRenderedPageBreak/>
        <w:t>This guidance has been updated to meet accessibility standards and to replace certain references to legislation with references to the Environmental Authorisations (Scotland) Regulations 2018. It has not been reviewed beyond this. We are aware that sections of this guidance may need to be updated, and this work will be completed in due course.</w:t>
      </w:r>
    </w:p>
    <w:p w14:paraId="1CEAE286" w14:textId="77777777" w:rsidR="0097683C" w:rsidRPr="000961F3" w:rsidRDefault="0097683C" w:rsidP="0097683C">
      <w:pPr>
        <w:pStyle w:val="Heading2"/>
      </w:pPr>
      <w:bookmarkStart w:id="0" w:name="_Toc184981253"/>
      <w:r w:rsidRPr="0097683C">
        <w:t>Disclaimer</w:t>
      </w:r>
      <w:bookmarkEnd w:id="0"/>
    </w:p>
    <w:p w14:paraId="7A00F4A9" w14:textId="77777777" w:rsidR="0097683C" w:rsidRPr="000961F3" w:rsidRDefault="0097683C" w:rsidP="0097683C">
      <w:pPr>
        <w:spacing w:after="240"/>
        <w:rPr>
          <w:rFonts w:ascii="Arial" w:hAnsi="Arial" w:cs="Arial"/>
        </w:rPr>
      </w:pPr>
      <w:r w:rsidRPr="000961F3">
        <w:rPr>
          <w:rFonts w:ascii="Arial" w:hAnsi="Arial" w:cs="Arial"/>
        </w:rPr>
        <w:t>This guidance is based on the law as it stood when the guidance was published.</w:t>
      </w:r>
    </w:p>
    <w:p w14:paraId="11B6EA43" w14:textId="77777777" w:rsidR="0097683C" w:rsidRPr="000961F3" w:rsidRDefault="0097683C" w:rsidP="0097683C">
      <w:pPr>
        <w:spacing w:after="240"/>
        <w:rPr>
          <w:rFonts w:ascii="Arial" w:hAnsi="Arial" w:cs="Arial"/>
        </w:rPr>
      </w:pPr>
      <w:r w:rsidRPr="000961F3">
        <w:rPr>
          <w:rFonts w:ascii="Arial" w:hAnsi="Arial" w:cs="Arial"/>
        </w:rPr>
        <w:t>Whilst every effort has been made to ensure the accuracy of this guidance, SEPA gives no warranty, covenant or undertaking (express or implied) regarding the fitness for purpose of, or any error, omission or discrepancy in this guidance. Reliance on its contents and the contents of any websites that are linked to or from this guidance is entirely at the user’s own risk. SEPA is not liable for any loss or damage that may come from using this guidance. This includes:</w:t>
      </w:r>
    </w:p>
    <w:p w14:paraId="3145D15A" w14:textId="77777777" w:rsidR="0097683C" w:rsidRPr="000961F3" w:rsidRDefault="0097683C" w:rsidP="0097683C">
      <w:pPr>
        <w:numPr>
          <w:ilvl w:val="0"/>
          <w:numId w:val="17"/>
        </w:numPr>
        <w:spacing w:after="240"/>
        <w:rPr>
          <w:rFonts w:ascii="Arial" w:hAnsi="Arial" w:cs="Arial"/>
        </w:rPr>
      </w:pPr>
      <w:r w:rsidRPr="000961F3">
        <w:rPr>
          <w:rFonts w:ascii="Arial" w:hAnsi="Arial" w:cs="Arial"/>
        </w:rPr>
        <w:t>any direct, indirect and consequential losses</w:t>
      </w:r>
    </w:p>
    <w:p w14:paraId="5E7D2855" w14:textId="77777777" w:rsidR="0097683C" w:rsidRPr="000961F3" w:rsidRDefault="0097683C" w:rsidP="0097683C">
      <w:pPr>
        <w:numPr>
          <w:ilvl w:val="0"/>
          <w:numId w:val="17"/>
        </w:numPr>
        <w:spacing w:after="240"/>
        <w:rPr>
          <w:rFonts w:ascii="Arial" w:hAnsi="Arial" w:cs="Arial"/>
        </w:rPr>
      </w:pPr>
      <w:r w:rsidRPr="000961F3">
        <w:rPr>
          <w:rFonts w:ascii="Arial" w:hAnsi="Arial" w:cs="Arial"/>
        </w:rPr>
        <w:t>any loss or damage caused by civil wrongs, breach of contract or otherwise.</w:t>
      </w:r>
    </w:p>
    <w:p w14:paraId="71173EAF" w14:textId="6AF5965D" w:rsidR="004E2348" w:rsidRDefault="0097683C" w:rsidP="0097683C">
      <w:pPr>
        <w:spacing w:after="240"/>
        <w:rPr>
          <w:rFonts w:ascii="Arial" w:hAnsi="Arial" w:cs="Arial"/>
        </w:rPr>
      </w:pPr>
      <w:r w:rsidRPr="000961F3">
        <w:rPr>
          <w:rFonts w:ascii="Arial" w:hAnsi="Arial" w:cs="Arial"/>
        </w:rPr>
        <w:t>SEPA reserves the right to depart from this guidance and take appropriate action as it considers necessary or appropriate. Operators are responsible for ensuring that they are compliant with the law. If necessary, independent legal / specialist advice should be sought.</w:t>
      </w:r>
    </w:p>
    <w:p w14:paraId="520D4DCD" w14:textId="77777777" w:rsidR="00255332" w:rsidRDefault="00255332" w:rsidP="00255332">
      <w:pPr>
        <w:pStyle w:val="BodyText1"/>
        <w:rPr>
          <w:rFonts w:eastAsia="Times New Roman"/>
          <w:sz w:val="32"/>
          <w:szCs w:val="32"/>
        </w:rPr>
      </w:pPr>
      <w:r w:rsidRPr="00850058">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850058">
          <w:rPr>
            <w:rFonts w:eastAsia="Times New Roman"/>
            <w:color w:val="016574" w:themeColor="hyperlink"/>
            <w:sz w:val="32"/>
            <w:szCs w:val="32"/>
            <w:u w:val="single"/>
          </w:rPr>
          <w:t>equalities@sepa.org.uk</w:t>
        </w:r>
      </w:hyperlink>
      <w:r>
        <w:rPr>
          <w:rFonts w:eastAsia="Times New Roman"/>
          <w:sz w:val="32"/>
          <w:szCs w:val="32"/>
        </w:rPr>
        <w:t xml:space="preserve"> </w:t>
      </w:r>
    </w:p>
    <w:p w14:paraId="11966780" w14:textId="77777777" w:rsidR="00255332" w:rsidRDefault="00255332" w:rsidP="0097683C">
      <w:pPr>
        <w:spacing w:after="240"/>
        <w:rPr>
          <w:rFonts w:ascii="Arial" w:hAnsi="Arial" w:cs="Arial"/>
        </w:rPr>
      </w:pPr>
    </w:p>
    <w:p w14:paraId="19E696BD" w14:textId="77777777" w:rsidR="00842760" w:rsidRPr="0097683C" w:rsidRDefault="00842760" w:rsidP="0097683C">
      <w:pPr>
        <w:spacing w:after="240"/>
        <w:rPr>
          <w:rFonts w:ascii="Arial" w:hAnsi="Arial" w:cs="Arial"/>
        </w:rPr>
      </w:pPr>
    </w:p>
    <w:p w14:paraId="6DEECDD1" w14:textId="77777777" w:rsidR="006243FF" w:rsidRPr="00E67C75" w:rsidRDefault="006243FF" w:rsidP="00290B1F">
      <w:pPr>
        <w:spacing w:line="240" w:lineRule="auto"/>
        <w:rPr>
          <w:color w:val="6E7571" w:themeColor="text2"/>
          <w:u w:val="single"/>
        </w:rPr>
      </w:pPr>
    </w:p>
    <w:sectPr w:rsidR="006243FF" w:rsidRPr="00E67C75" w:rsidSect="00767BCC">
      <w:headerReference w:type="even" r:id="rId14"/>
      <w:headerReference w:type="default" r:id="rId15"/>
      <w:footerReference w:type="even" r:id="rId16"/>
      <w:footerReference w:type="default" r:id="rId17"/>
      <w:headerReference w:type="first" r:id="rId18"/>
      <w:footerReference w:type="first" r:id="rId19"/>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485F1" w14:textId="77777777" w:rsidR="00BF67F8" w:rsidRDefault="00BF67F8" w:rsidP="00660C79">
      <w:pPr>
        <w:spacing w:line="240" w:lineRule="auto"/>
      </w:pPr>
      <w:r>
        <w:separator/>
      </w:r>
    </w:p>
  </w:endnote>
  <w:endnote w:type="continuationSeparator" w:id="0">
    <w:p w14:paraId="1758CC81" w14:textId="77777777" w:rsidR="00BF67F8" w:rsidRDefault="00BF67F8" w:rsidP="00660C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5BA2C" w14:textId="77777777" w:rsidR="00EC6A73" w:rsidRDefault="006A186F" w:rsidP="006F44FD">
    <w:pPr>
      <w:pStyle w:val="Footer"/>
      <w:framePr w:wrap="none" w:vAnchor="text" w:hAnchor="margin" w:xAlign="right" w:y="1"/>
      <w:rPr>
        <w:rStyle w:val="PageNumber"/>
      </w:rPr>
    </w:pPr>
    <w:r>
      <w:rPr>
        <w:noProof/>
      </w:rPr>
      <mc:AlternateContent>
        <mc:Choice Requires="wps">
          <w:drawing>
            <wp:anchor distT="0" distB="0" distL="0" distR="0" simplePos="0" relativeHeight="251665408" behindDoc="0" locked="0" layoutInCell="1" allowOverlap="1" wp14:anchorId="287090E8" wp14:editId="0173CC2F">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7CCD91" w14:textId="77777777" w:rsidR="006A186F" w:rsidRPr="006A186F" w:rsidRDefault="006A186F" w:rsidP="006A186F">
                          <w:pPr>
                            <w:rPr>
                              <w:rFonts w:ascii="Calibri" w:eastAsia="Calibri" w:hAnsi="Calibri" w:cs="Calibri"/>
                              <w:noProof/>
                              <w:color w:val="0000FF"/>
                              <w:sz w:val="20"/>
                              <w:szCs w:val="20"/>
                            </w:rPr>
                          </w:pPr>
                          <w:r w:rsidRPr="006A186F">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7090E8" id="_x0000_t202" coordsize="21600,21600" o:spt="202" path="m,l,21600r21600,l21600,xe">
              <v:stroke joinstyle="miter"/>
              <v:path gradientshapeok="t" o:connecttype="rect"/>
            </v:shapetype>
            <v:shape id="Text Box 11" o:spid="_x0000_s1029" type="#_x0000_t202" alt="&quot;&quot;" style="position:absolute;margin-left:0;margin-top:0;width:34.95pt;height:34.9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047CCD91" w14:textId="77777777" w:rsidR="006A186F" w:rsidRPr="006A186F" w:rsidRDefault="006A186F" w:rsidP="006A186F">
                    <w:pPr>
                      <w:rPr>
                        <w:rFonts w:ascii="Calibri" w:eastAsia="Calibri" w:hAnsi="Calibri" w:cs="Calibri"/>
                        <w:noProof/>
                        <w:color w:val="0000FF"/>
                        <w:sz w:val="20"/>
                        <w:szCs w:val="20"/>
                      </w:rPr>
                    </w:pPr>
                    <w:r w:rsidRPr="006A186F">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3263E51B" w14:textId="77777777" w:rsidR="00EC6A73" w:rsidRDefault="00EC6A73" w:rsidP="006F44F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3D58FC59"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9D5BD5F"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C65AD" w14:textId="77777777" w:rsidR="00EC6A73" w:rsidRDefault="006A186F" w:rsidP="00917BB1">
    <w:pPr>
      <w:pStyle w:val="Footer"/>
      <w:ind w:right="360"/>
    </w:pPr>
    <w:r>
      <w:rPr>
        <w:noProof/>
      </w:rPr>
      <mc:AlternateContent>
        <mc:Choice Requires="wps">
          <w:drawing>
            <wp:anchor distT="0" distB="0" distL="0" distR="0" simplePos="0" relativeHeight="251666432" behindDoc="0" locked="0" layoutInCell="1" allowOverlap="1" wp14:anchorId="526CC784" wp14:editId="322F05BF">
              <wp:simplePos x="533400" y="9716770"/>
              <wp:positionH relativeFrom="page">
                <wp:align>center</wp:align>
              </wp:positionH>
              <wp:positionV relativeFrom="page">
                <wp:align>bottom</wp:align>
              </wp:positionV>
              <wp:extent cx="443865" cy="443865"/>
              <wp:effectExtent l="0" t="0" r="16510" b="0"/>
              <wp:wrapNone/>
              <wp:docPr id="12" name="Text Box 1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3009FA" w14:textId="77777777" w:rsidR="006A186F" w:rsidRPr="006A186F" w:rsidRDefault="006A186F" w:rsidP="006A186F">
                          <w:pPr>
                            <w:rPr>
                              <w:rFonts w:ascii="Calibri" w:eastAsia="Calibri" w:hAnsi="Calibri" w:cs="Calibri"/>
                              <w:noProof/>
                              <w:color w:val="0000FF"/>
                              <w:sz w:val="20"/>
                              <w:szCs w:val="20"/>
                            </w:rPr>
                          </w:pPr>
                          <w:r w:rsidRPr="006A186F">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6CC784" id="_x0000_t202" coordsize="21600,21600" o:spt="202" path="m,l,21600r21600,l21600,xe">
              <v:stroke joinstyle="miter"/>
              <v:path gradientshapeok="t" o:connecttype="rect"/>
            </v:shapetype>
            <v:shape id="Text Box 12" o:spid="_x0000_s1030" type="#_x0000_t202" alt="&quot;&quot;" style="position:absolute;margin-left:0;margin-top:0;width:34.95pt;height:34.9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303009FA" w14:textId="77777777" w:rsidR="006A186F" w:rsidRPr="006A186F" w:rsidRDefault="006A186F" w:rsidP="006A186F">
                    <w:pPr>
                      <w:rPr>
                        <w:rFonts w:ascii="Calibri" w:eastAsia="Calibri" w:hAnsi="Calibri" w:cs="Calibri"/>
                        <w:noProof/>
                        <w:color w:val="0000FF"/>
                        <w:sz w:val="20"/>
                        <w:szCs w:val="20"/>
                      </w:rPr>
                    </w:pPr>
                    <w:r w:rsidRPr="006A186F">
                      <w:rPr>
                        <w:rFonts w:ascii="Calibri" w:eastAsia="Calibri" w:hAnsi="Calibri" w:cs="Calibri"/>
                        <w:noProof/>
                        <w:color w:val="0000FF"/>
                        <w:sz w:val="20"/>
                        <w:szCs w:val="20"/>
                      </w:rPr>
                      <w:t>OFFICIAL</w:t>
                    </w:r>
                  </w:p>
                </w:txbxContent>
              </v:textbox>
              <w10:wrap anchorx="page" anchory="page"/>
            </v:shape>
          </w:pict>
        </mc:Fallback>
      </mc:AlternateContent>
    </w:r>
  </w:p>
  <w:p w14:paraId="2F654BB5" w14:textId="77777777" w:rsidR="00917BB1" w:rsidRDefault="000E0D15" w:rsidP="00917BB1">
    <w:pPr>
      <w:pStyle w:val="Footer"/>
      <w:ind w:right="360"/>
    </w:pPr>
    <w:r>
      <w:rPr>
        <w:noProof/>
      </w:rPr>
      <mc:AlternateContent>
        <mc:Choice Requires="wps">
          <w:drawing>
            <wp:anchor distT="0" distB="0" distL="114300" distR="114300" simplePos="0" relativeHeight="251660288" behindDoc="0" locked="0" layoutInCell="1" allowOverlap="1" wp14:anchorId="50FC39D1" wp14:editId="7742E110">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13FD30" id="Straight Connector 10" o:spid="_x0000_s1026" alt="&quot;&quot;"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5C161886"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6B7A83E" w14:textId="77777777" w:rsidR="00917BB1" w:rsidRDefault="00917BB1" w:rsidP="00917BB1">
    <w:pPr>
      <w:pStyle w:val="Footer"/>
      <w:ind w:right="360"/>
    </w:pPr>
    <w:r>
      <w:rPr>
        <w:noProof/>
      </w:rPr>
      <w:drawing>
        <wp:inline distT="0" distB="0" distL="0" distR="0" wp14:anchorId="5BC1105B" wp14:editId="189D627B">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61DC4" w14:textId="77777777" w:rsidR="006A186F" w:rsidRDefault="006A186F">
    <w:pPr>
      <w:pStyle w:val="Footer"/>
    </w:pPr>
    <w:r>
      <w:rPr>
        <w:noProof/>
      </w:rPr>
      <mc:AlternateContent>
        <mc:Choice Requires="wps">
          <w:drawing>
            <wp:anchor distT="0" distB="0" distL="0" distR="0" simplePos="0" relativeHeight="251664384" behindDoc="0" locked="0" layoutInCell="1" allowOverlap="1" wp14:anchorId="14BFA67E" wp14:editId="1762EABF">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F08C54" w14:textId="77777777" w:rsidR="006A186F" w:rsidRPr="006A186F" w:rsidRDefault="006A186F" w:rsidP="006A186F">
                          <w:pPr>
                            <w:rPr>
                              <w:rFonts w:ascii="Calibri" w:eastAsia="Calibri" w:hAnsi="Calibri" w:cs="Calibri"/>
                              <w:noProof/>
                              <w:color w:val="0000FF"/>
                              <w:sz w:val="20"/>
                              <w:szCs w:val="20"/>
                            </w:rPr>
                          </w:pPr>
                          <w:r w:rsidRPr="006A186F">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BFA67E" id="_x0000_t202" coordsize="21600,21600" o:spt="202" path="m,l,21600r21600,l21600,xe">
              <v:stroke joinstyle="miter"/>
              <v:path gradientshapeok="t" o:connecttype="rect"/>
            </v:shapetype>
            <v:shape id="Text Box 9" o:spid="_x0000_s1032" type="#_x0000_t202" alt="&quot;&quot;" style="position:absolute;margin-left:0;margin-top:0;width:34.95pt;height:34.9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23F08C54" w14:textId="77777777" w:rsidR="006A186F" w:rsidRPr="006A186F" w:rsidRDefault="006A186F" w:rsidP="006A186F">
                    <w:pPr>
                      <w:rPr>
                        <w:rFonts w:ascii="Calibri" w:eastAsia="Calibri" w:hAnsi="Calibri" w:cs="Calibri"/>
                        <w:noProof/>
                        <w:color w:val="0000FF"/>
                        <w:sz w:val="20"/>
                        <w:szCs w:val="20"/>
                      </w:rPr>
                    </w:pPr>
                    <w:r w:rsidRPr="006A186F">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DA830" w14:textId="77777777" w:rsidR="00BF67F8" w:rsidRDefault="00BF67F8" w:rsidP="00660C79">
      <w:pPr>
        <w:spacing w:line="240" w:lineRule="auto"/>
      </w:pPr>
      <w:r>
        <w:separator/>
      </w:r>
    </w:p>
  </w:footnote>
  <w:footnote w:type="continuationSeparator" w:id="0">
    <w:p w14:paraId="619EE542" w14:textId="77777777" w:rsidR="00BF67F8" w:rsidRDefault="00BF67F8" w:rsidP="00660C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6C1A6" w14:textId="77777777" w:rsidR="006A186F" w:rsidRDefault="006A186F">
    <w:pPr>
      <w:pStyle w:val="Header"/>
    </w:pPr>
    <w:r>
      <w:rPr>
        <w:noProof/>
      </w:rPr>
      <mc:AlternateContent>
        <mc:Choice Requires="wps">
          <w:drawing>
            <wp:anchor distT="0" distB="0" distL="0" distR="0" simplePos="0" relativeHeight="251662336" behindDoc="0" locked="0" layoutInCell="1" allowOverlap="1" wp14:anchorId="714F4A7E" wp14:editId="09E9A52F">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837375" w14:textId="77777777" w:rsidR="006A186F" w:rsidRPr="006A186F" w:rsidRDefault="006A186F" w:rsidP="006A186F">
                          <w:pPr>
                            <w:rPr>
                              <w:rFonts w:ascii="Calibri" w:eastAsia="Calibri" w:hAnsi="Calibri" w:cs="Calibri"/>
                              <w:noProof/>
                              <w:color w:val="0000FF"/>
                              <w:sz w:val="20"/>
                              <w:szCs w:val="20"/>
                            </w:rPr>
                          </w:pPr>
                          <w:r w:rsidRPr="006A186F">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4F4A7E" id="_x0000_t202" coordsize="21600,21600" o:spt="202" path="m,l,21600r21600,l21600,xe">
              <v:stroke joinstyle="miter"/>
              <v:path gradientshapeok="t" o:connecttype="rect"/>
            </v:shapetype>
            <v:shape id="Text Box 6" o:spid="_x0000_s1027" type="#_x0000_t202" alt="&quot;&quot;" style="position:absolute;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58837375" w14:textId="77777777" w:rsidR="006A186F" w:rsidRPr="006A186F" w:rsidRDefault="006A186F" w:rsidP="006A186F">
                    <w:pPr>
                      <w:rPr>
                        <w:rFonts w:ascii="Calibri" w:eastAsia="Calibri" w:hAnsi="Calibri" w:cs="Calibri"/>
                        <w:noProof/>
                        <w:color w:val="0000FF"/>
                        <w:sz w:val="20"/>
                        <w:szCs w:val="20"/>
                      </w:rPr>
                    </w:pPr>
                    <w:r w:rsidRPr="006A186F">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69E95" w14:textId="7C6DF99B" w:rsidR="008D113C" w:rsidRPr="00917BB1" w:rsidRDefault="00370BFC" w:rsidP="008D113C">
    <w:pPr>
      <w:pStyle w:val="BodyText1"/>
      <w:spacing w:line="240" w:lineRule="auto"/>
      <w:jc w:val="right"/>
      <w:rPr>
        <w:color w:val="6E7571" w:themeColor="text2"/>
      </w:rPr>
    </w:pPr>
    <w:r w:rsidRPr="00370BFC">
      <w:rPr>
        <w:color w:val="6E7571" w:themeColor="text2"/>
      </w:rPr>
      <w:t xml:space="preserve">The disposal of gypsum wastes in </w:t>
    </w:r>
    <w:r w:rsidR="00842760">
      <w:rPr>
        <w:color w:val="6E7571" w:themeColor="text2"/>
      </w:rPr>
      <w:t xml:space="preserve">non-hazardous waste </w:t>
    </w:r>
    <w:r w:rsidRPr="00370BFC">
      <w:rPr>
        <w:color w:val="6E7571" w:themeColor="text2"/>
      </w:rPr>
      <w:t>landfills</w:t>
    </w:r>
    <w:r w:rsidR="006A186F">
      <w:rPr>
        <w:noProof/>
        <w:color w:val="6E7571" w:themeColor="text2"/>
      </w:rPr>
      <mc:AlternateContent>
        <mc:Choice Requires="wps">
          <w:drawing>
            <wp:anchor distT="0" distB="0" distL="0" distR="0" simplePos="0" relativeHeight="251663360" behindDoc="0" locked="0" layoutInCell="1" allowOverlap="1" wp14:anchorId="6372B4A5" wp14:editId="4288FD1A">
              <wp:simplePos x="533400" y="504825"/>
              <wp:positionH relativeFrom="page">
                <wp:align>center</wp:align>
              </wp:positionH>
              <wp:positionV relativeFrom="page">
                <wp:align>top</wp:align>
              </wp:positionV>
              <wp:extent cx="443865" cy="443865"/>
              <wp:effectExtent l="0" t="0" r="16510" b="15240"/>
              <wp:wrapNone/>
              <wp:docPr id="8" name="Text Box 8">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F9E492" w14:textId="77777777" w:rsidR="006A186F" w:rsidRPr="006A186F" w:rsidRDefault="006A186F" w:rsidP="006A186F">
                          <w:pPr>
                            <w:rPr>
                              <w:rFonts w:ascii="Calibri" w:eastAsia="Calibri" w:hAnsi="Calibri" w:cs="Calibri"/>
                              <w:noProof/>
                              <w:color w:val="0000FF"/>
                              <w:sz w:val="20"/>
                              <w:szCs w:val="20"/>
                            </w:rPr>
                          </w:pPr>
                          <w:r w:rsidRPr="006A186F">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72B4A5" id="_x0000_t202" coordsize="21600,21600" o:spt="202" path="m,l,21600r21600,l21600,xe">
              <v:stroke joinstyle="miter"/>
              <v:path gradientshapeok="t" o:connecttype="rect"/>
            </v:shapetype>
            <v:shape id="Text Box 8" o:spid="_x0000_s1028" type="#_x0000_t202" alt="&quot;&quot;" style="position:absolute;left:0;text-align:left;margin-left:0;margin-top:0;width:34.95pt;height:34.9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4FF9E492" w14:textId="77777777" w:rsidR="006A186F" w:rsidRPr="006A186F" w:rsidRDefault="006A186F" w:rsidP="006A186F">
                    <w:pPr>
                      <w:rPr>
                        <w:rFonts w:ascii="Calibri" w:eastAsia="Calibri" w:hAnsi="Calibri" w:cs="Calibri"/>
                        <w:noProof/>
                        <w:color w:val="0000FF"/>
                        <w:sz w:val="20"/>
                        <w:szCs w:val="20"/>
                      </w:rPr>
                    </w:pPr>
                    <w:r w:rsidRPr="006A186F">
                      <w:rPr>
                        <w:rFonts w:ascii="Calibri" w:eastAsia="Calibri" w:hAnsi="Calibri" w:cs="Calibri"/>
                        <w:noProof/>
                        <w:color w:val="0000FF"/>
                        <w:sz w:val="20"/>
                        <w:szCs w:val="20"/>
                      </w:rPr>
                      <w:t>OFFICIAL</w:t>
                    </w:r>
                  </w:p>
                </w:txbxContent>
              </v:textbox>
              <w10:wrap anchorx="page" anchory="page"/>
            </v:shape>
          </w:pict>
        </mc:Fallback>
      </mc:AlternateContent>
    </w:r>
  </w:p>
  <w:p w14:paraId="68AE9025" w14:textId="77777777" w:rsidR="008D113C" w:rsidRDefault="007D441B" w:rsidP="008D113C">
    <w:pPr>
      <w:pStyle w:val="BodyText1"/>
      <w:jc w:val="right"/>
    </w:pPr>
    <w:r>
      <w:rPr>
        <w:noProof/>
      </w:rPr>
      <mc:AlternateContent>
        <mc:Choice Requires="wps">
          <w:drawing>
            <wp:anchor distT="0" distB="0" distL="114300" distR="114300" simplePos="0" relativeHeight="251659264" behindDoc="0" locked="0" layoutInCell="1" allowOverlap="1" wp14:anchorId="1C629C26" wp14:editId="0E0D1F25">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366829" id="Straight Connector 7" o:spid="_x0000_s1026" alt="&quot;&quot;"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4FFC9" w14:textId="77777777" w:rsidR="006A186F" w:rsidRDefault="006A186F">
    <w:pPr>
      <w:pStyle w:val="Header"/>
    </w:pPr>
    <w:r>
      <w:rPr>
        <w:noProof/>
      </w:rPr>
      <mc:AlternateContent>
        <mc:Choice Requires="wps">
          <w:drawing>
            <wp:anchor distT="0" distB="0" distL="0" distR="0" simplePos="0" relativeHeight="251661312" behindDoc="0" locked="0" layoutInCell="1" allowOverlap="1" wp14:anchorId="68D7BFFA" wp14:editId="37ECDBF9">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758864" w14:textId="77777777" w:rsidR="006A186F" w:rsidRPr="006A186F" w:rsidRDefault="006A186F" w:rsidP="006A186F">
                          <w:pPr>
                            <w:rPr>
                              <w:rFonts w:ascii="Calibri" w:eastAsia="Calibri" w:hAnsi="Calibri" w:cs="Calibri"/>
                              <w:noProof/>
                              <w:color w:val="0000FF"/>
                              <w:sz w:val="20"/>
                              <w:szCs w:val="20"/>
                            </w:rPr>
                          </w:pPr>
                          <w:r w:rsidRPr="006A186F">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D7BFFA" id="_x0000_t202" coordsize="21600,21600" o:spt="202" path="m,l,21600r21600,l21600,xe">
              <v:stroke joinstyle="miter"/>
              <v:path gradientshapeok="t" o:connecttype="rect"/>
            </v:shapetype>
            <v:shape id="Text Box 1" o:spid="_x0000_s1031" type="#_x0000_t202" alt="&quot;&quot;"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77758864" w14:textId="77777777" w:rsidR="006A186F" w:rsidRPr="006A186F" w:rsidRDefault="006A186F" w:rsidP="006A186F">
                    <w:pPr>
                      <w:rPr>
                        <w:rFonts w:ascii="Calibri" w:eastAsia="Calibri" w:hAnsi="Calibri" w:cs="Calibri"/>
                        <w:noProof/>
                        <w:color w:val="0000FF"/>
                        <w:sz w:val="20"/>
                        <w:szCs w:val="20"/>
                      </w:rPr>
                    </w:pPr>
                    <w:r w:rsidRPr="006A186F">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485FB1"/>
    <w:multiLevelType w:val="hybridMultilevel"/>
    <w:tmpl w:val="D584A492"/>
    <w:lvl w:ilvl="0" w:tplc="F5066E62">
      <w:start w:val="1"/>
      <w:numFmt w:val="bullet"/>
      <w:lvlText w:val=""/>
      <w:lvlJc w:val="left"/>
      <w:pPr>
        <w:ind w:left="1390"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2110" w:hanging="360"/>
      </w:pPr>
      <w:rPr>
        <w:rFonts w:ascii="Courier New" w:hAnsi="Courier New" w:cs="Courier New" w:hint="default"/>
      </w:rPr>
    </w:lvl>
    <w:lvl w:ilvl="2" w:tplc="08090005" w:tentative="1">
      <w:start w:val="1"/>
      <w:numFmt w:val="bullet"/>
      <w:lvlText w:val=""/>
      <w:lvlJc w:val="left"/>
      <w:pPr>
        <w:ind w:left="2830" w:hanging="360"/>
      </w:pPr>
      <w:rPr>
        <w:rFonts w:ascii="Wingdings" w:hAnsi="Wingdings" w:hint="default"/>
      </w:rPr>
    </w:lvl>
    <w:lvl w:ilvl="3" w:tplc="08090001" w:tentative="1">
      <w:start w:val="1"/>
      <w:numFmt w:val="bullet"/>
      <w:lvlText w:val=""/>
      <w:lvlJc w:val="left"/>
      <w:pPr>
        <w:ind w:left="3550" w:hanging="360"/>
      </w:pPr>
      <w:rPr>
        <w:rFonts w:ascii="Symbol" w:hAnsi="Symbol" w:hint="default"/>
      </w:rPr>
    </w:lvl>
    <w:lvl w:ilvl="4" w:tplc="08090003" w:tentative="1">
      <w:start w:val="1"/>
      <w:numFmt w:val="bullet"/>
      <w:lvlText w:val="o"/>
      <w:lvlJc w:val="left"/>
      <w:pPr>
        <w:ind w:left="4270" w:hanging="360"/>
      </w:pPr>
      <w:rPr>
        <w:rFonts w:ascii="Courier New" w:hAnsi="Courier New" w:cs="Courier New" w:hint="default"/>
      </w:rPr>
    </w:lvl>
    <w:lvl w:ilvl="5" w:tplc="08090005" w:tentative="1">
      <w:start w:val="1"/>
      <w:numFmt w:val="bullet"/>
      <w:lvlText w:val=""/>
      <w:lvlJc w:val="left"/>
      <w:pPr>
        <w:ind w:left="4990" w:hanging="360"/>
      </w:pPr>
      <w:rPr>
        <w:rFonts w:ascii="Wingdings" w:hAnsi="Wingdings" w:hint="default"/>
      </w:rPr>
    </w:lvl>
    <w:lvl w:ilvl="6" w:tplc="08090001" w:tentative="1">
      <w:start w:val="1"/>
      <w:numFmt w:val="bullet"/>
      <w:lvlText w:val=""/>
      <w:lvlJc w:val="left"/>
      <w:pPr>
        <w:ind w:left="5710" w:hanging="360"/>
      </w:pPr>
      <w:rPr>
        <w:rFonts w:ascii="Symbol" w:hAnsi="Symbol" w:hint="default"/>
      </w:rPr>
    </w:lvl>
    <w:lvl w:ilvl="7" w:tplc="08090003" w:tentative="1">
      <w:start w:val="1"/>
      <w:numFmt w:val="bullet"/>
      <w:lvlText w:val="o"/>
      <w:lvlJc w:val="left"/>
      <w:pPr>
        <w:ind w:left="6430" w:hanging="360"/>
      </w:pPr>
      <w:rPr>
        <w:rFonts w:ascii="Courier New" w:hAnsi="Courier New" w:cs="Courier New" w:hint="default"/>
      </w:rPr>
    </w:lvl>
    <w:lvl w:ilvl="8" w:tplc="08090005" w:tentative="1">
      <w:start w:val="1"/>
      <w:numFmt w:val="bullet"/>
      <w:lvlText w:val=""/>
      <w:lvlJc w:val="left"/>
      <w:pPr>
        <w:ind w:left="7150" w:hanging="360"/>
      </w:pPr>
      <w:rPr>
        <w:rFonts w:ascii="Wingdings" w:hAnsi="Wingdings" w:hint="default"/>
      </w:rPr>
    </w:lvl>
  </w:abstractNum>
  <w:abstractNum w:abstractNumId="11" w15:restartNumberingAfterBreak="0">
    <w:nsid w:val="2D566B28"/>
    <w:multiLevelType w:val="multilevel"/>
    <w:tmpl w:val="75C81E7C"/>
    <w:lvl w:ilvl="0">
      <w:start w:val="1"/>
      <w:numFmt w:val="decimal"/>
      <w:lvlText w:val="%1.0"/>
      <w:lvlJc w:val="left"/>
      <w:pPr>
        <w:ind w:left="1098" w:hanging="530"/>
      </w:pPr>
      <w:rPr>
        <w:rFonts w:hint="default"/>
      </w:rPr>
    </w:lvl>
    <w:lvl w:ilvl="1">
      <w:start w:val="1"/>
      <w:numFmt w:val="decimal"/>
      <w:lvlText w:val="%1.%2"/>
      <w:lvlJc w:val="left"/>
      <w:pPr>
        <w:ind w:left="1250" w:hanging="53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2D96265"/>
    <w:multiLevelType w:val="hybridMultilevel"/>
    <w:tmpl w:val="317E2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0D7C50"/>
    <w:multiLevelType w:val="multilevel"/>
    <w:tmpl w:val="953ED37A"/>
    <w:lvl w:ilvl="0">
      <w:start w:val="1"/>
      <w:numFmt w:val="decimal"/>
      <w:lvlText w:val="%1.0"/>
      <w:lvlJc w:val="left"/>
      <w:pPr>
        <w:ind w:left="670" w:hanging="670"/>
      </w:pPr>
      <w:rPr>
        <w:rFonts w:hint="default"/>
      </w:rPr>
    </w:lvl>
    <w:lvl w:ilvl="1">
      <w:start w:val="1"/>
      <w:numFmt w:val="decimal"/>
      <w:lvlText w:val="%1.%2"/>
      <w:lvlJc w:val="left"/>
      <w:pPr>
        <w:ind w:left="1390" w:hanging="67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5C6B3BD4"/>
    <w:multiLevelType w:val="multilevel"/>
    <w:tmpl w:val="D1402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266996"/>
    <w:multiLevelType w:val="multilevel"/>
    <w:tmpl w:val="F78C6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1825076264">
    <w:abstractNumId w:val="15"/>
  </w:num>
  <w:num w:numId="12" w16cid:durableId="493033918">
    <w:abstractNumId w:val="12"/>
  </w:num>
  <w:num w:numId="13" w16cid:durableId="368535572">
    <w:abstractNumId w:val="14"/>
  </w:num>
  <w:num w:numId="14" w16cid:durableId="1362777316">
    <w:abstractNumId w:val="13"/>
  </w:num>
  <w:num w:numId="15" w16cid:durableId="1793013841">
    <w:abstractNumId w:val="11"/>
  </w:num>
  <w:num w:numId="16" w16cid:durableId="1208295776">
    <w:abstractNumId w:val="10"/>
  </w:num>
  <w:num w:numId="17" w16cid:durableId="111548850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B9E"/>
    <w:rsid w:val="00032829"/>
    <w:rsid w:val="00040561"/>
    <w:rsid w:val="00070937"/>
    <w:rsid w:val="000806F4"/>
    <w:rsid w:val="00097EF6"/>
    <w:rsid w:val="000B0531"/>
    <w:rsid w:val="000B2D88"/>
    <w:rsid w:val="000B7559"/>
    <w:rsid w:val="000C79BB"/>
    <w:rsid w:val="000E0D15"/>
    <w:rsid w:val="000E7194"/>
    <w:rsid w:val="00105F31"/>
    <w:rsid w:val="00124CE6"/>
    <w:rsid w:val="00185703"/>
    <w:rsid w:val="001A065D"/>
    <w:rsid w:val="00236552"/>
    <w:rsid w:val="00255332"/>
    <w:rsid w:val="00281BB1"/>
    <w:rsid w:val="00290B1F"/>
    <w:rsid w:val="002D256F"/>
    <w:rsid w:val="0030096D"/>
    <w:rsid w:val="00317618"/>
    <w:rsid w:val="00327801"/>
    <w:rsid w:val="00346FD2"/>
    <w:rsid w:val="00370BFC"/>
    <w:rsid w:val="003D6BCF"/>
    <w:rsid w:val="003F5384"/>
    <w:rsid w:val="004073BC"/>
    <w:rsid w:val="00444AA1"/>
    <w:rsid w:val="004A59DD"/>
    <w:rsid w:val="004C004D"/>
    <w:rsid w:val="004C763F"/>
    <w:rsid w:val="004E0CE1"/>
    <w:rsid w:val="004E2348"/>
    <w:rsid w:val="00507E2D"/>
    <w:rsid w:val="00551989"/>
    <w:rsid w:val="005A355E"/>
    <w:rsid w:val="005D1213"/>
    <w:rsid w:val="006243FF"/>
    <w:rsid w:val="00633B25"/>
    <w:rsid w:val="006508D0"/>
    <w:rsid w:val="00660C79"/>
    <w:rsid w:val="006843BB"/>
    <w:rsid w:val="006A186F"/>
    <w:rsid w:val="006D16CE"/>
    <w:rsid w:val="007074BF"/>
    <w:rsid w:val="00725AFC"/>
    <w:rsid w:val="00767BCC"/>
    <w:rsid w:val="007753B8"/>
    <w:rsid w:val="007C3F12"/>
    <w:rsid w:val="007D441B"/>
    <w:rsid w:val="00801105"/>
    <w:rsid w:val="0080149B"/>
    <w:rsid w:val="00837CA1"/>
    <w:rsid w:val="00840E5C"/>
    <w:rsid w:val="00842760"/>
    <w:rsid w:val="00850058"/>
    <w:rsid w:val="00861B46"/>
    <w:rsid w:val="008C1A73"/>
    <w:rsid w:val="008D113C"/>
    <w:rsid w:val="008D376F"/>
    <w:rsid w:val="008F4733"/>
    <w:rsid w:val="00917BB1"/>
    <w:rsid w:val="00947485"/>
    <w:rsid w:val="00975D21"/>
    <w:rsid w:val="0097683C"/>
    <w:rsid w:val="00980531"/>
    <w:rsid w:val="009967EA"/>
    <w:rsid w:val="00996B32"/>
    <w:rsid w:val="009A240D"/>
    <w:rsid w:val="009F0D00"/>
    <w:rsid w:val="00A140BF"/>
    <w:rsid w:val="00A44B9E"/>
    <w:rsid w:val="00A4690A"/>
    <w:rsid w:val="00A70B32"/>
    <w:rsid w:val="00A77DCF"/>
    <w:rsid w:val="00A9349C"/>
    <w:rsid w:val="00AE068C"/>
    <w:rsid w:val="00B46E48"/>
    <w:rsid w:val="00B54CF4"/>
    <w:rsid w:val="00B728DE"/>
    <w:rsid w:val="00BF67F8"/>
    <w:rsid w:val="00C418FB"/>
    <w:rsid w:val="00C569B9"/>
    <w:rsid w:val="00CA5F71"/>
    <w:rsid w:val="00CC4E8F"/>
    <w:rsid w:val="00CD6AC0"/>
    <w:rsid w:val="00CF2981"/>
    <w:rsid w:val="00CF7EFB"/>
    <w:rsid w:val="00D35448"/>
    <w:rsid w:val="00D40523"/>
    <w:rsid w:val="00D9625A"/>
    <w:rsid w:val="00DC7D90"/>
    <w:rsid w:val="00E11A56"/>
    <w:rsid w:val="00E12C26"/>
    <w:rsid w:val="00E67C75"/>
    <w:rsid w:val="00E77FE5"/>
    <w:rsid w:val="00EA4502"/>
    <w:rsid w:val="00EC6A73"/>
    <w:rsid w:val="00ED082E"/>
    <w:rsid w:val="00F07048"/>
    <w:rsid w:val="00F15A28"/>
    <w:rsid w:val="00F27FC1"/>
    <w:rsid w:val="00F72274"/>
    <w:rsid w:val="00FF5D5A"/>
    <w:rsid w:val="5754033F"/>
    <w:rsid w:val="62D8E06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159A4D"/>
  <w15:chartTrackingRefBased/>
  <w15:docId w15:val="{5E2011D7-1BBF-4D33-862A-B540FDA4A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E2D"/>
    <w:pPr>
      <w:spacing w:line="360" w:lineRule="auto"/>
    </w:pPr>
    <w:rPr>
      <w:rFonts w:eastAsiaTheme="minorEastAsia"/>
    </w:rPr>
  </w:style>
  <w:style w:type="paragraph" w:styleId="Heading1">
    <w:name w:val="heading 1"/>
    <w:basedOn w:val="Normal"/>
    <w:next w:val="Normal"/>
    <w:link w:val="Heading1Char"/>
    <w:uiPriority w:val="9"/>
    <w:qFormat/>
    <w:rsid w:val="004C004D"/>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4C004D"/>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4C004D"/>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725AFC"/>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4C004D"/>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4C004D"/>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4C004D"/>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725AFC"/>
    <w:rPr>
      <w:rFonts w:asciiTheme="majorHAnsi" w:eastAsiaTheme="majorEastAsia" w:hAnsiTheme="majorHAnsi" w:cstheme="majorBidi"/>
      <w:b/>
      <w:iCs/>
    </w:rPr>
  </w:style>
  <w:style w:type="paragraph" w:customStyle="1" w:styleId="BodyText1">
    <w:name w:val="Body Text1"/>
    <w:basedOn w:val="Normal"/>
    <w:qFormat/>
    <w:rsid w:val="000B0531"/>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Title">
    <w:name w:val="Title"/>
    <w:basedOn w:val="Normal"/>
    <w:next w:val="Normal"/>
    <w:link w:val="TitleChar"/>
    <w:uiPriority w:val="10"/>
    <w:qFormat/>
    <w:rsid w:val="00A70B32"/>
    <w:pPr>
      <w:spacing w:line="240" w:lineRule="auto"/>
      <w:contextualSpacing/>
    </w:pPr>
    <w:rPr>
      <w:rFonts w:asciiTheme="majorHAnsi" w:eastAsiaTheme="majorEastAsia" w:hAnsiTheme="majorHAnsi" w:cstheme="majorBidi"/>
      <w:b/>
      <w:color w:val="FFFFFF" w:themeColor="background1"/>
      <w:spacing w:val="-10"/>
      <w:kern w:val="28"/>
      <w:sz w:val="84"/>
      <w:szCs w:val="56"/>
    </w:rPr>
  </w:style>
  <w:style w:type="character" w:customStyle="1" w:styleId="TitleChar">
    <w:name w:val="Title Char"/>
    <w:basedOn w:val="DefaultParagraphFont"/>
    <w:link w:val="Title"/>
    <w:uiPriority w:val="10"/>
    <w:rsid w:val="00A70B32"/>
    <w:rPr>
      <w:rFonts w:asciiTheme="majorHAnsi" w:eastAsiaTheme="majorEastAsia" w:hAnsiTheme="majorHAnsi" w:cstheme="majorBidi"/>
      <w:b/>
      <w:color w:val="FFFFFF" w:themeColor="background1"/>
      <w:spacing w:val="-10"/>
      <w:kern w:val="28"/>
      <w:sz w:val="84"/>
      <w:szCs w:val="56"/>
    </w:rPr>
  </w:style>
  <w:style w:type="paragraph" w:styleId="NormalWeb">
    <w:name w:val="Normal (Web)"/>
    <w:basedOn w:val="Normal"/>
    <w:uiPriority w:val="99"/>
    <w:semiHidden/>
    <w:unhideWhenUsed/>
    <w:rsid w:val="003D6BCF"/>
    <w:pPr>
      <w:spacing w:before="100" w:beforeAutospacing="1" w:after="100" w:afterAutospacing="1" w:line="240" w:lineRule="auto"/>
    </w:pPr>
    <w:rPr>
      <w:rFonts w:ascii="Times New Roman" w:eastAsia="Times New Roman" w:hAnsi="Times New Roman" w:cs="Times New Roman"/>
      <w:lang w:eastAsia="en-GB"/>
    </w:rPr>
  </w:style>
  <w:style w:type="paragraph" w:styleId="ListParagraph">
    <w:name w:val="List Paragraph"/>
    <w:basedOn w:val="Normal"/>
    <w:uiPriority w:val="34"/>
    <w:qFormat/>
    <w:rsid w:val="00A77D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82599">
      <w:bodyDiv w:val="1"/>
      <w:marLeft w:val="0"/>
      <w:marRight w:val="0"/>
      <w:marTop w:val="0"/>
      <w:marBottom w:val="0"/>
      <w:divBdr>
        <w:top w:val="none" w:sz="0" w:space="0" w:color="auto"/>
        <w:left w:val="none" w:sz="0" w:space="0" w:color="auto"/>
        <w:bottom w:val="none" w:sz="0" w:space="0" w:color="auto"/>
        <w:right w:val="none" w:sz="0" w:space="0" w:color="auto"/>
      </w:divBdr>
    </w:div>
    <w:div w:id="145031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land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Correctonguidancetracker xmlns="7dd4d6b0-2bd1-40f7-94aa-8d4785e7902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2.xml><?xml version="1.0" encoding="utf-8"?>
<ds:datastoreItem xmlns:ds="http://schemas.openxmlformats.org/officeDocument/2006/customXml" ds:itemID="{33881076-B4FF-447D-B178-0ED6394B04B6}">
  <ds:schemaRefs>
    <ds:schemaRef ds:uri="http://www.w3.org/XML/1998/namespace"/>
    <ds:schemaRef ds:uri="http://purl.org/dc/elements/1.1/"/>
    <ds:schemaRef ds:uri="http://purl.org/dc/dcmitype/"/>
    <ds:schemaRef ds:uri="http://schemas.microsoft.com/office/2006/documentManagement/types"/>
    <ds:schemaRef ds:uri="http://schemas.openxmlformats.org/package/2006/metadata/core-properties"/>
    <ds:schemaRef ds:uri="http://schemas.microsoft.com/office/2006/metadata/properties"/>
    <ds:schemaRef ds:uri="7dd4d6b0-2bd1-40f7-94aa-8d4785e79023"/>
    <ds:schemaRef ds:uri="http://schemas.microsoft.com/office/infopath/2007/PartnerControls"/>
    <ds:schemaRef ds:uri="ce5b52f7-9556-48ad-bf4f-1238de82834a"/>
    <ds:schemaRef ds:uri="http://purl.org/dc/terms/"/>
  </ds:schemaRefs>
</ds:datastoreItem>
</file>

<file path=customXml/itemProps3.xml><?xml version="1.0" encoding="utf-8"?>
<ds:datastoreItem xmlns:ds="http://schemas.openxmlformats.org/officeDocument/2006/customXml" ds:itemID="{C74928D6-9C21-4B68-80F6-B78C4AB089C8}">
  <ds:schemaRefs>
    <ds:schemaRef ds:uri="http://schemas.microsoft.com/sharepoint/v3/contenttype/forms"/>
  </ds:schemaRefs>
</ds:datastoreItem>
</file>

<file path=customXml/itemProps4.xml><?xml version="1.0" encoding="utf-8"?>
<ds:datastoreItem xmlns:ds="http://schemas.openxmlformats.org/officeDocument/2006/customXml" ds:itemID="{D139E4CE-6ED9-493E-A1F1-1CA37811A8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SEPA_word_template_land_cover</Template>
  <TotalTime>19</TotalTime>
  <Pages>4</Pages>
  <Words>615</Words>
  <Characters>3507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landfill@sepa.org.uk</dc:creator>
  <cp:keywords/>
  <dc:description/>
  <cp:lastModifiedBy>Summers, Lucy</cp:lastModifiedBy>
  <cp:revision>20</cp:revision>
  <cp:lastPrinted>2023-03-23T14:44:00Z</cp:lastPrinted>
  <dcterms:created xsi:type="dcterms:W3CDTF">2025-03-07T13:27:00Z</dcterms:created>
  <dcterms:modified xsi:type="dcterms:W3CDTF">2025-05-01T12:14:00Z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2023-07-28T13:46:39Z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b38c7c2d-4f2f-436d-8399-64ddd5771f68</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ef51aa4790c945b9a0419016f7ab6e29">
    <vt:lpwstr/>
  </property>
  <property fmtid="{D5CDD505-2E9C-101B-9397-08002B2CF9AE}" pid="21" name="ma72f8e6ceae418eb78a3347036104c1">
    <vt:lpwstr/>
  </property>
  <property fmtid="{D5CDD505-2E9C-101B-9397-08002B2CF9AE}" pid="22" name="oef38a18042f4301907f28c0522602c2">
    <vt:lpwstr/>
  </property>
  <property fmtid="{D5CDD505-2E9C-101B-9397-08002B2CF9AE}" pid="23" name="ee9e47817d504c689218031fd5e96151">
    <vt:lpwstr/>
  </property>
  <property fmtid="{D5CDD505-2E9C-101B-9397-08002B2CF9AE}" pid="24" name="sepaWaterbody">
    <vt:lpwstr/>
  </property>
  <property fmtid="{D5CDD505-2E9C-101B-9397-08002B2CF9AE}" pid="25" name="ne0f48cd5d0346faa88fbe934056f480">
    <vt:lpwstr/>
  </property>
  <property fmtid="{D5CDD505-2E9C-101B-9397-08002B2CF9AE}" pid="26" name="k30a802c90584b64ac3ae896c6a1ef3a">
    <vt:lpwstr/>
  </property>
  <property fmtid="{D5CDD505-2E9C-101B-9397-08002B2CF9AE}" pid="27" name="sepaLocationCode">
    <vt:lpwstr/>
  </property>
  <property fmtid="{D5CDD505-2E9C-101B-9397-08002B2CF9AE}" pid="28" name="sepaIAODept">
    <vt:lpwstr/>
  </property>
  <property fmtid="{D5CDD505-2E9C-101B-9397-08002B2CF9AE}" pid="29" name="sepaSector">
    <vt:lpwstr/>
  </property>
  <property fmtid="{D5CDD505-2E9C-101B-9397-08002B2CF9AE}" pid="30" name="sepaRegime">
    <vt:lpwstr/>
  </property>
</Properties>
</file>