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2394F" w14:textId="3AD119C3" w:rsidR="00EE0F3C" w:rsidRPr="000F0C25" w:rsidRDefault="00EE0F3C" w:rsidP="00EE0F3C">
      <w:pPr>
        <w:spacing w:after="308"/>
        <w:ind w:left="7814" w:right="135"/>
        <w:textAlignment w:val="baseline"/>
      </w:pPr>
      <w:r>
        <w:rPr>
          <w:noProof/>
        </w:rPr>
        <w:drawing>
          <wp:inline distT="0" distB="0" distL="0" distR="0" wp14:anchorId="5C1CF1EE" wp14:editId="0C96793E">
            <wp:extent cx="1353185" cy="123126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1353185" cy="1231265"/>
                    </a:xfrm>
                    <a:prstGeom prst="rect">
                      <a:avLst/>
                    </a:prstGeom>
                  </pic:spPr>
                </pic:pic>
              </a:graphicData>
            </a:graphic>
          </wp:inline>
        </w:drawing>
      </w:r>
    </w:p>
    <w:p w14:paraId="13D2DF50" w14:textId="0496695A" w:rsidR="00CD0A62" w:rsidRDefault="00CD0A62" w:rsidP="00CD0A62">
      <w:pPr>
        <w:spacing w:after="15"/>
      </w:pPr>
    </w:p>
    <w:p w14:paraId="42197322" w14:textId="327410D6" w:rsidR="00EE0F3C" w:rsidRPr="000F0C25" w:rsidRDefault="00496025" w:rsidP="00496025">
      <w:pPr>
        <w:spacing w:before="179" w:line="276" w:lineRule="auto"/>
        <w:ind w:left="142"/>
        <w:textAlignment w:val="baseline"/>
        <w:rPr>
          <w:rFonts w:ascii="Arial" w:eastAsia="Arial" w:hAnsi="Arial"/>
          <w:b/>
          <w:color w:val="062A4F"/>
          <w:spacing w:val="7"/>
          <w:w w:val="95"/>
          <w:sz w:val="52"/>
          <w:szCs w:val="52"/>
        </w:rPr>
      </w:pPr>
      <w:r w:rsidRPr="000F0C25">
        <w:rPr>
          <w:rFonts w:ascii="Arial" w:eastAsia="Arial" w:hAnsi="Arial"/>
          <w:b/>
          <w:color w:val="062A4F"/>
          <w:spacing w:val="7"/>
          <w:w w:val="95"/>
          <w:sz w:val="52"/>
          <w:szCs w:val="52"/>
          <w:lang w:val="en-US"/>
        </w:rPr>
        <w:t>AN</w:t>
      </w:r>
      <w:r w:rsidR="00EE0F3C" w:rsidRPr="000F0C25">
        <w:rPr>
          <w:rFonts w:ascii="Arial" w:eastAsia="Arial" w:hAnsi="Arial"/>
          <w:b/>
          <w:color w:val="062A4F"/>
          <w:spacing w:val="7"/>
          <w:w w:val="95"/>
          <w:sz w:val="52"/>
          <w:szCs w:val="52"/>
          <w:lang w:val="en-US"/>
        </w:rPr>
        <w:t>NUAL REPORT</w:t>
      </w:r>
      <w:r w:rsidRPr="000F0C25">
        <w:rPr>
          <w:rFonts w:ascii="Arial" w:eastAsia="Arial" w:hAnsi="Arial"/>
          <w:b/>
          <w:color w:val="062A4F"/>
          <w:spacing w:val="7"/>
          <w:w w:val="95"/>
          <w:sz w:val="52"/>
          <w:szCs w:val="52"/>
        </w:rPr>
        <w:t xml:space="preserve"> </w:t>
      </w:r>
      <w:r w:rsidR="00EE0F3C" w:rsidRPr="000F0C25">
        <w:rPr>
          <w:rFonts w:ascii="Arial" w:eastAsia="Arial" w:hAnsi="Arial"/>
          <w:b/>
          <w:color w:val="062A4F"/>
          <w:spacing w:val="6"/>
          <w:w w:val="95"/>
          <w:sz w:val="52"/>
          <w:szCs w:val="52"/>
          <w:lang w:val="en-US"/>
        </w:rPr>
        <w:t>AND ACCOUNTS</w:t>
      </w:r>
    </w:p>
    <w:p w14:paraId="6562B631" w14:textId="1C8749AC" w:rsidR="00EE0F3C" w:rsidRDefault="00CC5765" w:rsidP="00496025">
      <w:pPr>
        <w:spacing w:after="109" w:line="276" w:lineRule="auto"/>
        <w:ind w:left="142"/>
        <w:textAlignment w:val="baseline"/>
        <w:rPr>
          <w:rFonts w:ascii="Arial" w:eastAsia="Tahoma" w:hAnsi="Arial" w:cs="Arial"/>
          <w:b/>
          <w:color w:val="6EAA4F"/>
          <w:spacing w:val="19"/>
          <w:w w:val="95"/>
          <w:sz w:val="48"/>
          <w:szCs w:val="48"/>
          <w:lang w:val="en-US"/>
        </w:rPr>
      </w:pPr>
      <w:r w:rsidRPr="000F0C25">
        <w:rPr>
          <w:rFonts w:ascii="Arial" w:eastAsia="Tahoma" w:hAnsi="Arial" w:cs="Arial"/>
          <w:b/>
          <w:color w:val="6EAA4F"/>
          <w:spacing w:val="19"/>
          <w:w w:val="95"/>
          <w:sz w:val="48"/>
          <w:szCs w:val="48"/>
          <w:lang w:val="en-US"/>
        </w:rPr>
        <w:t>20</w:t>
      </w:r>
      <w:r w:rsidR="00D07303">
        <w:rPr>
          <w:rFonts w:ascii="Arial" w:eastAsia="Tahoma" w:hAnsi="Arial" w:cs="Arial"/>
          <w:b/>
          <w:color w:val="6EAA4F"/>
          <w:spacing w:val="19"/>
          <w:w w:val="95"/>
          <w:sz w:val="48"/>
          <w:szCs w:val="48"/>
          <w:lang w:val="en-US"/>
        </w:rPr>
        <w:t>2</w:t>
      </w:r>
      <w:r w:rsidR="004E0145">
        <w:rPr>
          <w:rFonts w:ascii="Arial" w:eastAsia="Tahoma" w:hAnsi="Arial" w:cs="Arial"/>
          <w:b/>
          <w:color w:val="6EAA4F"/>
          <w:spacing w:val="19"/>
          <w:w w:val="95"/>
          <w:sz w:val="48"/>
          <w:szCs w:val="48"/>
          <w:lang w:val="en-US"/>
        </w:rPr>
        <w:t>1</w:t>
      </w:r>
      <w:r w:rsidR="002721F8">
        <w:rPr>
          <w:rFonts w:ascii="Arial" w:eastAsia="Tahoma" w:hAnsi="Arial" w:cs="Arial"/>
          <w:b/>
          <w:color w:val="6EAA4F"/>
          <w:spacing w:val="19"/>
          <w:w w:val="95"/>
          <w:sz w:val="48"/>
          <w:szCs w:val="48"/>
          <w:lang w:val="en-US"/>
        </w:rPr>
        <w:t>/</w:t>
      </w:r>
      <w:r w:rsidRPr="000F0C25">
        <w:rPr>
          <w:rFonts w:ascii="Arial" w:eastAsia="Tahoma" w:hAnsi="Arial" w:cs="Arial"/>
          <w:b/>
          <w:color w:val="6EAA4F"/>
          <w:spacing w:val="19"/>
          <w:w w:val="95"/>
          <w:sz w:val="48"/>
          <w:szCs w:val="48"/>
          <w:lang w:val="en-US"/>
        </w:rPr>
        <w:t>202</w:t>
      </w:r>
      <w:r w:rsidR="004E0145">
        <w:rPr>
          <w:rFonts w:ascii="Arial" w:eastAsia="Tahoma" w:hAnsi="Arial" w:cs="Arial"/>
          <w:b/>
          <w:color w:val="6EAA4F"/>
          <w:spacing w:val="19"/>
          <w:w w:val="95"/>
          <w:sz w:val="48"/>
          <w:szCs w:val="48"/>
          <w:lang w:val="en-US"/>
        </w:rPr>
        <w:t>2</w:t>
      </w:r>
    </w:p>
    <w:p w14:paraId="28107E1B" w14:textId="77777777" w:rsidR="00CF606D" w:rsidRDefault="00CF606D" w:rsidP="00496025">
      <w:pPr>
        <w:spacing w:after="109" w:line="276" w:lineRule="auto"/>
        <w:ind w:left="142"/>
        <w:textAlignment w:val="baseline"/>
        <w:rPr>
          <w:rFonts w:ascii="Arial" w:eastAsia="Tahoma" w:hAnsi="Arial" w:cs="Arial"/>
          <w:b/>
          <w:color w:val="6EAA4F"/>
          <w:spacing w:val="19"/>
          <w:w w:val="95"/>
          <w:sz w:val="48"/>
          <w:szCs w:val="48"/>
          <w:lang w:val="en-US"/>
        </w:rPr>
      </w:pPr>
    </w:p>
    <w:p w14:paraId="4B8FDB23" w14:textId="270FE4AE" w:rsidR="00CD0A62" w:rsidRPr="000F0C25" w:rsidRDefault="00C36806" w:rsidP="00496025">
      <w:pPr>
        <w:spacing w:after="109" w:line="276" w:lineRule="auto"/>
        <w:ind w:left="142"/>
        <w:textAlignment w:val="baseline"/>
        <w:rPr>
          <w:rFonts w:ascii="Arial" w:eastAsia="Tahoma" w:hAnsi="Arial" w:cs="Arial"/>
          <w:b/>
          <w:color w:val="6EAA4F"/>
          <w:spacing w:val="19"/>
          <w:w w:val="95"/>
          <w:sz w:val="48"/>
          <w:szCs w:val="48"/>
        </w:rPr>
      </w:pPr>
      <w:r>
        <w:rPr>
          <w:rFonts w:ascii="Arial" w:eastAsia="Tahoma" w:hAnsi="Arial" w:cs="Arial"/>
          <w:b/>
          <w:noProof/>
          <w:color w:val="6EAA4F"/>
          <w:spacing w:val="19"/>
          <w:w w:val="95"/>
          <w:sz w:val="48"/>
          <w:szCs w:val="48"/>
        </w:rPr>
        <w:drawing>
          <wp:inline distT="0" distB="0" distL="0" distR="0" wp14:anchorId="27C4A328" wp14:editId="3318A71C">
            <wp:extent cx="6115347" cy="4125432"/>
            <wp:effectExtent l="0" t="0" r="0" b="8890"/>
            <wp:docPr id="4" name="Picture 4" descr="A firefighter putting out a f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irefighter putting out a fire&#10;&#10;Description automatically generated with medium confidence"/>
                    <pic:cNvPicPr/>
                  </pic:nvPicPr>
                  <pic:blipFill>
                    <a:blip r:embed="rId12"/>
                    <a:stretch>
                      <a:fillRect/>
                    </a:stretch>
                  </pic:blipFill>
                  <pic:spPr>
                    <a:xfrm>
                      <a:off x="0" y="0"/>
                      <a:ext cx="6121664" cy="4129693"/>
                    </a:xfrm>
                    <a:prstGeom prst="rect">
                      <a:avLst/>
                    </a:prstGeom>
                  </pic:spPr>
                </pic:pic>
              </a:graphicData>
            </a:graphic>
          </wp:inline>
        </w:drawing>
      </w:r>
    </w:p>
    <w:p w14:paraId="11C3A64D" w14:textId="5E6A76CA" w:rsidR="009227AB" w:rsidRDefault="009227AB" w:rsidP="00EE0F3C">
      <w:pPr>
        <w:spacing w:after="15"/>
      </w:pPr>
    </w:p>
    <w:p w14:paraId="355BFE7F" w14:textId="3690188E" w:rsidR="009227AB" w:rsidRDefault="009227AB" w:rsidP="00EE0F3C">
      <w:pPr>
        <w:spacing w:after="15"/>
      </w:pPr>
    </w:p>
    <w:p w14:paraId="510AE26A" w14:textId="5CECE01A" w:rsidR="009227AB" w:rsidRDefault="009227AB" w:rsidP="00EE0F3C">
      <w:pPr>
        <w:spacing w:after="15"/>
      </w:pPr>
    </w:p>
    <w:p w14:paraId="065E200A" w14:textId="72112141" w:rsidR="009227AB" w:rsidRDefault="009227AB" w:rsidP="00EE0F3C">
      <w:pPr>
        <w:spacing w:after="15"/>
      </w:pPr>
    </w:p>
    <w:p w14:paraId="743A9A54" w14:textId="654AEFF3" w:rsidR="009227AB" w:rsidRDefault="009227AB" w:rsidP="00EE0F3C">
      <w:pPr>
        <w:spacing w:after="15"/>
      </w:pPr>
    </w:p>
    <w:p w14:paraId="06E42834" w14:textId="265708AC" w:rsidR="009227AB" w:rsidRDefault="009227AB" w:rsidP="00EE0F3C">
      <w:pPr>
        <w:spacing w:after="15"/>
      </w:pPr>
    </w:p>
    <w:p w14:paraId="73F46601" w14:textId="1398AA02" w:rsidR="009227AB" w:rsidRPr="000F0C25" w:rsidRDefault="009227AB" w:rsidP="00EE0F3C">
      <w:pPr>
        <w:spacing w:after="15"/>
        <w:sectPr w:rsidR="009227AB" w:rsidRPr="000F0C25" w:rsidSect="00496025">
          <w:headerReference w:type="default" r:id="rId13"/>
          <w:footerReference w:type="default" r:id="rId14"/>
          <w:headerReference w:type="first" r:id="rId15"/>
          <w:type w:val="continuous"/>
          <w:pgSz w:w="11909" w:h="16838"/>
          <w:pgMar w:top="480" w:right="835" w:bottom="702" w:left="994" w:header="720" w:footer="720" w:gutter="0"/>
          <w:cols w:space="720"/>
          <w:titlePg/>
          <w:docGrid w:linePitch="326"/>
        </w:sectPr>
      </w:pPr>
    </w:p>
    <w:p w14:paraId="73337DC3" w14:textId="77777777" w:rsidR="00E32063" w:rsidRDefault="00E32063" w:rsidP="00E32063">
      <w:pPr>
        <w:spacing w:after="15"/>
      </w:pPr>
    </w:p>
    <w:p w14:paraId="46230D16" w14:textId="61843DB7" w:rsidR="00AB2524" w:rsidRDefault="00AB2524" w:rsidP="00B7719F">
      <w:pPr>
        <w:spacing w:line="360" w:lineRule="auto"/>
        <w:ind w:left="74" w:right="792"/>
        <w:textAlignment w:val="baseline"/>
        <w:rPr>
          <w:rFonts w:ascii="Arial" w:eastAsia="Arial Narrow" w:hAnsi="Arial" w:cs="Arial"/>
          <w:lang w:val="en-US"/>
        </w:rPr>
      </w:pPr>
    </w:p>
    <w:p w14:paraId="294073D1" w14:textId="28A7E6B4" w:rsidR="00E32063" w:rsidRDefault="00E32063" w:rsidP="00B7719F">
      <w:pPr>
        <w:spacing w:line="360" w:lineRule="auto"/>
        <w:ind w:left="74" w:right="792"/>
        <w:textAlignment w:val="baseline"/>
        <w:rPr>
          <w:rFonts w:ascii="Arial" w:eastAsia="Arial Narrow" w:hAnsi="Arial" w:cs="Arial"/>
          <w:lang w:val="en-US"/>
        </w:rPr>
      </w:pPr>
    </w:p>
    <w:p w14:paraId="4C4A4FB2" w14:textId="59E0445E" w:rsidR="00E32063" w:rsidRDefault="00E32063" w:rsidP="00B7719F">
      <w:pPr>
        <w:spacing w:line="360" w:lineRule="auto"/>
        <w:ind w:left="74" w:right="792"/>
        <w:textAlignment w:val="baseline"/>
        <w:rPr>
          <w:rFonts w:ascii="Arial" w:eastAsia="Arial Narrow" w:hAnsi="Arial" w:cs="Arial"/>
          <w:lang w:val="en-US"/>
        </w:rPr>
      </w:pPr>
    </w:p>
    <w:p w14:paraId="0BABA8C9" w14:textId="5376EA4E" w:rsidR="00E32063" w:rsidRDefault="00E32063" w:rsidP="00B7719F">
      <w:pPr>
        <w:spacing w:line="360" w:lineRule="auto"/>
        <w:ind w:left="74" w:right="792"/>
        <w:textAlignment w:val="baseline"/>
        <w:rPr>
          <w:rFonts w:ascii="Arial" w:eastAsia="Arial Narrow" w:hAnsi="Arial" w:cs="Arial"/>
          <w:lang w:val="en-US"/>
        </w:rPr>
      </w:pPr>
    </w:p>
    <w:p w14:paraId="14079086" w14:textId="01402486" w:rsidR="00E32063" w:rsidRDefault="00E32063" w:rsidP="00B7719F">
      <w:pPr>
        <w:spacing w:line="360" w:lineRule="auto"/>
        <w:ind w:left="74" w:right="792"/>
        <w:textAlignment w:val="baseline"/>
        <w:rPr>
          <w:rFonts w:ascii="Arial" w:eastAsia="Arial Narrow" w:hAnsi="Arial" w:cs="Arial"/>
          <w:lang w:val="en-US"/>
        </w:rPr>
      </w:pPr>
    </w:p>
    <w:p w14:paraId="14C5D2DE" w14:textId="04374C3F" w:rsidR="00E32063" w:rsidRDefault="00E32063" w:rsidP="00B7719F">
      <w:pPr>
        <w:spacing w:line="360" w:lineRule="auto"/>
        <w:ind w:left="74" w:right="792"/>
        <w:textAlignment w:val="baseline"/>
        <w:rPr>
          <w:rFonts w:ascii="Arial" w:eastAsia="Arial Narrow" w:hAnsi="Arial" w:cs="Arial"/>
          <w:lang w:val="en-US"/>
        </w:rPr>
      </w:pPr>
    </w:p>
    <w:p w14:paraId="5874B157" w14:textId="0FC42B64" w:rsidR="00E32063" w:rsidRDefault="00E32063" w:rsidP="00B7719F">
      <w:pPr>
        <w:spacing w:line="360" w:lineRule="auto"/>
        <w:ind w:left="74" w:right="792"/>
        <w:textAlignment w:val="baseline"/>
        <w:rPr>
          <w:rFonts w:ascii="Arial" w:eastAsia="Arial Narrow" w:hAnsi="Arial" w:cs="Arial"/>
          <w:lang w:val="en-US"/>
        </w:rPr>
      </w:pPr>
    </w:p>
    <w:p w14:paraId="73C14FC6" w14:textId="5A1E64D3" w:rsidR="00E32063" w:rsidRDefault="00E32063" w:rsidP="00B7719F">
      <w:pPr>
        <w:spacing w:line="360" w:lineRule="auto"/>
        <w:ind w:left="74" w:right="792"/>
        <w:textAlignment w:val="baseline"/>
        <w:rPr>
          <w:rFonts w:ascii="Arial" w:eastAsia="Arial Narrow" w:hAnsi="Arial" w:cs="Arial"/>
          <w:lang w:val="en-US"/>
        </w:rPr>
      </w:pPr>
    </w:p>
    <w:p w14:paraId="5B0EE345" w14:textId="6531A821" w:rsidR="00E32063" w:rsidRDefault="00E32063" w:rsidP="00B7719F">
      <w:pPr>
        <w:spacing w:line="360" w:lineRule="auto"/>
        <w:ind w:left="74" w:right="792"/>
        <w:textAlignment w:val="baseline"/>
        <w:rPr>
          <w:rFonts w:ascii="Arial" w:eastAsia="Arial Narrow" w:hAnsi="Arial" w:cs="Arial"/>
          <w:lang w:val="en-US"/>
        </w:rPr>
      </w:pPr>
    </w:p>
    <w:p w14:paraId="3D0BE091" w14:textId="0BB2E7B5" w:rsidR="00E32063" w:rsidRDefault="00E32063" w:rsidP="00B7719F">
      <w:pPr>
        <w:spacing w:line="360" w:lineRule="auto"/>
        <w:ind w:left="74" w:right="792"/>
        <w:textAlignment w:val="baseline"/>
        <w:rPr>
          <w:rFonts w:ascii="Arial" w:eastAsia="Arial Narrow" w:hAnsi="Arial" w:cs="Arial"/>
          <w:lang w:val="en-US"/>
        </w:rPr>
      </w:pPr>
    </w:p>
    <w:p w14:paraId="696FB3BD" w14:textId="77777777" w:rsidR="00E32063" w:rsidRDefault="00E32063" w:rsidP="00B7719F">
      <w:pPr>
        <w:spacing w:line="360" w:lineRule="auto"/>
        <w:ind w:left="74" w:right="792"/>
        <w:textAlignment w:val="baseline"/>
        <w:rPr>
          <w:rFonts w:ascii="Arial" w:eastAsia="Arial Narrow" w:hAnsi="Arial" w:cs="Arial"/>
          <w:lang w:val="en-US"/>
        </w:rPr>
      </w:pPr>
    </w:p>
    <w:p w14:paraId="2EC3D6A0" w14:textId="77777777" w:rsidR="00D20D43" w:rsidRDefault="00D20D43" w:rsidP="00B7719F">
      <w:pPr>
        <w:spacing w:line="360" w:lineRule="auto"/>
        <w:ind w:left="74" w:right="792"/>
        <w:textAlignment w:val="baseline"/>
        <w:rPr>
          <w:rFonts w:ascii="Arial" w:eastAsia="Arial Narrow" w:hAnsi="Arial" w:cs="Arial"/>
          <w:lang w:val="en-US"/>
        </w:rPr>
      </w:pPr>
    </w:p>
    <w:p w14:paraId="631EBF80" w14:textId="77777777" w:rsidR="00D20D43" w:rsidRDefault="00D20D43" w:rsidP="00B7719F">
      <w:pPr>
        <w:spacing w:line="360" w:lineRule="auto"/>
        <w:ind w:left="74" w:right="792"/>
        <w:textAlignment w:val="baseline"/>
        <w:rPr>
          <w:rFonts w:ascii="Arial" w:eastAsia="Arial Narrow" w:hAnsi="Arial" w:cs="Arial"/>
          <w:lang w:val="en-US"/>
        </w:rPr>
      </w:pPr>
    </w:p>
    <w:p w14:paraId="3EFC8FCD" w14:textId="77777777" w:rsidR="00D20D43" w:rsidRDefault="00D20D43" w:rsidP="00B7719F">
      <w:pPr>
        <w:spacing w:line="360" w:lineRule="auto"/>
        <w:ind w:left="74" w:right="792"/>
        <w:textAlignment w:val="baseline"/>
        <w:rPr>
          <w:rFonts w:ascii="Arial" w:eastAsia="Arial Narrow" w:hAnsi="Arial" w:cs="Arial"/>
          <w:lang w:val="en-US"/>
        </w:rPr>
      </w:pPr>
    </w:p>
    <w:p w14:paraId="0E1EACBA" w14:textId="77777777" w:rsidR="00D20D43" w:rsidRDefault="00D20D43" w:rsidP="00B7719F">
      <w:pPr>
        <w:spacing w:line="360" w:lineRule="auto"/>
        <w:ind w:left="74" w:right="792"/>
        <w:textAlignment w:val="baseline"/>
        <w:rPr>
          <w:rFonts w:ascii="Arial" w:eastAsia="Arial Narrow" w:hAnsi="Arial" w:cs="Arial"/>
          <w:lang w:val="en-US"/>
        </w:rPr>
      </w:pPr>
    </w:p>
    <w:p w14:paraId="0ED443D8" w14:textId="77777777" w:rsidR="00D20D43" w:rsidRDefault="00D20D43" w:rsidP="00B7719F">
      <w:pPr>
        <w:spacing w:line="360" w:lineRule="auto"/>
        <w:ind w:left="74" w:right="792"/>
        <w:textAlignment w:val="baseline"/>
        <w:rPr>
          <w:rFonts w:ascii="Arial" w:eastAsia="Arial Narrow" w:hAnsi="Arial" w:cs="Arial"/>
          <w:lang w:val="en-US"/>
        </w:rPr>
      </w:pPr>
    </w:p>
    <w:p w14:paraId="0263DB85" w14:textId="77777777" w:rsidR="00D20D43" w:rsidRDefault="00D20D43" w:rsidP="00B7719F">
      <w:pPr>
        <w:spacing w:line="360" w:lineRule="auto"/>
        <w:ind w:left="74" w:right="792"/>
        <w:textAlignment w:val="baseline"/>
        <w:rPr>
          <w:rFonts w:ascii="Arial" w:eastAsia="Arial Narrow" w:hAnsi="Arial" w:cs="Arial"/>
          <w:lang w:val="en-US"/>
        </w:rPr>
      </w:pPr>
    </w:p>
    <w:p w14:paraId="4D8E69F2" w14:textId="77777777" w:rsidR="00D20D43" w:rsidRDefault="00D20D43" w:rsidP="00B7719F">
      <w:pPr>
        <w:spacing w:line="360" w:lineRule="auto"/>
        <w:ind w:left="74" w:right="792"/>
        <w:textAlignment w:val="baseline"/>
        <w:rPr>
          <w:rFonts w:ascii="Arial" w:eastAsia="Arial Narrow" w:hAnsi="Arial" w:cs="Arial"/>
          <w:lang w:val="en-US"/>
        </w:rPr>
      </w:pPr>
    </w:p>
    <w:p w14:paraId="25E11512" w14:textId="77777777" w:rsidR="00D20D43" w:rsidRDefault="00D20D43" w:rsidP="00B7719F">
      <w:pPr>
        <w:spacing w:line="360" w:lineRule="auto"/>
        <w:ind w:left="74" w:right="792"/>
        <w:textAlignment w:val="baseline"/>
        <w:rPr>
          <w:rFonts w:ascii="Arial" w:eastAsia="Arial Narrow" w:hAnsi="Arial" w:cs="Arial"/>
          <w:lang w:val="en-US"/>
        </w:rPr>
      </w:pPr>
    </w:p>
    <w:p w14:paraId="5D3F9972" w14:textId="2DA2E913" w:rsidR="00EE0F3C" w:rsidRDefault="00EE0F3C" w:rsidP="00B7719F">
      <w:pPr>
        <w:spacing w:line="360" w:lineRule="auto"/>
        <w:ind w:left="74" w:right="792"/>
        <w:textAlignment w:val="baseline"/>
        <w:rPr>
          <w:rFonts w:ascii="Arial" w:eastAsia="Arial Narrow" w:hAnsi="Arial" w:cs="Arial"/>
          <w:lang w:val="en-US"/>
        </w:rPr>
      </w:pPr>
      <w:r w:rsidRPr="000F0C25">
        <w:rPr>
          <w:rFonts w:ascii="Arial" w:eastAsia="Arial Narrow" w:hAnsi="Arial" w:cs="Arial"/>
          <w:lang w:val="en-US"/>
        </w:rPr>
        <w:t xml:space="preserve">For information on accessing this document in an alternative format or language please </w:t>
      </w:r>
      <w:r w:rsidR="00F649AE">
        <w:rPr>
          <w:rFonts w:ascii="Arial" w:eastAsia="Arial Narrow" w:hAnsi="Arial" w:cs="Arial"/>
          <w:lang w:val="en-US"/>
        </w:rPr>
        <w:t xml:space="preserve">either </w:t>
      </w:r>
      <w:r w:rsidR="000C6600">
        <w:rPr>
          <w:rFonts w:ascii="Arial" w:eastAsia="Arial Narrow" w:hAnsi="Arial" w:cs="Arial"/>
          <w:lang w:val="en-US"/>
        </w:rPr>
        <w:t>contact SEPA by</w:t>
      </w:r>
      <w:r w:rsidR="00F649AE">
        <w:rPr>
          <w:rFonts w:ascii="Arial" w:eastAsia="Arial Narrow" w:hAnsi="Arial" w:cs="Arial"/>
          <w:lang w:val="en-US"/>
        </w:rPr>
        <w:t xml:space="preserve"> telephone on 03000</w:t>
      </w:r>
      <w:r w:rsidR="00F0493F">
        <w:rPr>
          <w:rFonts w:ascii="Arial" w:eastAsia="Arial Narrow" w:hAnsi="Arial" w:cs="Arial"/>
          <w:lang w:val="en-US"/>
        </w:rPr>
        <w:t xml:space="preserve"> 99 66 99 or by</w:t>
      </w:r>
      <w:r w:rsidR="000C6600">
        <w:rPr>
          <w:rFonts w:ascii="Arial" w:eastAsia="Arial Narrow" w:hAnsi="Arial" w:cs="Arial"/>
          <w:lang w:val="en-US"/>
        </w:rPr>
        <w:t xml:space="preserve"> emai</w:t>
      </w:r>
      <w:r w:rsidR="00D52AC3">
        <w:rPr>
          <w:rFonts w:ascii="Arial" w:eastAsia="Arial Narrow" w:hAnsi="Arial" w:cs="Arial"/>
          <w:lang w:val="en-US"/>
        </w:rPr>
        <w:t xml:space="preserve">l to </w:t>
      </w:r>
      <w:hyperlink r:id="rId16" w:history="1">
        <w:r w:rsidR="00D52AC3" w:rsidRPr="00451CBF">
          <w:rPr>
            <w:rStyle w:val="Hyperlink"/>
            <w:rFonts w:ascii="Arial" w:eastAsia="Arial Narrow" w:hAnsi="Arial" w:cs="Arial"/>
            <w:lang w:val="en-US"/>
          </w:rPr>
          <w:t>equalities@sepa.org.uk</w:t>
        </w:r>
      </w:hyperlink>
    </w:p>
    <w:p w14:paraId="117B89AF" w14:textId="77777777" w:rsidR="006D7BE6" w:rsidRPr="000F0C25" w:rsidRDefault="006D7BE6" w:rsidP="00B7719F">
      <w:pPr>
        <w:spacing w:line="360" w:lineRule="auto"/>
        <w:ind w:left="74" w:right="792"/>
        <w:textAlignment w:val="baseline"/>
        <w:rPr>
          <w:rFonts w:ascii="Arial" w:eastAsia="Arial Narrow" w:hAnsi="Arial" w:cs="Arial"/>
        </w:rPr>
      </w:pPr>
    </w:p>
    <w:p w14:paraId="3A14EF1C" w14:textId="4B4BC1C9" w:rsidR="00EE0F3C" w:rsidRDefault="00EE0F3C" w:rsidP="00B7719F">
      <w:pPr>
        <w:spacing w:line="360" w:lineRule="auto"/>
        <w:ind w:left="74" w:right="216"/>
        <w:textAlignment w:val="baseline"/>
        <w:rPr>
          <w:rFonts w:ascii="Arial" w:eastAsia="Arial Narrow" w:hAnsi="Arial" w:cs="Arial"/>
          <w:lang w:val="en-US"/>
        </w:rPr>
      </w:pPr>
      <w:r w:rsidRPr="000F0C25">
        <w:rPr>
          <w:rFonts w:ascii="Arial" w:eastAsia="Arial Narrow" w:hAnsi="Arial" w:cs="Arial"/>
          <w:lang w:val="en-US"/>
        </w:rPr>
        <w:t>If you are a user of British Sign Language (BSL)</w:t>
      </w:r>
      <w:r w:rsidR="000C6600">
        <w:rPr>
          <w:rFonts w:ascii="Arial" w:eastAsia="Arial Narrow" w:hAnsi="Arial" w:cs="Arial"/>
          <w:lang w:val="en-US"/>
        </w:rPr>
        <w:t>,</w:t>
      </w:r>
      <w:r w:rsidRPr="000F0C25">
        <w:rPr>
          <w:rFonts w:ascii="Arial" w:eastAsia="Arial Narrow" w:hAnsi="Arial" w:cs="Arial"/>
          <w:lang w:val="en-US"/>
        </w:rPr>
        <w:t xml:space="preserve"> the Contact Scotland BSL service gives you access to an online interpreter enabling you to communicate with us using sign language.</w:t>
      </w:r>
      <w:r w:rsidR="000C6600">
        <w:rPr>
          <w:rFonts w:ascii="Arial" w:eastAsia="Arial Narrow" w:hAnsi="Arial" w:cs="Arial"/>
        </w:rPr>
        <w:t xml:space="preserve"> </w:t>
      </w:r>
      <w:hyperlink r:id="rId17" w:history="1">
        <w:r w:rsidR="000C6600" w:rsidRPr="007543E2">
          <w:rPr>
            <w:rStyle w:val="Hyperlink"/>
            <w:rFonts w:ascii="Arial" w:eastAsia="Arial Narrow" w:hAnsi="Arial" w:cs="Arial"/>
            <w:lang w:val="en-US"/>
          </w:rPr>
          <w:t>http://contactscotland-bsl.org/</w:t>
        </w:r>
      </w:hyperlink>
      <w:r w:rsidR="00496025" w:rsidRPr="000F0C25">
        <w:rPr>
          <w:rFonts w:ascii="Arial" w:eastAsia="Arial Narrow" w:hAnsi="Arial" w:cs="Arial"/>
          <w:lang w:val="en-US"/>
        </w:rPr>
        <w:t xml:space="preserve"> </w:t>
      </w:r>
    </w:p>
    <w:p w14:paraId="516C8B35" w14:textId="77777777" w:rsidR="006D7BE6" w:rsidRPr="000C6600" w:rsidRDefault="006D7BE6" w:rsidP="00B7719F">
      <w:pPr>
        <w:spacing w:line="360" w:lineRule="auto"/>
        <w:ind w:left="74" w:right="216"/>
        <w:textAlignment w:val="baseline"/>
        <w:rPr>
          <w:rFonts w:ascii="Arial" w:eastAsia="Arial Narrow" w:hAnsi="Arial" w:cs="Arial"/>
        </w:rPr>
      </w:pPr>
    </w:p>
    <w:p w14:paraId="5025E800" w14:textId="0D6F6D16" w:rsidR="00EE0F3C" w:rsidRDefault="007A415D" w:rsidP="00B7719F">
      <w:pPr>
        <w:spacing w:line="360" w:lineRule="auto"/>
        <w:ind w:left="74" w:right="216"/>
        <w:textAlignment w:val="baseline"/>
        <w:rPr>
          <w:rFonts w:ascii="Arial" w:eastAsia="Arial Narrow" w:hAnsi="Arial" w:cs="Arial"/>
          <w:lang w:val="en-US"/>
        </w:rPr>
      </w:pPr>
      <w:r w:rsidRPr="0006405D">
        <w:rPr>
          <w:rFonts w:ascii="Arial" w:eastAsia="Arial Narrow" w:hAnsi="Arial" w:cs="Arial"/>
          <w:lang w:val="en-US"/>
        </w:rPr>
        <w:t>SG/</w:t>
      </w:r>
      <w:r w:rsidR="0006405D" w:rsidRPr="0006405D">
        <w:rPr>
          <w:rFonts w:ascii="Arial" w:eastAsia="Arial Narrow" w:hAnsi="Arial" w:cs="Arial"/>
          <w:lang w:val="en-US"/>
        </w:rPr>
        <w:t>2022</w:t>
      </w:r>
      <w:r w:rsidRPr="0006405D">
        <w:rPr>
          <w:rFonts w:ascii="Arial" w:eastAsia="Arial Narrow" w:hAnsi="Arial" w:cs="Arial"/>
          <w:lang w:val="en-US"/>
        </w:rPr>
        <w:t>/</w:t>
      </w:r>
      <w:r w:rsidR="0006405D" w:rsidRPr="0006405D">
        <w:rPr>
          <w:rFonts w:ascii="Arial" w:eastAsia="Arial Narrow" w:hAnsi="Arial" w:cs="Arial"/>
          <w:lang w:val="en-US"/>
        </w:rPr>
        <w:t>266</w:t>
      </w:r>
      <w:r w:rsidR="00E60FFB" w:rsidRPr="000F0C25">
        <w:rPr>
          <w:rFonts w:ascii="Arial" w:eastAsia="Arial Narrow" w:hAnsi="Arial" w:cs="Arial"/>
          <w:lang w:val="en-US"/>
        </w:rPr>
        <w:t xml:space="preserve"> </w:t>
      </w:r>
      <w:r w:rsidR="00EE0F3C" w:rsidRPr="000F0C25">
        <w:rPr>
          <w:rFonts w:ascii="Arial" w:eastAsia="Arial Narrow" w:hAnsi="Arial" w:cs="Arial"/>
          <w:lang w:val="en-US"/>
        </w:rPr>
        <w:t>Laid before the Scottish Parliament by the Cabinet Secretary for the Environment, Climate Change</w:t>
      </w:r>
      <w:r w:rsidR="00592573">
        <w:rPr>
          <w:rFonts w:ascii="Arial" w:eastAsia="Arial Narrow" w:hAnsi="Arial" w:cs="Arial"/>
          <w:lang w:val="en-US"/>
        </w:rPr>
        <w:t>,</w:t>
      </w:r>
      <w:r w:rsidR="00EE0F3C" w:rsidRPr="000F0C25">
        <w:rPr>
          <w:rFonts w:ascii="Arial" w:eastAsia="Arial Narrow" w:hAnsi="Arial" w:cs="Arial"/>
          <w:lang w:val="en-US"/>
        </w:rPr>
        <w:t xml:space="preserve"> and Land Reform in pursuance of Section 46 of the Environment Act 1995.</w:t>
      </w:r>
    </w:p>
    <w:p w14:paraId="4C0B9E3D" w14:textId="77777777" w:rsidR="006D7BE6" w:rsidRPr="000F0C25" w:rsidRDefault="006D7BE6" w:rsidP="00B7719F">
      <w:pPr>
        <w:spacing w:line="360" w:lineRule="auto"/>
        <w:ind w:left="74" w:right="216"/>
        <w:textAlignment w:val="baseline"/>
        <w:rPr>
          <w:rFonts w:ascii="Arial" w:eastAsia="Arial Narrow" w:hAnsi="Arial" w:cs="Arial"/>
          <w:lang w:val="en-US"/>
        </w:rPr>
      </w:pPr>
    </w:p>
    <w:p w14:paraId="1FC5BDB0" w14:textId="2041231F" w:rsidR="006D7BE6" w:rsidRPr="00C259A6" w:rsidRDefault="00EE0F3C" w:rsidP="00C259A6">
      <w:pPr>
        <w:spacing w:line="360" w:lineRule="auto"/>
        <w:ind w:left="74" w:right="216"/>
        <w:textAlignment w:val="baseline"/>
        <w:rPr>
          <w:rFonts w:ascii="Arial" w:eastAsia="Arial Narrow" w:hAnsi="Arial" w:cs="Arial"/>
          <w:lang w:val="en-US"/>
        </w:rPr>
      </w:pPr>
      <w:r w:rsidRPr="000F0C25">
        <w:rPr>
          <w:rFonts w:ascii="Arial" w:eastAsia="Arial Narrow" w:hAnsi="Arial" w:cs="Arial"/>
          <w:lang w:val="en-US"/>
        </w:rPr>
        <w:t xml:space="preserve">The annual accounts are being laid before the Scottish Parliament by the </w:t>
      </w:r>
      <w:r w:rsidR="00903969">
        <w:rPr>
          <w:rFonts w:ascii="Arial" w:eastAsia="Arial Narrow" w:hAnsi="Arial" w:cs="Arial"/>
          <w:lang w:val="en-US"/>
        </w:rPr>
        <w:t xml:space="preserve">Minister </w:t>
      </w:r>
      <w:r w:rsidRPr="000F0C25">
        <w:rPr>
          <w:rFonts w:ascii="Arial" w:eastAsia="Arial Narrow" w:hAnsi="Arial" w:cs="Arial"/>
          <w:lang w:val="en-US"/>
        </w:rPr>
        <w:t>for the Environment and Land Reform in pursuance of Section 22(5) of the Public Finance and Accountability (Scotland) Act 2000</w:t>
      </w:r>
      <w:r w:rsidR="00C259A6">
        <w:rPr>
          <w:rFonts w:ascii="Arial" w:eastAsia="Arial Narrow" w:hAnsi="Arial" w:cs="Arial"/>
          <w:lang w:val="en-US"/>
        </w:rPr>
        <w:br w:type="page"/>
      </w:r>
    </w:p>
    <w:p w14:paraId="7EE63222" w14:textId="79AA9291" w:rsidR="00C57AB2" w:rsidRPr="000F0C25" w:rsidRDefault="00C57AB2" w:rsidP="00C57AB2">
      <w:pPr>
        <w:spacing w:before="120" w:after="200" w:line="276" w:lineRule="auto"/>
        <w:textAlignment w:val="baseline"/>
        <w:rPr>
          <w:rFonts w:ascii="Arial" w:eastAsia="Arial" w:hAnsi="Arial"/>
          <w:b/>
          <w:color w:val="00526F"/>
          <w:spacing w:val="-4"/>
          <w:sz w:val="32"/>
          <w:szCs w:val="32"/>
        </w:rPr>
      </w:pPr>
      <w:r w:rsidRPr="00E67406">
        <w:rPr>
          <w:rFonts w:ascii="Arial" w:eastAsia="Arial" w:hAnsi="Arial"/>
          <w:b/>
          <w:color w:val="00526F"/>
          <w:spacing w:val="-4"/>
          <w:sz w:val="32"/>
          <w:szCs w:val="32"/>
          <w:lang w:val="en-US"/>
        </w:rPr>
        <w:lastRenderedPageBreak/>
        <w:t>Contents</w:t>
      </w:r>
    </w:p>
    <w:p w14:paraId="0ACCC95F" w14:textId="6BAB0B9D" w:rsidR="00E804F9" w:rsidRDefault="0022721E" w:rsidP="00F62A1B">
      <w:pPr>
        <w:pStyle w:val="TOC1"/>
        <w:rPr>
          <w:rFonts w:asciiTheme="minorHAnsi" w:eastAsiaTheme="minorEastAsia" w:hAnsiTheme="minorHAnsi" w:cstheme="minorBidi"/>
          <w:color w:val="auto"/>
          <w:sz w:val="22"/>
          <w:szCs w:val="22"/>
          <w:lang w:eastAsia="en-GB"/>
        </w:rPr>
      </w:pPr>
      <w:r>
        <w:rPr>
          <w:rFonts w:ascii="Arial" w:eastAsia="Arial Narrow" w:hAnsi="Arial" w:cs="Arial"/>
          <w:b/>
          <w:spacing w:val="8"/>
          <w:lang w:val="en-US"/>
        </w:rPr>
        <w:fldChar w:fldCharType="begin"/>
      </w:r>
      <w:r>
        <w:rPr>
          <w:rFonts w:ascii="Arial" w:eastAsia="Arial Narrow" w:hAnsi="Arial" w:cs="Arial"/>
          <w:b/>
          <w:spacing w:val="8"/>
          <w:lang w:val="en-US"/>
        </w:rPr>
        <w:instrText xml:space="preserve"> TOC \o "1-2" \h \z \t "01a. Main Header,1,01b. Sub header,2" </w:instrText>
      </w:r>
      <w:r>
        <w:rPr>
          <w:rFonts w:ascii="Arial" w:eastAsia="Arial Narrow" w:hAnsi="Arial" w:cs="Arial"/>
          <w:b/>
          <w:spacing w:val="8"/>
          <w:lang w:val="en-US"/>
        </w:rPr>
        <w:fldChar w:fldCharType="separate"/>
      </w:r>
      <w:hyperlink w:anchor="_Toc119068059" w:history="1">
        <w:r w:rsidR="00E804F9" w:rsidRPr="009323D1">
          <w:rPr>
            <w:rStyle w:val="Hyperlink"/>
          </w:rPr>
          <w:t>1.0</w:t>
        </w:r>
        <w:r w:rsidR="00E804F9">
          <w:rPr>
            <w:rFonts w:asciiTheme="minorHAnsi" w:eastAsiaTheme="minorEastAsia" w:hAnsiTheme="minorHAnsi" w:cstheme="minorBidi"/>
            <w:color w:val="auto"/>
            <w:sz w:val="22"/>
            <w:szCs w:val="22"/>
            <w:lang w:eastAsia="en-GB"/>
          </w:rPr>
          <w:tab/>
        </w:r>
        <w:r w:rsidR="00E804F9" w:rsidRPr="009323D1">
          <w:rPr>
            <w:rStyle w:val="Hyperlink"/>
          </w:rPr>
          <w:t>Performance Report</w:t>
        </w:r>
        <w:r w:rsidR="00E804F9">
          <w:rPr>
            <w:webHidden/>
          </w:rPr>
          <w:tab/>
        </w:r>
        <w:r w:rsidR="00E804F9">
          <w:rPr>
            <w:webHidden/>
          </w:rPr>
          <w:fldChar w:fldCharType="begin"/>
        </w:r>
        <w:r w:rsidR="00E804F9">
          <w:rPr>
            <w:webHidden/>
          </w:rPr>
          <w:instrText xml:space="preserve"> PAGEREF _Toc119068059 \h </w:instrText>
        </w:r>
        <w:r w:rsidR="00E804F9">
          <w:rPr>
            <w:webHidden/>
          </w:rPr>
        </w:r>
        <w:r w:rsidR="00E804F9">
          <w:rPr>
            <w:webHidden/>
          </w:rPr>
          <w:fldChar w:fldCharType="separate"/>
        </w:r>
        <w:r w:rsidR="00EF3771">
          <w:rPr>
            <w:webHidden/>
          </w:rPr>
          <w:t>4</w:t>
        </w:r>
        <w:r w:rsidR="00E804F9">
          <w:rPr>
            <w:webHidden/>
          </w:rPr>
          <w:fldChar w:fldCharType="end"/>
        </w:r>
      </w:hyperlink>
    </w:p>
    <w:p w14:paraId="6D5603F8" w14:textId="0BDD10B4" w:rsidR="00E804F9" w:rsidRDefault="00E804F9" w:rsidP="00F62A1B">
      <w:pPr>
        <w:pStyle w:val="TOC1"/>
        <w:rPr>
          <w:rFonts w:asciiTheme="minorHAnsi" w:eastAsiaTheme="minorEastAsia" w:hAnsiTheme="minorHAnsi" w:cstheme="minorBidi"/>
          <w:color w:val="auto"/>
          <w:sz w:val="22"/>
          <w:szCs w:val="22"/>
          <w:lang w:eastAsia="en-GB"/>
        </w:rPr>
      </w:pPr>
      <w:hyperlink w:anchor="_Toc119068060" w:history="1">
        <w:r w:rsidRPr="009323D1">
          <w:rPr>
            <w:rStyle w:val="Hyperlink"/>
          </w:rPr>
          <w:t>1.1</w:t>
        </w:r>
        <w:r>
          <w:rPr>
            <w:rFonts w:asciiTheme="minorHAnsi" w:eastAsiaTheme="minorEastAsia" w:hAnsiTheme="minorHAnsi" w:cstheme="minorBidi"/>
            <w:color w:val="auto"/>
            <w:sz w:val="22"/>
            <w:szCs w:val="22"/>
            <w:lang w:eastAsia="en-GB"/>
          </w:rPr>
          <w:tab/>
        </w:r>
        <w:r w:rsidRPr="009323D1">
          <w:rPr>
            <w:rStyle w:val="Hyperlink"/>
          </w:rPr>
          <w:t>Introduction</w:t>
        </w:r>
        <w:r>
          <w:rPr>
            <w:webHidden/>
          </w:rPr>
          <w:tab/>
        </w:r>
        <w:r>
          <w:rPr>
            <w:webHidden/>
          </w:rPr>
          <w:fldChar w:fldCharType="begin"/>
        </w:r>
        <w:r>
          <w:rPr>
            <w:webHidden/>
          </w:rPr>
          <w:instrText xml:space="preserve"> PAGEREF _Toc119068060 \h </w:instrText>
        </w:r>
        <w:r>
          <w:rPr>
            <w:webHidden/>
          </w:rPr>
        </w:r>
        <w:r>
          <w:rPr>
            <w:webHidden/>
          </w:rPr>
          <w:fldChar w:fldCharType="separate"/>
        </w:r>
        <w:r w:rsidR="00EF3771">
          <w:rPr>
            <w:webHidden/>
          </w:rPr>
          <w:t>4</w:t>
        </w:r>
        <w:r>
          <w:rPr>
            <w:webHidden/>
          </w:rPr>
          <w:fldChar w:fldCharType="end"/>
        </w:r>
      </w:hyperlink>
    </w:p>
    <w:p w14:paraId="17E345B8" w14:textId="52BD5418" w:rsidR="00E804F9" w:rsidRDefault="00E804F9" w:rsidP="00F62A1B">
      <w:pPr>
        <w:pStyle w:val="TOC1"/>
        <w:rPr>
          <w:rFonts w:asciiTheme="minorHAnsi" w:eastAsiaTheme="minorEastAsia" w:hAnsiTheme="minorHAnsi" w:cstheme="minorBidi"/>
          <w:color w:val="auto"/>
          <w:sz w:val="22"/>
          <w:szCs w:val="22"/>
          <w:lang w:eastAsia="en-GB"/>
        </w:rPr>
      </w:pPr>
      <w:hyperlink w:anchor="_Toc119068061" w:history="1">
        <w:r w:rsidRPr="009323D1">
          <w:rPr>
            <w:rStyle w:val="Hyperlink"/>
          </w:rPr>
          <w:t>1.2</w:t>
        </w:r>
        <w:r>
          <w:rPr>
            <w:rFonts w:asciiTheme="minorHAnsi" w:eastAsiaTheme="minorEastAsia" w:hAnsiTheme="minorHAnsi" w:cstheme="minorBidi"/>
            <w:color w:val="auto"/>
            <w:sz w:val="22"/>
            <w:szCs w:val="22"/>
            <w:lang w:eastAsia="en-GB"/>
          </w:rPr>
          <w:tab/>
        </w:r>
        <w:r w:rsidRPr="009323D1">
          <w:rPr>
            <w:rStyle w:val="Hyperlink"/>
          </w:rPr>
          <w:t>Welcome to SEPA’s 2021/2022 Annual Report</w:t>
        </w:r>
        <w:r>
          <w:rPr>
            <w:webHidden/>
          </w:rPr>
          <w:tab/>
        </w:r>
        <w:r>
          <w:rPr>
            <w:webHidden/>
          </w:rPr>
          <w:fldChar w:fldCharType="begin"/>
        </w:r>
        <w:r>
          <w:rPr>
            <w:webHidden/>
          </w:rPr>
          <w:instrText xml:space="preserve"> PAGEREF _Toc119068061 \h </w:instrText>
        </w:r>
        <w:r>
          <w:rPr>
            <w:webHidden/>
          </w:rPr>
        </w:r>
        <w:r>
          <w:rPr>
            <w:webHidden/>
          </w:rPr>
          <w:fldChar w:fldCharType="separate"/>
        </w:r>
        <w:r w:rsidR="00EF3771">
          <w:rPr>
            <w:webHidden/>
          </w:rPr>
          <w:t>5</w:t>
        </w:r>
        <w:r>
          <w:rPr>
            <w:webHidden/>
          </w:rPr>
          <w:fldChar w:fldCharType="end"/>
        </w:r>
      </w:hyperlink>
    </w:p>
    <w:p w14:paraId="7C6C14D5" w14:textId="4BAF923D" w:rsidR="00E804F9" w:rsidRDefault="00E804F9" w:rsidP="00F62A1B">
      <w:pPr>
        <w:pStyle w:val="TOC1"/>
        <w:rPr>
          <w:rFonts w:asciiTheme="minorHAnsi" w:eastAsiaTheme="minorEastAsia" w:hAnsiTheme="minorHAnsi" w:cstheme="minorBidi"/>
          <w:color w:val="auto"/>
          <w:sz w:val="22"/>
          <w:szCs w:val="22"/>
          <w:lang w:eastAsia="en-GB"/>
        </w:rPr>
      </w:pPr>
      <w:hyperlink w:anchor="_Toc119068063" w:history="1">
        <w:r w:rsidRPr="009323D1">
          <w:rPr>
            <w:rStyle w:val="Hyperlink"/>
          </w:rPr>
          <w:t>1.3</w:t>
        </w:r>
        <w:r>
          <w:rPr>
            <w:rFonts w:asciiTheme="minorHAnsi" w:eastAsiaTheme="minorEastAsia" w:hAnsiTheme="minorHAnsi" w:cstheme="minorBidi"/>
            <w:color w:val="auto"/>
            <w:sz w:val="22"/>
            <w:szCs w:val="22"/>
            <w:lang w:eastAsia="en-GB"/>
          </w:rPr>
          <w:tab/>
        </w:r>
        <w:r w:rsidRPr="009323D1">
          <w:rPr>
            <w:rStyle w:val="Hyperlink"/>
          </w:rPr>
          <w:t>Performance overview</w:t>
        </w:r>
        <w:r>
          <w:rPr>
            <w:webHidden/>
          </w:rPr>
          <w:tab/>
        </w:r>
        <w:r>
          <w:rPr>
            <w:webHidden/>
          </w:rPr>
          <w:fldChar w:fldCharType="begin"/>
        </w:r>
        <w:r>
          <w:rPr>
            <w:webHidden/>
          </w:rPr>
          <w:instrText xml:space="preserve"> PAGEREF _Toc119068063 \h </w:instrText>
        </w:r>
        <w:r>
          <w:rPr>
            <w:webHidden/>
          </w:rPr>
        </w:r>
        <w:r>
          <w:rPr>
            <w:webHidden/>
          </w:rPr>
          <w:fldChar w:fldCharType="separate"/>
        </w:r>
        <w:r w:rsidR="00EF3771">
          <w:rPr>
            <w:webHidden/>
          </w:rPr>
          <w:t>11</w:t>
        </w:r>
        <w:r>
          <w:rPr>
            <w:webHidden/>
          </w:rPr>
          <w:fldChar w:fldCharType="end"/>
        </w:r>
      </w:hyperlink>
    </w:p>
    <w:p w14:paraId="596831D4" w14:textId="3275563D" w:rsidR="00E804F9" w:rsidRDefault="00E804F9">
      <w:pPr>
        <w:pStyle w:val="TOC2"/>
        <w:rPr>
          <w:rFonts w:asciiTheme="minorHAnsi" w:eastAsiaTheme="minorEastAsia" w:hAnsiTheme="minorHAnsi" w:cstheme="minorBidi"/>
          <w:noProof/>
          <w:sz w:val="22"/>
          <w:szCs w:val="22"/>
        </w:rPr>
      </w:pPr>
      <w:hyperlink w:anchor="_Toc119068064" w:history="1">
        <w:r w:rsidRPr="009323D1">
          <w:rPr>
            <w:rStyle w:val="Hyperlink"/>
            <w:noProof/>
          </w:rPr>
          <w:t>1.3.1</w:t>
        </w:r>
        <w:r>
          <w:rPr>
            <w:rFonts w:asciiTheme="minorHAnsi" w:eastAsiaTheme="minorEastAsia" w:hAnsiTheme="minorHAnsi" w:cstheme="minorBidi"/>
            <w:noProof/>
            <w:sz w:val="22"/>
            <w:szCs w:val="22"/>
          </w:rPr>
          <w:tab/>
        </w:r>
        <w:r w:rsidRPr="009323D1">
          <w:rPr>
            <w:rStyle w:val="Hyperlink"/>
            <w:noProof/>
          </w:rPr>
          <w:t>Introduction</w:t>
        </w:r>
        <w:r>
          <w:rPr>
            <w:noProof/>
            <w:webHidden/>
          </w:rPr>
          <w:tab/>
        </w:r>
        <w:r>
          <w:rPr>
            <w:noProof/>
            <w:webHidden/>
          </w:rPr>
          <w:fldChar w:fldCharType="begin"/>
        </w:r>
        <w:r>
          <w:rPr>
            <w:noProof/>
            <w:webHidden/>
          </w:rPr>
          <w:instrText xml:space="preserve"> PAGEREF _Toc119068064 \h </w:instrText>
        </w:r>
        <w:r>
          <w:rPr>
            <w:noProof/>
            <w:webHidden/>
          </w:rPr>
        </w:r>
        <w:r>
          <w:rPr>
            <w:noProof/>
            <w:webHidden/>
          </w:rPr>
          <w:fldChar w:fldCharType="separate"/>
        </w:r>
        <w:r w:rsidR="00EF3771">
          <w:rPr>
            <w:noProof/>
            <w:webHidden/>
          </w:rPr>
          <w:t>11</w:t>
        </w:r>
        <w:r>
          <w:rPr>
            <w:noProof/>
            <w:webHidden/>
          </w:rPr>
          <w:fldChar w:fldCharType="end"/>
        </w:r>
      </w:hyperlink>
    </w:p>
    <w:p w14:paraId="0D4C7500" w14:textId="1BCD3B29" w:rsidR="00E804F9" w:rsidRDefault="00E804F9">
      <w:pPr>
        <w:pStyle w:val="TOC2"/>
        <w:rPr>
          <w:rFonts w:asciiTheme="minorHAnsi" w:eastAsiaTheme="minorEastAsia" w:hAnsiTheme="minorHAnsi" w:cstheme="minorBidi"/>
          <w:noProof/>
          <w:sz w:val="22"/>
          <w:szCs w:val="22"/>
        </w:rPr>
      </w:pPr>
      <w:hyperlink w:anchor="_Toc119068065" w:history="1">
        <w:r w:rsidRPr="009323D1">
          <w:rPr>
            <w:rStyle w:val="Hyperlink"/>
            <w:noProof/>
          </w:rPr>
          <w:t xml:space="preserve">1.3.2 </w:t>
        </w:r>
        <w:r>
          <w:rPr>
            <w:rStyle w:val="Hyperlink"/>
            <w:noProof/>
          </w:rPr>
          <w:t xml:space="preserve">     </w:t>
        </w:r>
        <w:r w:rsidRPr="009323D1">
          <w:rPr>
            <w:rStyle w:val="Hyperlink"/>
            <w:noProof/>
          </w:rPr>
          <w:t>Our purpose and strategy</w:t>
        </w:r>
        <w:r>
          <w:rPr>
            <w:noProof/>
            <w:webHidden/>
          </w:rPr>
          <w:tab/>
        </w:r>
        <w:r>
          <w:rPr>
            <w:noProof/>
            <w:webHidden/>
          </w:rPr>
          <w:fldChar w:fldCharType="begin"/>
        </w:r>
        <w:r>
          <w:rPr>
            <w:noProof/>
            <w:webHidden/>
          </w:rPr>
          <w:instrText xml:space="preserve"> PAGEREF _Toc119068065 \h </w:instrText>
        </w:r>
        <w:r>
          <w:rPr>
            <w:noProof/>
            <w:webHidden/>
          </w:rPr>
        </w:r>
        <w:r>
          <w:rPr>
            <w:noProof/>
            <w:webHidden/>
          </w:rPr>
          <w:fldChar w:fldCharType="separate"/>
        </w:r>
        <w:r w:rsidR="00EF3771">
          <w:rPr>
            <w:noProof/>
            <w:webHidden/>
          </w:rPr>
          <w:t>11</w:t>
        </w:r>
        <w:r>
          <w:rPr>
            <w:noProof/>
            <w:webHidden/>
          </w:rPr>
          <w:fldChar w:fldCharType="end"/>
        </w:r>
      </w:hyperlink>
    </w:p>
    <w:p w14:paraId="49313274" w14:textId="1D78F95F" w:rsidR="00E804F9" w:rsidRDefault="00E804F9">
      <w:pPr>
        <w:pStyle w:val="TOC2"/>
        <w:rPr>
          <w:rFonts w:asciiTheme="minorHAnsi" w:eastAsiaTheme="minorEastAsia" w:hAnsiTheme="minorHAnsi" w:cstheme="minorBidi"/>
          <w:noProof/>
          <w:sz w:val="22"/>
          <w:szCs w:val="22"/>
        </w:rPr>
      </w:pPr>
      <w:hyperlink w:anchor="_Toc119068066" w:history="1">
        <w:r w:rsidRPr="009323D1">
          <w:rPr>
            <w:rStyle w:val="Hyperlink"/>
            <w:noProof/>
          </w:rPr>
          <w:t>1.3.3</w:t>
        </w:r>
        <w:r>
          <w:rPr>
            <w:rFonts w:asciiTheme="minorHAnsi" w:eastAsiaTheme="minorEastAsia" w:hAnsiTheme="minorHAnsi" w:cstheme="minorBidi"/>
            <w:noProof/>
            <w:sz w:val="22"/>
            <w:szCs w:val="22"/>
          </w:rPr>
          <w:tab/>
        </w:r>
        <w:r w:rsidRPr="009323D1">
          <w:rPr>
            <w:rStyle w:val="Hyperlink"/>
            <w:noProof/>
          </w:rPr>
          <w:t>Our strategy</w:t>
        </w:r>
        <w:r>
          <w:rPr>
            <w:noProof/>
            <w:webHidden/>
          </w:rPr>
          <w:tab/>
        </w:r>
        <w:r>
          <w:rPr>
            <w:noProof/>
            <w:webHidden/>
          </w:rPr>
          <w:fldChar w:fldCharType="begin"/>
        </w:r>
        <w:r>
          <w:rPr>
            <w:noProof/>
            <w:webHidden/>
          </w:rPr>
          <w:instrText xml:space="preserve"> PAGEREF _Toc119068066 \h </w:instrText>
        </w:r>
        <w:r>
          <w:rPr>
            <w:noProof/>
            <w:webHidden/>
          </w:rPr>
        </w:r>
        <w:r>
          <w:rPr>
            <w:noProof/>
            <w:webHidden/>
          </w:rPr>
          <w:fldChar w:fldCharType="separate"/>
        </w:r>
        <w:r w:rsidR="00EF3771">
          <w:rPr>
            <w:noProof/>
            <w:webHidden/>
          </w:rPr>
          <w:t>12</w:t>
        </w:r>
        <w:r>
          <w:rPr>
            <w:noProof/>
            <w:webHidden/>
          </w:rPr>
          <w:fldChar w:fldCharType="end"/>
        </w:r>
      </w:hyperlink>
    </w:p>
    <w:p w14:paraId="7F69617B" w14:textId="3181EA56" w:rsidR="00E804F9" w:rsidRDefault="00E804F9">
      <w:pPr>
        <w:pStyle w:val="TOC2"/>
        <w:rPr>
          <w:rFonts w:asciiTheme="minorHAnsi" w:eastAsiaTheme="minorEastAsia" w:hAnsiTheme="minorHAnsi" w:cstheme="minorBidi"/>
          <w:noProof/>
          <w:sz w:val="22"/>
          <w:szCs w:val="22"/>
        </w:rPr>
      </w:pPr>
      <w:hyperlink w:anchor="_Toc119068067" w:history="1">
        <w:r w:rsidRPr="009323D1">
          <w:rPr>
            <w:rStyle w:val="Hyperlink"/>
            <w:noProof/>
          </w:rPr>
          <w:t>1.3.4</w:t>
        </w:r>
        <w:r>
          <w:rPr>
            <w:rFonts w:asciiTheme="minorHAnsi" w:eastAsiaTheme="minorEastAsia" w:hAnsiTheme="minorHAnsi" w:cstheme="minorBidi"/>
            <w:noProof/>
            <w:sz w:val="22"/>
            <w:szCs w:val="22"/>
          </w:rPr>
          <w:tab/>
        </w:r>
        <w:r w:rsidRPr="009323D1">
          <w:rPr>
            <w:rStyle w:val="Hyperlink"/>
            <w:noProof/>
          </w:rPr>
          <w:t>Our organisational characteristics</w:t>
        </w:r>
        <w:r>
          <w:rPr>
            <w:noProof/>
            <w:webHidden/>
          </w:rPr>
          <w:tab/>
        </w:r>
        <w:r>
          <w:rPr>
            <w:noProof/>
            <w:webHidden/>
          </w:rPr>
          <w:fldChar w:fldCharType="begin"/>
        </w:r>
        <w:r>
          <w:rPr>
            <w:noProof/>
            <w:webHidden/>
          </w:rPr>
          <w:instrText xml:space="preserve"> PAGEREF _Toc119068067 \h </w:instrText>
        </w:r>
        <w:r>
          <w:rPr>
            <w:noProof/>
            <w:webHidden/>
          </w:rPr>
        </w:r>
        <w:r>
          <w:rPr>
            <w:noProof/>
            <w:webHidden/>
          </w:rPr>
          <w:fldChar w:fldCharType="separate"/>
        </w:r>
        <w:r w:rsidR="00EF3771">
          <w:rPr>
            <w:noProof/>
            <w:webHidden/>
          </w:rPr>
          <w:t>14</w:t>
        </w:r>
        <w:r>
          <w:rPr>
            <w:noProof/>
            <w:webHidden/>
          </w:rPr>
          <w:fldChar w:fldCharType="end"/>
        </w:r>
      </w:hyperlink>
    </w:p>
    <w:p w14:paraId="08CDA79E" w14:textId="248516F1" w:rsidR="00E804F9" w:rsidRDefault="00E804F9">
      <w:pPr>
        <w:pStyle w:val="TOC2"/>
        <w:rPr>
          <w:rFonts w:asciiTheme="minorHAnsi" w:eastAsiaTheme="minorEastAsia" w:hAnsiTheme="minorHAnsi" w:cstheme="minorBidi"/>
          <w:noProof/>
          <w:sz w:val="22"/>
          <w:szCs w:val="22"/>
        </w:rPr>
      </w:pPr>
      <w:hyperlink w:anchor="_Toc119068068" w:history="1">
        <w:r w:rsidRPr="009323D1">
          <w:rPr>
            <w:rStyle w:val="Hyperlink"/>
            <w:noProof/>
          </w:rPr>
          <w:t>1.3.5</w:t>
        </w:r>
        <w:r>
          <w:rPr>
            <w:rFonts w:asciiTheme="minorHAnsi" w:eastAsiaTheme="minorEastAsia" w:hAnsiTheme="minorHAnsi" w:cstheme="minorBidi"/>
            <w:noProof/>
            <w:sz w:val="22"/>
            <w:szCs w:val="22"/>
          </w:rPr>
          <w:tab/>
        </w:r>
        <w:r w:rsidRPr="009323D1">
          <w:rPr>
            <w:rStyle w:val="Hyperlink"/>
            <w:noProof/>
          </w:rPr>
          <w:t>Our contribution to the Scottish Government purpose</w:t>
        </w:r>
        <w:r>
          <w:rPr>
            <w:noProof/>
            <w:webHidden/>
          </w:rPr>
          <w:tab/>
        </w:r>
        <w:r>
          <w:rPr>
            <w:noProof/>
            <w:webHidden/>
          </w:rPr>
          <w:fldChar w:fldCharType="begin"/>
        </w:r>
        <w:r>
          <w:rPr>
            <w:noProof/>
            <w:webHidden/>
          </w:rPr>
          <w:instrText xml:space="preserve"> PAGEREF _Toc119068068 \h </w:instrText>
        </w:r>
        <w:r>
          <w:rPr>
            <w:noProof/>
            <w:webHidden/>
          </w:rPr>
        </w:r>
        <w:r>
          <w:rPr>
            <w:noProof/>
            <w:webHidden/>
          </w:rPr>
          <w:fldChar w:fldCharType="separate"/>
        </w:r>
        <w:r w:rsidR="00EF3771">
          <w:rPr>
            <w:noProof/>
            <w:webHidden/>
          </w:rPr>
          <w:t>14</w:t>
        </w:r>
        <w:r>
          <w:rPr>
            <w:noProof/>
            <w:webHidden/>
          </w:rPr>
          <w:fldChar w:fldCharType="end"/>
        </w:r>
      </w:hyperlink>
    </w:p>
    <w:p w14:paraId="54A41CA8" w14:textId="13AB8449" w:rsidR="00E804F9" w:rsidRDefault="00E804F9">
      <w:pPr>
        <w:pStyle w:val="TOC2"/>
        <w:rPr>
          <w:rFonts w:asciiTheme="minorHAnsi" w:eastAsiaTheme="minorEastAsia" w:hAnsiTheme="minorHAnsi" w:cstheme="minorBidi"/>
          <w:noProof/>
          <w:sz w:val="22"/>
          <w:szCs w:val="22"/>
        </w:rPr>
      </w:pPr>
      <w:hyperlink w:anchor="_Toc119068069" w:history="1">
        <w:r w:rsidRPr="009323D1">
          <w:rPr>
            <w:rStyle w:val="Hyperlink"/>
            <w:noProof/>
          </w:rPr>
          <w:t>1.3.6</w:t>
        </w:r>
        <w:r>
          <w:rPr>
            <w:rFonts w:asciiTheme="minorHAnsi" w:eastAsiaTheme="minorEastAsia" w:hAnsiTheme="minorHAnsi" w:cstheme="minorBidi"/>
            <w:noProof/>
            <w:sz w:val="22"/>
            <w:szCs w:val="22"/>
          </w:rPr>
          <w:tab/>
        </w:r>
        <w:r w:rsidRPr="009323D1">
          <w:rPr>
            <w:rStyle w:val="Hyperlink"/>
            <w:noProof/>
          </w:rPr>
          <w:t>Our business model</w:t>
        </w:r>
        <w:r>
          <w:rPr>
            <w:noProof/>
            <w:webHidden/>
          </w:rPr>
          <w:tab/>
        </w:r>
        <w:r>
          <w:rPr>
            <w:noProof/>
            <w:webHidden/>
          </w:rPr>
          <w:fldChar w:fldCharType="begin"/>
        </w:r>
        <w:r>
          <w:rPr>
            <w:noProof/>
            <w:webHidden/>
          </w:rPr>
          <w:instrText xml:space="preserve"> PAGEREF _Toc119068069 \h </w:instrText>
        </w:r>
        <w:r>
          <w:rPr>
            <w:noProof/>
            <w:webHidden/>
          </w:rPr>
        </w:r>
        <w:r>
          <w:rPr>
            <w:noProof/>
            <w:webHidden/>
          </w:rPr>
          <w:fldChar w:fldCharType="separate"/>
        </w:r>
        <w:r w:rsidR="00EF3771">
          <w:rPr>
            <w:noProof/>
            <w:webHidden/>
          </w:rPr>
          <w:t>15</w:t>
        </w:r>
        <w:r>
          <w:rPr>
            <w:noProof/>
            <w:webHidden/>
          </w:rPr>
          <w:fldChar w:fldCharType="end"/>
        </w:r>
      </w:hyperlink>
    </w:p>
    <w:p w14:paraId="2122E742" w14:textId="04841304" w:rsidR="00E804F9" w:rsidRDefault="00E804F9">
      <w:pPr>
        <w:pStyle w:val="TOC2"/>
        <w:rPr>
          <w:rFonts w:asciiTheme="minorHAnsi" w:eastAsiaTheme="minorEastAsia" w:hAnsiTheme="minorHAnsi" w:cstheme="minorBidi"/>
          <w:noProof/>
          <w:sz w:val="22"/>
          <w:szCs w:val="22"/>
        </w:rPr>
      </w:pPr>
      <w:hyperlink w:anchor="_Toc119068071" w:history="1">
        <w:r w:rsidRPr="009323D1">
          <w:rPr>
            <w:rStyle w:val="Hyperlink"/>
            <w:noProof/>
          </w:rPr>
          <w:t>1.3.7</w:t>
        </w:r>
        <w:r>
          <w:rPr>
            <w:rFonts w:asciiTheme="minorHAnsi" w:eastAsiaTheme="minorEastAsia" w:hAnsiTheme="minorHAnsi" w:cstheme="minorBidi"/>
            <w:noProof/>
            <w:sz w:val="22"/>
            <w:szCs w:val="22"/>
          </w:rPr>
          <w:tab/>
        </w:r>
        <w:r w:rsidRPr="009323D1">
          <w:rPr>
            <w:rStyle w:val="Hyperlink"/>
            <w:noProof/>
          </w:rPr>
          <w:t>Response and recovery from a major cyber-attack</w:t>
        </w:r>
        <w:r>
          <w:rPr>
            <w:noProof/>
            <w:webHidden/>
          </w:rPr>
          <w:tab/>
        </w:r>
        <w:r>
          <w:rPr>
            <w:noProof/>
            <w:webHidden/>
          </w:rPr>
          <w:fldChar w:fldCharType="begin"/>
        </w:r>
        <w:r>
          <w:rPr>
            <w:noProof/>
            <w:webHidden/>
          </w:rPr>
          <w:instrText xml:space="preserve"> PAGEREF _Toc119068071 \h </w:instrText>
        </w:r>
        <w:r>
          <w:rPr>
            <w:noProof/>
            <w:webHidden/>
          </w:rPr>
        </w:r>
        <w:r>
          <w:rPr>
            <w:noProof/>
            <w:webHidden/>
          </w:rPr>
          <w:fldChar w:fldCharType="separate"/>
        </w:r>
        <w:r w:rsidR="00EF3771">
          <w:rPr>
            <w:noProof/>
            <w:webHidden/>
          </w:rPr>
          <w:t>18</w:t>
        </w:r>
        <w:r>
          <w:rPr>
            <w:noProof/>
            <w:webHidden/>
          </w:rPr>
          <w:fldChar w:fldCharType="end"/>
        </w:r>
      </w:hyperlink>
    </w:p>
    <w:p w14:paraId="530EA465" w14:textId="25A1E522" w:rsidR="00E804F9" w:rsidRDefault="00E804F9">
      <w:pPr>
        <w:pStyle w:val="TOC2"/>
        <w:rPr>
          <w:rFonts w:asciiTheme="minorHAnsi" w:eastAsiaTheme="minorEastAsia" w:hAnsiTheme="minorHAnsi" w:cstheme="minorBidi"/>
          <w:noProof/>
          <w:sz w:val="22"/>
          <w:szCs w:val="22"/>
        </w:rPr>
      </w:pPr>
      <w:hyperlink w:anchor="_Toc119068072" w:history="1">
        <w:r w:rsidRPr="009323D1">
          <w:rPr>
            <w:rStyle w:val="Hyperlink"/>
            <w:noProof/>
          </w:rPr>
          <w:t>1.3.8</w:t>
        </w:r>
        <w:r>
          <w:rPr>
            <w:rFonts w:asciiTheme="minorHAnsi" w:eastAsiaTheme="minorEastAsia" w:hAnsiTheme="minorHAnsi" w:cstheme="minorBidi"/>
            <w:noProof/>
            <w:sz w:val="22"/>
            <w:szCs w:val="22"/>
          </w:rPr>
          <w:tab/>
        </w:r>
        <w:r w:rsidRPr="009323D1">
          <w:rPr>
            <w:rStyle w:val="Hyperlink"/>
            <w:noProof/>
          </w:rPr>
          <w:t>We know the scale of the challenge</w:t>
        </w:r>
        <w:r>
          <w:rPr>
            <w:noProof/>
            <w:webHidden/>
          </w:rPr>
          <w:tab/>
        </w:r>
        <w:r>
          <w:rPr>
            <w:noProof/>
            <w:webHidden/>
          </w:rPr>
          <w:fldChar w:fldCharType="begin"/>
        </w:r>
        <w:r>
          <w:rPr>
            <w:noProof/>
            <w:webHidden/>
          </w:rPr>
          <w:instrText xml:space="preserve"> PAGEREF _Toc119068072 \h </w:instrText>
        </w:r>
        <w:r>
          <w:rPr>
            <w:noProof/>
            <w:webHidden/>
          </w:rPr>
        </w:r>
        <w:r>
          <w:rPr>
            <w:noProof/>
            <w:webHidden/>
          </w:rPr>
          <w:fldChar w:fldCharType="separate"/>
        </w:r>
        <w:r w:rsidR="00EF3771">
          <w:rPr>
            <w:noProof/>
            <w:webHidden/>
          </w:rPr>
          <w:t>20</w:t>
        </w:r>
        <w:r>
          <w:rPr>
            <w:noProof/>
            <w:webHidden/>
          </w:rPr>
          <w:fldChar w:fldCharType="end"/>
        </w:r>
      </w:hyperlink>
    </w:p>
    <w:p w14:paraId="73C5933A" w14:textId="0254DE4B" w:rsidR="00E804F9" w:rsidRDefault="00E804F9">
      <w:pPr>
        <w:pStyle w:val="TOC2"/>
        <w:rPr>
          <w:rFonts w:asciiTheme="minorHAnsi" w:eastAsiaTheme="minorEastAsia" w:hAnsiTheme="minorHAnsi" w:cstheme="minorBidi"/>
          <w:noProof/>
          <w:sz w:val="22"/>
          <w:szCs w:val="22"/>
        </w:rPr>
      </w:pPr>
      <w:hyperlink w:anchor="_Toc119068073" w:history="1">
        <w:r w:rsidRPr="009323D1">
          <w:rPr>
            <w:rStyle w:val="Hyperlink"/>
            <w:noProof/>
          </w:rPr>
          <w:t>1.3.9</w:t>
        </w:r>
        <w:r>
          <w:rPr>
            <w:rFonts w:asciiTheme="minorHAnsi" w:eastAsiaTheme="minorEastAsia" w:hAnsiTheme="minorHAnsi" w:cstheme="minorBidi"/>
            <w:noProof/>
            <w:sz w:val="22"/>
            <w:szCs w:val="22"/>
          </w:rPr>
          <w:tab/>
        </w:r>
        <w:r w:rsidRPr="009323D1">
          <w:rPr>
            <w:rStyle w:val="Hyperlink"/>
            <w:noProof/>
          </w:rPr>
          <w:t>We are clear that compliance is non-negotiable</w:t>
        </w:r>
        <w:r>
          <w:rPr>
            <w:noProof/>
            <w:webHidden/>
          </w:rPr>
          <w:tab/>
        </w:r>
        <w:r>
          <w:rPr>
            <w:noProof/>
            <w:webHidden/>
          </w:rPr>
          <w:fldChar w:fldCharType="begin"/>
        </w:r>
        <w:r>
          <w:rPr>
            <w:noProof/>
            <w:webHidden/>
          </w:rPr>
          <w:instrText xml:space="preserve"> PAGEREF _Toc119068073 \h </w:instrText>
        </w:r>
        <w:r>
          <w:rPr>
            <w:noProof/>
            <w:webHidden/>
          </w:rPr>
        </w:r>
        <w:r>
          <w:rPr>
            <w:noProof/>
            <w:webHidden/>
          </w:rPr>
          <w:fldChar w:fldCharType="separate"/>
        </w:r>
        <w:r w:rsidR="00EF3771">
          <w:rPr>
            <w:noProof/>
            <w:webHidden/>
          </w:rPr>
          <w:t>22</w:t>
        </w:r>
        <w:r>
          <w:rPr>
            <w:noProof/>
            <w:webHidden/>
          </w:rPr>
          <w:fldChar w:fldCharType="end"/>
        </w:r>
      </w:hyperlink>
    </w:p>
    <w:p w14:paraId="7DADFE6B" w14:textId="20F172A4" w:rsidR="00E804F9" w:rsidRDefault="00E804F9">
      <w:pPr>
        <w:pStyle w:val="TOC2"/>
        <w:rPr>
          <w:rFonts w:asciiTheme="minorHAnsi" w:eastAsiaTheme="minorEastAsia" w:hAnsiTheme="minorHAnsi" w:cstheme="minorBidi"/>
          <w:noProof/>
          <w:sz w:val="22"/>
          <w:szCs w:val="22"/>
        </w:rPr>
      </w:pPr>
      <w:hyperlink w:anchor="_Toc119068074" w:history="1">
        <w:r w:rsidRPr="009323D1">
          <w:rPr>
            <w:rStyle w:val="Hyperlink"/>
            <w:noProof/>
          </w:rPr>
          <w:t>1.3.10</w:t>
        </w:r>
        <w:r>
          <w:rPr>
            <w:rFonts w:asciiTheme="minorHAnsi" w:eastAsiaTheme="minorEastAsia" w:hAnsiTheme="minorHAnsi" w:cstheme="minorBidi"/>
            <w:noProof/>
            <w:sz w:val="22"/>
            <w:szCs w:val="22"/>
          </w:rPr>
          <w:tab/>
        </w:r>
        <w:r w:rsidRPr="009323D1">
          <w:rPr>
            <w:rStyle w:val="Hyperlink"/>
            <w:noProof/>
          </w:rPr>
          <w:t>Preparing Scotland more powerfully for future flood risk</w:t>
        </w:r>
        <w:r>
          <w:rPr>
            <w:noProof/>
            <w:webHidden/>
          </w:rPr>
          <w:tab/>
        </w:r>
        <w:r>
          <w:rPr>
            <w:noProof/>
            <w:webHidden/>
          </w:rPr>
          <w:fldChar w:fldCharType="begin"/>
        </w:r>
        <w:r>
          <w:rPr>
            <w:noProof/>
            <w:webHidden/>
          </w:rPr>
          <w:instrText xml:space="preserve"> PAGEREF _Toc119068074 \h </w:instrText>
        </w:r>
        <w:r>
          <w:rPr>
            <w:noProof/>
            <w:webHidden/>
          </w:rPr>
        </w:r>
        <w:r>
          <w:rPr>
            <w:noProof/>
            <w:webHidden/>
          </w:rPr>
          <w:fldChar w:fldCharType="separate"/>
        </w:r>
        <w:r w:rsidR="00EF3771">
          <w:rPr>
            <w:noProof/>
            <w:webHidden/>
          </w:rPr>
          <w:t>27</w:t>
        </w:r>
        <w:r>
          <w:rPr>
            <w:noProof/>
            <w:webHidden/>
          </w:rPr>
          <w:fldChar w:fldCharType="end"/>
        </w:r>
      </w:hyperlink>
    </w:p>
    <w:p w14:paraId="170653DF" w14:textId="2D83B46A" w:rsidR="00E804F9" w:rsidRDefault="00E804F9">
      <w:pPr>
        <w:pStyle w:val="TOC2"/>
        <w:rPr>
          <w:rFonts w:asciiTheme="minorHAnsi" w:eastAsiaTheme="minorEastAsia" w:hAnsiTheme="minorHAnsi" w:cstheme="minorBidi"/>
          <w:noProof/>
          <w:sz w:val="22"/>
          <w:szCs w:val="22"/>
        </w:rPr>
      </w:pPr>
      <w:hyperlink w:anchor="_Toc119068075" w:history="1">
        <w:r w:rsidRPr="009323D1">
          <w:rPr>
            <w:rStyle w:val="Hyperlink"/>
            <w:noProof/>
          </w:rPr>
          <w:t>1.3.11</w:t>
        </w:r>
        <w:r>
          <w:rPr>
            <w:rFonts w:asciiTheme="minorHAnsi" w:eastAsiaTheme="minorEastAsia" w:hAnsiTheme="minorHAnsi" w:cstheme="minorBidi"/>
            <w:noProof/>
            <w:sz w:val="22"/>
            <w:szCs w:val="22"/>
          </w:rPr>
          <w:tab/>
        </w:r>
        <w:r w:rsidRPr="009323D1">
          <w:rPr>
            <w:rStyle w:val="Hyperlink"/>
            <w:noProof/>
          </w:rPr>
          <w:t>Key issues and risks</w:t>
        </w:r>
        <w:r>
          <w:rPr>
            <w:noProof/>
            <w:webHidden/>
          </w:rPr>
          <w:tab/>
        </w:r>
        <w:r>
          <w:rPr>
            <w:noProof/>
            <w:webHidden/>
          </w:rPr>
          <w:fldChar w:fldCharType="begin"/>
        </w:r>
        <w:r>
          <w:rPr>
            <w:noProof/>
            <w:webHidden/>
          </w:rPr>
          <w:instrText xml:space="preserve"> PAGEREF _Toc119068075 \h </w:instrText>
        </w:r>
        <w:r>
          <w:rPr>
            <w:noProof/>
            <w:webHidden/>
          </w:rPr>
        </w:r>
        <w:r>
          <w:rPr>
            <w:noProof/>
            <w:webHidden/>
          </w:rPr>
          <w:fldChar w:fldCharType="separate"/>
        </w:r>
        <w:r w:rsidR="00EF3771">
          <w:rPr>
            <w:noProof/>
            <w:webHidden/>
          </w:rPr>
          <w:t>30</w:t>
        </w:r>
        <w:r>
          <w:rPr>
            <w:noProof/>
            <w:webHidden/>
          </w:rPr>
          <w:fldChar w:fldCharType="end"/>
        </w:r>
      </w:hyperlink>
    </w:p>
    <w:p w14:paraId="68CC555F" w14:textId="794C4FB4" w:rsidR="00E804F9" w:rsidRDefault="00E804F9">
      <w:pPr>
        <w:pStyle w:val="TOC2"/>
        <w:rPr>
          <w:rFonts w:asciiTheme="minorHAnsi" w:eastAsiaTheme="minorEastAsia" w:hAnsiTheme="minorHAnsi" w:cstheme="minorBidi"/>
          <w:noProof/>
          <w:sz w:val="22"/>
          <w:szCs w:val="22"/>
        </w:rPr>
      </w:pPr>
      <w:hyperlink w:anchor="_Toc119068076" w:history="1">
        <w:r w:rsidRPr="009323D1">
          <w:rPr>
            <w:rStyle w:val="Hyperlink"/>
            <w:noProof/>
          </w:rPr>
          <w:t>1.3.12</w:t>
        </w:r>
        <w:r>
          <w:rPr>
            <w:rFonts w:asciiTheme="minorHAnsi" w:eastAsiaTheme="minorEastAsia" w:hAnsiTheme="minorHAnsi" w:cstheme="minorBidi"/>
            <w:noProof/>
            <w:sz w:val="22"/>
            <w:szCs w:val="22"/>
          </w:rPr>
          <w:tab/>
        </w:r>
        <w:r w:rsidRPr="009323D1">
          <w:rPr>
            <w:rStyle w:val="Hyperlink"/>
            <w:noProof/>
          </w:rPr>
          <w:t>Performance scorecard</w:t>
        </w:r>
        <w:r>
          <w:rPr>
            <w:noProof/>
            <w:webHidden/>
          </w:rPr>
          <w:tab/>
        </w:r>
        <w:r>
          <w:rPr>
            <w:noProof/>
            <w:webHidden/>
          </w:rPr>
          <w:fldChar w:fldCharType="begin"/>
        </w:r>
        <w:r>
          <w:rPr>
            <w:noProof/>
            <w:webHidden/>
          </w:rPr>
          <w:instrText xml:space="preserve"> PAGEREF _Toc119068076 \h </w:instrText>
        </w:r>
        <w:r>
          <w:rPr>
            <w:noProof/>
            <w:webHidden/>
          </w:rPr>
        </w:r>
        <w:r>
          <w:rPr>
            <w:noProof/>
            <w:webHidden/>
          </w:rPr>
          <w:fldChar w:fldCharType="separate"/>
        </w:r>
        <w:r w:rsidR="00EF3771">
          <w:rPr>
            <w:noProof/>
            <w:webHidden/>
          </w:rPr>
          <w:t>33</w:t>
        </w:r>
        <w:r>
          <w:rPr>
            <w:noProof/>
            <w:webHidden/>
          </w:rPr>
          <w:fldChar w:fldCharType="end"/>
        </w:r>
      </w:hyperlink>
    </w:p>
    <w:p w14:paraId="01F402AB" w14:textId="6BAB373D" w:rsidR="00E804F9" w:rsidRDefault="00E804F9" w:rsidP="00F62A1B">
      <w:pPr>
        <w:pStyle w:val="TOC1"/>
        <w:rPr>
          <w:rFonts w:asciiTheme="minorHAnsi" w:eastAsiaTheme="minorEastAsia" w:hAnsiTheme="minorHAnsi" w:cstheme="minorBidi"/>
          <w:color w:val="auto"/>
          <w:sz w:val="22"/>
          <w:szCs w:val="22"/>
          <w:lang w:eastAsia="en-GB"/>
        </w:rPr>
      </w:pPr>
      <w:hyperlink w:anchor="_Toc119068077" w:history="1">
        <w:r w:rsidRPr="009323D1">
          <w:rPr>
            <w:rStyle w:val="Hyperlink"/>
          </w:rPr>
          <w:t>1.4</w:t>
        </w:r>
        <w:r>
          <w:rPr>
            <w:rFonts w:asciiTheme="minorHAnsi" w:eastAsiaTheme="minorEastAsia" w:hAnsiTheme="minorHAnsi" w:cstheme="minorBidi"/>
            <w:color w:val="auto"/>
            <w:sz w:val="22"/>
            <w:szCs w:val="22"/>
            <w:lang w:eastAsia="en-GB"/>
          </w:rPr>
          <w:tab/>
        </w:r>
        <w:r w:rsidRPr="009323D1">
          <w:rPr>
            <w:rStyle w:val="Hyperlink"/>
          </w:rPr>
          <w:t>Performance analysis</w:t>
        </w:r>
        <w:r>
          <w:rPr>
            <w:webHidden/>
          </w:rPr>
          <w:tab/>
        </w:r>
        <w:r>
          <w:rPr>
            <w:webHidden/>
          </w:rPr>
          <w:fldChar w:fldCharType="begin"/>
        </w:r>
        <w:r>
          <w:rPr>
            <w:webHidden/>
          </w:rPr>
          <w:instrText xml:space="preserve"> PAGEREF _Toc119068077 \h </w:instrText>
        </w:r>
        <w:r>
          <w:rPr>
            <w:webHidden/>
          </w:rPr>
        </w:r>
        <w:r>
          <w:rPr>
            <w:webHidden/>
          </w:rPr>
          <w:fldChar w:fldCharType="separate"/>
        </w:r>
        <w:r w:rsidR="00EF3771">
          <w:rPr>
            <w:webHidden/>
          </w:rPr>
          <w:t>35</w:t>
        </w:r>
        <w:r>
          <w:rPr>
            <w:webHidden/>
          </w:rPr>
          <w:fldChar w:fldCharType="end"/>
        </w:r>
      </w:hyperlink>
    </w:p>
    <w:p w14:paraId="55ADAA08" w14:textId="30CFBADA" w:rsidR="00E804F9" w:rsidRDefault="00E804F9">
      <w:pPr>
        <w:pStyle w:val="TOC2"/>
        <w:rPr>
          <w:rFonts w:asciiTheme="minorHAnsi" w:eastAsiaTheme="minorEastAsia" w:hAnsiTheme="minorHAnsi" w:cstheme="minorBidi"/>
          <w:noProof/>
          <w:sz w:val="22"/>
          <w:szCs w:val="22"/>
        </w:rPr>
      </w:pPr>
      <w:hyperlink w:anchor="_Toc119068079" w:history="1">
        <w:r w:rsidRPr="009323D1">
          <w:rPr>
            <w:rStyle w:val="Hyperlink"/>
            <w:noProof/>
          </w:rPr>
          <w:t>1.4.1</w:t>
        </w:r>
        <w:r>
          <w:rPr>
            <w:rFonts w:asciiTheme="minorHAnsi" w:eastAsiaTheme="minorEastAsia" w:hAnsiTheme="minorHAnsi" w:cstheme="minorBidi"/>
            <w:noProof/>
            <w:sz w:val="22"/>
            <w:szCs w:val="22"/>
          </w:rPr>
          <w:tab/>
        </w:r>
        <w:r w:rsidRPr="009323D1">
          <w:rPr>
            <w:rStyle w:val="Hyperlink"/>
            <w:noProof/>
          </w:rPr>
          <w:t>Performance introduction</w:t>
        </w:r>
        <w:r>
          <w:rPr>
            <w:noProof/>
            <w:webHidden/>
          </w:rPr>
          <w:tab/>
        </w:r>
        <w:r>
          <w:rPr>
            <w:noProof/>
            <w:webHidden/>
          </w:rPr>
          <w:fldChar w:fldCharType="begin"/>
        </w:r>
        <w:r>
          <w:rPr>
            <w:noProof/>
            <w:webHidden/>
          </w:rPr>
          <w:instrText xml:space="preserve"> PAGEREF _Toc119068079 \h </w:instrText>
        </w:r>
        <w:r>
          <w:rPr>
            <w:noProof/>
            <w:webHidden/>
          </w:rPr>
        </w:r>
        <w:r>
          <w:rPr>
            <w:noProof/>
            <w:webHidden/>
          </w:rPr>
          <w:fldChar w:fldCharType="separate"/>
        </w:r>
        <w:r w:rsidR="00EF3771">
          <w:rPr>
            <w:noProof/>
            <w:webHidden/>
          </w:rPr>
          <w:t>36</w:t>
        </w:r>
        <w:r>
          <w:rPr>
            <w:noProof/>
            <w:webHidden/>
          </w:rPr>
          <w:fldChar w:fldCharType="end"/>
        </w:r>
      </w:hyperlink>
    </w:p>
    <w:p w14:paraId="55979A2D" w14:textId="2DA75526" w:rsidR="00E804F9" w:rsidRDefault="00E804F9">
      <w:pPr>
        <w:pStyle w:val="TOC2"/>
        <w:rPr>
          <w:rFonts w:asciiTheme="minorHAnsi" w:eastAsiaTheme="minorEastAsia" w:hAnsiTheme="minorHAnsi" w:cstheme="minorBidi"/>
          <w:noProof/>
          <w:sz w:val="22"/>
          <w:szCs w:val="22"/>
        </w:rPr>
      </w:pPr>
      <w:hyperlink w:anchor="_Toc119068081" w:history="1">
        <w:r w:rsidRPr="009323D1">
          <w:rPr>
            <w:rStyle w:val="Hyperlink"/>
            <w:noProof/>
          </w:rPr>
          <w:t>1.4.2</w:t>
        </w:r>
        <w:r>
          <w:rPr>
            <w:rFonts w:asciiTheme="minorHAnsi" w:eastAsiaTheme="minorEastAsia" w:hAnsiTheme="minorHAnsi" w:cstheme="minorBidi"/>
            <w:noProof/>
            <w:sz w:val="22"/>
            <w:szCs w:val="22"/>
          </w:rPr>
          <w:tab/>
        </w:r>
        <w:r w:rsidRPr="009323D1">
          <w:rPr>
            <w:rStyle w:val="Hyperlink"/>
            <w:noProof/>
          </w:rPr>
          <w:t>Performance report</w:t>
        </w:r>
        <w:r>
          <w:rPr>
            <w:noProof/>
            <w:webHidden/>
          </w:rPr>
          <w:tab/>
        </w:r>
        <w:r>
          <w:rPr>
            <w:noProof/>
            <w:webHidden/>
          </w:rPr>
          <w:fldChar w:fldCharType="begin"/>
        </w:r>
        <w:r>
          <w:rPr>
            <w:noProof/>
            <w:webHidden/>
          </w:rPr>
          <w:instrText xml:space="preserve"> PAGEREF _Toc119068081 \h </w:instrText>
        </w:r>
        <w:r>
          <w:rPr>
            <w:noProof/>
            <w:webHidden/>
          </w:rPr>
        </w:r>
        <w:r>
          <w:rPr>
            <w:noProof/>
            <w:webHidden/>
          </w:rPr>
          <w:fldChar w:fldCharType="separate"/>
        </w:r>
        <w:r w:rsidR="00EF3771">
          <w:rPr>
            <w:noProof/>
            <w:webHidden/>
          </w:rPr>
          <w:t>36</w:t>
        </w:r>
        <w:r>
          <w:rPr>
            <w:noProof/>
            <w:webHidden/>
          </w:rPr>
          <w:fldChar w:fldCharType="end"/>
        </w:r>
      </w:hyperlink>
    </w:p>
    <w:p w14:paraId="34029D72" w14:textId="7A095CC3" w:rsidR="00E804F9" w:rsidRDefault="00E804F9">
      <w:pPr>
        <w:pStyle w:val="TOC2"/>
        <w:rPr>
          <w:rFonts w:asciiTheme="minorHAnsi" w:eastAsiaTheme="minorEastAsia" w:hAnsiTheme="minorHAnsi" w:cstheme="minorBidi"/>
          <w:noProof/>
          <w:sz w:val="22"/>
          <w:szCs w:val="22"/>
        </w:rPr>
      </w:pPr>
      <w:hyperlink w:anchor="_Toc119068082" w:history="1">
        <w:r w:rsidRPr="009323D1">
          <w:rPr>
            <w:rStyle w:val="Hyperlink"/>
            <w:noProof/>
          </w:rPr>
          <w:t>1.4.3</w:t>
        </w:r>
        <w:r>
          <w:rPr>
            <w:rFonts w:asciiTheme="minorHAnsi" w:eastAsiaTheme="minorEastAsia" w:hAnsiTheme="minorHAnsi" w:cstheme="minorBidi"/>
            <w:noProof/>
            <w:sz w:val="22"/>
            <w:szCs w:val="22"/>
          </w:rPr>
          <w:tab/>
        </w:r>
        <w:r w:rsidRPr="009323D1">
          <w:rPr>
            <w:rStyle w:val="Hyperlink"/>
            <w:noProof/>
          </w:rPr>
          <w:t>Financial performance 2021/2022</w:t>
        </w:r>
        <w:r>
          <w:rPr>
            <w:noProof/>
            <w:webHidden/>
          </w:rPr>
          <w:tab/>
        </w:r>
        <w:r>
          <w:rPr>
            <w:noProof/>
            <w:webHidden/>
          </w:rPr>
          <w:fldChar w:fldCharType="begin"/>
        </w:r>
        <w:r>
          <w:rPr>
            <w:noProof/>
            <w:webHidden/>
          </w:rPr>
          <w:instrText xml:space="preserve"> PAGEREF _Toc119068082 \h </w:instrText>
        </w:r>
        <w:r>
          <w:rPr>
            <w:noProof/>
            <w:webHidden/>
          </w:rPr>
        </w:r>
        <w:r>
          <w:rPr>
            <w:noProof/>
            <w:webHidden/>
          </w:rPr>
          <w:fldChar w:fldCharType="separate"/>
        </w:r>
        <w:r w:rsidR="00EF3771">
          <w:rPr>
            <w:noProof/>
            <w:webHidden/>
          </w:rPr>
          <w:t>61</w:t>
        </w:r>
        <w:r>
          <w:rPr>
            <w:noProof/>
            <w:webHidden/>
          </w:rPr>
          <w:fldChar w:fldCharType="end"/>
        </w:r>
      </w:hyperlink>
    </w:p>
    <w:p w14:paraId="635EFAE0" w14:textId="1CEC7FA3" w:rsidR="00E804F9" w:rsidRDefault="00E804F9" w:rsidP="00F62A1B">
      <w:pPr>
        <w:pStyle w:val="TOC1"/>
        <w:rPr>
          <w:rFonts w:asciiTheme="minorHAnsi" w:eastAsiaTheme="minorEastAsia" w:hAnsiTheme="minorHAnsi" w:cstheme="minorBidi"/>
          <w:color w:val="auto"/>
          <w:sz w:val="22"/>
          <w:szCs w:val="22"/>
          <w:lang w:eastAsia="en-GB"/>
        </w:rPr>
      </w:pPr>
      <w:hyperlink w:anchor="_Toc119068083" w:history="1">
        <w:r w:rsidRPr="009323D1">
          <w:rPr>
            <w:rStyle w:val="Hyperlink"/>
          </w:rPr>
          <w:t>1.5</w:t>
        </w:r>
        <w:r>
          <w:rPr>
            <w:rFonts w:asciiTheme="minorHAnsi" w:eastAsiaTheme="minorEastAsia" w:hAnsiTheme="minorHAnsi" w:cstheme="minorBidi"/>
            <w:color w:val="auto"/>
            <w:sz w:val="22"/>
            <w:szCs w:val="22"/>
            <w:lang w:eastAsia="en-GB"/>
          </w:rPr>
          <w:tab/>
        </w:r>
        <w:r w:rsidRPr="009323D1">
          <w:rPr>
            <w:rStyle w:val="Hyperlink"/>
          </w:rPr>
          <w:t>Equality and diversity</w:t>
        </w:r>
        <w:r>
          <w:rPr>
            <w:webHidden/>
          </w:rPr>
          <w:tab/>
        </w:r>
        <w:r>
          <w:rPr>
            <w:webHidden/>
          </w:rPr>
          <w:fldChar w:fldCharType="begin"/>
        </w:r>
        <w:r>
          <w:rPr>
            <w:webHidden/>
          </w:rPr>
          <w:instrText xml:space="preserve"> PAGEREF _Toc119068083 \h </w:instrText>
        </w:r>
        <w:r>
          <w:rPr>
            <w:webHidden/>
          </w:rPr>
        </w:r>
        <w:r>
          <w:rPr>
            <w:webHidden/>
          </w:rPr>
          <w:fldChar w:fldCharType="separate"/>
        </w:r>
        <w:r w:rsidR="00EF3771">
          <w:rPr>
            <w:webHidden/>
          </w:rPr>
          <w:t>65</w:t>
        </w:r>
        <w:r>
          <w:rPr>
            <w:webHidden/>
          </w:rPr>
          <w:fldChar w:fldCharType="end"/>
        </w:r>
      </w:hyperlink>
    </w:p>
    <w:p w14:paraId="4DCB42C2" w14:textId="0F011EFF" w:rsidR="00E804F9" w:rsidRDefault="00E804F9" w:rsidP="00F62A1B">
      <w:pPr>
        <w:pStyle w:val="TOC1"/>
        <w:rPr>
          <w:rFonts w:asciiTheme="minorHAnsi" w:eastAsiaTheme="minorEastAsia" w:hAnsiTheme="minorHAnsi" w:cstheme="minorBidi"/>
          <w:color w:val="auto"/>
          <w:sz w:val="22"/>
          <w:szCs w:val="22"/>
          <w:lang w:eastAsia="en-GB"/>
        </w:rPr>
      </w:pPr>
      <w:hyperlink w:anchor="_Toc119068084" w:history="1">
        <w:r w:rsidRPr="009323D1">
          <w:rPr>
            <w:rStyle w:val="Hyperlink"/>
          </w:rPr>
          <w:t>1.6</w:t>
        </w:r>
        <w:r>
          <w:rPr>
            <w:rFonts w:asciiTheme="minorHAnsi" w:eastAsiaTheme="minorEastAsia" w:hAnsiTheme="minorHAnsi" w:cstheme="minorBidi"/>
            <w:color w:val="auto"/>
            <w:sz w:val="22"/>
            <w:szCs w:val="22"/>
            <w:lang w:eastAsia="en-GB"/>
          </w:rPr>
          <w:tab/>
        </w:r>
        <w:r w:rsidRPr="009323D1">
          <w:rPr>
            <w:rStyle w:val="Hyperlink"/>
          </w:rPr>
          <w:t>Sustainability</w:t>
        </w:r>
        <w:r>
          <w:rPr>
            <w:webHidden/>
          </w:rPr>
          <w:tab/>
        </w:r>
        <w:r>
          <w:rPr>
            <w:webHidden/>
          </w:rPr>
          <w:fldChar w:fldCharType="begin"/>
        </w:r>
        <w:r>
          <w:rPr>
            <w:webHidden/>
          </w:rPr>
          <w:instrText xml:space="preserve"> PAGEREF _Toc119068084 \h </w:instrText>
        </w:r>
        <w:r>
          <w:rPr>
            <w:webHidden/>
          </w:rPr>
        </w:r>
        <w:r>
          <w:rPr>
            <w:webHidden/>
          </w:rPr>
          <w:fldChar w:fldCharType="separate"/>
        </w:r>
        <w:r w:rsidR="00EF3771">
          <w:rPr>
            <w:webHidden/>
          </w:rPr>
          <w:t>65</w:t>
        </w:r>
        <w:r>
          <w:rPr>
            <w:webHidden/>
          </w:rPr>
          <w:fldChar w:fldCharType="end"/>
        </w:r>
      </w:hyperlink>
    </w:p>
    <w:p w14:paraId="09CCEF16" w14:textId="0919114A" w:rsidR="00E804F9" w:rsidRDefault="00E804F9" w:rsidP="00F62A1B">
      <w:pPr>
        <w:pStyle w:val="TOC1"/>
        <w:rPr>
          <w:rFonts w:asciiTheme="minorHAnsi" w:eastAsiaTheme="minorEastAsia" w:hAnsiTheme="minorHAnsi" w:cstheme="minorBidi"/>
          <w:color w:val="auto"/>
          <w:sz w:val="22"/>
          <w:szCs w:val="22"/>
          <w:lang w:eastAsia="en-GB"/>
        </w:rPr>
      </w:pPr>
      <w:hyperlink w:anchor="_Toc119068085" w:history="1">
        <w:r w:rsidRPr="009323D1">
          <w:rPr>
            <w:rStyle w:val="Hyperlink"/>
          </w:rPr>
          <w:t>2.0</w:t>
        </w:r>
        <w:r>
          <w:rPr>
            <w:rFonts w:asciiTheme="minorHAnsi" w:eastAsiaTheme="minorEastAsia" w:hAnsiTheme="minorHAnsi" w:cstheme="minorBidi"/>
            <w:color w:val="auto"/>
            <w:sz w:val="22"/>
            <w:szCs w:val="22"/>
            <w:lang w:eastAsia="en-GB"/>
          </w:rPr>
          <w:tab/>
        </w:r>
        <w:r w:rsidRPr="009323D1">
          <w:rPr>
            <w:rStyle w:val="Hyperlink"/>
          </w:rPr>
          <w:t>Accountability report</w:t>
        </w:r>
        <w:r>
          <w:rPr>
            <w:webHidden/>
          </w:rPr>
          <w:tab/>
        </w:r>
        <w:r>
          <w:rPr>
            <w:webHidden/>
          </w:rPr>
          <w:fldChar w:fldCharType="begin"/>
        </w:r>
        <w:r>
          <w:rPr>
            <w:webHidden/>
          </w:rPr>
          <w:instrText xml:space="preserve"> PAGEREF _Toc119068085 \h </w:instrText>
        </w:r>
        <w:r>
          <w:rPr>
            <w:webHidden/>
          </w:rPr>
        </w:r>
        <w:r>
          <w:rPr>
            <w:webHidden/>
          </w:rPr>
          <w:fldChar w:fldCharType="separate"/>
        </w:r>
        <w:r w:rsidR="00EF3771">
          <w:rPr>
            <w:webHidden/>
          </w:rPr>
          <w:t>70</w:t>
        </w:r>
        <w:r>
          <w:rPr>
            <w:webHidden/>
          </w:rPr>
          <w:fldChar w:fldCharType="end"/>
        </w:r>
      </w:hyperlink>
    </w:p>
    <w:p w14:paraId="15FCD3F8" w14:textId="4D869228" w:rsidR="00E804F9" w:rsidRDefault="00E804F9">
      <w:pPr>
        <w:pStyle w:val="TOC2"/>
        <w:rPr>
          <w:rFonts w:asciiTheme="minorHAnsi" w:eastAsiaTheme="minorEastAsia" w:hAnsiTheme="minorHAnsi" w:cstheme="minorBidi"/>
          <w:noProof/>
          <w:sz w:val="22"/>
          <w:szCs w:val="22"/>
        </w:rPr>
      </w:pPr>
      <w:hyperlink w:anchor="_Toc119068086" w:history="1">
        <w:r w:rsidRPr="009323D1">
          <w:rPr>
            <w:rStyle w:val="Hyperlink"/>
            <w:noProof/>
            <w:lang w:eastAsia="en-US"/>
          </w:rPr>
          <w:t>2.1</w:t>
        </w:r>
        <w:r>
          <w:rPr>
            <w:rFonts w:asciiTheme="minorHAnsi" w:eastAsiaTheme="minorEastAsia" w:hAnsiTheme="minorHAnsi" w:cstheme="minorBidi"/>
            <w:noProof/>
            <w:sz w:val="22"/>
            <w:szCs w:val="22"/>
          </w:rPr>
          <w:tab/>
        </w:r>
        <w:r w:rsidRPr="009323D1">
          <w:rPr>
            <w:rStyle w:val="Hyperlink"/>
            <w:noProof/>
            <w:lang w:eastAsia="en-US"/>
          </w:rPr>
          <w:t>Corporate governance report</w:t>
        </w:r>
        <w:r>
          <w:rPr>
            <w:noProof/>
            <w:webHidden/>
          </w:rPr>
          <w:tab/>
        </w:r>
        <w:r>
          <w:rPr>
            <w:noProof/>
            <w:webHidden/>
          </w:rPr>
          <w:fldChar w:fldCharType="begin"/>
        </w:r>
        <w:r>
          <w:rPr>
            <w:noProof/>
            <w:webHidden/>
          </w:rPr>
          <w:instrText xml:space="preserve"> PAGEREF _Toc119068086 \h </w:instrText>
        </w:r>
        <w:r>
          <w:rPr>
            <w:noProof/>
            <w:webHidden/>
          </w:rPr>
        </w:r>
        <w:r>
          <w:rPr>
            <w:noProof/>
            <w:webHidden/>
          </w:rPr>
          <w:fldChar w:fldCharType="separate"/>
        </w:r>
        <w:r w:rsidR="00EF3771">
          <w:rPr>
            <w:noProof/>
            <w:webHidden/>
          </w:rPr>
          <w:t>70</w:t>
        </w:r>
        <w:r>
          <w:rPr>
            <w:noProof/>
            <w:webHidden/>
          </w:rPr>
          <w:fldChar w:fldCharType="end"/>
        </w:r>
      </w:hyperlink>
    </w:p>
    <w:p w14:paraId="1F5C94AE" w14:textId="652DF465" w:rsidR="00E804F9" w:rsidRDefault="00E804F9">
      <w:pPr>
        <w:pStyle w:val="TOC2"/>
        <w:rPr>
          <w:rFonts w:asciiTheme="minorHAnsi" w:eastAsiaTheme="minorEastAsia" w:hAnsiTheme="minorHAnsi" w:cstheme="minorBidi"/>
          <w:noProof/>
          <w:sz w:val="22"/>
          <w:szCs w:val="22"/>
        </w:rPr>
      </w:pPr>
      <w:hyperlink w:anchor="_Toc119068087" w:history="1">
        <w:r w:rsidRPr="009323D1">
          <w:rPr>
            <w:rStyle w:val="Hyperlink"/>
            <w:noProof/>
            <w:lang w:eastAsia="en-US"/>
          </w:rPr>
          <w:t>2.2</w:t>
        </w:r>
        <w:r>
          <w:rPr>
            <w:rFonts w:asciiTheme="minorHAnsi" w:eastAsiaTheme="minorEastAsia" w:hAnsiTheme="minorHAnsi" w:cstheme="minorBidi"/>
            <w:noProof/>
            <w:sz w:val="22"/>
            <w:szCs w:val="22"/>
          </w:rPr>
          <w:tab/>
        </w:r>
        <w:r w:rsidRPr="009323D1">
          <w:rPr>
            <w:rStyle w:val="Hyperlink"/>
            <w:noProof/>
            <w:lang w:eastAsia="en-US"/>
          </w:rPr>
          <w:t>Governance statement</w:t>
        </w:r>
        <w:r>
          <w:rPr>
            <w:noProof/>
            <w:webHidden/>
          </w:rPr>
          <w:tab/>
        </w:r>
        <w:r>
          <w:rPr>
            <w:noProof/>
            <w:webHidden/>
          </w:rPr>
          <w:fldChar w:fldCharType="begin"/>
        </w:r>
        <w:r>
          <w:rPr>
            <w:noProof/>
            <w:webHidden/>
          </w:rPr>
          <w:instrText xml:space="preserve"> PAGEREF _Toc119068087 \h </w:instrText>
        </w:r>
        <w:r>
          <w:rPr>
            <w:noProof/>
            <w:webHidden/>
          </w:rPr>
        </w:r>
        <w:r>
          <w:rPr>
            <w:noProof/>
            <w:webHidden/>
          </w:rPr>
          <w:fldChar w:fldCharType="separate"/>
        </w:r>
        <w:r w:rsidR="00EF3771">
          <w:rPr>
            <w:noProof/>
            <w:webHidden/>
          </w:rPr>
          <w:t>72</w:t>
        </w:r>
        <w:r>
          <w:rPr>
            <w:noProof/>
            <w:webHidden/>
          </w:rPr>
          <w:fldChar w:fldCharType="end"/>
        </w:r>
      </w:hyperlink>
    </w:p>
    <w:p w14:paraId="3DC0AAE8" w14:textId="0919CE7C" w:rsidR="00E804F9" w:rsidRDefault="00E804F9">
      <w:pPr>
        <w:pStyle w:val="TOC2"/>
        <w:rPr>
          <w:rFonts w:asciiTheme="minorHAnsi" w:eastAsiaTheme="minorEastAsia" w:hAnsiTheme="minorHAnsi" w:cstheme="minorBidi"/>
          <w:noProof/>
          <w:sz w:val="22"/>
          <w:szCs w:val="22"/>
        </w:rPr>
      </w:pPr>
      <w:hyperlink w:anchor="_Toc119068088" w:history="1">
        <w:r w:rsidRPr="009323D1">
          <w:rPr>
            <w:rStyle w:val="Hyperlink"/>
            <w:noProof/>
            <w:lang w:eastAsia="en-US"/>
          </w:rPr>
          <w:t>2.3</w:t>
        </w:r>
        <w:r>
          <w:rPr>
            <w:rFonts w:asciiTheme="minorHAnsi" w:eastAsiaTheme="minorEastAsia" w:hAnsiTheme="minorHAnsi" w:cstheme="minorBidi"/>
            <w:noProof/>
            <w:sz w:val="22"/>
            <w:szCs w:val="22"/>
          </w:rPr>
          <w:tab/>
        </w:r>
        <w:r w:rsidRPr="009323D1">
          <w:rPr>
            <w:rStyle w:val="Hyperlink"/>
            <w:noProof/>
            <w:lang w:eastAsia="en-US"/>
          </w:rPr>
          <w:t>Remuneration of staff</w:t>
        </w:r>
        <w:r>
          <w:rPr>
            <w:noProof/>
            <w:webHidden/>
          </w:rPr>
          <w:tab/>
        </w:r>
        <w:r>
          <w:rPr>
            <w:noProof/>
            <w:webHidden/>
          </w:rPr>
          <w:fldChar w:fldCharType="begin"/>
        </w:r>
        <w:r>
          <w:rPr>
            <w:noProof/>
            <w:webHidden/>
          </w:rPr>
          <w:instrText xml:space="preserve"> PAGEREF _Toc119068088 \h </w:instrText>
        </w:r>
        <w:r>
          <w:rPr>
            <w:noProof/>
            <w:webHidden/>
          </w:rPr>
        </w:r>
        <w:r>
          <w:rPr>
            <w:noProof/>
            <w:webHidden/>
          </w:rPr>
          <w:fldChar w:fldCharType="separate"/>
        </w:r>
        <w:r w:rsidR="00EF3771">
          <w:rPr>
            <w:noProof/>
            <w:webHidden/>
          </w:rPr>
          <w:t>86</w:t>
        </w:r>
        <w:r>
          <w:rPr>
            <w:noProof/>
            <w:webHidden/>
          </w:rPr>
          <w:fldChar w:fldCharType="end"/>
        </w:r>
      </w:hyperlink>
    </w:p>
    <w:p w14:paraId="23695C00" w14:textId="7C2847A3" w:rsidR="00E804F9" w:rsidRDefault="00E804F9">
      <w:pPr>
        <w:pStyle w:val="TOC2"/>
        <w:rPr>
          <w:rFonts w:asciiTheme="minorHAnsi" w:eastAsiaTheme="minorEastAsia" w:hAnsiTheme="minorHAnsi" w:cstheme="minorBidi"/>
          <w:noProof/>
          <w:sz w:val="22"/>
          <w:szCs w:val="22"/>
        </w:rPr>
      </w:pPr>
      <w:hyperlink w:anchor="_Toc119068089" w:history="1">
        <w:r w:rsidRPr="009323D1">
          <w:rPr>
            <w:rStyle w:val="Hyperlink"/>
            <w:noProof/>
            <w:lang w:eastAsia="en-US"/>
          </w:rPr>
          <w:t>2.4</w:t>
        </w:r>
        <w:r>
          <w:rPr>
            <w:rFonts w:asciiTheme="minorHAnsi" w:eastAsiaTheme="minorEastAsia" w:hAnsiTheme="minorHAnsi" w:cstheme="minorBidi"/>
            <w:noProof/>
            <w:sz w:val="22"/>
            <w:szCs w:val="22"/>
          </w:rPr>
          <w:tab/>
        </w:r>
        <w:r w:rsidRPr="009323D1">
          <w:rPr>
            <w:rStyle w:val="Hyperlink"/>
            <w:noProof/>
            <w:lang w:eastAsia="en-US"/>
          </w:rPr>
          <w:t>Parliamentary accountability (outturn subject to audit)</w:t>
        </w:r>
        <w:r>
          <w:rPr>
            <w:noProof/>
            <w:webHidden/>
          </w:rPr>
          <w:tab/>
        </w:r>
        <w:r>
          <w:rPr>
            <w:noProof/>
            <w:webHidden/>
          </w:rPr>
          <w:fldChar w:fldCharType="begin"/>
        </w:r>
        <w:r>
          <w:rPr>
            <w:noProof/>
            <w:webHidden/>
          </w:rPr>
          <w:instrText xml:space="preserve"> PAGEREF _Toc119068089 \h </w:instrText>
        </w:r>
        <w:r>
          <w:rPr>
            <w:noProof/>
            <w:webHidden/>
          </w:rPr>
        </w:r>
        <w:r>
          <w:rPr>
            <w:noProof/>
            <w:webHidden/>
          </w:rPr>
          <w:fldChar w:fldCharType="separate"/>
        </w:r>
        <w:r w:rsidR="00EF3771">
          <w:rPr>
            <w:noProof/>
            <w:webHidden/>
          </w:rPr>
          <w:t>97</w:t>
        </w:r>
        <w:r>
          <w:rPr>
            <w:noProof/>
            <w:webHidden/>
          </w:rPr>
          <w:fldChar w:fldCharType="end"/>
        </w:r>
      </w:hyperlink>
    </w:p>
    <w:p w14:paraId="1BFB3E0D" w14:textId="34F16996" w:rsidR="00E804F9" w:rsidRDefault="00E804F9">
      <w:pPr>
        <w:pStyle w:val="TOC2"/>
        <w:rPr>
          <w:rFonts w:asciiTheme="minorHAnsi" w:eastAsiaTheme="minorEastAsia" w:hAnsiTheme="minorHAnsi" w:cstheme="minorBidi"/>
          <w:noProof/>
          <w:sz w:val="22"/>
          <w:szCs w:val="22"/>
        </w:rPr>
      </w:pPr>
      <w:hyperlink w:anchor="_Toc119068090" w:history="1">
        <w:r w:rsidRPr="009323D1">
          <w:rPr>
            <w:rStyle w:val="Hyperlink"/>
            <w:noProof/>
            <w:lang w:eastAsia="en-US"/>
          </w:rPr>
          <w:t>2.5</w:t>
        </w:r>
        <w:r>
          <w:rPr>
            <w:rFonts w:asciiTheme="minorHAnsi" w:eastAsiaTheme="minorEastAsia" w:hAnsiTheme="minorHAnsi" w:cstheme="minorBidi"/>
            <w:noProof/>
            <w:sz w:val="22"/>
            <w:szCs w:val="22"/>
          </w:rPr>
          <w:tab/>
        </w:r>
        <w:r w:rsidRPr="009323D1">
          <w:rPr>
            <w:rStyle w:val="Hyperlink"/>
            <w:noProof/>
            <w:lang w:eastAsia="en-US"/>
          </w:rPr>
          <w:t>Independent auditor’s report</w:t>
        </w:r>
        <w:r>
          <w:rPr>
            <w:noProof/>
            <w:webHidden/>
          </w:rPr>
          <w:tab/>
        </w:r>
        <w:r>
          <w:rPr>
            <w:noProof/>
            <w:webHidden/>
          </w:rPr>
          <w:fldChar w:fldCharType="begin"/>
        </w:r>
        <w:r>
          <w:rPr>
            <w:noProof/>
            <w:webHidden/>
          </w:rPr>
          <w:instrText xml:space="preserve"> PAGEREF _Toc119068090 \h </w:instrText>
        </w:r>
        <w:r>
          <w:rPr>
            <w:noProof/>
            <w:webHidden/>
          </w:rPr>
        </w:r>
        <w:r>
          <w:rPr>
            <w:noProof/>
            <w:webHidden/>
          </w:rPr>
          <w:fldChar w:fldCharType="separate"/>
        </w:r>
        <w:r w:rsidR="00EF3771">
          <w:rPr>
            <w:noProof/>
            <w:webHidden/>
          </w:rPr>
          <w:t>99</w:t>
        </w:r>
        <w:r>
          <w:rPr>
            <w:noProof/>
            <w:webHidden/>
          </w:rPr>
          <w:fldChar w:fldCharType="end"/>
        </w:r>
      </w:hyperlink>
    </w:p>
    <w:p w14:paraId="1088283B" w14:textId="54D14D95" w:rsidR="00E804F9" w:rsidRDefault="00E804F9" w:rsidP="00F62A1B">
      <w:pPr>
        <w:pStyle w:val="TOC1"/>
        <w:rPr>
          <w:rFonts w:asciiTheme="minorHAnsi" w:eastAsiaTheme="minorEastAsia" w:hAnsiTheme="minorHAnsi" w:cstheme="minorBidi"/>
          <w:color w:val="auto"/>
          <w:sz w:val="22"/>
          <w:szCs w:val="22"/>
          <w:lang w:eastAsia="en-GB"/>
        </w:rPr>
      </w:pPr>
      <w:hyperlink w:anchor="_Toc119068091" w:history="1">
        <w:r w:rsidRPr="009323D1">
          <w:rPr>
            <w:rStyle w:val="Hyperlink"/>
          </w:rPr>
          <w:t>3.0</w:t>
        </w:r>
        <w:r>
          <w:rPr>
            <w:rFonts w:asciiTheme="minorHAnsi" w:eastAsiaTheme="minorEastAsia" w:hAnsiTheme="minorHAnsi" w:cstheme="minorBidi"/>
            <w:color w:val="auto"/>
            <w:sz w:val="22"/>
            <w:szCs w:val="22"/>
            <w:lang w:eastAsia="en-GB"/>
          </w:rPr>
          <w:tab/>
        </w:r>
        <w:r w:rsidRPr="009323D1">
          <w:rPr>
            <w:rStyle w:val="Hyperlink"/>
          </w:rPr>
          <w:t>Financial statements</w:t>
        </w:r>
        <w:r>
          <w:rPr>
            <w:webHidden/>
          </w:rPr>
          <w:tab/>
        </w:r>
        <w:r>
          <w:rPr>
            <w:webHidden/>
          </w:rPr>
          <w:fldChar w:fldCharType="begin"/>
        </w:r>
        <w:r>
          <w:rPr>
            <w:webHidden/>
          </w:rPr>
          <w:instrText xml:space="preserve"> PAGEREF _Toc119068091 \h </w:instrText>
        </w:r>
        <w:r>
          <w:rPr>
            <w:webHidden/>
          </w:rPr>
        </w:r>
        <w:r>
          <w:rPr>
            <w:webHidden/>
          </w:rPr>
          <w:fldChar w:fldCharType="separate"/>
        </w:r>
        <w:r w:rsidR="00EF3771">
          <w:rPr>
            <w:webHidden/>
          </w:rPr>
          <w:t>106</w:t>
        </w:r>
        <w:r>
          <w:rPr>
            <w:webHidden/>
          </w:rPr>
          <w:fldChar w:fldCharType="end"/>
        </w:r>
      </w:hyperlink>
    </w:p>
    <w:p w14:paraId="527C190D" w14:textId="4043305D" w:rsidR="00E804F9" w:rsidRDefault="00E804F9">
      <w:pPr>
        <w:pStyle w:val="TOC2"/>
        <w:rPr>
          <w:rFonts w:asciiTheme="minorHAnsi" w:eastAsiaTheme="minorEastAsia" w:hAnsiTheme="minorHAnsi" w:cstheme="minorBidi"/>
          <w:noProof/>
          <w:sz w:val="22"/>
          <w:szCs w:val="22"/>
        </w:rPr>
      </w:pPr>
      <w:hyperlink w:anchor="_Toc119068092" w:history="1">
        <w:r w:rsidRPr="009323D1">
          <w:rPr>
            <w:rStyle w:val="Hyperlink"/>
            <w:noProof/>
            <w:lang w:eastAsia="en-US"/>
          </w:rPr>
          <w:t>Appendix 1 Ministerial Directions</w:t>
        </w:r>
        <w:r>
          <w:rPr>
            <w:noProof/>
            <w:webHidden/>
          </w:rPr>
          <w:tab/>
        </w:r>
        <w:r>
          <w:rPr>
            <w:noProof/>
            <w:webHidden/>
          </w:rPr>
          <w:fldChar w:fldCharType="begin"/>
        </w:r>
        <w:r>
          <w:rPr>
            <w:noProof/>
            <w:webHidden/>
          </w:rPr>
          <w:instrText xml:space="preserve"> PAGEREF _Toc119068092 \h </w:instrText>
        </w:r>
        <w:r>
          <w:rPr>
            <w:noProof/>
            <w:webHidden/>
          </w:rPr>
        </w:r>
        <w:r>
          <w:rPr>
            <w:noProof/>
            <w:webHidden/>
          </w:rPr>
          <w:fldChar w:fldCharType="separate"/>
        </w:r>
        <w:r w:rsidR="00EF3771">
          <w:rPr>
            <w:noProof/>
            <w:webHidden/>
          </w:rPr>
          <w:t>143</w:t>
        </w:r>
        <w:r>
          <w:rPr>
            <w:noProof/>
            <w:webHidden/>
          </w:rPr>
          <w:fldChar w:fldCharType="end"/>
        </w:r>
      </w:hyperlink>
    </w:p>
    <w:p w14:paraId="7DD9FBB5" w14:textId="49D8A3F9" w:rsidR="00E804F9" w:rsidRDefault="00E804F9">
      <w:pPr>
        <w:pStyle w:val="TOC2"/>
        <w:rPr>
          <w:rFonts w:asciiTheme="minorHAnsi" w:eastAsiaTheme="minorEastAsia" w:hAnsiTheme="minorHAnsi" w:cstheme="minorBidi"/>
          <w:noProof/>
          <w:sz w:val="22"/>
          <w:szCs w:val="22"/>
        </w:rPr>
      </w:pPr>
      <w:hyperlink w:anchor="_Toc119068093" w:history="1">
        <w:r w:rsidRPr="009323D1">
          <w:rPr>
            <w:rStyle w:val="Hyperlink"/>
            <w:noProof/>
            <w:lang w:eastAsia="en-US"/>
          </w:rPr>
          <w:t>Appendix 2 Trade</w:t>
        </w:r>
        <w:r w:rsidRPr="009323D1">
          <w:rPr>
            <w:rStyle w:val="Hyperlink"/>
            <w:bCs/>
            <w:noProof/>
          </w:rPr>
          <w:t xml:space="preserve"> </w:t>
        </w:r>
        <w:r w:rsidRPr="009323D1">
          <w:rPr>
            <w:rStyle w:val="Hyperlink"/>
            <w:noProof/>
          </w:rPr>
          <w:t>union facilities time (unaudited)</w:t>
        </w:r>
        <w:r>
          <w:rPr>
            <w:noProof/>
            <w:webHidden/>
          </w:rPr>
          <w:tab/>
        </w:r>
        <w:r>
          <w:rPr>
            <w:noProof/>
            <w:webHidden/>
          </w:rPr>
          <w:fldChar w:fldCharType="begin"/>
        </w:r>
        <w:r>
          <w:rPr>
            <w:noProof/>
            <w:webHidden/>
          </w:rPr>
          <w:instrText xml:space="preserve"> PAGEREF _Toc119068093 \h </w:instrText>
        </w:r>
        <w:r>
          <w:rPr>
            <w:noProof/>
            <w:webHidden/>
          </w:rPr>
        </w:r>
        <w:r>
          <w:rPr>
            <w:noProof/>
            <w:webHidden/>
          </w:rPr>
          <w:fldChar w:fldCharType="separate"/>
        </w:r>
        <w:r w:rsidR="00EF3771">
          <w:rPr>
            <w:noProof/>
            <w:webHidden/>
          </w:rPr>
          <w:t>144</w:t>
        </w:r>
        <w:r>
          <w:rPr>
            <w:noProof/>
            <w:webHidden/>
          </w:rPr>
          <w:fldChar w:fldCharType="end"/>
        </w:r>
      </w:hyperlink>
    </w:p>
    <w:p w14:paraId="311A1DF0" w14:textId="2E9A55DA" w:rsidR="00AA5B7B" w:rsidRDefault="0022721E" w:rsidP="00D04AE8">
      <w:pPr>
        <w:spacing w:after="120" w:line="276" w:lineRule="auto"/>
        <w:textAlignment w:val="baseline"/>
        <w:rPr>
          <w:rFonts w:ascii="Arial" w:eastAsia="Arial Narrow" w:hAnsi="Arial" w:cs="Arial"/>
          <w:b/>
          <w:spacing w:val="8"/>
          <w:lang w:val="en-US"/>
        </w:rPr>
      </w:pPr>
      <w:r>
        <w:rPr>
          <w:rFonts w:ascii="Arial" w:eastAsia="Arial Narrow" w:hAnsi="Arial" w:cs="Arial"/>
          <w:b/>
          <w:spacing w:val="8"/>
          <w:lang w:val="en-US"/>
        </w:rPr>
        <w:fldChar w:fldCharType="end"/>
      </w:r>
      <w:r w:rsidR="00AA5B7B">
        <w:rPr>
          <w:rFonts w:ascii="Arial" w:eastAsia="Arial Narrow" w:hAnsi="Arial" w:cs="Arial"/>
          <w:b/>
          <w:spacing w:val="8"/>
          <w:lang w:val="en-US"/>
        </w:rPr>
        <w:br w:type="page"/>
      </w:r>
    </w:p>
    <w:p w14:paraId="0D8E5ED7" w14:textId="68B7D7FA" w:rsidR="003617B3" w:rsidRDefault="003617B3" w:rsidP="001624CF">
      <w:pPr>
        <w:pStyle w:val="01aMainHeader"/>
      </w:pPr>
      <w:bookmarkStart w:id="0" w:name="_Toc119068059"/>
      <w:bookmarkStart w:id="1" w:name="AgencyManagementTeam"/>
      <w:r w:rsidRPr="003617B3">
        <w:lastRenderedPageBreak/>
        <w:t>1.0</w:t>
      </w:r>
      <w:r w:rsidRPr="003617B3">
        <w:tab/>
        <w:t>Performance Report</w:t>
      </w:r>
      <w:bookmarkEnd w:id="0"/>
    </w:p>
    <w:p w14:paraId="5C603533" w14:textId="363B97E2" w:rsidR="00EE0F3C" w:rsidRPr="000D7C9F" w:rsidRDefault="003617B3" w:rsidP="001624CF">
      <w:pPr>
        <w:pStyle w:val="01aMainHeader"/>
      </w:pPr>
      <w:bookmarkStart w:id="2" w:name="_Toc119068060"/>
      <w:bookmarkEnd w:id="1"/>
      <w:r>
        <w:t>1.1</w:t>
      </w:r>
      <w:r w:rsidR="000D3306">
        <w:tab/>
      </w:r>
      <w:r w:rsidR="00EE0F3C" w:rsidRPr="000D7C9F">
        <w:t>Introduction</w:t>
      </w:r>
      <w:bookmarkEnd w:id="2"/>
    </w:p>
    <w:p w14:paraId="5291FA37" w14:textId="77777777" w:rsidR="002536AE" w:rsidRPr="000F0C25" w:rsidRDefault="002536AE" w:rsidP="00EE0F3C">
      <w:pPr>
        <w:spacing w:before="4" w:line="238" w:lineRule="exact"/>
        <w:textAlignment w:val="baseline"/>
        <w:rPr>
          <w:rFonts w:ascii="Arial" w:eastAsia="Arial" w:hAnsi="Arial"/>
          <w:b/>
          <w:color w:val="00526F"/>
          <w:sz w:val="32"/>
          <w:szCs w:val="32"/>
        </w:rPr>
      </w:pPr>
    </w:p>
    <w:p w14:paraId="5F1BECC5" w14:textId="51C838FE" w:rsidR="00EE0F3C" w:rsidRPr="0054571D" w:rsidRDefault="00EE0F3C" w:rsidP="0054571D">
      <w:pPr>
        <w:spacing w:after="200" w:line="360" w:lineRule="auto"/>
        <w:textAlignment w:val="baseline"/>
        <w:rPr>
          <w:rFonts w:ascii="Arial" w:eastAsia="Arial Narrow" w:hAnsi="Arial" w:cs="Arial"/>
          <w:spacing w:val="6"/>
        </w:rPr>
      </w:pPr>
      <w:r w:rsidRPr="0054571D">
        <w:rPr>
          <w:rFonts w:ascii="Arial" w:eastAsia="Arial Narrow" w:hAnsi="Arial" w:cs="Arial"/>
          <w:spacing w:val="6"/>
          <w:lang w:val="en-US"/>
        </w:rPr>
        <w:t>The report is divided into three parts:</w:t>
      </w:r>
    </w:p>
    <w:p w14:paraId="4D571A22" w14:textId="12851FF3" w:rsidR="00EE0F3C" w:rsidRPr="0054571D" w:rsidRDefault="00E4273D" w:rsidP="00DA4475">
      <w:pPr>
        <w:numPr>
          <w:ilvl w:val="0"/>
          <w:numId w:val="14"/>
        </w:numPr>
        <w:tabs>
          <w:tab w:val="left" w:pos="360"/>
        </w:tabs>
        <w:spacing w:line="360" w:lineRule="auto"/>
        <w:ind w:left="357" w:hanging="357"/>
        <w:textAlignment w:val="baseline"/>
        <w:rPr>
          <w:rFonts w:ascii="Arial" w:eastAsia="Arial Narrow" w:hAnsi="Arial" w:cs="Arial"/>
          <w:b/>
          <w:spacing w:val="7"/>
        </w:rPr>
      </w:pPr>
      <w:r w:rsidRPr="0054571D">
        <w:rPr>
          <w:rFonts w:ascii="Arial" w:eastAsia="Arial Narrow" w:hAnsi="Arial" w:cs="Arial"/>
          <w:b/>
          <w:spacing w:val="7"/>
          <w:lang w:val="en-US"/>
        </w:rPr>
        <w:t>Performance r</w:t>
      </w:r>
      <w:r w:rsidR="00EE0F3C" w:rsidRPr="0054571D">
        <w:rPr>
          <w:rFonts w:ascii="Arial" w:eastAsia="Arial Narrow" w:hAnsi="Arial" w:cs="Arial"/>
          <w:b/>
          <w:spacing w:val="7"/>
          <w:lang w:val="en-US"/>
        </w:rPr>
        <w:t xml:space="preserve">eport </w:t>
      </w:r>
      <w:r w:rsidR="00EE0F3C" w:rsidRPr="0054571D">
        <w:rPr>
          <w:rFonts w:ascii="Arial" w:eastAsia="Arial Narrow" w:hAnsi="Arial" w:cs="Arial"/>
          <w:spacing w:val="7"/>
          <w:lang w:val="en-US"/>
        </w:rPr>
        <w:t>consisting of:</w:t>
      </w:r>
    </w:p>
    <w:p w14:paraId="219258A7" w14:textId="00960A0D" w:rsidR="00EE0F3C" w:rsidRPr="0054571D" w:rsidRDefault="00EE0F3C" w:rsidP="00DA4475">
      <w:pPr>
        <w:numPr>
          <w:ilvl w:val="0"/>
          <w:numId w:val="15"/>
        </w:numPr>
        <w:tabs>
          <w:tab w:val="left" w:pos="504"/>
        </w:tabs>
        <w:spacing w:line="360" w:lineRule="auto"/>
        <w:ind w:left="504" w:right="72" w:hanging="360"/>
        <w:textAlignment w:val="baseline"/>
        <w:rPr>
          <w:rFonts w:ascii="Arial" w:eastAsia="Arial Narrow" w:hAnsi="Arial" w:cs="Arial"/>
        </w:rPr>
      </w:pPr>
      <w:r w:rsidRPr="0054571D">
        <w:rPr>
          <w:rFonts w:ascii="Arial" w:eastAsia="Arial Narrow" w:hAnsi="Arial" w:cs="Arial"/>
          <w:lang w:val="en-US"/>
        </w:rPr>
        <w:t xml:space="preserve">Overview section – this </w:t>
      </w:r>
      <w:proofErr w:type="spellStart"/>
      <w:r w:rsidRPr="0054571D">
        <w:rPr>
          <w:rFonts w:ascii="Arial" w:eastAsia="Arial Narrow" w:hAnsi="Arial" w:cs="Arial"/>
          <w:lang w:val="en-US"/>
        </w:rPr>
        <w:t>summarises</w:t>
      </w:r>
      <w:proofErr w:type="spellEnd"/>
      <w:r w:rsidRPr="0054571D">
        <w:rPr>
          <w:rFonts w:ascii="Arial" w:eastAsia="Arial Narrow" w:hAnsi="Arial" w:cs="Arial"/>
          <w:lang w:val="en-US"/>
        </w:rPr>
        <w:t xml:space="preserve"> the whole report, explaining our purpose and strategy, our business model, our activities, our operational risks</w:t>
      </w:r>
      <w:r w:rsidR="00E4273D" w:rsidRPr="0054571D">
        <w:rPr>
          <w:rFonts w:ascii="Arial" w:eastAsia="Arial Narrow" w:hAnsi="Arial" w:cs="Arial"/>
          <w:lang w:val="en-US"/>
        </w:rPr>
        <w:t>,</w:t>
      </w:r>
      <w:r w:rsidRPr="0054571D">
        <w:rPr>
          <w:rFonts w:ascii="Arial" w:eastAsia="Arial Narrow" w:hAnsi="Arial" w:cs="Arial"/>
          <w:lang w:val="en-US"/>
        </w:rPr>
        <w:t xml:space="preserve"> and </w:t>
      </w:r>
      <w:proofErr w:type="spellStart"/>
      <w:r w:rsidRPr="0054571D">
        <w:rPr>
          <w:rFonts w:ascii="Arial" w:eastAsia="Arial Narrow" w:hAnsi="Arial" w:cs="Arial"/>
          <w:lang w:val="en-US"/>
        </w:rPr>
        <w:t>summarises</w:t>
      </w:r>
      <w:proofErr w:type="spellEnd"/>
      <w:r w:rsidRPr="0054571D">
        <w:rPr>
          <w:rFonts w:ascii="Arial" w:eastAsia="Arial Narrow" w:hAnsi="Arial" w:cs="Arial"/>
          <w:lang w:val="en-US"/>
        </w:rPr>
        <w:t xml:space="preserve"> our performance.</w:t>
      </w:r>
    </w:p>
    <w:p w14:paraId="065FD165" w14:textId="73FF86E9" w:rsidR="00EE0F3C" w:rsidRPr="00695EAE" w:rsidRDefault="00EC102D" w:rsidP="00DA4475">
      <w:pPr>
        <w:numPr>
          <w:ilvl w:val="0"/>
          <w:numId w:val="15"/>
        </w:numPr>
        <w:tabs>
          <w:tab w:val="left" w:pos="504"/>
        </w:tabs>
        <w:spacing w:line="360" w:lineRule="auto"/>
        <w:ind w:left="504" w:right="144" w:hanging="360"/>
        <w:textAlignment w:val="baseline"/>
        <w:rPr>
          <w:rFonts w:ascii="Arial" w:eastAsia="Arial Narrow" w:hAnsi="Arial" w:cs="Arial"/>
        </w:rPr>
      </w:pPr>
      <w:r w:rsidRPr="0054571D">
        <w:rPr>
          <w:rFonts w:ascii="Arial" w:eastAsia="Arial Narrow" w:hAnsi="Arial" w:cs="Arial"/>
          <w:lang w:val="en-US"/>
        </w:rPr>
        <w:t>Performance a</w:t>
      </w:r>
      <w:r w:rsidR="00EE0F3C" w:rsidRPr="0054571D">
        <w:rPr>
          <w:rFonts w:ascii="Arial" w:eastAsia="Arial Narrow" w:hAnsi="Arial" w:cs="Arial"/>
          <w:lang w:val="en-US"/>
        </w:rPr>
        <w:t>nalysis – this shows our progress against this year’s performance measures and our financial performance.</w:t>
      </w:r>
    </w:p>
    <w:p w14:paraId="2CE79DF2" w14:textId="77777777" w:rsidR="00695EAE" w:rsidRPr="00695EAE" w:rsidRDefault="00695EAE" w:rsidP="00695EAE">
      <w:pPr>
        <w:tabs>
          <w:tab w:val="left" w:pos="504"/>
        </w:tabs>
        <w:spacing w:line="360" w:lineRule="auto"/>
        <w:ind w:left="504" w:right="144"/>
        <w:textAlignment w:val="baseline"/>
        <w:rPr>
          <w:rFonts w:ascii="Arial" w:eastAsia="Arial Narrow" w:hAnsi="Arial" w:cs="Arial"/>
        </w:rPr>
      </w:pPr>
    </w:p>
    <w:p w14:paraId="24F0B130" w14:textId="3547F59F" w:rsidR="00EE0F3C" w:rsidRPr="00695EAE" w:rsidRDefault="00E4273D" w:rsidP="00DA4475">
      <w:pPr>
        <w:numPr>
          <w:ilvl w:val="0"/>
          <w:numId w:val="14"/>
        </w:numPr>
        <w:tabs>
          <w:tab w:val="left" w:pos="360"/>
        </w:tabs>
        <w:spacing w:line="360" w:lineRule="auto"/>
        <w:ind w:left="357" w:hanging="357"/>
        <w:textAlignment w:val="baseline"/>
        <w:rPr>
          <w:rFonts w:ascii="Arial" w:eastAsia="Arial Narrow" w:hAnsi="Arial" w:cs="Arial"/>
          <w:b/>
        </w:rPr>
      </w:pPr>
      <w:r w:rsidRPr="0054571D">
        <w:rPr>
          <w:rFonts w:ascii="Arial" w:eastAsia="Arial Narrow" w:hAnsi="Arial" w:cs="Arial"/>
          <w:b/>
          <w:lang w:val="en-US"/>
        </w:rPr>
        <w:t>Accountability r</w:t>
      </w:r>
      <w:r w:rsidR="00EE0F3C" w:rsidRPr="0054571D">
        <w:rPr>
          <w:rFonts w:ascii="Arial" w:eastAsia="Arial Narrow" w:hAnsi="Arial" w:cs="Arial"/>
          <w:b/>
          <w:lang w:val="en-US"/>
        </w:rPr>
        <w:t xml:space="preserve">eport </w:t>
      </w:r>
      <w:r w:rsidR="00EE0F3C" w:rsidRPr="0054571D">
        <w:rPr>
          <w:rFonts w:ascii="Arial" w:eastAsia="Arial Narrow" w:hAnsi="Arial" w:cs="Arial"/>
          <w:lang w:val="en-US"/>
        </w:rPr>
        <w:t>– this consists of the Corporate Governance report, a Remuneration and Staff report</w:t>
      </w:r>
      <w:r w:rsidR="00EC102D" w:rsidRPr="0054571D">
        <w:rPr>
          <w:rFonts w:ascii="Arial" w:eastAsia="Arial Narrow" w:hAnsi="Arial" w:cs="Arial"/>
          <w:lang w:val="en-US"/>
        </w:rPr>
        <w:t>,</w:t>
      </w:r>
      <w:r w:rsidR="00EE0F3C" w:rsidRPr="0054571D">
        <w:rPr>
          <w:rFonts w:ascii="Arial" w:eastAsia="Arial Narrow" w:hAnsi="Arial" w:cs="Arial"/>
          <w:lang w:val="en-US"/>
        </w:rPr>
        <w:t xml:space="preserve"> and a Parliamentary Accountability and Audit report.</w:t>
      </w:r>
    </w:p>
    <w:p w14:paraId="24A6B712" w14:textId="77777777" w:rsidR="00695EAE" w:rsidRPr="0054571D" w:rsidRDefault="00695EAE" w:rsidP="00695EAE">
      <w:pPr>
        <w:tabs>
          <w:tab w:val="left" w:pos="360"/>
        </w:tabs>
        <w:spacing w:line="360" w:lineRule="auto"/>
        <w:ind w:left="357"/>
        <w:textAlignment w:val="baseline"/>
        <w:rPr>
          <w:rFonts w:ascii="Arial" w:eastAsia="Arial Narrow" w:hAnsi="Arial" w:cs="Arial"/>
          <w:b/>
        </w:rPr>
      </w:pPr>
    </w:p>
    <w:p w14:paraId="704072C6" w14:textId="48BADD2B" w:rsidR="00B55FCF" w:rsidRDefault="00E4273D" w:rsidP="00DA4475">
      <w:pPr>
        <w:numPr>
          <w:ilvl w:val="0"/>
          <w:numId w:val="14"/>
        </w:numPr>
        <w:tabs>
          <w:tab w:val="left" w:pos="360"/>
        </w:tabs>
        <w:spacing w:line="360" w:lineRule="auto"/>
        <w:ind w:left="357" w:hanging="357"/>
        <w:textAlignment w:val="baseline"/>
        <w:rPr>
          <w:rFonts w:ascii="Arial" w:eastAsia="Arial Narrow" w:hAnsi="Arial" w:cs="Arial"/>
        </w:rPr>
      </w:pPr>
      <w:r w:rsidRPr="00B55FCF">
        <w:rPr>
          <w:rFonts w:ascii="Arial" w:eastAsia="Arial Narrow" w:hAnsi="Arial" w:cs="Arial"/>
          <w:b/>
          <w:lang w:val="en-US"/>
        </w:rPr>
        <w:t>Financial s</w:t>
      </w:r>
      <w:r w:rsidR="00EE0F3C" w:rsidRPr="00B55FCF">
        <w:rPr>
          <w:rFonts w:ascii="Arial" w:eastAsia="Arial Narrow" w:hAnsi="Arial" w:cs="Arial"/>
          <w:b/>
          <w:lang w:val="en-US"/>
        </w:rPr>
        <w:t xml:space="preserve">tatements </w:t>
      </w:r>
      <w:r w:rsidR="00EE0F3C" w:rsidRPr="00B55FCF">
        <w:rPr>
          <w:rFonts w:ascii="Arial" w:eastAsia="Arial Narrow" w:hAnsi="Arial" w:cs="Arial"/>
          <w:lang w:val="en-US"/>
        </w:rPr>
        <w:t xml:space="preserve">– these include the Directors’ Report and the Annual Accounts for </w:t>
      </w:r>
      <w:r w:rsidR="00EC102D" w:rsidRPr="00B55FCF">
        <w:rPr>
          <w:rFonts w:ascii="Arial" w:eastAsia="Arial Narrow" w:hAnsi="Arial" w:cs="Arial"/>
          <w:lang w:val="en-US"/>
        </w:rPr>
        <w:t>20</w:t>
      </w:r>
      <w:r w:rsidR="00F1175F" w:rsidRPr="00B55FCF">
        <w:rPr>
          <w:rFonts w:ascii="Arial" w:eastAsia="Arial Narrow" w:hAnsi="Arial" w:cs="Arial"/>
          <w:lang w:val="en-US"/>
        </w:rPr>
        <w:t>2</w:t>
      </w:r>
      <w:r w:rsidR="00617939">
        <w:rPr>
          <w:rFonts w:ascii="Arial" w:eastAsia="Arial Narrow" w:hAnsi="Arial" w:cs="Arial"/>
          <w:lang w:val="en-US"/>
        </w:rPr>
        <w:t>1</w:t>
      </w:r>
      <w:r w:rsidR="004D3370">
        <w:rPr>
          <w:rFonts w:ascii="Arial" w:eastAsia="Arial Narrow" w:hAnsi="Arial" w:cs="Arial"/>
          <w:lang w:val="en-US"/>
        </w:rPr>
        <w:t>/</w:t>
      </w:r>
      <w:r w:rsidR="00EC102D" w:rsidRPr="00B55FCF">
        <w:rPr>
          <w:rFonts w:ascii="Arial" w:eastAsia="Arial Narrow" w:hAnsi="Arial" w:cs="Arial"/>
          <w:lang w:val="en-US"/>
        </w:rPr>
        <w:t>202</w:t>
      </w:r>
      <w:r w:rsidR="00617939">
        <w:rPr>
          <w:rFonts w:ascii="Arial" w:eastAsia="Arial Narrow" w:hAnsi="Arial" w:cs="Arial"/>
          <w:lang w:val="en-US"/>
        </w:rPr>
        <w:t>2</w:t>
      </w:r>
      <w:r w:rsidR="00247C79" w:rsidRPr="00B55FCF">
        <w:rPr>
          <w:rFonts w:ascii="Arial" w:eastAsia="Arial Narrow" w:hAnsi="Arial" w:cs="Arial"/>
        </w:rPr>
        <w:t>.</w:t>
      </w:r>
      <w:r w:rsidR="00B55FCF">
        <w:rPr>
          <w:rFonts w:ascii="Arial" w:eastAsia="Arial Narrow" w:hAnsi="Arial" w:cs="Arial"/>
        </w:rPr>
        <w:br w:type="page"/>
      </w:r>
    </w:p>
    <w:p w14:paraId="719431FB" w14:textId="1F034EF5" w:rsidR="006D21BB" w:rsidRDefault="000D3306" w:rsidP="006226B0">
      <w:pPr>
        <w:pStyle w:val="01aMainHeader"/>
        <w:spacing w:before="0" w:after="0"/>
      </w:pPr>
      <w:bookmarkStart w:id="3" w:name="_Toc119068061"/>
      <w:r w:rsidRPr="001A62AD">
        <w:lastRenderedPageBreak/>
        <w:t>1.2</w:t>
      </w:r>
      <w:r w:rsidRPr="001A62AD">
        <w:tab/>
      </w:r>
      <w:r w:rsidR="00247C79" w:rsidRPr="001A62AD">
        <w:t>Welcome to SEPA’s 2</w:t>
      </w:r>
      <w:r w:rsidR="00A74D57" w:rsidRPr="001A62AD">
        <w:t>02</w:t>
      </w:r>
      <w:r w:rsidR="00A66A0B" w:rsidRPr="001A62AD">
        <w:t>1</w:t>
      </w:r>
      <w:r w:rsidR="000845C9" w:rsidRPr="001A62AD">
        <w:t>/</w:t>
      </w:r>
      <w:r w:rsidR="00A74D57" w:rsidRPr="001A62AD">
        <w:t>202</w:t>
      </w:r>
      <w:r w:rsidR="00A66A0B" w:rsidRPr="001A62AD">
        <w:t>2</w:t>
      </w:r>
      <w:r w:rsidR="00A74D57" w:rsidRPr="001A62AD">
        <w:t xml:space="preserve"> </w:t>
      </w:r>
      <w:r w:rsidR="00E60FFB" w:rsidRPr="001A62AD">
        <w:t>Annual Report</w:t>
      </w:r>
      <w:bookmarkEnd w:id="3"/>
    </w:p>
    <w:p w14:paraId="5CF8C486" w14:textId="77777777" w:rsidR="006226B0" w:rsidRPr="006226B0" w:rsidRDefault="006226B0" w:rsidP="006226B0">
      <w:pPr>
        <w:pStyle w:val="01aMainHeader"/>
        <w:spacing w:before="0" w:after="0"/>
        <w:rPr>
          <w:sz w:val="24"/>
          <w:szCs w:val="24"/>
        </w:rPr>
      </w:pPr>
    </w:p>
    <w:p w14:paraId="78A26296" w14:textId="6955138E" w:rsidR="000E3994" w:rsidRDefault="000E3994" w:rsidP="00E84765">
      <w:pPr>
        <w:spacing w:line="360" w:lineRule="auto"/>
        <w:textAlignment w:val="baseline"/>
        <w:rPr>
          <w:rFonts w:ascii="Arial" w:hAnsi="Arial" w:cs="Arial"/>
        </w:rPr>
      </w:pPr>
      <w:r>
        <w:rPr>
          <w:rFonts w:ascii="Arial" w:hAnsi="Arial" w:cs="Arial"/>
        </w:rPr>
        <w:t>This has been a challenging year for us. We were in the aftermath of the serious cyber</w:t>
      </w:r>
      <w:r w:rsidR="008C4879">
        <w:rPr>
          <w:rFonts w:ascii="Arial" w:hAnsi="Arial" w:cs="Arial"/>
        </w:rPr>
        <w:t>-</w:t>
      </w:r>
      <w:r>
        <w:rPr>
          <w:rFonts w:ascii="Arial" w:hAnsi="Arial" w:cs="Arial"/>
        </w:rPr>
        <w:t>attack on us that took place in December 2020. During 2021/2022,</w:t>
      </w:r>
      <w:r w:rsidRPr="00D50399">
        <w:rPr>
          <w:rFonts w:ascii="Arial" w:eastAsia="Arial" w:hAnsi="Arial" w:cs="Arial"/>
          <w:color w:val="000000" w:themeColor="text1"/>
        </w:rPr>
        <w:t xml:space="preserve"> </w:t>
      </w:r>
      <w:r>
        <w:rPr>
          <w:rFonts w:ascii="Arial" w:eastAsia="Arial" w:hAnsi="Arial" w:cs="Arial"/>
          <w:color w:val="000000" w:themeColor="text1"/>
        </w:rPr>
        <w:t>we worked to a recovery plan for the organisation, maintained the most critical services that protect Scotland’s environment and communities</w:t>
      </w:r>
      <w:r w:rsidR="00E84765">
        <w:rPr>
          <w:rFonts w:ascii="Arial" w:eastAsia="Arial" w:hAnsi="Arial" w:cs="Arial"/>
          <w:color w:val="000000" w:themeColor="text1"/>
        </w:rPr>
        <w:t>,</w:t>
      </w:r>
      <w:r>
        <w:rPr>
          <w:rFonts w:ascii="Arial" w:eastAsia="Arial" w:hAnsi="Arial" w:cs="Arial"/>
          <w:color w:val="000000" w:themeColor="text1"/>
        </w:rPr>
        <w:t xml:space="preserve"> and started building our new ways of working</w:t>
      </w:r>
      <w:r>
        <w:rPr>
          <w:rFonts w:ascii="Arial" w:hAnsi="Arial" w:cs="Arial"/>
        </w:rPr>
        <w:t xml:space="preserve">. </w:t>
      </w:r>
    </w:p>
    <w:p w14:paraId="48064763" w14:textId="77777777" w:rsidR="00911A3E" w:rsidRDefault="00911A3E" w:rsidP="00E84765">
      <w:pPr>
        <w:spacing w:line="360" w:lineRule="auto"/>
        <w:textAlignment w:val="baseline"/>
        <w:rPr>
          <w:rFonts w:ascii="Arial" w:hAnsi="Arial" w:cs="Arial"/>
        </w:rPr>
      </w:pPr>
    </w:p>
    <w:p w14:paraId="08AD0BC8" w14:textId="33ED86CB" w:rsidR="000E3994" w:rsidRDefault="000E3994" w:rsidP="00E84765">
      <w:pPr>
        <w:spacing w:line="360" w:lineRule="auto"/>
        <w:textAlignment w:val="baseline"/>
        <w:rPr>
          <w:rFonts w:ascii="Arial" w:hAnsi="Arial" w:cs="Arial"/>
        </w:rPr>
      </w:pPr>
      <w:r>
        <w:rPr>
          <w:rFonts w:ascii="Arial" w:hAnsi="Arial" w:cs="Arial"/>
        </w:rPr>
        <w:t>In January 2022, our Chief Executive Officer stepped down from his post. The resignation followed conduct allegations.</w:t>
      </w:r>
    </w:p>
    <w:p w14:paraId="3A58EDD1" w14:textId="77777777" w:rsidR="00911A3E" w:rsidRDefault="00911A3E" w:rsidP="00B13A42">
      <w:pPr>
        <w:spacing w:line="360" w:lineRule="auto"/>
        <w:textAlignment w:val="baseline"/>
        <w:rPr>
          <w:rFonts w:ascii="Arial" w:hAnsi="Arial" w:cs="Arial"/>
        </w:rPr>
      </w:pPr>
    </w:p>
    <w:p w14:paraId="71A9B1B9" w14:textId="657F8D1A" w:rsidR="000E3994" w:rsidRDefault="000E3994" w:rsidP="00E84765">
      <w:pPr>
        <w:pStyle w:val="xmsonormal"/>
        <w:spacing w:line="360" w:lineRule="auto"/>
        <w:rPr>
          <w:rStyle w:val="normaltextrun"/>
          <w:rFonts w:ascii="Arial" w:hAnsi="Arial" w:cs="Arial"/>
          <w:sz w:val="24"/>
          <w:szCs w:val="24"/>
        </w:rPr>
      </w:pPr>
      <w:r w:rsidRPr="004F2BDA">
        <w:rPr>
          <w:rStyle w:val="normaltextrun"/>
          <w:rFonts w:ascii="Arial" w:hAnsi="Arial" w:cs="Arial"/>
          <w:sz w:val="24"/>
          <w:szCs w:val="24"/>
        </w:rPr>
        <w:t>COVID</w:t>
      </w:r>
      <w:r>
        <w:rPr>
          <w:rStyle w:val="normaltextrun"/>
          <w:rFonts w:ascii="Arial" w:hAnsi="Arial" w:cs="Arial"/>
          <w:sz w:val="24"/>
          <w:szCs w:val="24"/>
        </w:rPr>
        <w:t xml:space="preserve">-19 also </w:t>
      </w:r>
      <w:r w:rsidRPr="004F2BDA">
        <w:rPr>
          <w:rStyle w:val="normaltextrun"/>
          <w:rFonts w:ascii="Arial" w:hAnsi="Arial" w:cs="Arial"/>
          <w:sz w:val="24"/>
          <w:szCs w:val="24"/>
        </w:rPr>
        <w:t>continued to impact our staff and services</w:t>
      </w:r>
      <w:r>
        <w:rPr>
          <w:rStyle w:val="normaltextrun"/>
          <w:rFonts w:ascii="Arial" w:hAnsi="Arial" w:cs="Arial"/>
          <w:sz w:val="24"/>
          <w:szCs w:val="24"/>
        </w:rPr>
        <w:t xml:space="preserve"> during 2021/2022.</w:t>
      </w:r>
      <w:r w:rsidRPr="004E7E9E">
        <w:rPr>
          <w:rStyle w:val="normaltextrun"/>
          <w:rFonts w:ascii="Arial" w:hAnsi="Arial" w:cs="Arial"/>
          <w:sz w:val="24"/>
          <w:szCs w:val="24"/>
        </w:rPr>
        <w:t> </w:t>
      </w:r>
      <w:r w:rsidRPr="00517BD0">
        <w:rPr>
          <w:rStyle w:val="normaltextrun"/>
          <w:rFonts w:ascii="Arial" w:hAnsi="Arial" w:cs="Arial"/>
          <w:sz w:val="24"/>
          <w:szCs w:val="24"/>
        </w:rPr>
        <w:t>We put in place a decision-making framework</w:t>
      </w:r>
      <w:r>
        <w:rPr>
          <w:rStyle w:val="normaltextrun"/>
          <w:rFonts w:ascii="Arial" w:hAnsi="Arial" w:cs="Arial"/>
          <w:sz w:val="24"/>
          <w:szCs w:val="24"/>
        </w:rPr>
        <w:t xml:space="preserve"> for this. This set out how our staff</w:t>
      </w:r>
      <w:r w:rsidRPr="00517BD0">
        <w:rPr>
          <w:rStyle w:val="normaltextrun"/>
          <w:rFonts w:ascii="Arial" w:hAnsi="Arial" w:cs="Arial"/>
          <w:sz w:val="24"/>
          <w:szCs w:val="24"/>
        </w:rPr>
        <w:t xml:space="preserve"> could deliver business priorities safely</w:t>
      </w:r>
      <w:r>
        <w:rPr>
          <w:rStyle w:val="normaltextrun"/>
          <w:rFonts w:ascii="Arial" w:hAnsi="Arial" w:cs="Arial"/>
          <w:sz w:val="24"/>
          <w:szCs w:val="24"/>
        </w:rPr>
        <w:t>, while following</w:t>
      </w:r>
      <w:r w:rsidRPr="00517BD0">
        <w:rPr>
          <w:rStyle w:val="normaltextrun"/>
          <w:rFonts w:ascii="Arial" w:hAnsi="Arial" w:cs="Arial"/>
          <w:sz w:val="24"/>
          <w:szCs w:val="24"/>
        </w:rPr>
        <w:t xml:space="preserve"> </w:t>
      </w:r>
      <w:r>
        <w:rPr>
          <w:rStyle w:val="normaltextrun"/>
          <w:rFonts w:ascii="Arial" w:hAnsi="Arial" w:cs="Arial"/>
          <w:sz w:val="24"/>
          <w:szCs w:val="24"/>
        </w:rPr>
        <w:t xml:space="preserve">the </w:t>
      </w:r>
      <w:r w:rsidRPr="00517BD0">
        <w:rPr>
          <w:rStyle w:val="normaltextrun"/>
          <w:rFonts w:ascii="Arial" w:hAnsi="Arial" w:cs="Arial"/>
          <w:sz w:val="24"/>
          <w:szCs w:val="24"/>
        </w:rPr>
        <w:t>Scottish Government</w:t>
      </w:r>
      <w:r>
        <w:rPr>
          <w:rStyle w:val="normaltextrun"/>
          <w:rFonts w:ascii="Arial" w:hAnsi="Arial" w:cs="Arial"/>
          <w:sz w:val="24"/>
          <w:szCs w:val="24"/>
        </w:rPr>
        <w:t>’s</w:t>
      </w:r>
      <w:r w:rsidRPr="00517BD0">
        <w:rPr>
          <w:rStyle w:val="normaltextrun"/>
          <w:rFonts w:ascii="Arial" w:hAnsi="Arial" w:cs="Arial"/>
          <w:sz w:val="24"/>
          <w:szCs w:val="24"/>
        </w:rPr>
        <w:t xml:space="preserve"> </w:t>
      </w:r>
      <w:r w:rsidRPr="004F2BDA">
        <w:rPr>
          <w:rStyle w:val="normaltextrun"/>
          <w:rFonts w:ascii="Arial" w:hAnsi="Arial" w:cs="Arial"/>
          <w:sz w:val="24"/>
          <w:szCs w:val="24"/>
        </w:rPr>
        <w:t>COVID</w:t>
      </w:r>
      <w:r>
        <w:rPr>
          <w:rStyle w:val="normaltextrun"/>
          <w:rFonts w:ascii="Arial" w:hAnsi="Arial" w:cs="Arial"/>
          <w:sz w:val="24"/>
          <w:szCs w:val="24"/>
        </w:rPr>
        <w:t>-19</w:t>
      </w:r>
      <w:r w:rsidDel="00666D7D">
        <w:rPr>
          <w:rStyle w:val="normaltextrun"/>
          <w:rFonts w:ascii="Arial" w:hAnsi="Arial" w:cs="Arial"/>
          <w:sz w:val="24"/>
          <w:szCs w:val="24"/>
        </w:rPr>
        <w:t xml:space="preserve"> </w:t>
      </w:r>
      <w:r w:rsidRPr="00517BD0">
        <w:rPr>
          <w:rStyle w:val="normaltextrun"/>
          <w:rFonts w:ascii="Arial" w:hAnsi="Arial" w:cs="Arial"/>
          <w:sz w:val="24"/>
          <w:szCs w:val="24"/>
        </w:rPr>
        <w:t xml:space="preserve">guidance. </w:t>
      </w:r>
    </w:p>
    <w:p w14:paraId="513DB211" w14:textId="77777777" w:rsidR="00911A3E" w:rsidRDefault="00911A3E" w:rsidP="00E84765">
      <w:pPr>
        <w:spacing w:line="360" w:lineRule="auto"/>
        <w:textAlignment w:val="baseline"/>
        <w:rPr>
          <w:rStyle w:val="normaltextrun"/>
          <w:rFonts w:ascii="Arial" w:hAnsi="Arial" w:cs="Arial"/>
        </w:rPr>
      </w:pPr>
    </w:p>
    <w:p w14:paraId="1613FDA5" w14:textId="46E50DEB" w:rsidR="000E3994" w:rsidRDefault="000E3994" w:rsidP="00E84765">
      <w:pPr>
        <w:spacing w:line="360" w:lineRule="auto"/>
        <w:textAlignment w:val="baseline"/>
        <w:rPr>
          <w:rFonts w:ascii="Arial" w:hAnsi="Arial" w:cs="Arial"/>
        </w:rPr>
      </w:pPr>
      <w:r>
        <w:rPr>
          <w:rFonts w:ascii="Arial" w:hAnsi="Arial" w:cs="Arial"/>
        </w:rPr>
        <w:t>The challenges we have faced have given us the</w:t>
      </w:r>
      <w:r w:rsidRPr="004A182C">
        <w:rPr>
          <w:rFonts w:ascii="Arial" w:hAnsi="Arial" w:cs="Arial"/>
        </w:rPr>
        <w:t xml:space="preserve"> opportunity to work in new ways</w:t>
      </w:r>
      <w:r>
        <w:rPr>
          <w:rFonts w:ascii="Arial" w:hAnsi="Arial" w:cs="Arial"/>
        </w:rPr>
        <w:t xml:space="preserve"> and to</w:t>
      </w:r>
      <w:r w:rsidRPr="004A182C">
        <w:rPr>
          <w:rFonts w:ascii="Arial" w:hAnsi="Arial" w:cs="Arial"/>
        </w:rPr>
        <w:t xml:space="preserve"> build </w:t>
      </w:r>
      <w:r>
        <w:rPr>
          <w:rFonts w:ascii="Arial" w:hAnsi="Arial" w:cs="Arial"/>
        </w:rPr>
        <w:t xml:space="preserve">better </w:t>
      </w:r>
      <w:r w:rsidRPr="004A182C">
        <w:rPr>
          <w:rFonts w:ascii="Arial" w:hAnsi="Arial" w:cs="Arial"/>
        </w:rPr>
        <w:t xml:space="preserve">approaches to </w:t>
      </w:r>
      <w:r>
        <w:rPr>
          <w:rFonts w:ascii="Arial" w:hAnsi="Arial" w:cs="Arial"/>
        </w:rPr>
        <w:t xml:space="preserve">delivering our core services: </w:t>
      </w:r>
      <w:r w:rsidRPr="004A182C">
        <w:rPr>
          <w:rFonts w:ascii="Arial" w:hAnsi="Arial" w:cs="Arial"/>
        </w:rPr>
        <w:t>regulation and flooding.</w:t>
      </w:r>
      <w:r>
        <w:rPr>
          <w:rFonts w:ascii="Arial" w:hAnsi="Arial" w:cs="Arial"/>
        </w:rPr>
        <w:t xml:space="preserve"> At the same time, in challenging circumstances, our staff continued to deliver for Scotland.</w:t>
      </w:r>
    </w:p>
    <w:p w14:paraId="5C53CA35" w14:textId="77777777" w:rsidR="00911A3E" w:rsidRDefault="00911A3E" w:rsidP="00E84765">
      <w:pPr>
        <w:spacing w:line="360" w:lineRule="auto"/>
        <w:textAlignment w:val="baseline"/>
        <w:rPr>
          <w:rFonts w:ascii="Arial" w:hAnsi="Arial" w:cs="Arial"/>
        </w:rPr>
      </w:pPr>
    </w:p>
    <w:p w14:paraId="17F66B1A" w14:textId="15814B4B" w:rsidR="000E3994" w:rsidRPr="00F55B36" w:rsidRDefault="000E3994" w:rsidP="00E84765">
      <w:pPr>
        <w:pStyle w:val="NormalWeb"/>
        <w:shd w:val="clear" w:color="auto" w:fill="FFFFFF"/>
        <w:spacing w:before="0" w:beforeAutospacing="0" w:after="0" w:afterAutospacing="0" w:line="360" w:lineRule="auto"/>
        <w:rPr>
          <w:rFonts w:ascii="Arial" w:eastAsia="Calibri" w:hAnsi="Arial" w:cs="Arial"/>
        </w:rPr>
      </w:pPr>
      <w:r w:rsidRPr="00D632BB">
        <w:rPr>
          <w:rFonts w:ascii="Arial" w:eastAsia="Calibri" w:hAnsi="Arial" w:cs="Arial"/>
        </w:rPr>
        <w:t>In December we published the third</w:t>
      </w:r>
      <w:hyperlink r:id="rId18" w:tooltip="Publications" w:history="1">
        <w:r w:rsidRPr="00911A3E">
          <w:rPr>
            <w:rStyle w:val="Hyperlink"/>
            <w:rFonts w:ascii="Arial" w:hAnsi="Arial" w:cs="Arial"/>
            <w:color w:val="005983"/>
          </w:rPr>
          <w:t xml:space="preserve"> River Basin Management Plan</w:t>
        </w:r>
      </w:hyperlink>
      <w:r w:rsidRPr="00D632BB">
        <w:rPr>
          <w:rFonts w:ascii="Arial" w:hAnsi="Arial" w:cs="Arial"/>
          <w:color w:val="333333"/>
        </w:rPr>
        <w:t> </w:t>
      </w:r>
      <w:r w:rsidRPr="00D632BB">
        <w:rPr>
          <w:rFonts w:ascii="Arial" w:eastAsia="Calibri" w:hAnsi="Arial" w:cs="Arial"/>
        </w:rPr>
        <w:t>for Scotland. The plan sets out the framework for protecting and i</w:t>
      </w:r>
      <w:r>
        <w:rPr>
          <w:rFonts w:ascii="Arial" w:eastAsia="Calibri" w:hAnsi="Arial" w:cs="Arial"/>
        </w:rPr>
        <w:t>mproving</w:t>
      </w:r>
      <w:r w:rsidRPr="00D632BB">
        <w:rPr>
          <w:rFonts w:ascii="Arial" w:eastAsia="Calibri" w:hAnsi="Arial" w:cs="Arial"/>
        </w:rPr>
        <w:t xml:space="preserve"> the water environment across Scotland</w:t>
      </w:r>
      <w:r>
        <w:rPr>
          <w:rFonts w:ascii="Arial" w:eastAsia="Calibri" w:hAnsi="Arial" w:cs="Arial"/>
        </w:rPr>
        <w:t xml:space="preserve"> and is a framework for partnership working across Scotland.  </w:t>
      </w:r>
      <w:r w:rsidRPr="00D632BB">
        <w:rPr>
          <w:rFonts w:ascii="Arial" w:hAnsi="Arial" w:cs="Arial"/>
          <w:color w:val="333333"/>
        </w:rPr>
        <w:t>Much of the water environment in Scotland is in good condition. There are, however, still significant problems affecting water quality, physical condition, water resources, and the migration of wild fish.</w:t>
      </w:r>
      <w:r w:rsidRPr="00F55B36">
        <w:rPr>
          <w:rFonts w:ascii="Arial" w:hAnsi="Arial" w:cs="Arial"/>
          <w:color w:val="333333"/>
        </w:rPr>
        <w:t xml:space="preserve"> </w:t>
      </w:r>
      <w:r w:rsidRPr="002551C2">
        <w:rPr>
          <w:rFonts w:ascii="Arial" w:hAnsi="Arial" w:cs="Arial"/>
          <w:color w:val="333333"/>
        </w:rPr>
        <w:t>River basin planning focusses on reducing resource use, eliminating waste and restoration of natural capital. Using a whole systems approach it supports the delivery of</w:t>
      </w:r>
      <w:hyperlink r:id="rId19" w:tooltip="SEPAs One Planet Prosperity" w:history="1">
        <w:r w:rsidRPr="00911A3E">
          <w:rPr>
            <w:rStyle w:val="Hyperlink"/>
            <w:rFonts w:ascii="Arial" w:hAnsi="Arial" w:cs="Arial"/>
            <w:color w:val="005983"/>
          </w:rPr>
          <w:t> our regulatory strategy – One Planet Prosperity</w:t>
        </w:r>
      </w:hyperlink>
      <w:r w:rsidRPr="002551C2">
        <w:rPr>
          <w:rFonts w:ascii="Arial" w:hAnsi="Arial" w:cs="Arial"/>
          <w:color w:val="333333"/>
        </w:rPr>
        <w:t> and Scotland’s wider efforts to tackle the climate emergency and biodiversity crisis.</w:t>
      </w:r>
    </w:p>
    <w:p w14:paraId="637774D9" w14:textId="77777777" w:rsidR="000E3994" w:rsidRDefault="000E3994" w:rsidP="00E84765">
      <w:pPr>
        <w:spacing w:line="360" w:lineRule="auto"/>
        <w:textAlignment w:val="baseline"/>
        <w:rPr>
          <w:rFonts w:ascii="Arial" w:eastAsia="Calibri" w:hAnsi="Arial" w:cs="Arial"/>
        </w:rPr>
      </w:pPr>
    </w:p>
    <w:p w14:paraId="78CA8FB5" w14:textId="67889C80" w:rsidR="000E3994" w:rsidRDefault="000E3994" w:rsidP="00E84765">
      <w:pPr>
        <w:overflowPunct w:val="0"/>
        <w:autoSpaceDE w:val="0"/>
        <w:autoSpaceDN w:val="0"/>
        <w:adjustRightInd w:val="0"/>
        <w:spacing w:line="360" w:lineRule="auto"/>
        <w:contextualSpacing/>
        <w:textAlignment w:val="baseline"/>
        <w:rPr>
          <w:rFonts w:ascii="Arial" w:eastAsia="Arial" w:hAnsi="Arial" w:cs="Arial"/>
        </w:rPr>
      </w:pPr>
      <w:r w:rsidRPr="0057241B">
        <w:rPr>
          <w:rFonts w:ascii="Arial" w:eastAsia="Arial" w:hAnsi="Arial" w:cs="Arial"/>
        </w:rPr>
        <w:t xml:space="preserve">We </w:t>
      </w:r>
      <w:r>
        <w:rPr>
          <w:rFonts w:ascii="Arial" w:eastAsia="Arial" w:hAnsi="Arial" w:cs="Arial"/>
        </w:rPr>
        <w:t xml:space="preserve">also </w:t>
      </w:r>
      <w:r w:rsidRPr="0057241B">
        <w:rPr>
          <w:rFonts w:ascii="Arial" w:eastAsia="Arial" w:hAnsi="Arial" w:cs="Arial"/>
        </w:rPr>
        <w:t>helped Scotland prepare for water scarcity</w:t>
      </w:r>
      <w:r>
        <w:rPr>
          <w:rFonts w:ascii="Arial" w:eastAsia="Arial" w:hAnsi="Arial" w:cs="Arial"/>
        </w:rPr>
        <w:t xml:space="preserve">. We did this by providing </w:t>
      </w:r>
      <w:r w:rsidRPr="0057241B">
        <w:rPr>
          <w:rFonts w:ascii="Arial" w:eastAsia="Arial" w:hAnsi="Arial" w:cs="Arial"/>
        </w:rPr>
        <w:t>regular information for farmers, landowners, businesses, and abstractors. We successfully monitored Scotland’s designated bathing waters throughout the 2021 season</w:t>
      </w:r>
      <w:r>
        <w:rPr>
          <w:rFonts w:ascii="Arial" w:eastAsia="Arial" w:hAnsi="Arial" w:cs="Arial"/>
        </w:rPr>
        <w:t>. We</w:t>
      </w:r>
      <w:r w:rsidRPr="0057241B">
        <w:rPr>
          <w:rFonts w:ascii="Arial" w:eastAsia="Arial" w:hAnsi="Arial" w:cs="Arial"/>
        </w:rPr>
        <w:t xml:space="preserve"> provid</w:t>
      </w:r>
      <w:r>
        <w:rPr>
          <w:rFonts w:ascii="Arial" w:eastAsia="Arial" w:hAnsi="Arial" w:cs="Arial"/>
        </w:rPr>
        <w:t>ed</w:t>
      </w:r>
      <w:r w:rsidRPr="0057241B">
        <w:rPr>
          <w:rFonts w:ascii="Arial" w:eastAsia="Arial" w:hAnsi="Arial" w:cs="Arial"/>
        </w:rPr>
        <w:t xml:space="preserve"> the public with sampling results for all 85 beaches and for 2</w:t>
      </w:r>
      <w:r>
        <w:rPr>
          <w:rFonts w:ascii="Arial" w:eastAsia="Arial" w:hAnsi="Arial" w:cs="Arial"/>
        </w:rPr>
        <w:t>8</w:t>
      </w:r>
      <w:r w:rsidRPr="0057241B">
        <w:rPr>
          <w:rFonts w:ascii="Arial" w:eastAsia="Arial" w:hAnsi="Arial" w:cs="Arial"/>
        </w:rPr>
        <w:t xml:space="preserve"> popular sites</w:t>
      </w:r>
      <w:r w:rsidR="00821F13">
        <w:rPr>
          <w:rFonts w:ascii="Arial" w:eastAsia="Arial" w:hAnsi="Arial" w:cs="Arial"/>
        </w:rPr>
        <w:t xml:space="preserve"> w</w:t>
      </w:r>
      <w:r>
        <w:rPr>
          <w:rFonts w:ascii="Arial" w:eastAsia="Arial" w:hAnsi="Arial" w:cs="Arial"/>
        </w:rPr>
        <w:t>e provided real</w:t>
      </w:r>
      <w:r w:rsidRPr="0057241B">
        <w:rPr>
          <w:rFonts w:ascii="Arial" w:eastAsia="Arial" w:hAnsi="Arial" w:cs="Arial"/>
        </w:rPr>
        <w:t xml:space="preserve"> time water quality predictions.</w:t>
      </w:r>
      <w:r>
        <w:rPr>
          <w:rFonts w:ascii="Arial" w:eastAsia="Arial" w:hAnsi="Arial" w:cs="Arial"/>
        </w:rPr>
        <w:t xml:space="preserve"> </w:t>
      </w:r>
    </w:p>
    <w:p w14:paraId="0DF7FBA8" w14:textId="77777777" w:rsidR="000E3994" w:rsidRDefault="000E3994" w:rsidP="00E84765">
      <w:pPr>
        <w:spacing w:line="360" w:lineRule="auto"/>
        <w:textAlignment w:val="baseline"/>
        <w:rPr>
          <w:rFonts w:ascii="Arial" w:eastAsia="Arial" w:hAnsi="Arial" w:cs="Arial"/>
        </w:rPr>
      </w:pPr>
    </w:p>
    <w:p w14:paraId="7D7E1AE5" w14:textId="2D891BF6" w:rsidR="000E3994" w:rsidRDefault="000E3994" w:rsidP="00E84765">
      <w:pPr>
        <w:overflowPunct w:val="0"/>
        <w:autoSpaceDE w:val="0"/>
        <w:autoSpaceDN w:val="0"/>
        <w:adjustRightInd w:val="0"/>
        <w:spacing w:line="360" w:lineRule="auto"/>
        <w:contextualSpacing/>
        <w:textAlignment w:val="baseline"/>
        <w:rPr>
          <w:rFonts w:ascii="Arial" w:eastAsia="Calibri" w:hAnsi="Arial" w:cs="Arial"/>
        </w:rPr>
      </w:pPr>
      <w:r>
        <w:rPr>
          <w:rFonts w:ascii="Arial" w:eastAsia="Arial" w:hAnsi="Arial" w:cs="Arial"/>
        </w:rPr>
        <w:t>During the 2021 bathing water season</w:t>
      </w:r>
      <w:r w:rsidR="006E613D">
        <w:rPr>
          <w:rFonts w:ascii="Arial" w:eastAsia="Arial" w:hAnsi="Arial" w:cs="Arial"/>
        </w:rPr>
        <w:t>,</w:t>
      </w:r>
      <w:r>
        <w:rPr>
          <w:rFonts w:ascii="Arial" w:eastAsia="Arial" w:hAnsi="Arial" w:cs="Arial"/>
        </w:rPr>
        <w:t xml:space="preserve"> </w:t>
      </w:r>
      <w:r w:rsidRPr="00227444">
        <w:rPr>
          <w:rFonts w:ascii="Arial" w:eastAsia="Calibri" w:hAnsi="Arial" w:cs="Arial"/>
        </w:rPr>
        <w:t>99% of Scotland’s bathing waters achieved a classification of ‘Sufficient or Better’ for the season.</w:t>
      </w:r>
      <w:r>
        <w:rPr>
          <w:rFonts w:ascii="Arial" w:eastAsia="Calibri" w:hAnsi="Arial" w:cs="Arial"/>
        </w:rPr>
        <w:t xml:space="preserve"> For the first time in four years this </w:t>
      </w:r>
      <w:r>
        <w:rPr>
          <w:rFonts w:ascii="Arial" w:eastAsia="Calibri" w:hAnsi="Arial" w:cs="Arial"/>
        </w:rPr>
        <w:lastRenderedPageBreak/>
        <w:t xml:space="preserve">included Ayr South beach, one of Scotland’s most popular bathing waters. This followed collaboration with and investment by several partners to </w:t>
      </w:r>
      <w:r w:rsidRPr="00227444">
        <w:rPr>
          <w:rFonts w:ascii="Arial" w:eastAsia="Calibri" w:hAnsi="Arial" w:cs="Arial"/>
        </w:rPr>
        <w:t>improve water quality.</w:t>
      </w:r>
    </w:p>
    <w:p w14:paraId="4C4C5EA8" w14:textId="77777777" w:rsidR="00911A3E" w:rsidRDefault="00911A3E" w:rsidP="00E84765">
      <w:pPr>
        <w:spacing w:line="360" w:lineRule="auto"/>
        <w:textAlignment w:val="baseline"/>
        <w:rPr>
          <w:rFonts w:ascii="Arial" w:eastAsia="Calibri" w:hAnsi="Arial" w:cs="Arial"/>
        </w:rPr>
      </w:pPr>
    </w:p>
    <w:p w14:paraId="69DAAC3D" w14:textId="28D81EC9" w:rsidR="000E3994" w:rsidRDefault="000E3994" w:rsidP="00E84765">
      <w:pPr>
        <w:pStyle w:val="xmsonormal"/>
        <w:spacing w:line="360" w:lineRule="auto"/>
        <w:rPr>
          <w:rFonts w:ascii="Arial" w:eastAsia="Calibri" w:hAnsi="Arial" w:cs="Arial"/>
          <w:sz w:val="24"/>
          <w:szCs w:val="24"/>
        </w:rPr>
      </w:pPr>
      <w:r w:rsidRPr="005359ED">
        <w:rPr>
          <w:rFonts w:ascii="Arial" w:eastAsia="Times New Roman" w:hAnsi="Arial" w:cs="Arial"/>
          <w:color w:val="000000"/>
          <w:sz w:val="24"/>
          <w:szCs w:val="24"/>
        </w:rPr>
        <w:t xml:space="preserve">A BBC </w:t>
      </w:r>
      <w:hyperlink r:id="rId20" w:history="1">
        <w:r w:rsidRPr="005359ED">
          <w:rPr>
            <w:rStyle w:val="normaltextrun"/>
            <w:rFonts w:ascii="Arial" w:hAnsi="Arial" w:cs="Arial"/>
            <w:color w:val="0563C1"/>
            <w:sz w:val="24"/>
            <w:szCs w:val="24"/>
          </w:rPr>
          <w:t>Disclosure</w:t>
        </w:r>
      </w:hyperlink>
      <w:r w:rsidRPr="005359ED">
        <w:rPr>
          <w:rFonts w:ascii="Arial" w:eastAsia="Times New Roman" w:hAnsi="Arial" w:cs="Arial"/>
          <w:color w:val="000000"/>
          <w:sz w:val="24"/>
          <w:szCs w:val="24"/>
        </w:rPr>
        <w:t xml:space="preserve"> programme </w:t>
      </w:r>
      <w:r>
        <w:rPr>
          <w:rFonts w:ascii="Arial" w:eastAsia="Times New Roman" w:hAnsi="Arial" w:cs="Arial"/>
          <w:color w:val="000000"/>
          <w:sz w:val="24"/>
          <w:szCs w:val="24"/>
        </w:rPr>
        <w:t xml:space="preserve">‘Dirty Business’ </w:t>
      </w:r>
      <w:r w:rsidRPr="005359ED">
        <w:rPr>
          <w:rFonts w:ascii="Arial" w:eastAsia="Times New Roman" w:hAnsi="Arial" w:cs="Arial"/>
          <w:color w:val="000000"/>
          <w:sz w:val="24"/>
          <w:szCs w:val="24"/>
        </w:rPr>
        <w:t xml:space="preserve">aired on 31 January focusing on </w:t>
      </w:r>
      <w:r>
        <w:rPr>
          <w:rFonts w:ascii="Arial" w:eastAsia="Times New Roman" w:hAnsi="Arial" w:cs="Arial"/>
          <w:color w:val="000000"/>
          <w:sz w:val="24"/>
          <w:szCs w:val="24"/>
        </w:rPr>
        <w:t xml:space="preserve">criminal waste activities (from </w:t>
      </w:r>
      <w:r w:rsidRPr="005359ED">
        <w:rPr>
          <w:rFonts w:ascii="Arial" w:eastAsia="Times New Roman" w:hAnsi="Arial" w:cs="Arial"/>
          <w:color w:val="000000"/>
          <w:sz w:val="24"/>
          <w:szCs w:val="24"/>
        </w:rPr>
        <w:t>small scale fly-tipping to large scale activities with links to serious and organised crime</w:t>
      </w:r>
      <w:r>
        <w:rPr>
          <w:rFonts w:ascii="Arial" w:eastAsia="Times New Roman" w:hAnsi="Arial" w:cs="Arial"/>
          <w:color w:val="000000"/>
          <w:sz w:val="24"/>
          <w:szCs w:val="24"/>
        </w:rPr>
        <w:t>)</w:t>
      </w:r>
      <w:r w:rsidRPr="005359ED">
        <w:rPr>
          <w:rFonts w:ascii="Arial" w:eastAsia="Times New Roman" w:hAnsi="Arial" w:cs="Arial"/>
          <w:color w:val="000000"/>
          <w:sz w:val="24"/>
          <w:szCs w:val="24"/>
        </w:rPr>
        <w:t xml:space="preserve">. It followed our staff as they undertook their work across Scotland. </w:t>
      </w:r>
      <w:r>
        <w:rPr>
          <w:rFonts w:ascii="Arial" w:eastAsia="Calibri" w:hAnsi="Arial" w:cs="Arial"/>
          <w:sz w:val="24"/>
          <w:szCs w:val="24"/>
        </w:rPr>
        <w:t>This coincided with the launch of a four</w:t>
      </w:r>
      <w:r w:rsidRPr="00DE7AC8">
        <w:rPr>
          <w:rFonts w:ascii="Arial" w:eastAsia="Calibri" w:hAnsi="Arial" w:cs="Arial"/>
          <w:sz w:val="24"/>
          <w:szCs w:val="24"/>
        </w:rPr>
        <w:t xml:space="preserve">-nation Government consultation </w:t>
      </w:r>
      <w:r>
        <w:rPr>
          <w:rFonts w:ascii="Arial" w:eastAsia="Calibri" w:hAnsi="Arial" w:cs="Arial"/>
          <w:sz w:val="24"/>
          <w:szCs w:val="24"/>
        </w:rPr>
        <w:t xml:space="preserve">on </w:t>
      </w:r>
      <w:r w:rsidRPr="00DE7AC8">
        <w:rPr>
          <w:rFonts w:ascii="Arial" w:eastAsia="Calibri" w:hAnsi="Arial" w:cs="Arial"/>
          <w:sz w:val="24"/>
          <w:szCs w:val="24"/>
        </w:rPr>
        <w:t>mandatory digital waste trackin</w:t>
      </w:r>
      <w:r>
        <w:rPr>
          <w:rFonts w:ascii="Arial" w:eastAsia="Calibri" w:hAnsi="Arial" w:cs="Arial"/>
          <w:sz w:val="24"/>
          <w:szCs w:val="24"/>
        </w:rPr>
        <w:t>g.</w:t>
      </w:r>
    </w:p>
    <w:p w14:paraId="0621D100" w14:textId="77777777" w:rsidR="00911A3E" w:rsidRPr="002551C2" w:rsidRDefault="00911A3E" w:rsidP="00E84765">
      <w:pPr>
        <w:spacing w:line="360" w:lineRule="auto"/>
        <w:textAlignment w:val="baseline"/>
        <w:rPr>
          <w:rFonts w:ascii="Arial" w:eastAsia="Calibri" w:hAnsi="Arial" w:cs="Arial"/>
        </w:rPr>
      </w:pPr>
    </w:p>
    <w:p w14:paraId="050E937B" w14:textId="14501145" w:rsidR="000E3994" w:rsidRDefault="000E3994" w:rsidP="00E84765">
      <w:pPr>
        <w:shd w:val="clear" w:color="auto" w:fill="FFFFFF" w:themeFill="background1"/>
        <w:spacing w:line="360" w:lineRule="auto"/>
        <w:rPr>
          <w:rFonts w:ascii="Arial" w:hAnsi="Arial" w:cs="Arial"/>
          <w:color w:val="000000"/>
        </w:rPr>
      </w:pPr>
      <w:r w:rsidRPr="7FDAB2D3">
        <w:rPr>
          <w:rFonts w:ascii="Arial" w:hAnsi="Arial" w:cs="Arial"/>
          <w:color w:val="000000" w:themeColor="text1"/>
        </w:rPr>
        <w:t xml:space="preserve">The programme illustrated the detrimental impact of waste crime on the environment, communities, and compliant businesses. It also showed the tens of millions of pounds a year Scottish taxpayers lose in clean-up costs, </w:t>
      </w:r>
      <w:r w:rsidR="12C5C588" w:rsidRPr="7FDAB2D3">
        <w:rPr>
          <w:rFonts w:ascii="Arial" w:hAnsi="Arial" w:cs="Arial"/>
          <w:color w:val="000000" w:themeColor="text1"/>
        </w:rPr>
        <w:t>tax evasion</w:t>
      </w:r>
      <w:r w:rsidR="00156B10" w:rsidRPr="7FDAB2D3">
        <w:rPr>
          <w:rFonts w:ascii="Arial" w:hAnsi="Arial" w:cs="Arial"/>
          <w:color w:val="000000" w:themeColor="text1"/>
        </w:rPr>
        <w:t>,</w:t>
      </w:r>
      <w:r w:rsidRPr="7FDAB2D3">
        <w:rPr>
          <w:rFonts w:ascii="Arial" w:hAnsi="Arial" w:cs="Arial"/>
          <w:color w:val="000000" w:themeColor="text1"/>
        </w:rPr>
        <w:t xml:space="preserve"> and lost revenue. </w:t>
      </w:r>
    </w:p>
    <w:p w14:paraId="09366DD7" w14:textId="77777777" w:rsidR="00911A3E" w:rsidRPr="002551C2" w:rsidRDefault="00911A3E" w:rsidP="00E84765">
      <w:pPr>
        <w:shd w:val="clear" w:color="auto" w:fill="FFFFFF" w:themeFill="background1"/>
        <w:spacing w:line="360" w:lineRule="auto"/>
        <w:rPr>
          <w:rStyle w:val="normaltextrun"/>
          <w:rFonts w:ascii="Arial" w:hAnsi="Arial" w:cs="Arial"/>
          <w:color w:val="000000"/>
        </w:rPr>
      </w:pPr>
    </w:p>
    <w:p w14:paraId="1B3C77B4" w14:textId="08208064" w:rsidR="000E3994" w:rsidRDefault="000E3994" w:rsidP="00E84765">
      <w:pPr>
        <w:shd w:val="clear" w:color="auto" w:fill="FFFFFF" w:themeFill="background1"/>
        <w:spacing w:line="360" w:lineRule="auto"/>
        <w:rPr>
          <w:rFonts w:ascii="Arial" w:hAnsi="Arial" w:cs="Arial"/>
          <w:color w:val="000000"/>
        </w:rPr>
      </w:pPr>
      <w:r w:rsidRPr="005359ED">
        <w:rPr>
          <w:rFonts w:ascii="Arial" w:hAnsi="Arial" w:cs="Arial"/>
          <w:color w:val="000000"/>
        </w:rPr>
        <w:t>Taking part in a programme like this is an important part of our regulatory work. By helping us reach audiences we otherwise could not,</w:t>
      </w:r>
      <w:r w:rsidRPr="001B4CAC">
        <w:rPr>
          <w:rFonts w:ascii="Arial" w:hAnsi="Arial" w:cs="Arial"/>
          <w:noProof/>
        </w:rPr>
        <w:t xml:space="preserve"> </w:t>
      </w:r>
      <w:r w:rsidRPr="005359ED">
        <w:rPr>
          <w:rFonts w:ascii="Arial" w:hAnsi="Arial" w:cs="Arial"/>
          <w:color w:val="000000"/>
        </w:rPr>
        <w:t xml:space="preserve">it extends the deterrent and impact of our enforcement activity. It also underlines that compliance is non-negotiable. </w:t>
      </w:r>
    </w:p>
    <w:p w14:paraId="61EA210B" w14:textId="77777777" w:rsidR="00911A3E" w:rsidRPr="005359ED" w:rsidRDefault="00911A3E" w:rsidP="00E84765">
      <w:pPr>
        <w:shd w:val="clear" w:color="auto" w:fill="FFFFFF" w:themeFill="background1"/>
        <w:spacing w:line="360" w:lineRule="auto"/>
        <w:rPr>
          <w:rFonts w:ascii="Arial" w:hAnsi="Arial" w:cs="Arial"/>
          <w:color w:val="000000"/>
        </w:rPr>
      </w:pPr>
    </w:p>
    <w:p w14:paraId="79C8F9B2" w14:textId="6E027CFC" w:rsidR="000E3994" w:rsidRDefault="000E3994" w:rsidP="00E84765">
      <w:pPr>
        <w:overflowPunct w:val="0"/>
        <w:autoSpaceDE w:val="0"/>
        <w:autoSpaceDN w:val="0"/>
        <w:adjustRightInd w:val="0"/>
        <w:spacing w:line="360" w:lineRule="auto"/>
        <w:textAlignment w:val="baseline"/>
        <w:rPr>
          <w:rFonts w:ascii="Arial" w:hAnsi="Arial" w:cs="Arial"/>
          <w:color w:val="000000" w:themeColor="text1"/>
        </w:rPr>
      </w:pPr>
      <w:r>
        <w:rPr>
          <w:rFonts w:ascii="Arial" w:hAnsi="Arial" w:cs="Arial"/>
          <w:color w:val="000000" w:themeColor="text1"/>
        </w:rPr>
        <w:t xml:space="preserve">In 2021, we made significant progress in </w:t>
      </w:r>
      <w:r w:rsidRPr="00CF3C30">
        <w:rPr>
          <w:rFonts w:ascii="Arial" w:hAnsi="Arial" w:cs="Arial"/>
          <w:color w:val="000000" w:themeColor="text1"/>
        </w:rPr>
        <w:t>getting all our permitting services operational</w:t>
      </w:r>
      <w:r>
        <w:rPr>
          <w:rFonts w:ascii="Arial" w:hAnsi="Arial" w:cs="Arial"/>
          <w:color w:val="000000" w:themeColor="text1"/>
        </w:rPr>
        <w:t xml:space="preserve"> following the cyber-attack, just falling short of meeting </w:t>
      </w:r>
      <w:r w:rsidRPr="00CF3C30">
        <w:rPr>
          <w:rFonts w:ascii="Arial" w:hAnsi="Arial" w:cs="Arial"/>
          <w:color w:val="000000" w:themeColor="text1"/>
        </w:rPr>
        <w:t>our target of having all permitting determinations completed within statutory timescales</w:t>
      </w:r>
      <w:r>
        <w:rPr>
          <w:rFonts w:ascii="Arial" w:hAnsi="Arial" w:cs="Arial"/>
          <w:color w:val="000000" w:themeColor="text1"/>
        </w:rPr>
        <w:t>. We also took the opportunity as we built back to design and roll out new digital authorisations that save applicants both time and money.</w:t>
      </w:r>
    </w:p>
    <w:p w14:paraId="7081AF27" w14:textId="77777777" w:rsidR="00911A3E" w:rsidRPr="00313E3F" w:rsidRDefault="00911A3E" w:rsidP="00E84765">
      <w:pPr>
        <w:overflowPunct w:val="0"/>
        <w:autoSpaceDE w:val="0"/>
        <w:autoSpaceDN w:val="0"/>
        <w:adjustRightInd w:val="0"/>
        <w:spacing w:line="360" w:lineRule="auto"/>
        <w:textAlignment w:val="baseline"/>
        <w:rPr>
          <w:rFonts w:ascii="Arial" w:hAnsi="Arial" w:cs="Arial"/>
          <w:color w:val="000000" w:themeColor="text1"/>
        </w:rPr>
      </w:pPr>
    </w:p>
    <w:p w14:paraId="2E20228B" w14:textId="49CEFABF" w:rsidR="000E3994" w:rsidRDefault="000E3994" w:rsidP="00E84765">
      <w:pPr>
        <w:overflowPunct w:val="0"/>
        <w:autoSpaceDE w:val="0"/>
        <w:autoSpaceDN w:val="0"/>
        <w:adjustRightInd w:val="0"/>
        <w:spacing w:line="360" w:lineRule="auto"/>
        <w:textAlignment w:val="baseline"/>
        <w:rPr>
          <w:rFonts w:ascii="Arial" w:eastAsia="Arial" w:hAnsi="Arial" w:cs="Arial"/>
          <w:color w:val="000000" w:themeColor="text1"/>
        </w:rPr>
      </w:pPr>
      <w:r w:rsidRPr="7175C393">
        <w:rPr>
          <w:rFonts w:ascii="Arial" w:hAnsi="Arial" w:cs="Arial"/>
        </w:rPr>
        <w:t xml:space="preserve">We prioritised our ability to respond to the most significant environmental events and responded to all Category 1 and Category 2 pollution incidents reported to us. </w:t>
      </w:r>
      <w:r w:rsidR="716A52ED" w:rsidRPr="7175C393">
        <w:rPr>
          <w:rFonts w:ascii="Arial" w:hAnsi="Arial" w:cs="Arial"/>
        </w:rPr>
        <w:t xml:space="preserve">A Category 1 event is a major </w:t>
      </w:r>
      <w:r w:rsidR="00416679">
        <w:rPr>
          <w:rFonts w:ascii="Arial" w:hAnsi="Arial" w:cs="Arial"/>
        </w:rPr>
        <w:t xml:space="preserve">environmental </w:t>
      </w:r>
      <w:r w:rsidR="0F6D1B5E" w:rsidRPr="7175C393">
        <w:rPr>
          <w:rFonts w:ascii="Arial" w:hAnsi="Arial" w:cs="Arial"/>
        </w:rPr>
        <w:t>event,</w:t>
      </w:r>
      <w:r w:rsidR="716A52ED" w:rsidRPr="7175C393">
        <w:rPr>
          <w:rFonts w:ascii="Arial" w:hAnsi="Arial" w:cs="Arial"/>
        </w:rPr>
        <w:t xml:space="preserve"> and Categ</w:t>
      </w:r>
      <w:r w:rsidR="0324349F" w:rsidRPr="7175C393">
        <w:rPr>
          <w:rFonts w:ascii="Arial" w:hAnsi="Arial" w:cs="Arial"/>
        </w:rPr>
        <w:t>ory</w:t>
      </w:r>
      <w:r w:rsidR="716A52ED" w:rsidRPr="7175C393">
        <w:rPr>
          <w:rFonts w:ascii="Arial" w:hAnsi="Arial" w:cs="Arial"/>
        </w:rPr>
        <w:t xml:space="preserve"> 2 is a significant</w:t>
      </w:r>
      <w:r w:rsidR="00416679">
        <w:rPr>
          <w:rFonts w:ascii="Arial" w:hAnsi="Arial" w:cs="Arial"/>
        </w:rPr>
        <w:t xml:space="preserve"> environmental</w:t>
      </w:r>
      <w:r w:rsidR="716A52ED" w:rsidRPr="7175C393">
        <w:rPr>
          <w:rFonts w:ascii="Arial" w:hAnsi="Arial" w:cs="Arial"/>
        </w:rPr>
        <w:t xml:space="preserve"> event.</w:t>
      </w:r>
      <w:r w:rsidR="6876077E" w:rsidRPr="7175C393">
        <w:rPr>
          <w:rFonts w:ascii="Arial" w:hAnsi="Arial" w:cs="Arial"/>
        </w:rPr>
        <w:t xml:space="preserve"> Event</w:t>
      </w:r>
      <w:r w:rsidR="7CB4F31A" w:rsidRPr="7175C393">
        <w:rPr>
          <w:rFonts w:ascii="Arial" w:hAnsi="Arial" w:cs="Arial"/>
        </w:rPr>
        <w:t>s</w:t>
      </w:r>
      <w:r w:rsidR="6876077E" w:rsidRPr="7175C393">
        <w:rPr>
          <w:rFonts w:ascii="Arial" w:hAnsi="Arial" w:cs="Arial"/>
        </w:rPr>
        <w:t xml:space="preserve"> are graded in relation to their impact on the environment, amenities and the economy</w:t>
      </w:r>
      <w:r w:rsidR="025B114E" w:rsidRPr="7175C393">
        <w:rPr>
          <w:rFonts w:ascii="Arial" w:hAnsi="Arial" w:cs="Arial"/>
        </w:rPr>
        <w:t>.</w:t>
      </w:r>
      <w:r w:rsidR="716A52ED" w:rsidRPr="7175C393">
        <w:rPr>
          <w:rFonts w:ascii="Arial" w:hAnsi="Arial" w:cs="Arial"/>
        </w:rPr>
        <w:t xml:space="preserve"> </w:t>
      </w:r>
      <w:r w:rsidRPr="7175C393">
        <w:rPr>
          <w:rFonts w:ascii="Arial" w:hAnsi="Arial" w:cs="Arial"/>
        </w:rPr>
        <w:t xml:space="preserve">There were 17 Category 1 events and 68 Category 2 events. </w:t>
      </w:r>
      <w:r w:rsidRPr="7175C393">
        <w:rPr>
          <w:rFonts w:ascii="Arial" w:eastAsia="Arial" w:hAnsi="Arial" w:cs="Arial"/>
          <w:color w:val="000000" w:themeColor="text1"/>
        </w:rPr>
        <w:t>The most common incidents reported related to pollution of watercourses.</w:t>
      </w:r>
    </w:p>
    <w:p w14:paraId="60BB7C42" w14:textId="77777777" w:rsidR="00911A3E" w:rsidRDefault="00911A3E" w:rsidP="00E84765">
      <w:pPr>
        <w:overflowPunct w:val="0"/>
        <w:autoSpaceDE w:val="0"/>
        <w:autoSpaceDN w:val="0"/>
        <w:adjustRightInd w:val="0"/>
        <w:spacing w:line="360" w:lineRule="auto"/>
        <w:textAlignment w:val="baseline"/>
        <w:rPr>
          <w:rFonts w:ascii="Arial" w:eastAsia="Arial" w:hAnsi="Arial" w:cs="Arial"/>
          <w:color w:val="000000" w:themeColor="text1"/>
        </w:rPr>
      </w:pPr>
    </w:p>
    <w:p w14:paraId="21D9F229" w14:textId="31C802A4" w:rsidR="000E3994" w:rsidRDefault="000E3994" w:rsidP="00E84765">
      <w:pPr>
        <w:shd w:val="clear" w:color="auto" w:fill="FFFFFF"/>
        <w:spacing w:line="360" w:lineRule="auto"/>
        <w:rPr>
          <w:rFonts w:ascii="Arial" w:hAnsi="Arial" w:cs="Arial"/>
          <w:shd w:val="clear" w:color="auto" w:fill="FFFFFF"/>
        </w:rPr>
      </w:pPr>
      <w:r>
        <w:rPr>
          <w:rFonts w:ascii="Arial" w:hAnsi="Arial" w:cs="Arial"/>
          <w:shd w:val="clear" w:color="auto" w:fill="FFFFFF"/>
        </w:rPr>
        <w:t>We</w:t>
      </w:r>
      <w:r w:rsidRPr="002551C2">
        <w:rPr>
          <w:rFonts w:ascii="Arial" w:hAnsi="Arial" w:cs="Arial"/>
          <w:shd w:val="clear" w:color="auto" w:fill="FFFFFF"/>
        </w:rPr>
        <w:t xml:space="preserve"> executed a compliance verification </w:t>
      </w:r>
      <w:r w:rsidRPr="00640FF4">
        <w:rPr>
          <w:rFonts w:ascii="Arial" w:hAnsi="Arial" w:cs="Arial"/>
          <w:shd w:val="clear" w:color="auto" w:fill="FFFFFF"/>
        </w:rPr>
        <w:t>plan</w:t>
      </w:r>
      <w:r>
        <w:rPr>
          <w:rFonts w:ascii="Arial" w:hAnsi="Arial" w:cs="Arial"/>
          <w:shd w:val="clear" w:color="auto" w:fill="FFFFFF"/>
        </w:rPr>
        <w:t xml:space="preserve">. </w:t>
      </w:r>
      <w:r w:rsidRPr="002551C2">
        <w:rPr>
          <w:rFonts w:ascii="Arial" w:hAnsi="Arial" w:cs="Arial"/>
          <w:shd w:val="clear" w:color="auto" w:fill="FFFFFF"/>
        </w:rPr>
        <w:t xml:space="preserve">This focused our effort on </w:t>
      </w:r>
      <w:r w:rsidRPr="00DA6FE4">
        <w:rPr>
          <w:rFonts w:ascii="Arial" w:hAnsi="Arial" w:cs="Arial"/>
          <w:shd w:val="clear" w:color="auto" w:fill="FFFFFF"/>
        </w:rPr>
        <w:t>sites with the greatest potential to cause harm</w:t>
      </w:r>
      <w:r>
        <w:rPr>
          <w:rFonts w:ascii="Arial" w:hAnsi="Arial" w:cs="Arial"/>
          <w:shd w:val="clear" w:color="auto" w:fill="FFFFFF"/>
        </w:rPr>
        <w:t xml:space="preserve"> like high hazard sites, illegal activities</w:t>
      </w:r>
      <w:r w:rsidR="00984271">
        <w:rPr>
          <w:rFonts w:ascii="Arial" w:hAnsi="Arial" w:cs="Arial"/>
          <w:shd w:val="clear" w:color="auto" w:fill="FFFFFF"/>
        </w:rPr>
        <w:t>,</w:t>
      </w:r>
      <w:r>
        <w:rPr>
          <w:rFonts w:ascii="Arial" w:hAnsi="Arial" w:cs="Arial"/>
          <w:shd w:val="clear" w:color="auto" w:fill="FFFFFF"/>
        </w:rPr>
        <w:t xml:space="preserve"> and sites having an impact on local communities.  We also prepared action plans for over 100 priority sites to tackle the most significant non compliances.</w:t>
      </w:r>
    </w:p>
    <w:p w14:paraId="37DD9ED4" w14:textId="77777777" w:rsidR="00911A3E" w:rsidRPr="00CF3C30" w:rsidRDefault="00911A3E" w:rsidP="00E84765">
      <w:pPr>
        <w:shd w:val="clear" w:color="auto" w:fill="FFFFFF"/>
        <w:spacing w:line="360" w:lineRule="auto"/>
        <w:rPr>
          <w:rFonts w:ascii="Arial" w:eastAsia="Arial" w:hAnsi="Arial" w:cs="Arial"/>
        </w:rPr>
      </w:pPr>
    </w:p>
    <w:p w14:paraId="412BC332" w14:textId="0356183F" w:rsidR="000E3994" w:rsidRDefault="000E3994" w:rsidP="00E84765">
      <w:pPr>
        <w:widowControl w:val="0"/>
        <w:spacing w:line="360" w:lineRule="auto"/>
        <w:rPr>
          <w:rFonts w:ascii="Arial" w:hAnsi="Arial" w:cs="Arial"/>
        </w:rPr>
      </w:pPr>
      <w:r>
        <w:rPr>
          <w:rFonts w:ascii="Arial" w:eastAsia="Calibri" w:hAnsi="Arial" w:cs="Arial"/>
        </w:rPr>
        <w:t>In January we</w:t>
      </w:r>
      <w:r w:rsidRPr="00DE7AC8">
        <w:rPr>
          <w:rFonts w:ascii="Arial" w:eastAsia="Calibri" w:hAnsi="Arial" w:cs="Arial"/>
        </w:rPr>
        <w:t xml:space="preserve"> published </w:t>
      </w:r>
      <w:r>
        <w:rPr>
          <w:rFonts w:ascii="Arial" w:eastAsia="Calibri" w:hAnsi="Arial" w:cs="Arial"/>
        </w:rPr>
        <w:t>14</w:t>
      </w:r>
      <w:r w:rsidRPr="00DE7AC8">
        <w:rPr>
          <w:rFonts w:ascii="Arial" w:eastAsia="Calibri" w:hAnsi="Arial" w:cs="Arial"/>
        </w:rPr>
        <w:t xml:space="preserve"> flood risk management plans setting the national direction of </w:t>
      </w:r>
      <w:r w:rsidRPr="00DE7AC8">
        <w:rPr>
          <w:rFonts w:ascii="Arial" w:eastAsia="Calibri" w:hAnsi="Arial" w:cs="Arial"/>
        </w:rPr>
        <w:lastRenderedPageBreak/>
        <w:t xml:space="preserve">future flood risk management and the priorities for action in each area of Scotland. </w:t>
      </w:r>
      <w:r>
        <w:rPr>
          <w:rFonts w:ascii="Arial" w:hAnsi="Arial" w:cs="Arial"/>
        </w:rPr>
        <w:t xml:space="preserve">Over the year we issued </w:t>
      </w:r>
      <w:r w:rsidRPr="005A4B46">
        <w:rPr>
          <w:rFonts w:ascii="Arial" w:hAnsi="Arial" w:cs="Arial"/>
        </w:rPr>
        <w:t>203 initial regional flood alerts</w:t>
      </w:r>
      <w:r>
        <w:rPr>
          <w:rFonts w:ascii="Arial" w:hAnsi="Arial" w:cs="Arial"/>
        </w:rPr>
        <w:t xml:space="preserve">, </w:t>
      </w:r>
      <w:r w:rsidRPr="005A4B46">
        <w:rPr>
          <w:rFonts w:ascii="Arial" w:hAnsi="Arial" w:cs="Arial"/>
        </w:rPr>
        <w:t>222 initial local flood warnings</w:t>
      </w:r>
      <w:r w:rsidR="00907620">
        <w:rPr>
          <w:rFonts w:ascii="Arial" w:hAnsi="Arial" w:cs="Arial"/>
        </w:rPr>
        <w:t>,</w:t>
      </w:r>
      <w:r>
        <w:rPr>
          <w:rFonts w:ascii="Arial" w:hAnsi="Arial" w:cs="Arial"/>
        </w:rPr>
        <w:t xml:space="preserve"> and a </w:t>
      </w:r>
      <w:r w:rsidRPr="005A4B46">
        <w:rPr>
          <w:rFonts w:ascii="Arial" w:hAnsi="Arial" w:cs="Arial"/>
        </w:rPr>
        <w:t>total of 1310 messages (</w:t>
      </w:r>
      <w:r>
        <w:rPr>
          <w:rFonts w:ascii="Arial" w:hAnsi="Arial" w:cs="Arial"/>
        </w:rPr>
        <w:t xml:space="preserve">this </w:t>
      </w:r>
      <w:r w:rsidRPr="005A4B46">
        <w:rPr>
          <w:rFonts w:ascii="Arial" w:hAnsi="Arial" w:cs="Arial"/>
        </w:rPr>
        <w:t>include</w:t>
      </w:r>
      <w:r>
        <w:rPr>
          <w:rFonts w:ascii="Arial" w:hAnsi="Arial" w:cs="Arial"/>
        </w:rPr>
        <w:t>d</w:t>
      </w:r>
      <w:r w:rsidRPr="005A4B46">
        <w:rPr>
          <w:rFonts w:ascii="Arial" w:hAnsi="Arial" w:cs="Arial"/>
        </w:rPr>
        <w:t xml:space="preserve"> updates and No Longer In Force messages)</w:t>
      </w:r>
      <w:r w:rsidRPr="00380764">
        <w:rPr>
          <w:rFonts w:ascii="Arial" w:hAnsi="Arial" w:cs="Arial"/>
          <w:color w:val="111111"/>
          <w:spacing w:val="-3"/>
        </w:rPr>
        <w:t>. Our interim flood forecasting system was fully operational, as was the system that we use to issue flood guidance</w:t>
      </w:r>
      <w:r w:rsidRPr="00CF3C30">
        <w:rPr>
          <w:rFonts w:ascii="Arial" w:hAnsi="Arial" w:cs="Arial"/>
        </w:rPr>
        <w:t xml:space="preserve"> statements.</w:t>
      </w:r>
      <w:r>
        <w:rPr>
          <w:rFonts w:ascii="Arial" w:hAnsi="Arial" w:cs="Arial"/>
        </w:rPr>
        <w:t xml:space="preserve"> </w:t>
      </w:r>
    </w:p>
    <w:p w14:paraId="29166C64" w14:textId="77777777" w:rsidR="00911A3E" w:rsidRDefault="00911A3E" w:rsidP="00E84765">
      <w:pPr>
        <w:widowControl w:val="0"/>
        <w:spacing w:line="360" w:lineRule="auto"/>
        <w:rPr>
          <w:rFonts w:ascii="Arial" w:hAnsi="Arial" w:cs="Arial"/>
        </w:rPr>
      </w:pPr>
    </w:p>
    <w:p w14:paraId="46EC26C3" w14:textId="57FE8BD7" w:rsidR="000E3994" w:rsidRDefault="000E3994" w:rsidP="00E84765">
      <w:pPr>
        <w:overflowPunct w:val="0"/>
        <w:autoSpaceDE w:val="0"/>
        <w:autoSpaceDN w:val="0"/>
        <w:adjustRightInd w:val="0"/>
        <w:spacing w:line="360" w:lineRule="auto"/>
        <w:textAlignment w:val="baseline"/>
        <w:rPr>
          <w:rFonts w:ascii="Arial" w:eastAsia="Arial" w:hAnsi="Arial" w:cs="Arial"/>
        </w:rPr>
      </w:pPr>
      <w:r>
        <w:rPr>
          <w:rFonts w:ascii="Arial" w:eastAsia="Arial" w:hAnsi="Arial" w:cs="Arial"/>
        </w:rPr>
        <w:t>A substantial amount of work was undertaken to rebuild our financial, Human Resource and Information Support systems. The buil</w:t>
      </w:r>
      <w:r w:rsidR="00E24C79">
        <w:rPr>
          <w:rFonts w:ascii="Arial" w:eastAsia="Arial" w:hAnsi="Arial" w:cs="Arial"/>
        </w:rPr>
        <w:t xml:space="preserve">d </w:t>
      </w:r>
      <w:r>
        <w:rPr>
          <w:rFonts w:ascii="Arial" w:eastAsia="Arial" w:hAnsi="Arial" w:cs="Arial"/>
        </w:rPr>
        <w:t>back of these core organisational functions was a major achievement, involving extensive behind the scenes work.</w:t>
      </w:r>
    </w:p>
    <w:p w14:paraId="7711D268" w14:textId="77777777" w:rsidR="00911A3E" w:rsidRDefault="00911A3E" w:rsidP="00E84765">
      <w:pPr>
        <w:overflowPunct w:val="0"/>
        <w:autoSpaceDE w:val="0"/>
        <w:autoSpaceDN w:val="0"/>
        <w:adjustRightInd w:val="0"/>
        <w:spacing w:line="360" w:lineRule="auto"/>
        <w:textAlignment w:val="baseline"/>
        <w:rPr>
          <w:rFonts w:ascii="Arial" w:eastAsia="Arial" w:hAnsi="Arial" w:cs="Arial"/>
        </w:rPr>
      </w:pPr>
    </w:p>
    <w:p w14:paraId="6C97D942" w14:textId="48319893" w:rsidR="000E3994" w:rsidRDefault="000E3994" w:rsidP="7FDAB2D3">
      <w:pPr>
        <w:overflowPunct w:val="0"/>
        <w:autoSpaceDE w:val="0"/>
        <w:autoSpaceDN w:val="0"/>
        <w:adjustRightInd w:val="0"/>
        <w:spacing w:line="360" w:lineRule="auto"/>
        <w:textAlignment w:val="baseline"/>
        <w:rPr>
          <w:rFonts w:ascii="Arial" w:eastAsia="Arial" w:hAnsi="Arial" w:cs="Arial"/>
          <w:spacing w:val="-3"/>
        </w:rPr>
      </w:pPr>
      <w:r w:rsidRPr="7FDAB2D3">
        <w:rPr>
          <w:rFonts w:ascii="Arial" w:eastAsia="Arial" w:hAnsi="Arial" w:cs="Arial"/>
        </w:rPr>
        <w:t xml:space="preserve">During 2021/2022 we made significant progress towards our recovery. We achieved this due to the commitment, drive, and skill of our staff. We will continue to build on this progress in 2022/2023 as we move on from our recovery phase to a new phase of </w:t>
      </w:r>
      <w:r w:rsidR="3543F4D8" w:rsidRPr="7FDAB2D3">
        <w:rPr>
          <w:rFonts w:ascii="Arial" w:eastAsia="Arial" w:hAnsi="Arial" w:cs="Arial"/>
        </w:rPr>
        <w:t>reform</w:t>
      </w:r>
      <w:r w:rsidRPr="7FDAB2D3">
        <w:rPr>
          <w:rFonts w:ascii="Arial" w:eastAsia="Arial" w:hAnsi="Arial" w:cs="Arial"/>
        </w:rPr>
        <w:t xml:space="preserve"> and </w:t>
      </w:r>
      <w:r w:rsidR="0B2F7B46" w:rsidRPr="7FDAB2D3">
        <w:rPr>
          <w:rFonts w:ascii="Arial" w:eastAsia="Arial" w:hAnsi="Arial" w:cs="Arial"/>
        </w:rPr>
        <w:t>innovation</w:t>
      </w:r>
      <w:r w:rsidRPr="7FDAB2D3">
        <w:rPr>
          <w:rFonts w:ascii="Arial" w:eastAsia="Arial" w:hAnsi="Arial" w:cs="Arial"/>
        </w:rPr>
        <w:t>.</w:t>
      </w:r>
    </w:p>
    <w:p w14:paraId="1876B1B0" w14:textId="6444186C" w:rsidR="000E3994" w:rsidRDefault="000E3994" w:rsidP="00B13A42">
      <w:pPr>
        <w:overflowPunct w:val="0"/>
        <w:autoSpaceDE w:val="0"/>
        <w:autoSpaceDN w:val="0"/>
        <w:adjustRightInd w:val="0"/>
        <w:spacing w:line="360" w:lineRule="auto"/>
        <w:textAlignment w:val="baseline"/>
        <w:rPr>
          <w:rFonts w:ascii="Arial" w:eastAsia="Arial" w:hAnsi="Arial" w:cs="Arial"/>
        </w:rPr>
      </w:pPr>
    </w:p>
    <w:p w14:paraId="2369E198" w14:textId="441DD0F9" w:rsidR="00973E02" w:rsidRDefault="00973E02" w:rsidP="00B13A42">
      <w:pPr>
        <w:overflowPunct w:val="0"/>
        <w:autoSpaceDE w:val="0"/>
        <w:autoSpaceDN w:val="0"/>
        <w:adjustRightInd w:val="0"/>
        <w:spacing w:line="360" w:lineRule="auto"/>
        <w:textAlignment w:val="baseline"/>
        <w:rPr>
          <w:rFonts w:ascii="Arial" w:eastAsia="Arial" w:hAnsi="Arial" w:cs="Arial"/>
        </w:rPr>
      </w:pPr>
    </w:p>
    <w:p w14:paraId="46E6B25B" w14:textId="77777777" w:rsidR="00973E02" w:rsidRPr="00CF360A" w:rsidRDefault="00973E02" w:rsidP="00B13A42">
      <w:pPr>
        <w:overflowPunct w:val="0"/>
        <w:autoSpaceDE w:val="0"/>
        <w:autoSpaceDN w:val="0"/>
        <w:adjustRightInd w:val="0"/>
        <w:spacing w:line="360" w:lineRule="auto"/>
        <w:textAlignment w:val="baseline"/>
        <w:rPr>
          <w:rFonts w:ascii="Arial" w:eastAsia="Arial" w:hAnsi="Arial" w:cs="Arial"/>
        </w:rPr>
      </w:pPr>
    </w:p>
    <w:p w14:paraId="2D966ACC" w14:textId="5C7FDD3F" w:rsidR="000E3994" w:rsidRDefault="000E3994" w:rsidP="00973E02">
      <w:pPr>
        <w:overflowPunct w:val="0"/>
        <w:autoSpaceDE w:val="0"/>
        <w:autoSpaceDN w:val="0"/>
        <w:adjustRightInd w:val="0"/>
        <w:spacing w:line="360" w:lineRule="auto"/>
        <w:textAlignment w:val="baseline"/>
        <w:rPr>
          <w:rFonts w:ascii="Arial" w:eastAsia="Arial" w:hAnsi="Arial" w:cs="Arial"/>
          <w:b/>
          <w:bCs/>
          <w:color w:val="000000" w:themeColor="text1"/>
        </w:rPr>
      </w:pPr>
      <w:r>
        <w:rPr>
          <w:rFonts w:ascii="Arial" w:eastAsia="Arial" w:hAnsi="Arial" w:cs="Arial"/>
          <w:b/>
          <w:bCs/>
          <w:color w:val="000000" w:themeColor="text1"/>
        </w:rPr>
        <w:t>Bob Downes</w:t>
      </w:r>
      <w:r>
        <w:rPr>
          <w:rFonts w:ascii="Arial" w:eastAsia="Arial" w:hAnsi="Arial" w:cs="Arial"/>
          <w:b/>
          <w:bCs/>
          <w:color w:val="000000" w:themeColor="text1"/>
        </w:rPr>
        <w:tab/>
      </w:r>
      <w:r>
        <w:rPr>
          <w:rFonts w:ascii="Arial" w:eastAsia="Arial" w:hAnsi="Arial" w:cs="Arial"/>
          <w:b/>
          <w:bCs/>
          <w:color w:val="000000" w:themeColor="text1"/>
        </w:rPr>
        <w:tab/>
      </w:r>
      <w:r>
        <w:rPr>
          <w:rFonts w:ascii="Arial" w:eastAsia="Arial" w:hAnsi="Arial" w:cs="Arial"/>
          <w:b/>
          <w:bCs/>
          <w:color w:val="000000" w:themeColor="text1"/>
        </w:rPr>
        <w:tab/>
      </w:r>
      <w:r w:rsidR="00F972D4">
        <w:rPr>
          <w:rFonts w:ascii="Arial" w:eastAsia="Arial" w:hAnsi="Arial" w:cs="Arial"/>
          <w:b/>
          <w:bCs/>
          <w:color w:val="000000" w:themeColor="text1"/>
        </w:rPr>
        <w:t>Nicole Paterson</w:t>
      </w:r>
    </w:p>
    <w:p w14:paraId="7E8BDF1C" w14:textId="49C33360" w:rsidR="000E3994" w:rsidRDefault="000E3994" w:rsidP="00973E02">
      <w:pPr>
        <w:overflowPunct w:val="0"/>
        <w:autoSpaceDE w:val="0"/>
        <w:autoSpaceDN w:val="0"/>
        <w:adjustRightInd w:val="0"/>
        <w:spacing w:line="360" w:lineRule="auto"/>
        <w:textAlignment w:val="baseline"/>
        <w:rPr>
          <w:rFonts w:ascii="Arial" w:eastAsia="Arial" w:hAnsi="Arial" w:cs="Arial"/>
          <w:b/>
          <w:bCs/>
          <w:color w:val="000000" w:themeColor="text1"/>
        </w:rPr>
      </w:pPr>
      <w:r>
        <w:rPr>
          <w:rFonts w:ascii="Arial" w:eastAsia="Arial" w:hAnsi="Arial" w:cs="Arial"/>
          <w:b/>
          <w:bCs/>
          <w:color w:val="000000" w:themeColor="text1"/>
        </w:rPr>
        <w:t>Chair</w:t>
      </w:r>
      <w:r>
        <w:rPr>
          <w:rFonts w:ascii="Arial" w:eastAsia="Arial" w:hAnsi="Arial" w:cs="Arial"/>
          <w:b/>
          <w:bCs/>
          <w:color w:val="000000" w:themeColor="text1"/>
        </w:rPr>
        <w:tab/>
      </w:r>
      <w:r>
        <w:rPr>
          <w:rFonts w:ascii="Arial" w:eastAsia="Arial" w:hAnsi="Arial" w:cs="Arial"/>
          <w:b/>
          <w:bCs/>
          <w:color w:val="000000" w:themeColor="text1"/>
        </w:rPr>
        <w:tab/>
      </w:r>
      <w:r>
        <w:rPr>
          <w:rFonts w:ascii="Arial" w:eastAsia="Arial" w:hAnsi="Arial" w:cs="Arial"/>
          <w:b/>
          <w:bCs/>
          <w:color w:val="000000" w:themeColor="text1"/>
        </w:rPr>
        <w:tab/>
      </w:r>
      <w:r>
        <w:rPr>
          <w:rFonts w:ascii="Arial" w:eastAsia="Arial" w:hAnsi="Arial" w:cs="Arial"/>
          <w:b/>
          <w:bCs/>
          <w:color w:val="000000" w:themeColor="text1"/>
        </w:rPr>
        <w:tab/>
      </w:r>
      <w:r>
        <w:rPr>
          <w:rFonts w:ascii="Arial" w:eastAsia="Arial" w:hAnsi="Arial" w:cs="Arial"/>
          <w:b/>
          <w:bCs/>
          <w:color w:val="000000" w:themeColor="text1"/>
        </w:rPr>
        <w:tab/>
      </w:r>
      <w:r w:rsidRPr="002551C2">
        <w:rPr>
          <w:rFonts w:ascii="Arial" w:eastAsia="Arial" w:hAnsi="Arial" w:cs="Arial"/>
          <w:b/>
          <w:bCs/>
          <w:color w:val="000000" w:themeColor="text1"/>
        </w:rPr>
        <w:t>Chief Executive Officer</w:t>
      </w:r>
    </w:p>
    <w:p w14:paraId="7DED6379" w14:textId="77777777" w:rsidR="00D52AC3" w:rsidRDefault="00D52AC3" w:rsidP="00973E02">
      <w:pPr>
        <w:overflowPunct w:val="0"/>
        <w:autoSpaceDE w:val="0"/>
        <w:autoSpaceDN w:val="0"/>
        <w:adjustRightInd w:val="0"/>
        <w:spacing w:line="360" w:lineRule="auto"/>
        <w:textAlignment w:val="baseline"/>
        <w:rPr>
          <w:rFonts w:ascii="Arial" w:eastAsia="Arial" w:hAnsi="Arial" w:cs="Arial"/>
          <w:b/>
          <w:bCs/>
          <w:color w:val="000000" w:themeColor="text1"/>
        </w:rPr>
      </w:pPr>
    </w:p>
    <w:p w14:paraId="24D01749" w14:textId="77777777" w:rsidR="00D52AC3" w:rsidRDefault="00D52AC3" w:rsidP="00973E02">
      <w:pPr>
        <w:overflowPunct w:val="0"/>
        <w:autoSpaceDE w:val="0"/>
        <w:autoSpaceDN w:val="0"/>
        <w:adjustRightInd w:val="0"/>
        <w:spacing w:line="360" w:lineRule="auto"/>
        <w:textAlignment w:val="baseline"/>
        <w:rPr>
          <w:rFonts w:ascii="Arial" w:eastAsia="Arial" w:hAnsi="Arial" w:cs="Arial"/>
          <w:b/>
          <w:bCs/>
          <w:color w:val="000000" w:themeColor="text1"/>
        </w:rPr>
      </w:pPr>
    </w:p>
    <w:p w14:paraId="2EE6A690" w14:textId="77777777" w:rsidR="00D52AC3" w:rsidRDefault="00D52AC3" w:rsidP="00973E02">
      <w:pPr>
        <w:overflowPunct w:val="0"/>
        <w:autoSpaceDE w:val="0"/>
        <w:autoSpaceDN w:val="0"/>
        <w:adjustRightInd w:val="0"/>
        <w:spacing w:line="360" w:lineRule="auto"/>
        <w:textAlignment w:val="baseline"/>
        <w:rPr>
          <w:rFonts w:ascii="Arial" w:eastAsia="Arial" w:hAnsi="Arial" w:cs="Arial"/>
          <w:b/>
          <w:bCs/>
          <w:color w:val="000000" w:themeColor="text1"/>
        </w:rPr>
      </w:pPr>
    </w:p>
    <w:p w14:paraId="23A28FB8" w14:textId="77777777" w:rsidR="00D52AC3" w:rsidRPr="002551C2" w:rsidRDefault="00D52AC3" w:rsidP="00973E02">
      <w:pPr>
        <w:overflowPunct w:val="0"/>
        <w:autoSpaceDE w:val="0"/>
        <w:autoSpaceDN w:val="0"/>
        <w:adjustRightInd w:val="0"/>
        <w:spacing w:line="360" w:lineRule="auto"/>
        <w:textAlignment w:val="baseline"/>
        <w:rPr>
          <w:rFonts w:ascii="Arial" w:eastAsia="Arial" w:hAnsi="Arial" w:cs="Arial"/>
          <w:b/>
          <w:bCs/>
          <w:color w:val="000000" w:themeColor="text1"/>
        </w:rPr>
      </w:pPr>
    </w:p>
    <w:p w14:paraId="041343F7" w14:textId="77777777" w:rsidR="00076AF3" w:rsidRDefault="00076AF3" w:rsidP="008A7147">
      <w:pPr>
        <w:pStyle w:val="01aMainHeader"/>
        <w:rPr>
          <w:highlight w:val="green"/>
        </w:rPr>
      </w:pPr>
      <w:r>
        <w:rPr>
          <w:highlight w:val="green"/>
        </w:rPr>
        <w:br w:type="page"/>
      </w:r>
    </w:p>
    <w:p w14:paraId="661F6636" w14:textId="1A1DCB77" w:rsidR="008A7147" w:rsidRPr="001624CF" w:rsidRDefault="008A7147" w:rsidP="008A7147">
      <w:pPr>
        <w:pStyle w:val="01aMainHeader"/>
      </w:pPr>
      <w:bookmarkStart w:id="4" w:name="_Toc119068062"/>
      <w:proofErr w:type="spellStart"/>
      <w:r w:rsidRPr="00FD3870">
        <w:lastRenderedPageBreak/>
        <w:t>Fàilte</w:t>
      </w:r>
      <w:proofErr w:type="spellEnd"/>
      <w:r w:rsidRPr="00FD3870">
        <w:t xml:space="preserve"> </w:t>
      </w:r>
      <w:proofErr w:type="spellStart"/>
      <w:r w:rsidRPr="00FD3870">
        <w:t>gu</w:t>
      </w:r>
      <w:proofErr w:type="spellEnd"/>
      <w:r w:rsidRPr="00FD3870">
        <w:t xml:space="preserve"> </w:t>
      </w:r>
      <w:proofErr w:type="spellStart"/>
      <w:r w:rsidRPr="00FD3870">
        <w:t>Aithisg</w:t>
      </w:r>
      <w:proofErr w:type="spellEnd"/>
      <w:r w:rsidRPr="00FD3870">
        <w:t xml:space="preserve"> </w:t>
      </w:r>
      <w:proofErr w:type="spellStart"/>
      <w:r w:rsidRPr="00FD3870">
        <w:t>Bhliadhnail</w:t>
      </w:r>
      <w:proofErr w:type="spellEnd"/>
      <w:r w:rsidRPr="00FD3870">
        <w:t xml:space="preserve"> SEPA 202</w:t>
      </w:r>
      <w:r w:rsidR="00A66A0B" w:rsidRPr="00FD3870">
        <w:t>1</w:t>
      </w:r>
      <w:r w:rsidR="000845C9" w:rsidRPr="00FD3870">
        <w:t>/</w:t>
      </w:r>
      <w:r w:rsidRPr="00FD3870">
        <w:t>202</w:t>
      </w:r>
      <w:r w:rsidR="00A66A0B" w:rsidRPr="00FD3870">
        <w:t>2</w:t>
      </w:r>
      <w:bookmarkEnd w:id="4"/>
    </w:p>
    <w:p w14:paraId="48B87E39" w14:textId="77777777" w:rsidR="002329DD" w:rsidRDefault="002329DD" w:rsidP="002329DD">
      <w:pPr>
        <w:jc w:val="both"/>
        <w:rPr>
          <w:rFonts w:ascii="Arial" w:hAnsi="Arial" w:cs="Arial"/>
          <w:color w:val="000000" w:themeColor="text1"/>
        </w:rPr>
      </w:pPr>
    </w:p>
    <w:p w14:paraId="3E64A6F8" w14:textId="77777777" w:rsidR="00627AF2" w:rsidRPr="00F01973" w:rsidRDefault="00627AF2" w:rsidP="00627AF2">
      <w:pPr>
        <w:spacing w:line="360" w:lineRule="auto"/>
        <w:textAlignment w:val="baseline"/>
        <w:rPr>
          <w:rFonts w:ascii="Arial" w:hAnsi="Arial" w:cs="Arial"/>
          <w:lang w:val="gd"/>
        </w:rPr>
      </w:pPr>
      <w:r>
        <w:rPr>
          <w:rFonts w:ascii="Arial" w:hAnsi="Arial" w:cs="Arial"/>
          <w:lang w:val="gd"/>
        </w:rPr>
        <w:t>Tha seo air a bhith na bhliadhna dhùbhlanach dhuinn.   Bha sinn air droch ionnsaigh saidhbear fhulang san Dùbhlachd 2020. Ann an 2021/2022,</w:t>
      </w:r>
      <w:r>
        <w:rPr>
          <w:rFonts w:ascii="Arial" w:hAnsi="Arial" w:cs="Arial"/>
          <w:color w:val="000000" w:themeColor="text1"/>
          <w:lang w:val="gd"/>
        </w:rPr>
        <w:t xml:space="preserve"> dh’obraich sinn a rèir plana ath-bheothachaidh airson na buidhne, chùm sinn suas na seirbheisean as deatamaiche a tha a’ dìon àrainneachd agus coimhearsnachdan na h-Alba, agus thòisich sinn a’ togail ar dòighean-obrach ùra</w:t>
      </w:r>
      <w:r>
        <w:rPr>
          <w:rFonts w:ascii="Arial" w:hAnsi="Arial" w:cs="Arial"/>
          <w:lang w:val="gd"/>
        </w:rPr>
        <w:t xml:space="preserve">. </w:t>
      </w:r>
    </w:p>
    <w:p w14:paraId="366654A2" w14:textId="77777777" w:rsidR="00627AF2" w:rsidRPr="00F01973" w:rsidRDefault="00627AF2" w:rsidP="00627AF2">
      <w:pPr>
        <w:spacing w:line="360" w:lineRule="auto"/>
        <w:textAlignment w:val="baseline"/>
        <w:rPr>
          <w:rFonts w:ascii="Arial" w:hAnsi="Arial" w:cs="Arial"/>
          <w:lang w:val="gd"/>
        </w:rPr>
      </w:pPr>
    </w:p>
    <w:p w14:paraId="0EC98AD8" w14:textId="77777777" w:rsidR="00627AF2" w:rsidRDefault="00627AF2" w:rsidP="00627AF2">
      <w:pPr>
        <w:spacing w:line="360" w:lineRule="auto"/>
        <w:textAlignment w:val="baseline"/>
        <w:rPr>
          <w:rFonts w:ascii="Arial" w:hAnsi="Arial" w:cs="Arial"/>
        </w:rPr>
      </w:pPr>
      <w:r>
        <w:rPr>
          <w:rFonts w:ascii="Arial" w:hAnsi="Arial" w:cs="Arial"/>
          <w:lang w:val="gd"/>
        </w:rPr>
        <w:t>Anns an Fhaoilleach 2022, leig ar Ceannard dheth a dhreuchd.  Thachair seo às dèidh chasaidean mu a ghiùlan.</w:t>
      </w:r>
    </w:p>
    <w:p w14:paraId="64E03897" w14:textId="77777777" w:rsidR="00627AF2" w:rsidRDefault="00627AF2" w:rsidP="00627AF2">
      <w:pPr>
        <w:spacing w:line="360" w:lineRule="auto"/>
        <w:textAlignment w:val="baseline"/>
        <w:rPr>
          <w:rFonts w:ascii="Arial" w:hAnsi="Arial" w:cs="Arial"/>
        </w:rPr>
      </w:pPr>
    </w:p>
    <w:p w14:paraId="08E7D492" w14:textId="77777777" w:rsidR="00627AF2" w:rsidRPr="00F01973" w:rsidRDefault="00627AF2" w:rsidP="00627AF2">
      <w:pPr>
        <w:pStyle w:val="xmsonormal"/>
        <w:spacing w:line="360" w:lineRule="auto"/>
        <w:rPr>
          <w:rStyle w:val="normaltextrun"/>
          <w:rFonts w:ascii="Arial" w:hAnsi="Arial" w:cs="Arial"/>
          <w:sz w:val="24"/>
          <w:szCs w:val="24"/>
          <w:lang w:val="gd"/>
        </w:rPr>
      </w:pPr>
      <w:r>
        <w:rPr>
          <w:rStyle w:val="normaltextrun"/>
          <w:rFonts w:ascii="Arial" w:hAnsi="Arial" w:cs="Arial"/>
          <w:sz w:val="24"/>
          <w:szCs w:val="24"/>
          <w:lang w:val="gd"/>
        </w:rPr>
        <w:t xml:space="preserve">Lean COVID-19 cuideachd a’ toirt buaidh air ar luchd-obrach agus seirbheisean ann an 2021/2022. Stèidhich sinn frèam-obrach co-dhùnaidh airson seo. Sheall seo mar a b’ urrainn don luchd-obrach againn prìomhachasan gnìomhachais a lìbhrigeadh gu sàbhailte, agus iad a’ leantainn stiùireadh COVID-19 Riaghaltas na h-Alba. </w:t>
      </w:r>
    </w:p>
    <w:p w14:paraId="40D2A51A" w14:textId="77777777" w:rsidR="00627AF2" w:rsidRPr="00F01973" w:rsidRDefault="00627AF2" w:rsidP="00627AF2">
      <w:pPr>
        <w:spacing w:line="360" w:lineRule="auto"/>
        <w:textAlignment w:val="baseline"/>
        <w:rPr>
          <w:rStyle w:val="normaltextrun"/>
          <w:rFonts w:ascii="Arial" w:hAnsi="Arial" w:cs="Arial"/>
          <w:lang w:val="gd"/>
        </w:rPr>
      </w:pPr>
    </w:p>
    <w:p w14:paraId="6C14BBE5" w14:textId="77777777" w:rsidR="00627AF2" w:rsidRDefault="00627AF2" w:rsidP="00627AF2">
      <w:pPr>
        <w:spacing w:line="360" w:lineRule="auto"/>
        <w:textAlignment w:val="baseline"/>
        <w:rPr>
          <w:rFonts w:ascii="Arial" w:hAnsi="Arial" w:cs="Arial"/>
        </w:rPr>
      </w:pPr>
      <w:r>
        <w:rPr>
          <w:rFonts w:ascii="Arial" w:hAnsi="Arial" w:cs="Arial"/>
          <w:lang w:val="gd"/>
        </w:rPr>
        <w:t>Tha na duilgheadasan againn air cothrom a thoirt dhuinn obair ann an dòighean ùra agus dòighean-obrach nas fheàrr a leasachadh airson ar prìomh sheirbheisean a lìbhrigeadh: riaghladh agus tuiltean. Aig an aon àm, a dh’aindeoin gach dùbhlan, lean an luchd-obrach againn a’ lìbhrigeadh do Alba.</w:t>
      </w:r>
    </w:p>
    <w:p w14:paraId="72793E25" w14:textId="77777777" w:rsidR="00627AF2" w:rsidRDefault="00627AF2" w:rsidP="00627AF2">
      <w:pPr>
        <w:spacing w:line="360" w:lineRule="auto"/>
        <w:textAlignment w:val="baseline"/>
        <w:rPr>
          <w:rFonts w:ascii="Arial" w:hAnsi="Arial" w:cs="Arial"/>
        </w:rPr>
      </w:pPr>
    </w:p>
    <w:p w14:paraId="3051F852" w14:textId="693FF890" w:rsidR="00627AF2" w:rsidRPr="00F01973" w:rsidRDefault="00627AF2" w:rsidP="00627AF2">
      <w:pPr>
        <w:pStyle w:val="NormalWeb"/>
        <w:shd w:val="clear" w:color="auto" w:fill="FFFFFF"/>
        <w:spacing w:before="0" w:beforeAutospacing="0" w:after="0" w:afterAutospacing="0" w:line="360" w:lineRule="auto"/>
        <w:rPr>
          <w:rFonts w:ascii="Arial" w:eastAsia="Calibri" w:hAnsi="Arial" w:cs="Arial"/>
          <w:lang w:val="gd"/>
        </w:rPr>
      </w:pPr>
      <w:r>
        <w:rPr>
          <w:rFonts w:ascii="Arial" w:hAnsi="Arial" w:cs="Arial"/>
          <w:lang w:val="gd"/>
        </w:rPr>
        <w:t xml:space="preserve"> Anns an Dùbhlachd dh’fhoillsich sinn an treas</w:t>
      </w:r>
      <w:r>
        <w:rPr>
          <w:rFonts w:ascii="Arial" w:hAnsi="Arial" w:cs="Arial"/>
          <w:u w:val="single"/>
          <w:lang w:val="gd"/>
        </w:rPr>
        <w:t xml:space="preserve"> </w:t>
      </w:r>
      <w:hyperlink r:id="rId21" w:tooltip="Foillseachaidhean" w:history="1">
        <w:r>
          <w:rPr>
            <w:rStyle w:val="Hyperlink"/>
            <w:rFonts w:ascii="Arial" w:hAnsi="Arial" w:cs="Arial"/>
            <w:color w:val="005983"/>
            <w:lang w:val="gd"/>
          </w:rPr>
          <w:t xml:space="preserve"> Plana Riaghlaidh Linne Aibhne </w:t>
        </w:r>
      </w:hyperlink>
      <w:r>
        <w:rPr>
          <w:rFonts w:ascii="Arial" w:hAnsi="Arial" w:cs="Arial"/>
          <w:color w:val="333333"/>
          <w:lang w:val="gd"/>
        </w:rPr>
        <w:t> </w:t>
      </w:r>
      <w:r>
        <w:rPr>
          <w:rFonts w:ascii="Arial" w:hAnsi="Arial" w:cs="Arial"/>
          <w:lang w:val="gd"/>
        </w:rPr>
        <w:t xml:space="preserve">do Alba. Tha am plana a’ mìneachadh frèam-obrach airson dìon agus leasachadh àrainneachd uisge na h-Alba agus tha e na fhrèam-obrach airson obair com-pàirteachais air feadh na h-Alba.  </w:t>
      </w:r>
      <w:r>
        <w:rPr>
          <w:rFonts w:ascii="Arial" w:hAnsi="Arial" w:cs="Arial"/>
          <w:color w:val="333333"/>
          <w:lang w:val="gd"/>
        </w:rPr>
        <w:t xml:space="preserve"> Tha tòrr den àrainneachd uisge ann an Alba ann an deagh staid. Ach, tha duilgheadasan mòra ann fhathast a’ toirt buaidh air càileachd uisge, staid fhiosaigeach, stòrasan uisge, agus imrich èisg fhiadhaich. Tha dealbhadh linne aibhne ag amas air cleachdadh stòrasan a lùghdachadh, cur às do ana-caitheamh stòrais agus ath-nuadhachadh calpa nàdarra. A’ cleachdadh dòigh-obrach shiostaman slàna, tha e a’ toirt taic do lìbhrigeadh ar</w:t>
      </w:r>
      <w:r>
        <w:fldChar w:fldCharType="begin"/>
      </w:r>
      <w:r>
        <w:instrText>HYPERLINK "https://www.sepa.org.uk/regulations/how-we-regulate/delivering-one-planet-prosperity/" \o "SEPAs One Planet Prosperity"</w:instrText>
      </w:r>
      <w:r>
        <w:fldChar w:fldCharType="separate"/>
      </w:r>
      <w:r>
        <w:rPr>
          <w:rStyle w:val="Hyperlink"/>
          <w:rFonts w:ascii="Arial" w:hAnsi="Arial" w:cs="Arial"/>
          <w:color w:val="005983"/>
          <w:lang w:val="gd"/>
        </w:rPr>
        <w:t xml:space="preserve"> ro-innleachd riaghlaidh – Beairteas Aon Phlanaid </w:t>
      </w:r>
      <w:r>
        <w:rPr>
          <w:rStyle w:val="Hyperlink"/>
          <w:rFonts w:ascii="Arial" w:hAnsi="Arial" w:cs="Arial"/>
          <w:color w:val="005983"/>
          <w:lang w:val="gd"/>
        </w:rPr>
        <w:fldChar w:fldCharType="end"/>
      </w:r>
      <w:r>
        <w:rPr>
          <w:rFonts w:ascii="Arial" w:hAnsi="Arial" w:cs="Arial"/>
          <w:color w:val="333333"/>
          <w:lang w:val="gd"/>
        </w:rPr>
        <w:t> agus oidhirpean nas fharsainge ann an Alba gus dèiligeadh ri èiginn gnàth-thìde agus èiginn bith-iomadachd.</w:t>
      </w:r>
    </w:p>
    <w:p w14:paraId="53B02466" w14:textId="77777777" w:rsidR="00627AF2" w:rsidRPr="00F01973" w:rsidRDefault="00627AF2" w:rsidP="00627AF2">
      <w:pPr>
        <w:spacing w:line="360" w:lineRule="auto"/>
        <w:textAlignment w:val="baseline"/>
        <w:rPr>
          <w:rFonts w:ascii="Arial" w:eastAsia="Calibri" w:hAnsi="Arial" w:cs="Arial"/>
          <w:lang w:val="gd"/>
        </w:rPr>
      </w:pPr>
    </w:p>
    <w:p w14:paraId="27714941" w14:textId="562FA3F9" w:rsidR="00627AF2" w:rsidRPr="00F01973" w:rsidRDefault="00627AF2" w:rsidP="00627AF2">
      <w:pPr>
        <w:overflowPunct w:val="0"/>
        <w:autoSpaceDE w:val="0"/>
        <w:autoSpaceDN w:val="0"/>
        <w:adjustRightInd w:val="0"/>
        <w:spacing w:line="360" w:lineRule="auto"/>
        <w:contextualSpacing/>
        <w:textAlignment w:val="baseline"/>
        <w:rPr>
          <w:rFonts w:ascii="Arial" w:eastAsia="Arial" w:hAnsi="Arial" w:cs="Arial"/>
          <w:lang w:val="gd"/>
        </w:rPr>
      </w:pPr>
      <w:r>
        <w:rPr>
          <w:rFonts w:ascii="Arial" w:eastAsia="Arial" w:hAnsi="Arial" w:cs="Arial"/>
          <w:lang w:val="gd"/>
        </w:rPr>
        <w:t xml:space="preserve">Chuidich sinn Alba cuideachd a’ deisealachadh mu choinneamh gainnead uisge. Rinn sinn seo le bhith a’ cur a-mach fiosrachadh gu cunbhalach gu tuathanaich, uachdarain fearainn, gnothaichean agus luchd-tarraing uisge. Rinn sinn sgrùdadh soirbheachail air uisgeachan-snàimh ainmichte ann an Alba air feadh seusan 2021. Dh’fhoillsich sinn toraidhean </w:t>
      </w:r>
      <w:r>
        <w:rPr>
          <w:rFonts w:ascii="Arial" w:eastAsia="Arial" w:hAnsi="Arial" w:cs="Arial"/>
          <w:lang w:val="gd"/>
        </w:rPr>
        <w:lastRenderedPageBreak/>
        <w:t xml:space="preserve">samplachaidh don phoball airson nan 85 tràighean uile agus, airson 28 làraich fhèillmhòr. Thug sinn seachad ro-innse làithreach air càileachd uisge. </w:t>
      </w:r>
    </w:p>
    <w:p w14:paraId="4014012E" w14:textId="77777777" w:rsidR="00627AF2" w:rsidRPr="00F01973" w:rsidRDefault="00627AF2" w:rsidP="00627AF2">
      <w:pPr>
        <w:spacing w:line="360" w:lineRule="auto"/>
        <w:textAlignment w:val="baseline"/>
        <w:rPr>
          <w:rFonts w:ascii="Arial" w:eastAsia="Arial" w:hAnsi="Arial" w:cs="Arial"/>
          <w:lang w:val="gd"/>
        </w:rPr>
      </w:pPr>
    </w:p>
    <w:p w14:paraId="5A7E0EE3" w14:textId="77777777" w:rsidR="00627AF2" w:rsidRPr="00F01973" w:rsidRDefault="00627AF2" w:rsidP="00627AF2">
      <w:pPr>
        <w:overflowPunct w:val="0"/>
        <w:autoSpaceDE w:val="0"/>
        <w:autoSpaceDN w:val="0"/>
        <w:adjustRightInd w:val="0"/>
        <w:spacing w:line="360" w:lineRule="auto"/>
        <w:contextualSpacing/>
        <w:textAlignment w:val="baseline"/>
        <w:rPr>
          <w:rFonts w:ascii="Arial" w:eastAsia="Calibri" w:hAnsi="Arial" w:cs="Arial"/>
          <w:lang w:val="gd"/>
        </w:rPr>
      </w:pPr>
      <w:r>
        <w:rPr>
          <w:rFonts w:ascii="Arial" w:hAnsi="Arial" w:cs="Arial"/>
          <w:lang w:val="gd"/>
        </w:rPr>
        <w:t>Rè seusan snàimh 2021, fhuair 99% de dh’uisgean-snàimh na h-Alba rangachadh ‘Iomchaidh no Nas Fheàrr’ airson an t-seusain. Airson a’ chiad uair ann an ceithir bliadhna bha seo a’ toirt a-steach tràigh Inbhir Àir a Deas, aon de na h-uisgeachan-snàimh as fèillmhor ann an Alba. Thàinig seo às dèidh co-obrachadh le agus tasgadh bho ghrunn chom-pàirtichean gus càileachd uisge a leasachadh.</w:t>
      </w:r>
    </w:p>
    <w:p w14:paraId="310DF7C0" w14:textId="77777777" w:rsidR="00627AF2" w:rsidRPr="00F01973" w:rsidRDefault="00627AF2" w:rsidP="00627AF2">
      <w:pPr>
        <w:spacing w:line="360" w:lineRule="auto"/>
        <w:textAlignment w:val="baseline"/>
        <w:rPr>
          <w:rFonts w:ascii="Arial" w:eastAsia="Calibri" w:hAnsi="Arial" w:cs="Arial"/>
          <w:lang w:val="gd"/>
        </w:rPr>
      </w:pPr>
    </w:p>
    <w:p w14:paraId="7FE6600E" w14:textId="7CB2645D" w:rsidR="00627AF2" w:rsidRPr="00F01973" w:rsidRDefault="00627AF2" w:rsidP="00627AF2">
      <w:pPr>
        <w:pStyle w:val="xmsonormal"/>
        <w:spacing w:line="360" w:lineRule="auto"/>
        <w:rPr>
          <w:rFonts w:ascii="Arial" w:eastAsia="Calibri" w:hAnsi="Arial" w:cs="Arial"/>
          <w:sz w:val="24"/>
          <w:szCs w:val="24"/>
          <w:lang w:val="gd"/>
        </w:rPr>
      </w:pPr>
      <w:r>
        <w:rPr>
          <w:rFonts w:ascii="Arial" w:hAnsi="Arial" w:cs="Arial"/>
          <w:color w:val="000000"/>
          <w:sz w:val="24"/>
          <w:szCs w:val="24"/>
          <w:lang w:val="gd"/>
        </w:rPr>
        <w:t xml:space="preserve">Chaidh prògram Disclosure ‘Dirty Business’ bhon </w:t>
      </w:r>
      <w:r>
        <w:fldChar w:fldCharType="begin"/>
      </w:r>
      <w:r>
        <w:instrText>HYPERLINK "https://eur01.safelinks.protection.outlook.com/?url=http://scottishenvironmentprotectionagency.newsweaver.com/ceospotlight/13tc392w4pm1l9pscq6w81/external?email%3Dtrue%26a%3D6%26p%3D5854831%26t%3D4831&amp;data=04%7c01%7ckatherine.russell%40sepa.org.uk%7cc19474c785ea45e8c64008d9e4d77c5c%7c5cf26d65cf464c72ba827577d9c2d7ab%7c0%7c0%7c637792436429450588%7cUnknown%7cTWFpbGZsb3d8eyJWIjoiMC4wLjAwMDAiLCJQIjoiV2luMzIiLCJBTiI6Ik1haWwiLCJXVCI6Mn0%3D%7c3000&amp;sdata=9W/RG8EkecxWSjGZx9lr/2xxqQQmBbNgBX%2BxDmFUhug%3D&amp;reserved=0"</w:instrText>
      </w:r>
      <w:r>
        <w:fldChar w:fldCharType="separate"/>
      </w:r>
      <w:r>
        <w:rPr>
          <w:rStyle w:val="normaltextrun"/>
          <w:rFonts w:ascii="Arial" w:hAnsi="Arial" w:cs="Arial"/>
          <w:color w:val="0563C1"/>
          <w:sz w:val="24"/>
          <w:szCs w:val="24"/>
          <w:lang w:val="gd"/>
        </w:rPr>
        <w:t xml:space="preserve">BhBC </w:t>
      </w:r>
      <w:r>
        <w:rPr>
          <w:rStyle w:val="normaltextrun"/>
          <w:rFonts w:ascii="Arial" w:hAnsi="Arial" w:cs="Arial"/>
          <w:color w:val="0563C1"/>
          <w:sz w:val="24"/>
          <w:szCs w:val="24"/>
          <w:lang w:val="gd"/>
        </w:rPr>
        <w:fldChar w:fldCharType="end"/>
      </w:r>
      <w:r>
        <w:rPr>
          <w:rFonts w:ascii="Arial" w:hAnsi="Arial" w:cs="Arial"/>
          <w:color w:val="000000"/>
          <w:sz w:val="24"/>
          <w:szCs w:val="24"/>
          <w:lang w:val="gd"/>
        </w:rPr>
        <w:t xml:space="preserve">a chraoladh air 31 Faoilleach mu dheidhinn gnìomhan sgudail eucoireach (bho eucoir bheag tilgeil sgudail gun chead gu gnìomhan le ceanglaichean ri fìor dhroch eucoir agus eucoir eagraichte).  Lean e ar luchd-obrach agus iad rin cuid obrach air feadh na h-Alba.  </w:t>
      </w:r>
      <w:r>
        <w:rPr>
          <w:rFonts w:ascii="Arial" w:hAnsi="Arial" w:cs="Arial"/>
          <w:sz w:val="24"/>
          <w:szCs w:val="24"/>
          <w:lang w:val="gd"/>
        </w:rPr>
        <w:t xml:space="preserve"> Bha seo aig an aon àm ri cur air bhog co-chomhairle ceithir-nàiseanan bhon Riaghaltas air tracadh didseatach àithnteil air sgudal.</w:t>
      </w:r>
    </w:p>
    <w:p w14:paraId="43FFFB16" w14:textId="77777777" w:rsidR="00627AF2" w:rsidRPr="00F01973" w:rsidRDefault="00627AF2" w:rsidP="00627AF2">
      <w:pPr>
        <w:spacing w:line="360" w:lineRule="auto"/>
        <w:textAlignment w:val="baseline"/>
        <w:rPr>
          <w:rFonts w:ascii="Arial" w:eastAsia="Calibri" w:hAnsi="Arial" w:cs="Arial"/>
          <w:lang w:val="gd"/>
        </w:rPr>
      </w:pPr>
    </w:p>
    <w:p w14:paraId="4E505A86" w14:textId="77777777" w:rsidR="00627AF2" w:rsidRPr="00F01973" w:rsidRDefault="00627AF2" w:rsidP="00627AF2">
      <w:pPr>
        <w:shd w:val="clear" w:color="auto" w:fill="FFFFFF" w:themeFill="background1"/>
        <w:spacing w:line="360" w:lineRule="auto"/>
        <w:rPr>
          <w:rFonts w:ascii="Arial" w:hAnsi="Arial" w:cs="Arial"/>
          <w:color w:val="000000"/>
          <w:lang w:val="gd"/>
        </w:rPr>
      </w:pPr>
      <w:r>
        <w:rPr>
          <w:rFonts w:ascii="Arial" w:hAnsi="Arial" w:cs="Arial"/>
          <w:color w:val="000000"/>
          <w:lang w:val="gd"/>
        </w:rPr>
        <w:t xml:space="preserve">Sheall am prògram a’ bhuaidh mhillteach a tha aig eucoir sgudail air an àrainneachd, coimhearsnachdan, agus gnìomhachasan a bhios a’ leantainn nan riaghailtean. Sheall e cuideachd na deichean mhilleanan not sa bhliadhna a chailleas luchd-pàighidh chìsean na h-Alba ann an cosgaisean glanaidh, cìsean nach deach a phàigheadh, agus call teachd-a-steach. </w:t>
      </w:r>
    </w:p>
    <w:p w14:paraId="7BADB738" w14:textId="77777777" w:rsidR="00627AF2" w:rsidRPr="00F01973" w:rsidRDefault="00627AF2" w:rsidP="00627AF2">
      <w:pPr>
        <w:shd w:val="clear" w:color="auto" w:fill="FFFFFF" w:themeFill="background1"/>
        <w:spacing w:line="360" w:lineRule="auto"/>
        <w:rPr>
          <w:rStyle w:val="normaltextrun"/>
          <w:rFonts w:ascii="Arial" w:hAnsi="Arial" w:cs="Arial"/>
          <w:color w:val="000000"/>
          <w:lang w:val="gd"/>
        </w:rPr>
      </w:pPr>
    </w:p>
    <w:p w14:paraId="525AD8CD" w14:textId="77777777" w:rsidR="00627AF2" w:rsidRPr="00F01973" w:rsidRDefault="00627AF2" w:rsidP="00627AF2">
      <w:pPr>
        <w:shd w:val="clear" w:color="auto" w:fill="FFFFFF" w:themeFill="background1"/>
        <w:spacing w:line="360" w:lineRule="auto"/>
        <w:rPr>
          <w:rFonts w:ascii="Arial" w:hAnsi="Arial" w:cs="Arial"/>
          <w:color w:val="000000"/>
          <w:lang w:val="gd"/>
        </w:rPr>
      </w:pPr>
      <w:r>
        <w:rPr>
          <w:rFonts w:ascii="Arial" w:hAnsi="Arial" w:cs="Arial"/>
          <w:color w:val="000000"/>
          <w:lang w:val="gd"/>
        </w:rPr>
        <w:t>Tha gabhail pàirt ann am prògram mar seo na phàirt chudromach den obair riaghlaidh againn. Le bhith gar cuideachadh a’ ruighinn luchd-amais nach ruigeadh sinn às aonais,</w:t>
      </w:r>
      <w:r>
        <w:rPr>
          <w:rFonts w:ascii="Arial" w:hAnsi="Arial" w:cs="Arial"/>
          <w:noProof/>
          <w:lang w:val="gd"/>
        </w:rPr>
        <w:t xml:space="preserve"> </w:t>
      </w:r>
      <w:r>
        <w:rPr>
          <w:rFonts w:ascii="Arial" w:hAnsi="Arial" w:cs="Arial"/>
          <w:color w:val="000000"/>
          <w:lang w:val="gd"/>
        </w:rPr>
        <w:t xml:space="preserve"> ] tha e a’ leudachadh comas bacaidh agus buaidh ar n-obair smachdachaidh. Tha e cuideachd a’ daingneachadh gum feumar gèilleadh ris na riaghailtean. </w:t>
      </w:r>
    </w:p>
    <w:p w14:paraId="023C1B40" w14:textId="77777777" w:rsidR="00627AF2" w:rsidRPr="00F01973" w:rsidRDefault="00627AF2" w:rsidP="00627AF2">
      <w:pPr>
        <w:shd w:val="clear" w:color="auto" w:fill="FFFFFF" w:themeFill="background1"/>
        <w:spacing w:line="360" w:lineRule="auto"/>
        <w:rPr>
          <w:rFonts w:ascii="Arial" w:hAnsi="Arial" w:cs="Arial"/>
          <w:color w:val="000000"/>
          <w:lang w:val="gd"/>
        </w:rPr>
      </w:pPr>
    </w:p>
    <w:p w14:paraId="56EE1381" w14:textId="77777777" w:rsidR="00627AF2" w:rsidRPr="00F01973" w:rsidRDefault="00627AF2" w:rsidP="00627AF2">
      <w:pPr>
        <w:overflowPunct w:val="0"/>
        <w:autoSpaceDE w:val="0"/>
        <w:autoSpaceDN w:val="0"/>
        <w:adjustRightInd w:val="0"/>
        <w:spacing w:line="360" w:lineRule="auto"/>
        <w:textAlignment w:val="baseline"/>
        <w:rPr>
          <w:rFonts w:ascii="Arial" w:hAnsi="Arial" w:cs="Arial"/>
          <w:color w:val="000000" w:themeColor="text1"/>
          <w:lang w:val="gd"/>
        </w:rPr>
      </w:pPr>
      <w:r>
        <w:rPr>
          <w:rFonts w:ascii="Arial" w:hAnsi="Arial" w:cs="Arial"/>
          <w:color w:val="000000" w:themeColor="text1"/>
          <w:lang w:val="gd"/>
        </w:rPr>
        <w:t>Ann an 2021, rinn sinn adhartas mòr ann a bhith a’ cur ar seirbheisean ceadachaidh gu lèir an gnìomh às deidh an ionnsaigh saidhbear, a’ tighinn anabarrach faisg air ar targaid a ruigsinn airson a h-uile co-dhùnadh ceadachaidh a chrìochnachadh taobh a-staigh raointean-ama reachdail. Ghabh sinn an cothrom cuideachd agus sinn a’ togail air ais gus ceadan didseatach ùra a dhealbhadh agus a sgaoileadh a shàbhaileas ùine agus airgead do luchd-tagraidh.</w:t>
      </w:r>
    </w:p>
    <w:p w14:paraId="066F30FB" w14:textId="77777777" w:rsidR="00627AF2" w:rsidRPr="00F01973" w:rsidRDefault="00627AF2" w:rsidP="00627AF2">
      <w:pPr>
        <w:overflowPunct w:val="0"/>
        <w:autoSpaceDE w:val="0"/>
        <w:autoSpaceDN w:val="0"/>
        <w:adjustRightInd w:val="0"/>
        <w:spacing w:line="360" w:lineRule="auto"/>
        <w:textAlignment w:val="baseline"/>
        <w:rPr>
          <w:rFonts w:ascii="Arial" w:hAnsi="Arial" w:cs="Arial"/>
          <w:color w:val="000000" w:themeColor="text1"/>
          <w:lang w:val="gd"/>
        </w:rPr>
      </w:pPr>
    </w:p>
    <w:p w14:paraId="72B6D3FD" w14:textId="62C14CFA" w:rsidR="00627AF2" w:rsidRPr="00F01973" w:rsidRDefault="00627AF2" w:rsidP="00627AF2">
      <w:pPr>
        <w:overflowPunct w:val="0"/>
        <w:autoSpaceDE w:val="0"/>
        <w:autoSpaceDN w:val="0"/>
        <w:adjustRightInd w:val="0"/>
        <w:spacing w:line="360" w:lineRule="auto"/>
        <w:textAlignment w:val="baseline"/>
        <w:rPr>
          <w:rFonts w:ascii="Arial" w:eastAsia="Arial" w:hAnsi="Arial" w:cs="Arial"/>
          <w:color w:val="000000" w:themeColor="text1"/>
          <w:lang w:val="gd"/>
        </w:rPr>
      </w:pPr>
      <w:r>
        <w:rPr>
          <w:rFonts w:ascii="Arial" w:hAnsi="Arial" w:cs="Arial"/>
          <w:lang w:val="gd"/>
        </w:rPr>
        <w:t xml:space="preserve"> Thug sinn prìomhachas don chomas againn dèiligeadh ris na tachartasan àrainneachd as cudromaiche agus dhèilig sinn ris a h-uile tachartas truaillidh Roinne 1 agus Roinne 2 a chaidh aithris dhuinn. Bha 17 tachartasan Roinne 1 agus 68 tachartasan Roinne 2 ann. </w:t>
      </w:r>
      <w:r>
        <w:rPr>
          <w:rFonts w:ascii="Arial" w:hAnsi="Arial" w:cs="Arial"/>
          <w:color w:val="000000" w:themeColor="text1"/>
          <w:lang w:val="gd"/>
        </w:rPr>
        <w:t xml:space="preserve"> </w:t>
      </w:r>
      <w:r>
        <w:rPr>
          <w:rFonts w:ascii="Arial" w:hAnsi="Arial" w:cs="Arial"/>
          <w:color w:val="000000" w:themeColor="text1"/>
          <w:lang w:val="gd"/>
        </w:rPr>
        <w:lastRenderedPageBreak/>
        <w:t>Bha na tachartasan as cumanta a chaidh aithris co-cheangailte ri truailleadh chùrsaichean uisge.</w:t>
      </w:r>
    </w:p>
    <w:p w14:paraId="6AEF83B3" w14:textId="77777777" w:rsidR="00627AF2" w:rsidRPr="00F01973" w:rsidRDefault="00627AF2" w:rsidP="00627AF2">
      <w:pPr>
        <w:overflowPunct w:val="0"/>
        <w:autoSpaceDE w:val="0"/>
        <w:autoSpaceDN w:val="0"/>
        <w:adjustRightInd w:val="0"/>
        <w:spacing w:line="360" w:lineRule="auto"/>
        <w:textAlignment w:val="baseline"/>
        <w:rPr>
          <w:rFonts w:ascii="Arial" w:eastAsia="Arial" w:hAnsi="Arial" w:cs="Arial"/>
          <w:color w:val="000000" w:themeColor="text1"/>
          <w:lang w:val="gd"/>
        </w:rPr>
      </w:pPr>
    </w:p>
    <w:p w14:paraId="019C4E5C" w14:textId="77777777" w:rsidR="00627AF2" w:rsidRPr="00F01973" w:rsidRDefault="00627AF2" w:rsidP="00627AF2">
      <w:pPr>
        <w:shd w:val="clear" w:color="auto" w:fill="FFFFFF"/>
        <w:spacing w:line="360" w:lineRule="auto"/>
        <w:rPr>
          <w:rFonts w:ascii="Arial" w:hAnsi="Arial" w:cs="Arial"/>
          <w:shd w:val="clear" w:color="auto" w:fill="FFFFFF"/>
          <w:lang w:val="gd"/>
        </w:rPr>
      </w:pPr>
      <w:r>
        <w:rPr>
          <w:rFonts w:ascii="Arial" w:hAnsi="Arial" w:cs="Arial"/>
          <w:shd w:val="clear" w:color="auto" w:fill="FFFFFF"/>
          <w:lang w:val="gd"/>
        </w:rPr>
        <w:t>Chuir sinn an gnìomh plana dearbhadh gèillidh. Chuimsich seo ar n-oidhirp air làraich leis a’ chomas as motha cron a dhèanamh leithid làraich mòr-chunnairt, gnìomhan mì-laghail, agus làraich a bheir buaidh air coimhearsnachdan ionadail.  Dh’ullaich sinn cuideachd planaichean gnìomha airson còrr air 100 làrach prìomhachais gus dèiligeadh ris an neo-ghèilleadh as cudromaiche.</w:t>
      </w:r>
    </w:p>
    <w:p w14:paraId="6476DB4A" w14:textId="77777777" w:rsidR="00627AF2" w:rsidRPr="00F01973" w:rsidRDefault="00627AF2" w:rsidP="00627AF2">
      <w:pPr>
        <w:shd w:val="clear" w:color="auto" w:fill="FFFFFF"/>
        <w:spacing w:line="360" w:lineRule="auto"/>
        <w:rPr>
          <w:rFonts w:ascii="Arial" w:eastAsia="Arial" w:hAnsi="Arial" w:cs="Arial"/>
          <w:lang w:val="gd"/>
        </w:rPr>
      </w:pPr>
    </w:p>
    <w:p w14:paraId="3EC784BE" w14:textId="77777777" w:rsidR="00627AF2" w:rsidRPr="00F01973" w:rsidRDefault="00627AF2" w:rsidP="00627AF2">
      <w:pPr>
        <w:widowControl w:val="0"/>
        <w:spacing w:line="360" w:lineRule="auto"/>
        <w:rPr>
          <w:rFonts w:ascii="Arial" w:hAnsi="Arial" w:cs="Arial"/>
          <w:lang w:val="gd"/>
        </w:rPr>
      </w:pPr>
      <w:r>
        <w:rPr>
          <w:rFonts w:ascii="Arial" w:hAnsi="Arial" w:cs="Arial"/>
          <w:lang w:val="gd"/>
        </w:rPr>
        <w:t>Anns an Fhaoilleach dh’fhoillsich sinn 14 planaichean stiùireadh cunnart thuiltean a’ suidheachadh slighe nàiseanta airson riaghladh cunnart thuiltean san àm ri teachd agus na prìomhachasan gnìomha anns gach raon de dh’Alba. Thar na bliadhna chuir sinn a-mach 203 ciad rabhaidhean thuiltean roinneil, 222 ciad thogail-aire thuiltean sgìreil, agus 1310 teachdaireachd uile gu lèir (a’ gabhail a-steach ùrachaidhean agus teachdaireachdan Chan eil seo Buntainneach Tuilleadh)</w:t>
      </w:r>
      <w:r>
        <w:rPr>
          <w:rFonts w:ascii="Arial" w:hAnsi="Arial" w:cs="Arial"/>
          <w:color w:val="111111"/>
          <w:lang w:val="gd"/>
        </w:rPr>
        <w:t xml:space="preserve">. Bha an siostam ro-aithris thuiltean eadar-amail againn ag obair gu h-iomlan, mar a bha an siostam a bhios sinn a’ cleachdadh airson aithrisean comhairle thuiltean </w:t>
      </w:r>
      <w:r>
        <w:rPr>
          <w:rFonts w:ascii="Arial" w:hAnsi="Arial" w:cs="Arial"/>
          <w:lang w:val="gd"/>
        </w:rPr>
        <w:t xml:space="preserve"> fhoillseachadh. </w:t>
      </w:r>
    </w:p>
    <w:p w14:paraId="073C50AF" w14:textId="77777777" w:rsidR="00627AF2" w:rsidRPr="00F01973" w:rsidRDefault="00627AF2" w:rsidP="00627AF2">
      <w:pPr>
        <w:widowControl w:val="0"/>
        <w:spacing w:line="360" w:lineRule="auto"/>
        <w:rPr>
          <w:rFonts w:ascii="Arial" w:hAnsi="Arial" w:cs="Arial"/>
          <w:lang w:val="gd"/>
        </w:rPr>
      </w:pPr>
    </w:p>
    <w:p w14:paraId="2FEFED04" w14:textId="77777777" w:rsidR="00627AF2" w:rsidRPr="00F01973" w:rsidRDefault="00627AF2" w:rsidP="00627AF2">
      <w:pPr>
        <w:overflowPunct w:val="0"/>
        <w:autoSpaceDE w:val="0"/>
        <w:autoSpaceDN w:val="0"/>
        <w:adjustRightInd w:val="0"/>
        <w:spacing w:line="360" w:lineRule="auto"/>
        <w:textAlignment w:val="baseline"/>
        <w:rPr>
          <w:rFonts w:ascii="Arial" w:eastAsia="Arial" w:hAnsi="Arial" w:cs="Arial"/>
          <w:lang w:val="gd"/>
        </w:rPr>
      </w:pPr>
      <w:r>
        <w:rPr>
          <w:rFonts w:ascii="Arial" w:eastAsia="Arial" w:hAnsi="Arial" w:cs="Arial"/>
          <w:lang w:val="gd"/>
        </w:rPr>
        <w:t>Chaidh obair mhòr a dhèanamh gus ar siostaman ionmhais, Goireasan Daonna agus Taic Fiosrachaidh ath-thogail. B’ e coileanadh mòr a bh’ ann a bhith a’ togail air ais nam prìomh ghnìomhan eagrachaidh sin, a’ toirt a-steach obair fharsaing air cùl chùisean.</w:t>
      </w:r>
    </w:p>
    <w:p w14:paraId="22648913" w14:textId="77777777" w:rsidR="00627AF2" w:rsidRPr="00F01973" w:rsidRDefault="00627AF2" w:rsidP="00627AF2">
      <w:pPr>
        <w:overflowPunct w:val="0"/>
        <w:autoSpaceDE w:val="0"/>
        <w:autoSpaceDN w:val="0"/>
        <w:adjustRightInd w:val="0"/>
        <w:spacing w:line="360" w:lineRule="auto"/>
        <w:textAlignment w:val="baseline"/>
        <w:rPr>
          <w:rFonts w:ascii="Arial" w:eastAsia="Arial" w:hAnsi="Arial" w:cs="Arial"/>
          <w:lang w:val="gd"/>
        </w:rPr>
      </w:pPr>
    </w:p>
    <w:p w14:paraId="05EB507C" w14:textId="2CB30324" w:rsidR="00627AF2" w:rsidRDefault="00627AF2" w:rsidP="00627AF2">
      <w:pPr>
        <w:overflowPunct w:val="0"/>
        <w:autoSpaceDE w:val="0"/>
        <w:autoSpaceDN w:val="0"/>
        <w:adjustRightInd w:val="0"/>
        <w:spacing w:line="360" w:lineRule="auto"/>
        <w:textAlignment w:val="baseline"/>
        <w:rPr>
          <w:rFonts w:ascii="Arial" w:hAnsi="Arial" w:cs="Arial"/>
          <w:color w:val="111111"/>
          <w:spacing w:val="-3"/>
        </w:rPr>
      </w:pPr>
      <w:r>
        <w:rPr>
          <w:rFonts w:ascii="Arial" w:eastAsia="Arial" w:hAnsi="Arial" w:cs="Arial"/>
          <w:lang w:val="gd"/>
        </w:rPr>
        <w:t>Ann an 2021/2022 rinn sinn adhartas mòr a dh’ionnsaigh ath-bheothachadh. Choilean sinn seo air sgàth dealas, spionnadh agus sgil ar luchd-obrach. Leanaidh sinn oirnn a’ togail air an adhartas seo ann an 2022/2023 agus sinn a’ gluasad air adhart bhon ìre ath-bheothachaidh againn gu ìre ùr gnìomhachais is ath-leasachaidh.</w:t>
      </w:r>
    </w:p>
    <w:p w14:paraId="4417AA31" w14:textId="5AE8EB65" w:rsidR="00627AF2" w:rsidRDefault="00627AF2" w:rsidP="00627AF2">
      <w:pPr>
        <w:overflowPunct w:val="0"/>
        <w:autoSpaceDE w:val="0"/>
        <w:autoSpaceDN w:val="0"/>
        <w:adjustRightInd w:val="0"/>
        <w:spacing w:line="360" w:lineRule="auto"/>
        <w:textAlignment w:val="baseline"/>
        <w:rPr>
          <w:rFonts w:ascii="Arial" w:eastAsia="Arial" w:hAnsi="Arial" w:cs="Arial"/>
        </w:rPr>
      </w:pPr>
    </w:p>
    <w:p w14:paraId="349B7A7A" w14:textId="4BB66CAB" w:rsidR="00627AF2" w:rsidRDefault="00627AF2" w:rsidP="00627AF2">
      <w:pPr>
        <w:overflowPunct w:val="0"/>
        <w:autoSpaceDE w:val="0"/>
        <w:autoSpaceDN w:val="0"/>
        <w:adjustRightInd w:val="0"/>
        <w:spacing w:line="360" w:lineRule="auto"/>
        <w:textAlignment w:val="baseline"/>
        <w:rPr>
          <w:rFonts w:ascii="Arial" w:eastAsia="Arial" w:hAnsi="Arial" w:cs="Arial"/>
        </w:rPr>
      </w:pPr>
    </w:p>
    <w:p w14:paraId="35E29A8A" w14:textId="77777777" w:rsidR="00627AF2" w:rsidRPr="00CF360A" w:rsidRDefault="00627AF2" w:rsidP="00627AF2">
      <w:pPr>
        <w:overflowPunct w:val="0"/>
        <w:autoSpaceDE w:val="0"/>
        <w:autoSpaceDN w:val="0"/>
        <w:adjustRightInd w:val="0"/>
        <w:spacing w:line="360" w:lineRule="auto"/>
        <w:textAlignment w:val="baseline"/>
        <w:rPr>
          <w:rFonts w:ascii="Arial" w:eastAsia="Arial" w:hAnsi="Arial" w:cs="Arial"/>
        </w:rPr>
      </w:pPr>
    </w:p>
    <w:p w14:paraId="60666038" w14:textId="1F617FA4" w:rsidR="00627AF2" w:rsidRPr="00627AF2" w:rsidRDefault="00627AF2" w:rsidP="00627AF2">
      <w:pPr>
        <w:overflowPunct w:val="0"/>
        <w:autoSpaceDE w:val="0"/>
        <w:autoSpaceDN w:val="0"/>
        <w:adjustRightInd w:val="0"/>
        <w:spacing w:line="360" w:lineRule="auto"/>
        <w:textAlignment w:val="baseline"/>
        <w:rPr>
          <w:rFonts w:ascii="Arial" w:eastAsia="Arial" w:hAnsi="Arial" w:cs="Arial"/>
          <w:b/>
          <w:bCs/>
          <w:color w:val="000000" w:themeColor="text1"/>
        </w:rPr>
      </w:pPr>
      <w:r>
        <w:rPr>
          <w:rFonts w:ascii="Arial" w:eastAsia="Arial" w:hAnsi="Arial" w:cs="Arial"/>
          <w:b/>
          <w:bCs/>
          <w:color w:val="000000" w:themeColor="text1"/>
          <w:lang w:val="gd"/>
        </w:rPr>
        <w:t>Bob Downes</w:t>
      </w:r>
      <w:r>
        <w:rPr>
          <w:rFonts w:ascii="Arial" w:eastAsia="Arial" w:hAnsi="Arial" w:cs="Arial"/>
          <w:color w:val="000000" w:themeColor="text1"/>
          <w:lang w:val="gd"/>
        </w:rPr>
        <w:tab/>
      </w:r>
      <w:r>
        <w:rPr>
          <w:rFonts w:ascii="Arial" w:eastAsia="Arial" w:hAnsi="Arial" w:cs="Arial"/>
          <w:color w:val="000000" w:themeColor="text1"/>
          <w:lang w:val="gd"/>
        </w:rPr>
        <w:tab/>
      </w:r>
      <w:r>
        <w:rPr>
          <w:rFonts w:ascii="Arial" w:eastAsia="Arial" w:hAnsi="Arial" w:cs="Arial"/>
          <w:color w:val="000000" w:themeColor="text1"/>
          <w:lang w:val="gd"/>
        </w:rPr>
        <w:tab/>
      </w:r>
      <w:r w:rsidR="00690D32">
        <w:rPr>
          <w:rFonts w:ascii="Arial" w:eastAsia="Arial" w:hAnsi="Arial" w:cs="Arial"/>
          <w:b/>
          <w:bCs/>
          <w:color w:val="000000" w:themeColor="text1"/>
          <w:lang w:val="gd"/>
        </w:rPr>
        <w:t>Nicole Paterson</w:t>
      </w:r>
    </w:p>
    <w:p w14:paraId="528620BB" w14:textId="77EDB04E" w:rsidR="00627AF2" w:rsidRPr="00627AF2" w:rsidRDefault="00627AF2" w:rsidP="00627AF2">
      <w:pPr>
        <w:overflowPunct w:val="0"/>
        <w:autoSpaceDE w:val="0"/>
        <w:autoSpaceDN w:val="0"/>
        <w:adjustRightInd w:val="0"/>
        <w:spacing w:line="360" w:lineRule="auto"/>
        <w:textAlignment w:val="baseline"/>
        <w:rPr>
          <w:rFonts w:ascii="Arial" w:eastAsia="Arial" w:hAnsi="Arial" w:cs="Arial"/>
          <w:b/>
          <w:bCs/>
          <w:color w:val="000000" w:themeColor="text1"/>
        </w:rPr>
      </w:pPr>
      <w:r w:rsidRPr="00627AF2">
        <w:rPr>
          <w:rFonts w:ascii="Arial" w:eastAsia="Arial" w:hAnsi="Arial" w:cs="Arial"/>
          <w:b/>
          <w:bCs/>
          <w:color w:val="000000" w:themeColor="text1"/>
          <w:lang w:val="gd"/>
        </w:rPr>
        <w:t>Cathraiche</w:t>
      </w:r>
      <w:r w:rsidRPr="00627AF2">
        <w:rPr>
          <w:rFonts w:ascii="Arial" w:eastAsia="Arial" w:hAnsi="Arial" w:cs="Arial"/>
          <w:b/>
          <w:bCs/>
          <w:color w:val="000000" w:themeColor="text1"/>
          <w:lang w:val="gd"/>
        </w:rPr>
        <w:tab/>
      </w:r>
      <w:r w:rsidRPr="00627AF2">
        <w:rPr>
          <w:rFonts w:ascii="Arial" w:eastAsia="Arial" w:hAnsi="Arial" w:cs="Arial"/>
          <w:b/>
          <w:bCs/>
          <w:color w:val="000000" w:themeColor="text1"/>
          <w:lang w:val="gd"/>
        </w:rPr>
        <w:tab/>
      </w:r>
      <w:r w:rsidRPr="00627AF2">
        <w:rPr>
          <w:rFonts w:ascii="Arial" w:eastAsia="Arial" w:hAnsi="Arial" w:cs="Arial"/>
          <w:b/>
          <w:bCs/>
          <w:color w:val="000000" w:themeColor="text1"/>
          <w:lang w:val="gd"/>
        </w:rPr>
        <w:tab/>
      </w:r>
      <w:r w:rsidRPr="00627AF2">
        <w:rPr>
          <w:rFonts w:ascii="Arial" w:eastAsia="Arial" w:hAnsi="Arial" w:cs="Arial"/>
          <w:b/>
          <w:bCs/>
          <w:color w:val="000000" w:themeColor="text1"/>
          <w:lang w:val="gd"/>
        </w:rPr>
        <w:tab/>
      </w:r>
      <w:proofErr w:type="spellStart"/>
      <w:r w:rsidR="00845DC3" w:rsidRPr="00C03CB5">
        <w:rPr>
          <w:rFonts w:ascii="Arial" w:eastAsia="Arial Narrow" w:hAnsi="Arial" w:cs="Arial"/>
          <w:b/>
          <w:bCs/>
          <w:spacing w:val="7"/>
          <w:lang w:val="en-US"/>
        </w:rPr>
        <w:t>Àrd-oifigeir</w:t>
      </w:r>
      <w:proofErr w:type="spellEnd"/>
    </w:p>
    <w:p w14:paraId="5C17F265" w14:textId="5DA110C3" w:rsidR="00D44297" w:rsidRPr="001624CF" w:rsidRDefault="00D44297" w:rsidP="00B553B1">
      <w:pPr>
        <w:pStyle w:val="01aMainHeader"/>
      </w:pPr>
    </w:p>
    <w:p w14:paraId="69506AA9" w14:textId="7A693292" w:rsidR="00EE0F3C" w:rsidRPr="003311B9" w:rsidRDefault="00AA4642" w:rsidP="00C03CB5">
      <w:pPr>
        <w:spacing w:after="60"/>
        <w:rPr>
          <w:rFonts w:ascii="Arial" w:eastAsia="Arial" w:hAnsi="Arial"/>
          <w:b/>
          <w:color w:val="00526F"/>
          <w:spacing w:val="-6"/>
          <w:sz w:val="32"/>
          <w:szCs w:val="32"/>
          <w:lang w:val="en-US"/>
        </w:rPr>
      </w:pPr>
      <w:r>
        <w:rPr>
          <w:rFonts w:ascii="Arial" w:hAnsi="Arial" w:cs="Arial"/>
          <w:color w:val="052A4F"/>
        </w:rPr>
        <w:br w:type="page"/>
      </w:r>
      <w:bookmarkStart w:id="5" w:name="_Toc119068063"/>
      <w:r w:rsidR="007F487D" w:rsidRPr="003D72E9">
        <w:rPr>
          <w:rStyle w:val="01aMainHeaderChar"/>
        </w:rPr>
        <w:lastRenderedPageBreak/>
        <w:t>1.3</w:t>
      </w:r>
      <w:r w:rsidR="007F487D" w:rsidRPr="003D72E9">
        <w:rPr>
          <w:rStyle w:val="01aMainHeaderChar"/>
        </w:rPr>
        <w:tab/>
      </w:r>
      <w:r w:rsidR="00431ACE" w:rsidRPr="003D72E9">
        <w:rPr>
          <w:rStyle w:val="01aMainHeaderChar"/>
        </w:rPr>
        <w:t>Performance</w:t>
      </w:r>
      <w:r w:rsidR="00EE0F3C" w:rsidRPr="003D72E9">
        <w:rPr>
          <w:rStyle w:val="01aMainHeaderChar"/>
        </w:rPr>
        <w:t xml:space="preserve"> </w:t>
      </w:r>
      <w:r w:rsidR="00F95CDD" w:rsidRPr="003D72E9">
        <w:rPr>
          <w:rStyle w:val="01aMainHeaderChar"/>
        </w:rPr>
        <w:t>o</w:t>
      </w:r>
      <w:r w:rsidR="00EE0F3C" w:rsidRPr="003D72E9">
        <w:rPr>
          <w:rStyle w:val="01aMainHeaderChar"/>
        </w:rPr>
        <w:t>verview</w:t>
      </w:r>
      <w:bookmarkEnd w:id="5"/>
      <w:r w:rsidR="00AB02BA" w:rsidRPr="003311B9">
        <w:rPr>
          <w:rFonts w:ascii="Arial" w:eastAsia="Arial" w:hAnsi="Arial"/>
          <w:b/>
          <w:color w:val="00526F"/>
          <w:spacing w:val="-6"/>
          <w:sz w:val="32"/>
          <w:szCs w:val="32"/>
          <w:lang w:val="en-US"/>
        </w:rPr>
        <w:t xml:space="preserve">  </w:t>
      </w:r>
    </w:p>
    <w:p w14:paraId="13FD8D90" w14:textId="77777777" w:rsidR="003449F2" w:rsidRPr="003311B9" w:rsidRDefault="003449F2" w:rsidP="00E84765">
      <w:pPr>
        <w:rPr>
          <w:rFonts w:ascii="Arial" w:eastAsia="Arial" w:hAnsi="Arial"/>
          <w:b/>
          <w:color w:val="00526F"/>
          <w:spacing w:val="-6"/>
          <w:sz w:val="32"/>
          <w:szCs w:val="32"/>
        </w:rPr>
      </w:pPr>
    </w:p>
    <w:p w14:paraId="4C76A3E0" w14:textId="4723BE04" w:rsidR="00EE0F3C" w:rsidRPr="001624CF" w:rsidRDefault="00CD494C" w:rsidP="00CD494C">
      <w:pPr>
        <w:pStyle w:val="01bSubheader"/>
        <w:ind w:left="360" w:hanging="360"/>
      </w:pPr>
      <w:bookmarkStart w:id="6" w:name="_Toc119068064"/>
      <w:r w:rsidRPr="003311B9">
        <w:t>1.3.1</w:t>
      </w:r>
      <w:r w:rsidRPr="003311B9">
        <w:tab/>
      </w:r>
      <w:r w:rsidR="00EE0F3C" w:rsidRPr="003311B9">
        <w:t>Introduction</w:t>
      </w:r>
      <w:bookmarkEnd w:id="6"/>
    </w:p>
    <w:p w14:paraId="211AC516" w14:textId="77777777" w:rsidR="00033551" w:rsidRDefault="00033551" w:rsidP="006226B0">
      <w:pPr>
        <w:spacing w:line="360" w:lineRule="auto"/>
        <w:ind w:right="142"/>
        <w:jc w:val="both"/>
        <w:textAlignment w:val="baseline"/>
        <w:rPr>
          <w:rFonts w:ascii="Arial" w:eastAsia="Arial Narrow" w:hAnsi="Arial" w:cs="Arial"/>
          <w:spacing w:val="7"/>
          <w:lang w:val="en-US"/>
        </w:rPr>
      </w:pPr>
    </w:p>
    <w:p w14:paraId="785DE425" w14:textId="479A4B6B" w:rsidR="003311B9" w:rsidRDefault="003311B9" w:rsidP="003311B9">
      <w:pPr>
        <w:spacing w:line="360" w:lineRule="auto"/>
        <w:ind w:right="-425"/>
        <w:textAlignment w:val="baseline"/>
        <w:rPr>
          <w:rFonts w:ascii="Arial" w:eastAsia="Arial Narrow" w:hAnsi="Arial" w:cs="Arial"/>
          <w:spacing w:val="7"/>
          <w:lang w:val="en-US"/>
        </w:rPr>
      </w:pPr>
      <w:r w:rsidRPr="005E2484">
        <w:rPr>
          <w:rFonts w:ascii="Arial" w:eastAsia="Arial Narrow" w:hAnsi="Arial" w:cs="Arial"/>
          <w:spacing w:val="7"/>
          <w:lang w:val="en-US"/>
        </w:rPr>
        <w:t>The purpose of this Overview section is to provide a summary of SEPA, our purpose and strategy, the key risks we are facing, our budget</w:t>
      </w:r>
      <w:r w:rsidR="00735C2D">
        <w:rPr>
          <w:rFonts w:ascii="Arial" w:eastAsia="Arial Narrow" w:hAnsi="Arial" w:cs="Arial"/>
          <w:spacing w:val="7"/>
          <w:lang w:val="en-US"/>
        </w:rPr>
        <w:t>,</w:t>
      </w:r>
      <w:r w:rsidRPr="005E2484">
        <w:rPr>
          <w:rFonts w:ascii="Arial" w:eastAsia="Arial Narrow" w:hAnsi="Arial" w:cs="Arial"/>
          <w:spacing w:val="7"/>
          <w:lang w:val="en-US"/>
        </w:rPr>
        <w:t xml:space="preserve"> and our performance over the year from April 20</w:t>
      </w:r>
      <w:r>
        <w:rPr>
          <w:rFonts w:ascii="Arial" w:eastAsia="Arial Narrow" w:hAnsi="Arial" w:cs="Arial"/>
          <w:spacing w:val="7"/>
          <w:lang w:val="en-US"/>
        </w:rPr>
        <w:t>21</w:t>
      </w:r>
      <w:r w:rsidRPr="005E2484">
        <w:rPr>
          <w:rFonts w:ascii="Arial" w:eastAsia="Arial Narrow" w:hAnsi="Arial" w:cs="Arial"/>
          <w:spacing w:val="7"/>
          <w:lang w:val="en-US"/>
        </w:rPr>
        <w:t>. We hope that most readers will find enough in this section to get a good understanding of who we are and what we achieved in 20</w:t>
      </w:r>
      <w:r>
        <w:rPr>
          <w:rFonts w:ascii="Arial" w:eastAsia="Arial Narrow" w:hAnsi="Arial" w:cs="Arial"/>
          <w:spacing w:val="7"/>
          <w:lang w:val="en-US"/>
        </w:rPr>
        <w:t>21</w:t>
      </w:r>
      <w:r w:rsidRPr="005E2484">
        <w:rPr>
          <w:rFonts w:ascii="Arial" w:eastAsia="Arial Narrow" w:hAnsi="Arial" w:cs="Arial"/>
          <w:spacing w:val="7"/>
          <w:lang w:val="en-US"/>
        </w:rPr>
        <w:t>–202</w:t>
      </w:r>
      <w:r>
        <w:rPr>
          <w:rFonts w:ascii="Arial" w:eastAsia="Arial Narrow" w:hAnsi="Arial" w:cs="Arial"/>
          <w:spacing w:val="7"/>
          <w:lang w:val="en-US"/>
        </w:rPr>
        <w:t>2</w:t>
      </w:r>
      <w:r w:rsidRPr="005E2484">
        <w:rPr>
          <w:rFonts w:ascii="Arial" w:eastAsia="Arial Narrow" w:hAnsi="Arial" w:cs="Arial"/>
          <w:spacing w:val="7"/>
          <w:lang w:val="en-US"/>
        </w:rPr>
        <w:t>. For those who are interested, more detail can be found in the Performance Analysis</w:t>
      </w:r>
      <w:r w:rsidR="00384C9A">
        <w:rPr>
          <w:rFonts w:ascii="Arial" w:eastAsia="Arial Narrow" w:hAnsi="Arial" w:cs="Arial"/>
          <w:spacing w:val="7"/>
          <w:lang w:val="en-US"/>
        </w:rPr>
        <w:t xml:space="preserve"> (section 1.4)</w:t>
      </w:r>
      <w:r w:rsidRPr="005E2484">
        <w:rPr>
          <w:rFonts w:ascii="Arial" w:eastAsia="Arial Narrow" w:hAnsi="Arial" w:cs="Arial"/>
          <w:spacing w:val="7"/>
          <w:lang w:val="en-US"/>
        </w:rPr>
        <w:t xml:space="preserve"> and Accountability </w:t>
      </w:r>
      <w:r w:rsidR="00C33620">
        <w:rPr>
          <w:rFonts w:ascii="Arial" w:eastAsia="Arial Narrow" w:hAnsi="Arial" w:cs="Arial"/>
          <w:spacing w:val="7"/>
          <w:lang w:val="en-US"/>
        </w:rPr>
        <w:t>R</w:t>
      </w:r>
      <w:r w:rsidRPr="005E2484">
        <w:rPr>
          <w:rFonts w:ascii="Arial" w:eastAsia="Arial Narrow" w:hAnsi="Arial" w:cs="Arial"/>
          <w:spacing w:val="7"/>
          <w:lang w:val="en-US"/>
        </w:rPr>
        <w:t>eport</w:t>
      </w:r>
      <w:r w:rsidR="00384C9A">
        <w:rPr>
          <w:rFonts w:ascii="Arial" w:eastAsia="Arial Narrow" w:hAnsi="Arial" w:cs="Arial"/>
          <w:spacing w:val="7"/>
          <w:lang w:val="en-US"/>
        </w:rPr>
        <w:t xml:space="preserve"> (section 2).</w:t>
      </w:r>
      <w:r w:rsidRPr="005E2484">
        <w:rPr>
          <w:rFonts w:ascii="Arial" w:eastAsia="Arial Narrow" w:hAnsi="Arial" w:cs="Arial"/>
          <w:spacing w:val="7"/>
          <w:lang w:val="en-US"/>
        </w:rPr>
        <w:t xml:space="preserve"> </w:t>
      </w:r>
    </w:p>
    <w:p w14:paraId="45064558" w14:textId="77777777" w:rsidR="003311B9" w:rsidRDefault="003311B9" w:rsidP="003311B9">
      <w:pPr>
        <w:spacing w:line="360" w:lineRule="auto"/>
        <w:ind w:right="-425"/>
        <w:textAlignment w:val="baseline"/>
        <w:rPr>
          <w:rFonts w:ascii="Arial" w:eastAsia="Arial Narrow" w:hAnsi="Arial" w:cs="Arial"/>
          <w:spacing w:val="7"/>
          <w:lang w:val="en-US"/>
        </w:rPr>
      </w:pPr>
    </w:p>
    <w:p w14:paraId="1C9F1C02" w14:textId="24B7E9FD" w:rsidR="003311B9" w:rsidRDefault="003311B9" w:rsidP="003311B9">
      <w:pPr>
        <w:spacing w:line="360" w:lineRule="auto"/>
        <w:ind w:right="-425"/>
        <w:textAlignment w:val="baseline"/>
        <w:rPr>
          <w:rFonts w:ascii="Arial" w:eastAsia="Arial Narrow" w:hAnsi="Arial" w:cs="Arial"/>
          <w:spacing w:val="7"/>
          <w:lang w:val="en-US"/>
        </w:rPr>
      </w:pPr>
      <w:r>
        <w:rPr>
          <w:rFonts w:ascii="Arial" w:eastAsia="Arial Narrow" w:hAnsi="Arial" w:cs="Arial"/>
          <w:spacing w:val="7"/>
          <w:lang w:val="en-US"/>
        </w:rPr>
        <w:t xml:space="preserve">The performance overview demonstrates how SEPA </w:t>
      </w:r>
      <w:r w:rsidRPr="00431239">
        <w:rPr>
          <w:rFonts w:ascii="Arial" w:eastAsia="Arial Narrow" w:hAnsi="Arial" w:cs="Arial"/>
          <w:spacing w:val="7"/>
          <w:lang w:val="en-US"/>
        </w:rPr>
        <w:t xml:space="preserve">delivers nationally important public services, </w:t>
      </w:r>
      <w:r w:rsidRPr="00BD55C0">
        <w:rPr>
          <w:rFonts w:ascii="Arial" w:eastAsia="Arial Narrow" w:hAnsi="Arial" w:cs="Arial"/>
          <w:spacing w:val="7"/>
          <w:lang w:val="en-US"/>
        </w:rPr>
        <w:t>tackle</w:t>
      </w:r>
      <w:r w:rsidRPr="00894213">
        <w:rPr>
          <w:rFonts w:ascii="Arial" w:eastAsia="Arial Narrow" w:hAnsi="Arial" w:cs="Arial"/>
          <w:spacing w:val="7"/>
          <w:lang w:val="en-US"/>
        </w:rPr>
        <w:t>s</w:t>
      </w:r>
      <w:r w:rsidRPr="00BD55C0">
        <w:rPr>
          <w:rFonts w:ascii="Arial" w:eastAsia="Arial Narrow" w:hAnsi="Arial" w:cs="Arial"/>
          <w:spacing w:val="7"/>
          <w:lang w:val="en-US"/>
        </w:rPr>
        <w:t xml:space="preserve"> key environmental concerns for Scotl</w:t>
      </w:r>
      <w:r>
        <w:rPr>
          <w:rFonts w:ascii="Arial" w:eastAsia="Arial Narrow" w:hAnsi="Arial" w:cs="Arial"/>
          <w:spacing w:val="7"/>
          <w:lang w:val="en-US"/>
        </w:rPr>
        <w:t>and’s communities, pursue</w:t>
      </w:r>
      <w:r w:rsidRPr="00894213">
        <w:rPr>
          <w:rFonts w:ascii="Arial" w:eastAsia="Arial Narrow" w:hAnsi="Arial" w:cs="Arial"/>
          <w:spacing w:val="7"/>
          <w:lang w:val="en-US"/>
        </w:rPr>
        <w:t>s</w:t>
      </w:r>
      <w:r>
        <w:rPr>
          <w:rFonts w:ascii="Arial" w:eastAsia="Arial Narrow" w:hAnsi="Arial" w:cs="Arial"/>
          <w:spacing w:val="7"/>
          <w:lang w:val="en-US"/>
        </w:rPr>
        <w:t xml:space="preserve"> compliance</w:t>
      </w:r>
      <w:r w:rsidR="0031554D">
        <w:rPr>
          <w:rFonts w:ascii="Arial" w:eastAsia="Arial Narrow" w:hAnsi="Arial" w:cs="Arial"/>
          <w:spacing w:val="7"/>
          <w:lang w:val="en-US"/>
        </w:rPr>
        <w:t>,</w:t>
      </w:r>
      <w:r>
        <w:rPr>
          <w:rFonts w:ascii="Arial" w:eastAsia="Arial Narrow" w:hAnsi="Arial" w:cs="Arial"/>
          <w:spacing w:val="7"/>
          <w:lang w:val="en-US"/>
        </w:rPr>
        <w:t xml:space="preserve"> and buil</w:t>
      </w:r>
      <w:r w:rsidRPr="00894213">
        <w:rPr>
          <w:rFonts w:ascii="Arial" w:eastAsia="Arial Narrow" w:hAnsi="Arial" w:cs="Arial"/>
          <w:spacing w:val="7"/>
          <w:lang w:val="en-US"/>
        </w:rPr>
        <w:t xml:space="preserve">ds </w:t>
      </w:r>
      <w:r>
        <w:rPr>
          <w:rFonts w:ascii="Arial" w:eastAsia="Arial Narrow" w:hAnsi="Arial" w:cs="Arial"/>
          <w:spacing w:val="7"/>
          <w:lang w:val="en-US"/>
        </w:rPr>
        <w:t xml:space="preserve">more effective regulatory tools as we continue to </w:t>
      </w:r>
      <w:r w:rsidRPr="00894213">
        <w:rPr>
          <w:rFonts w:ascii="Arial" w:eastAsia="Arial Narrow" w:hAnsi="Arial" w:cs="Arial"/>
          <w:spacing w:val="7"/>
          <w:lang w:val="en-US"/>
        </w:rPr>
        <w:t>develop</w:t>
      </w:r>
      <w:r>
        <w:rPr>
          <w:rFonts w:ascii="Arial" w:eastAsia="Arial Narrow" w:hAnsi="Arial" w:cs="Arial"/>
          <w:spacing w:val="7"/>
          <w:lang w:val="en-US"/>
        </w:rPr>
        <w:t xml:space="preserve"> new systems and capabilities following the significant criminal cyber-attack.</w:t>
      </w:r>
    </w:p>
    <w:p w14:paraId="7E34A47F" w14:textId="77777777" w:rsidR="00791790" w:rsidRPr="000F0C25" w:rsidRDefault="00791790" w:rsidP="00B137A5">
      <w:pPr>
        <w:spacing w:line="360" w:lineRule="auto"/>
        <w:ind w:right="-425"/>
        <w:textAlignment w:val="baseline"/>
        <w:rPr>
          <w:rFonts w:ascii="Arial" w:eastAsia="Arial Narrow" w:hAnsi="Arial" w:cs="Arial"/>
          <w:spacing w:val="9"/>
          <w:lang w:val="en-US"/>
        </w:rPr>
      </w:pPr>
    </w:p>
    <w:p w14:paraId="4A6A2656" w14:textId="16E0174C" w:rsidR="00FB6161" w:rsidRPr="00AE031B" w:rsidRDefault="00231577" w:rsidP="00AE031B">
      <w:pPr>
        <w:pStyle w:val="01bSubheader"/>
        <w:ind w:left="360" w:hanging="360"/>
      </w:pPr>
      <w:bookmarkStart w:id="7" w:name="_Toc119068065"/>
      <w:r w:rsidRPr="00F05500">
        <w:t>1.</w:t>
      </w:r>
      <w:r w:rsidR="00CD494C" w:rsidRPr="00F05500">
        <w:t>3.</w:t>
      </w:r>
      <w:r w:rsidRPr="00F05500">
        <w:t>2 Our purpose and strategy</w:t>
      </w:r>
      <w:bookmarkEnd w:id="7"/>
      <w:r w:rsidR="003E08B1">
        <w:t xml:space="preserve"> </w:t>
      </w:r>
    </w:p>
    <w:p w14:paraId="088639A6" w14:textId="77777777" w:rsidR="00791790" w:rsidRPr="00B10BAC" w:rsidRDefault="00791790" w:rsidP="00B137A5">
      <w:pPr>
        <w:spacing w:line="360" w:lineRule="auto"/>
        <w:ind w:right="-425"/>
        <w:textAlignment w:val="baseline"/>
        <w:rPr>
          <w:rFonts w:ascii="Arial" w:eastAsia="Arial Narrow" w:hAnsi="Arial" w:cs="Arial"/>
          <w:color w:val="052A4F"/>
          <w:spacing w:val="9"/>
          <w:lang w:val="en-US"/>
        </w:rPr>
      </w:pPr>
    </w:p>
    <w:p w14:paraId="79714FBF" w14:textId="77777777" w:rsidR="00006097" w:rsidRPr="00427457" w:rsidRDefault="00006097" w:rsidP="00427457">
      <w:pPr>
        <w:spacing w:line="360" w:lineRule="auto"/>
        <w:rPr>
          <w:rFonts w:ascii="Arial" w:hAnsi="Arial" w:cs="Arial"/>
          <w:szCs w:val="22"/>
        </w:rPr>
      </w:pPr>
      <w:r w:rsidRPr="00427457">
        <w:rPr>
          <w:rFonts w:ascii="Arial" w:hAnsi="Arial" w:cs="Arial"/>
          <w:szCs w:val="22"/>
          <w:lang w:val="en-US"/>
        </w:rPr>
        <w:t>SEPA’s statutory purpose is to protect and enhance the environment in ways that also deliver economic and social success. Regulating activities that have the potential to impact on the environment or communities is one way we do this. In this work we are guided by our regulatory strategy that aims to help communities and businesses thrive within the resources of our planet. We call this One Planet Prosperity.</w:t>
      </w:r>
      <w:r w:rsidRPr="00427457">
        <w:rPr>
          <w:rFonts w:ascii="Arial" w:hAnsi="Arial" w:cs="Arial"/>
          <w:szCs w:val="22"/>
        </w:rPr>
        <w:t xml:space="preserve"> </w:t>
      </w:r>
    </w:p>
    <w:p w14:paraId="0B0D49AD" w14:textId="77777777" w:rsidR="00006097" w:rsidRPr="00427457" w:rsidRDefault="00006097" w:rsidP="00427457">
      <w:pPr>
        <w:spacing w:line="360" w:lineRule="auto"/>
        <w:rPr>
          <w:rFonts w:ascii="Arial" w:hAnsi="Arial" w:cs="Arial"/>
          <w:szCs w:val="22"/>
        </w:rPr>
      </w:pPr>
    </w:p>
    <w:p w14:paraId="17D02BEB" w14:textId="1354238C" w:rsidR="00006097" w:rsidRPr="00F467F3" w:rsidRDefault="00006097" w:rsidP="00427457">
      <w:pPr>
        <w:spacing w:line="360" w:lineRule="auto"/>
        <w:rPr>
          <w:rFonts w:ascii="Arial" w:eastAsia="MS Gothic" w:hAnsi="Arial" w:cs="Arial"/>
          <w:szCs w:val="22"/>
        </w:rPr>
      </w:pPr>
      <w:r w:rsidRPr="00427457">
        <w:rPr>
          <w:rFonts w:ascii="Arial" w:hAnsi="Arial" w:cs="Arial"/>
          <w:szCs w:val="22"/>
        </w:rPr>
        <w:t xml:space="preserve">One Planet Prosperity sets out how, as Scotland’s environmental regulator, we work collaboratively with businesses to help them achieve their commercial goals in ways that also deliver environmental success whilst remaining </w:t>
      </w:r>
      <w:r w:rsidRPr="00427457">
        <w:rPr>
          <w:rFonts w:ascii="Arial" w:eastAsia="MS Gothic" w:hAnsi="Arial" w:cs="Arial"/>
          <w:szCs w:val="22"/>
        </w:rPr>
        <w:t>committed to making sure businesses comply with the law. Our statutory purpose and range of enforcement tools mean those that do</w:t>
      </w:r>
      <w:r w:rsidR="00FA48EF">
        <w:rPr>
          <w:rFonts w:ascii="Arial" w:eastAsia="MS Gothic" w:hAnsi="Arial" w:cs="Arial"/>
          <w:szCs w:val="22"/>
        </w:rPr>
        <w:t xml:space="preserve"> not </w:t>
      </w:r>
      <w:r w:rsidRPr="00427457">
        <w:rPr>
          <w:rFonts w:ascii="Arial" w:eastAsia="MS Gothic" w:hAnsi="Arial" w:cs="Arial"/>
          <w:szCs w:val="22"/>
        </w:rPr>
        <w:t>comply are held to account</w:t>
      </w:r>
      <w:r w:rsidRPr="00F467F3">
        <w:rPr>
          <w:rFonts w:ascii="Arial" w:eastAsia="MS Gothic" w:hAnsi="Arial" w:cs="Arial"/>
          <w:szCs w:val="22"/>
        </w:rPr>
        <w:t>.</w:t>
      </w:r>
    </w:p>
    <w:p w14:paraId="2831A772" w14:textId="77777777" w:rsidR="00006097" w:rsidRPr="00FC3EA0" w:rsidRDefault="00006097" w:rsidP="00006097">
      <w:pPr>
        <w:spacing w:line="360" w:lineRule="auto"/>
        <w:rPr>
          <w:rFonts w:ascii="Arial" w:hAnsi="Arial" w:cs="Arial"/>
          <w:szCs w:val="22"/>
        </w:rPr>
      </w:pPr>
    </w:p>
    <w:p w14:paraId="13F1886C" w14:textId="77777777" w:rsidR="00006097" w:rsidRPr="00427457" w:rsidRDefault="00006097" w:rsidP="00427457">
      <w:pPr>
        <w:spacing w:line="360" w:lineRule="auto"/>
        <w:rPr>
          <w:rFonts w:ascii="Arial" w:hAnsi="Arial" w:cs="Arial"/>
        </w:rPr>
      </w:pPr>
      <w:r w:rsidRPr="00427457">
        <w:rPr>
          <w:rFonts w:ascii="Arial" w:hAnsi="Arial" w:cs="Arial"/>
        </w:rPr>
        <w:t>At SEPA we know the scale of the challenge and opportunity presented by the climate and nature emergencies, and the urgency to act. Working in partnership to deliver better outcomes, we are supporting Scotland’s transition to a net zero, circular economy.</w:t>
      </w:r>
    </w:p>
    <w:p w14:paraId="340B6011" w14:textId="77777777" w:rsidR="00006097" w:rsidRPr="00427457" w:rsidRDefault="00006097" w:rsidP="00427457">
      <w:pPr>
        <w:spacing w:line="360" w:lineRule="auto"/>
        <w:ind w:right="-425"/>
        <w:textAlignment w:val="baseline"/>
        <w:rPr>
          <w:rFonts w:ascii="Arial" w:hAnsi="Arial" w:cs="Arial"/>
          <w:szCs w:val="22"/>
        </w:rPr>
      </w:pPr>
    </w:p>
    <w:p w14:paraId="4C49200A" w14:textId="6DFA7C75" w:rsidR="00006097" w:rsidRPr="00CB6B09" w:rsidRDefault="4735F110" w:rsidP="46D6F24B">
      <w:pPr>
        <w:spacing w:line="360" w:lineRule="auto"/>
        <w:ind w:right="-425"/>
        <w:textAlignment w:val="baseline"/>
        <w:rPr>
          <w:rFonts w:ascii="Arial" w:hAnsi="Arial" w:cs="Arial"/>
        </w:rPr>
      </w:pPr>
      <w:r w:rsidRPr="46D6F24B">
        <w:rPr>
          <w:rFonts w:ascii="Arial" w:eastAsia="Arial" w:hAnsi="Arial" w:cs="Arial"/>
        </w:rPr>
        <w:t>We are clear on the impacts of our changing climate</w:t>
      </w:r>
      <w:r w:rsidR="619B6A30" w:rsidRPr="46D6F24B">
        <w:rPr>
          <w:rFonts w:ascii="Arial" w:eastAsia="Arial" w:hAnsi="Arial" w:cs="Arial"/>
        </w:rPr>
        <w:t xml:space="preserve"> and committed to supporting the development of sustainable places for people to live and work</w:t>
      </w:r>
      <w:r w:rsidR="35BDA2B2" w:rsidRPr="46D6F24B">
        <w:rPr>
          <w:rFonts w:ascii="Arial" w:eastAsia="Arial" w:hAnsi="Arial" w:cs="Arial"/>
        </w:rPr>
        <w:t xml:space="preserve"> by </w:t>
      </w:r>
      <w:r w:rsidRPr="46D6F24B">
        <w:rPr>
          <w:rFonts w:ascii="Arial" w:hAnsi="Arial" w:cs="Arial"/>
        </w:rPr>
        <w:t>avoid</w:t>
      </w:r>
      <w:r w:rsidR="01CDC480" w:rsidRPr="46D6F24B">
        <w:rPr>
          <w:rFonts w:ascii="Arial" w:hAnsi="Arial" w:cs="Arial"/>
        </w:rPr>
        <w:t>ing</w:t>
      </w:r>
      <w:r w:rsidRPr="46D6F24B">
        <w:rPr>
          <w:rFonts w:ascii="Arial" w:hAnsi="Arial" w:cs="Arial"/>
        </w:rPr>
        <w:t xml:space="preserve"> flood risk where they </w:t>
      </w:r>
      <w:r w:rsidRPr="46D6F24B">
        <w:rPr>
          <w:rFonts w:ascii="Arial" w:hAnsi="Arial" w:cs="Arial"/>
        </w:rPr>
        <w:lastRenderedPageBreak/>
        <w:t>can, adapt where they cannot</w:t>
      </w:r>
      <w:r w:rsidR="4747E11D" w:rsidRPr="46D6F24B">
        <w:rPr>
          <w:rFonts w:ascii="Arial" w:hAnsi="Arial" w:cs="Arial"/>
        </w:rPr>
        <w:t>,</w:t>
      </w:r>
      <w:r w:rsidRPr="46D6F24B">
        <w:rPr>
          <w:rFonts w:ascii="Arial" w:hAnsi="Arial" w:cs="Arial"/>
        </w:rPr>
        <w:t xml:space="preserve"> and act when warned of flooding. In this role we</w:t>
      </w:r>
      <w:r w:rsidR="67579D4D" w:rsidRPr="46D6F24B">
        <w:rPr>
          <w:rFonts w:ascii="Arial" w:hAnsi="Arial" w:cs="Arial"/>
        </w:rPr>
        <w:t xml:space="preserve"> </w:t>
      </w:r>
      <w:r w:rsidR="28B6B4B4" w:rsidRPr="46D6F24B">
        <w:rPr>
          <w:rFonts w:ascii="Arial" w:hAnsi="Arial" w:cs="Arial"/>
        </w:rPr>
        <w:t>are the strategic flood risk management authority</w:t>
      </w:r>
      <w:r w:rsidR="12F28531" w:rsidRPr="46D6F24B">
        <w:rPr>
          <w:rFonts w:ascii="Arial" w:hAnsi="Arial" w:cs="Arial"/>
        </w:rPr>
        <w:t xml:space="preserve">, </w:t>
      </w:r>
      <w:r w:rsidR="67579D4D" w:rsidRPr="46D6F24B">
        <w:rPr>
          <w:rFonts w:ascii="Arial" w:hAnsi="Arial" w:cs="Arial"/>
        </w:rPr>
        <w:t xml:space="preserve">deliver </w:t>
      </w:r>
      <w:r w:rsidRPr="46D6F24B">
        <w:rPr>
          <w:rFonts w:ascii="Arial" w:hAnsi="Arial" w:cs="Arial"/>
        </w:rPr>
        <w:t>Scotland’s flood forecasting and warning service</w:t>
      </w:r>
      <w:r w:rsidR="00686982">
        <w:rPr>
          <w:rFonts w:ascii="Arial" w:hAnsi="Arial" w:cs="Arial"/>
        </w:rPr>
        <w:t>,</w:t>
      </w:r>
      <w:r w:rsidR="4A740FC2" w:rsidRPr="46D6F24B">
        <w:rPr>
          <w:rFonts w:ascii="Arial" w:hAnsi="Arial" w:cs="Arial"/>
        </w:rPr>
        <w:t xml:space="preserve"> and regulate the safety of reservoirs</w:t>
      </w:r>
      <w:r w:rsidR="18182537" w:rsidRPr="46D6F24B">
        <w:rPr>
          <w:rFonts w:ascii="Arial" w:hAnsi="Arial" w:cs="Arial"/>
        </w:rPr>
        <w:t xml:space="preserve">. </w:t>
      </w:r>
      <w:r w:rsidR="3E48BCB1" w:rsidRPr="46D6F24B">
        <w:rPr>
          <w:rFonts w:ascii="Arial" w:hAnsi="Arial" w:cs="Arial"/>
        </w:rPr>
        <w:t>We are also a key agency</w:t>
      </w:r>
      <w:r w:rsidRPr="46D6F24B">
        <w:rPr>
          <w:rFonts w:ascii="Arial" w:hAnsi="Arial" w:cs="Arial"/>
        </w:rPr>
        <w:t xml:space="preserve"> in the planning process</w:t>
      </w:r>
      <w:r w:rsidR="0424F45F" w:rsidRPr="46D6F24B">
        <w:rPr>
          <w:rFonts w:ascii="Arial" w:hAnsi="Arial" w:cs="Arial"/>
        </w:rPr>
        <w:t>.</w:t>
      </w:r>
    </w:p>
    <w:p w14:paraId="29EDB963" w14:textId="6A1DA323" w:rsidR="00006097" w:rsidRDefault="00006097" w:rsidP="46D6F24B">
      <w:pPr>
        <w:spacing w:line="360" w:lineRule="auto"/>
        <w:ind w:right="-425"/>
        <w:textAlignment w:val="baseline"/>
        <w:rPr>
          <w:rFonts w:ascii="Arial" w:hAnsi="Arial" w:cs="Arial"/>
        </w:rPr>
      </w:pPr>
    </w:p>
    <w:p w14:paraId="1FEDE52E" w14:textId="5F81621C" w:rsidR="00006097" w:rsidRDefault="00006097" w:rsidP="00006097">
      <w:pPr>
        <w:spacing w:line="360" w:lineRule="auto"/>
        <w:ind w:right="-425"/>
        <w:textAlignment w:val="baseline"/>
        <w:rPr>
          <w:rFonts w:ascii="Arial" w:eastAsia="Arial Narrow" w:hAnsi="Arial" w:cs="Arial"/>
          <w:spacing w:val="7"/>
          <w:lang w:val="en-US"/>
        </w:rPr>
      </w:pPr>
      <w:r w:rsidRPr="000F0C25">
        <w:rPr>
          <w:rFonts w:ascii="Arial" w:eastAsia="Arial Narrow" w:hAnsi="Arial" w:cs="Arial"/>
          <w:spacing w:val="7"/>
          <w:lang w:val="en-US"/>
        </w:rPr>
        <w:t xml:space="preserve">Our statutory purpose and strategy are set out in our </w:t>
      </w:r>
      <w:hyperlink r:id="rId22" w:history="1">
        <w:r w:rsidRPr="00F10C47">
          <w:rPr>
            <w:rStyle w:val="Hyperlink"/>
            <w:rFonts w:ascii="Arial" w:eastAsia="Arial Narrow" w:hAnsi="Arial" w:cs="Arial"/>
            <w:spacing w:val="7"/>
            <w:lang w:val="en-US"/>
          </w:rPr>
          <w:t>Corporate Plan 2017-2022</w:t>
        </w:r>
      </w:hyperlink>
      <w:r w:rsidRPr="000F0C25">
        <w:rPr>
          <w:rFonts w:ascii="Arial" w:eastAsia="Arial Narrow" w:hAnsi="Arial" w:cs="Arial"/>
          <w:spacing w:val="7"/>
          <w:lang w:val="en-US"/>
        </w:rPr>
        <w:t xml:space="preserve"> and </w:t>
      </w:r>
      <w:proofErr w:type="spellStart"/>
      <w:r w:rsidRPr="000F0C25">
        <w:rPr>
          <w:rFonts w:ascii="Arial" w:eastAsia="Arial Narrow" w:hAnsi="Arial" w:cs="Arial"/>
          <w:spacing w:val="7"/>
          <w:lang w:val="en-US"/>
        </w:rPr>
        <w:t>summarised</w:t>
      </w:r>
      <w:proofErr w:type="spellEnd"/>
      <w:r w:rsidRPr="000F0C25">
        <w:rPr>
          <w:rFonts w:ascii="Arial" w:eastAsia="Arial Narrow" w:hAnsi="Arial" w:cs="Arial"/>
          <w:spacing w:val="7"/>
          <w:lang w:val="en-US"/>
        </w:rPr>
        <w:t xml:space="preserve"> in the diagrams on the following pages. The Corporate Plan includes broad measures we will use to monitor our performance. Each year we publish an </w:t>
      </w:r>
      <w:hyperlink r:id="rId23" w:history="1">
        <w:r w:rsidRPr="00EC60F2">
          <w:rPr>
            <w:rStyle w:val="Hyperlink"/>
            <w:rFonts w:ascii="Arial" w:eastAsia="Arial Narrow" w:hAnsi="Arial" w:cs="Arial"/>
            <w:spacing w:val="7"/>
            <w:lang w:val="en-US"/>
          </w:rPr>
          <w:t>Annual Operating Plan</w:t>
        </w:r>
      </w:hyperlink>
      <w:r w:rsidRPr="000F0C25">
        <w:rPr>
          <w:rFonts w:ascii="Arial" w:eastAsia="Arial Narrow" w:hAnsi="Arial" w:cs="Arial"/>
          <w:spacing w:val="7"/>
          <w:lang w:val="en-US"/>
        </w:rPr>
        <w:t xml:space="preserve"> that lists the specific annual measures we will report against.</w:t>
      </w:r>
    </w:p>
    <w:p w14:paraId="3BC28E55" w14:textId="77777777" w:rsidR="00006097" w:rsidRDefault="00006097" w:rsidP="00006097">
      <w:pPr>
        <w:spacing w:line="360" w:lineRule="auto"/>
        <w:ind w:right="-425"/>
        <w:textAlignment w:val="baseline"/>
        <w:rPr>
          <w:rFonts w:ascii="Arial" w:eastAsia="Arial Narrow" w:hAnsi="Arial" w:cs="Arial"/>
          <w:spacing w:val="7"/>
          <w:lang w:val="en-US"/>
        </w:rPr>
      </w:pPr>
    </w:p>
    <w:p w14:paraId="5D671FDF" w14:textId="13425E2A" w:rsidR="00250845" w:rsidRPr="00427457" w:rsidRDefault="004A4BE0" w:rsidP="00802A98">
      <w:pPr>
        <w:pStyle w:val="01bSubheader"/>
        <w:numPr>
          <w:ilvl w:val="2"/>
          <w:numId w:val="34"/>
        </w:numPr>
      </w:pPr>
      <w:bookmarkStart w:id="8" w:name="_Toc119068066"/>
      <w:r w:rsidRPr="00427457">
        <w:t>Our strategy</w:t>
      </w:r>
      <w:bookmarkEnd w:id="8"/>
    </w:p>
    <w:p w14:paraId="43903BD6" w14:textId="31ED15FD" w:rsidR="004A4BE0" w:rsidRPr="000F0C25" w:rsidRDefault="004A4BE0" w:rsidP="00033551">
      <w:pPr>
        <w:spacing w:before="120" w:line="360" w:lineRule="auto"/>
        <w:textAlignment w:val="baseline"/>
        <w:rPr>
          <w:rFonts w:ascii="Arial" w:eastAsia="Arial" w:hAnsi="Arial"/>
          <w:b/>
          <w:spacing w:val="-3"/>
          <w:lang w:val="en-US"/>
        </w:rPr>
      </w:pPr>
      <w:r w:rsidRPr="000F0C25">
        <w:rPr>
          <w:rFonts w:ascii="Arial" w:eastAsia="Arial" w:hAnsi="Arial"/>
          <w:b/>
          <w:spacing w:val="-3"/>
          <w:lang w:val="en-US"/>
        </w:rPr>
        <w:t>Purpose</w:t>
      </w:r>
    </w:p>
    <w:p w14:paraId="2B6CF9B0" w14:textId="386B4EA5" w:rsidR="00477C16" w:rsidRDefault="004A4BE0" w:rsidP="00033551">
      <w:pPr>
        <w:spacing w:before="120" w:line="360" w:lineRule="auto"/>
        <w:textAlignment w:val="baseline"/>
        <w:rPr>
          <w:rFonts w:ascii="Arial" w:eastAsia="Arial" w:hAnsi="Arial"/>
          <w:spacing w:val="-3"/>
          <w:lang w:val="en-US"/>
        </w:rPr>
        <w:sectPr w:rsidR="00477C16" w:rsidSect="00766B69">
          <w:pgSz w:w="11906" w:h="16838" w:code="9"/>
          <w:pgMar w:top="539" w:right="991" w:bottom="709" w:left="1134" w:header="709" w:footer="170" w:gutter="0"/>
          <w:cols w:space="708"/>
          <w:docGrid w:linePitch="360"/>
        </w:sectPr>
      </w:pPr>
      <w:r w:rsidRPr="000F0C25">
        <w:rPr>
          <w:rFonts w:ascii="Arial" w:eastAsia="Arial" w:hAnsi="Arial"/>
          <w:spacing w:val="-3"/>
          <w:lang w:val="en-US"/>
        </w:rPr>
        <w:t>To protect and improve the environment in ways that, as far as possible, also help create health and well-being benefits and sustainable economic growth</w:t>
      </w:r>
    </w:p>
    <w:p w14:paraId="626FE8EA" w14:textId="51B321FD" w:rsidR="004958E7" w:rsidRDefault="004958E7" w:rsidP="00033551">
      <w:pPr>
        <w:spacing w:before="120" w:line="360" w:lineRule="auto"/>
        <w:textAlignment w:val="baseline"/>
        <w:rPr>
          <w:rFonts w:ascii="Arial" w:eastAsia="Arial" w:hAnsi="Arial"/>
          <w:spacing w:val="-3"/>
          <w:lang w:val="en-US"/>
        </w:rPr>
        <w:sectPr w:rsidR="004958E7" w:rsidSect="004958E7">
          <w:pgSz w:w="16838" w:h="11906" w:orient="landscape" w:code="9"/>
          <w:pgMar w:top="1134" w:right="539" w:bottom="991" w:left="709" w:header="709" w:footer="170" w:gutter="0"/>
          <w:cols w:space="708"/>
          <w:docGrid w:linePitch="360"/>
        </w:sectPr>
      </w:pPr>
      <w:r>
        <w:rPr>
          <w:rFonts w:ascii="Arial" w:eastAsia="Arial" w:hAnsi="Arial"/>
          <w:noProof/>
          <w:spacing w:val="-3"/>
          <w:lang w:val="en-US"/>
        </w:rPr>
        <w:lastRenderedPageBreak/>
        <w:drawing>
          <wp:anchor distT="0" distB="0" distL="114300" distR="114300" simplePos="0" relativeHeight="251658245" behindDoc="0" locked="0" layoutInCell="1" allowOverlap="1" wp14:anchorId="01F207AC" wp14:editId="03F39518">
            <wp:simplePos x="0" y="0"/>
            <wp:positionH relativeFrom="column">
              <wp:posOffset>121284</wp:posOffset>
            </wp:positionH>
            <wp:positionV relativeFrom="paragraph">
              <wp:posOffset>-358140</wp:posOffset>
            </wp:positionV>
            <wp:extent cx="9515475" cy="6726211"/>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4"/>
                    <a:stretch>
                      <a:fillRect/>
                    </a:stretch>
                  </pic:blipFill>
                  <pic:spPr>
                    <a:xfrm>
                      <a:off x="0" y="0"/>
                      <a:ext cx="9520783" cy="6729963"/>
                    </a:xfrm>
                    <a:prstGeom prst="rect">
                      <a:avLst/>
                    </a:prstGeom>
                  </pic:spPr>
                </pic:pic>
              </a:graphicData>
            </a:graphic>
            <wp14:sizeRelH relativeFrom="margin">
              <wp14:pctWidth>0</wp14:pctWidth>
            </wp14:sizeRelH>
            <wp14:sizeRelV relativeFrom="margin">
              <wp14:pctHeight>0</wp14:pctHeight>
            </wp14:sizeRelV>
          </wp:anchor>
        </w:drawing>
      </w:r>
    </w:p>
    <w:p w14:paraId="604C2BD1" w14:textId="2F3DBF91" w:rsidR="00EE0F3C" w:rsidRPr="00427457" w:rsidRDefault="00EE0F3C" w:rsidP="00802A98">
      <w:pPr>
        <w:pStyle w:val="01bSubheader"/>
        <w:numPr>
          <w:ilvl w:val="2"/>
          <w:numId w:val="34"/>
        </w:numPr>
      </w:pPr>
      <w:bookmarkStart w:id="9" w:name="_Toc119068067"/>
      <w:r>
        <w:lastRenderedPageBreak/>
        <w:t xml:space="preserve">Our </w:t>
      </w:r>
      <w:proofErr w:type="spellStart"/>
      <w:r w:rsidR="006B12AA">
        <w:t>o</w:t>
      </w:r>
      <w:r>
        <w:t>rganisational</w:t>
      </w:r>
      <w:proofErr w:type="spellEnd"/>
      <w:r>
        <w:t xml:space="preserve"> </w:t>
      </w:r>
      <w:r w:rsidR="006B12AA">
        <w:t>c</w:t>
      </w:r>
      <w:r>
        <w:t>haracteristics</w:t>
      </w:r>
      <w:bookmarkEnd w:id="9"/>
    </w:p>
    <w:p w14:paraId="75DFDEB8" w14:textId="77777777" w:rsidR="00F47282" w:rsidRPr="002732A5" w:rsidRDefault="00F47282" w:rsidP="00587275">
      <w:pPr>
        <w:spacing w:line="360" w:lineRule="auto"/>
        <w:rPr>
          <w:rFonts w:ascii="Arial" w:eastAsia="Arial" w:hAnsi="Arial"/>
          <w:b/>
          <w:color w:val="66AA58"/>
          <w:spacing w:val="-1"/>
          <w:lang w:val="en-US"/>
        </w:rPr>
      </w:pPr>
    </w:p>
    <w:p w14:paraId="6539EAAF" w14:textId="709D9BB5" w:rsidR="00EE0F3C" w:rsidRDefault="00EE0F3C" w:rsidP="00587275">
      <w:pPr>
        <w:spacing w:line="360" w:lineRule="auto"/>
        <w:ind w:right="-425"/>
        <w:textAlignment w:val="baseline"/>
        <w:rPr>
          <w:rFonts w:ascii="Arial" w:eastAsia="Arial Narrow" w:hAnsi="Arial" w:cs="Arial"/>
          <w:spacing w:val="7"/>
          <w:lang w:val="en-US"/>
        </w:rPr>
      </w:pPr>
      <w:r w:rsidRPr="000F0C25">
        <w:rPr>
          <w:rFonts w:ascii="Arial" w:eastAsia="Arial Narrow" w:hAnsi="Arial" w:cs="Arial"/>
          <w:spacing w:val="7"/>
          <w:lang w:val="en-US"/>
        </w:rPr>
        <w:t>Our aim is to ensure that everything we</w:t>
      </w:r>
      <w:r w:rsidR="00EB2679" w:rsidRPr="000F0C25">
        <w:rPr>
          <w:rFonts w:ascii="Arial" w:eastAsia="Arial Narrow" w:hAnsi="Arial" w:cs="Arial"/>
          <w:spacing w:val="7"/>
          <w:lang w:val="en-US"/>
        </w:rPr>
        <w:t xml:space="preserve"> do is designed to deliver our statutory p</w:t>
      </w:r>
      <w:r w:rsidRPr="000F0C25">
        <w:rPr>
          <w:rFonts w:ascii="Arial" w:eastAsia="Arial Narrow" w:hAnsi="Arial" w:cs="Arial"/>
          <w:spacing w:val="7"/>
          <w:lang w:val="en-US"/>
        </w:rPr>
        <w:t xml:space="preserve">urpose in the most effective ways possible. Six </w:t>
      </w:r>
      <w:proofErr w:type="spellStart"/>
      <w:r w:rsidRPr="000F0C25">
        <w:rPr>
          <w:rFonts w:ascii="Arial" w:eastAsia="Arial Narrow" w:hAnsi="Arial" w:cs="Arial"/>
          <w:spacing w:val="7"/>
          <w:lang w:val="en-US"/>
        </w:rPr>
        <w:t>Organisational</w:t>
      </w:r>
      <w:proofErr w:type="spellEnd"/>
      <w:r w:rsidRPr="000F0C25">
        <w:rPr>
          <w:rFonts w:ascii="Arial" w:eastAsia="Arial Narrow" w:hAnsi="Arial" w:cs="Arial"/>
          <w:spacing w:val="7"/>
          <w:lang w:val="en-US"/>
        </w:rPr>
        <w:t xml:space="preserve"> Characteristics </w:t>
      </w:r>
      <w:r w:rsidR="00D55BB9">
        <w:rPr>
          <w:rFonts w:ascii="Arial" w:eastAsia="Arial Narrow" w:hAnsi="Arial" w:cs="Arial"/>
          <w:spacing w:val="7"/>
          <w:lang w:val="en-US"/>
        </w:rPr>
        <w:t>a</w:t>
      </w:r>
      <w:r w:rsidRPr="000F0C25">
        <w:rPr>
          <w:rFonts w:ascii="Arial" w:eastAsia="Arial Narrow" w:hAnsi="Arial" w:cs="Arial"/>
          <w:spacing w:val="7"/>
          <w:lang w:val="en-US"/>
        </w:rPr>
        <w:t xml:space="preserve">re at the core of our corporate strategy and help us make day-to-day and longer-term decisions. </w:t>
      </w:r>
    </w:p>
    <w:p w14:paraId="696B50C2" w14:textId="77777777" w:rsidR="00FF2ABB" w:rsidRPr="000F0C25" w:rsidRDefault="00FF2ABB" w:rsidP="00587275">
      <w:pPr>
        <w:spacing w:line="360" w:lineRule="auto"/>
        <w:ind w:right="-425"/>
        <w:textAlignment w:val="baseline"/>
        <w:rPr>
          <w:rFonts w:ascii="Arial" w:eastAsia="Arial Narrow" w:hAnsi="Arial" w:cs="Arial"/>
          <w:spacing w:val="7"/>
        </w:rPr>
      </w:pPr>
    </w:p>
    <w:p w14:paraId="47CA853C" w14:textId="03D86CB1" w:rsidR="0087059D" w:rsidRPr="00B13191" w:rsidRDefault="00EE0F3C" w:rsidP="00587275">
      <w:pPr>
        <w:spacing w:line="360" w:lineRule="auto"/>
        <w:ind w:right="-425"/>
        <w:textAlignment w:val="baseline"/>
        <w:rPr>
          <w:rFonts w:ascii="Arial" w:eastAsia="Arial Narrow" w:hAnsi="Arial" w:cs="Arial"/>
          <w:b/>
          <w:spacing w:val="5"/>
          <w:lang w:val="en-US"/>
        </w:rPr>
      </w:pPr>
      <w:r w:rsidRPr="00427457">
        <w:rPr>
          <w:rFonts w:ascii="Arial" w:eastAsia="Arial Narrow" w:hAnsi="Arial" w:cs="Arial"/>
          <w:b/>
          <w:spacing w:val="5"/>
          <w:lang w:val="en-US"/>
        </w:rPr>
        <w:t xml:space="preserve">The </w:t>
      </w:r>
      <w:r w:rsidR="00793817" w:rsidRPr="00427457">
        <w:rPr>
          <w:rFonts w:ascii="Arial" w:eastAsia="Arial Narrow" w:hAnsi="Arial" w:cs="Arial"/>
          <w:b/>
          <w:spacing w:val="5"/>
          <w:lang w:val="en-US"/>
        </w:rPr>
        <w:t>S</w:t>
      </w:r>
      <w:r w:rsidRPr="00427457">
        <w:rPr>
          <w:rFonts w:ascii="Arial" w:eastAsia="Arial Narrow" w:hAnsi="Arial" w:cs="Arial"/>
          <w:b/>
          <w:spacing w:val="5"/>
          <w:lang w:val="en-US"/>
        </w:rPr>
        <w:t xml:space="preserve">ix </w:t>
      </w:r>
      <w:proofErr w:type="spellStart"/>
      <w:r w:rsidRPr="00427457">
        <w:rPr>
          <w:rFonts w:ascii="Arial" w:eastAsia="Arial Narrow" w:hAnsi="Arial" w:cs="Arial"/>
          <w:b/>
          <w:spacing w:val="5"/>
          <w:lang w:val="en-US"/>
        </w:rPr>
        <w:t>Organisational</w:t>
      </w:r>
      <w:proofErr w:type="spellEnd"/>
      <w:r w:rsidRPr="00427457">
        <w:rPr>
          <w:rFonts w:ascii="Arial" w:eastAsia="Arial Narrow" w:hAnsi="Arial" w:cs="Arial"/>
          <w:b/>
          <w:spacing w:val="5"/>
          <w:lang w:val="en-US"/>
        </w:rPr>
        <w:t xml:space="preserve"> Characteristics</w:t>
      </w:r>
    </w:p>
    <w:p w14:paraId="67910202" w14:textId="4EDA452E" w:rsidR="00DA1DA8"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0F0C25">
        <w:rPr>
          <w:rFonts w:ascii="Arial" w:eastAsia="Arial Narrow" w:hAnsi="Arial" w:cs="Arial"/>
          <w:lang w:val="en-US"/>
        </w:rPr>
        <w:t>Producing information and evidence that people use to make decisions.</w:t>
      </w:r>
    </w:p>
    <w:p w14:paraId="757A5539" w14:textId="318141FC" w:rsidR="00763E43"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763E43">
        <w:rPr>
          <w:rFonts w:ascii="Arial" w:eastAsia="Arial Narrow" w:hAnsi="Arial" w:cs="Arial"/>
          <w:lang w:val="en-US"/>
        </w:rPr>
        <w:t>Helping people implement successful innovation, not minor improvements on ‘business-as-usual</w:t>
      </w:r>
      <w:r w:rsidR="005B6AC4" w:rsidRPr="00763E43">
        <w:rPr>
          <w:rFonts w:ascii="Arial" w:eastAsia="Arial Narrow" w:hAnsi="Arial" w:cs="Arial"/>
          <w:lang w:val="en-US"/>
        </w:rPr>
        <w:t>.’</w:t>
      </w:r>
    </w:p>
    <w:p w14:paraId="57475A8F" w14:textId="77777777" w:rsidR="00763E43"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763E43">
        <w:rPr>
          <w:rFonts w:ascii="Arial" w:eastAsia="Arial Narrow" w:hAnsi="Arial" w:cs="Arial"/>
          <w:lang w:val="en-US"/>
        </w:rPr>
        <w:t>Helping communities see the environment as an opportunity to create social and economic success.</w:t>
      </w:r>
    </w:p>
    <w:p w14:paraId="621B8DF2" w14:textId="77777777" w:rsidR="00763E43"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763E43">
        <w:rPr>
          <w:rFonts w:ascii="Arial" w:eastAsia="Arial Narrow" w:hAnsi="Arial" w:cs="Arial"/>
          <w:lang w:val="en-US"/>
        </w:rPr>
        <w:t>Routinely interacting with regulated businesses through their boardrooms, executive teams</w:t>
      </w:r>
      <w:r w:rsidR="00AF3F47" w:rsidRPr="00763E43">
        <w:rPr>
          <w:rFonts w:ascii="Arial" w:eastAsia="Arial Narrow" w:hAnsi="Arial" w:cs="Arial"/>
          <w:lang w:val="en-US"/>
        </w:rPr>
        <w:t>,</w:t>
      </w:r>
      <w:r w:rsidRPr="00763E43">
        <w:rPr>
          <w:rFonts w:ascii="Arial" w:eastAsia="Arial Narrow" w:hAnsi="Arial" w:cs="Arial"/>
          <w:lang w:val="en-US"/>
        </w:rPr>
        <w:t xml:space="preserve"> and owners.</w:t>
      </w:r>
    </w:p>
    <w:p w14:paraId="1681FBD6" w14:textId="77777777" w:rsidR="00763E43"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763E43">
        <w:rPr>
          <w:rFonts w:ascii="Arial" w:eastAsia="Arial Narrow" w:hAnsi="Arial" w:cs="Arial"/>
          <w:lang w:val="en-US"/>
        </w:rPr>
        <w:t xml:space="preserve">An </w:t>
      </w:r>
      <w:proofErr w:type="spellStart"/>
      <w:r w:rsidRPr="00763E43">
        <w:rPr>
          <w:rFonts w:ascii="Arial" w:eastAsia="Arial Narrow" w:hAnsi="Arial" w:cs="Arial"/>
          <w:lang w:val="en-US"/>
        </w:rPr>
        <w:t>organisation</w:t>
      </w:r>
      <w:proofErr w:type="spellEnd"/>
      <w:r w:rsidRPr="00763E43">
        <w:rPr>
          <w:rFonts w:ascii="Arial" w:eastAsia="Arial Narrow" w:hAnsi="Arial" w:cs="Arial"/>
          <w:lang w:val="en-US"/>
        </w:rPr>
        <w:t xml:space="preserve"> that people are </w:t>
      </w:r>
      <w:r w:rsidRPr="00763E43">
        <w:rPr>
          <w:rFonts w:ascii="Arial" w:eastAsia="Arial Narrow" w:hAnsi="Arial" w:cs="Arial"/>
        </w:rPr>
        <w:t>clamouring</w:t>
      </w:r>
      <w:r w:rsidRPr="00763E43">
        <w:rPr>
          <w:rFonts w:ascii="Arial" w:eastAsia="Arial Narrow" w:hAnsi="Arial" w:cs="Arial"/>
          <w:lang w:val="en-US"/>
        </w:rPr>
        <w:t xml:space="preserve"> to work for.</w:t>
      </w:r>
    </w:p>
    <w:p w14:paraId="7FA3F082" w14:textId="4B9E647D" w:rsidR="00F5451F" w:rsidRPr="00763E43" w:rsidRDefault="00EE0F3C" w:rsidP="000A1D9E">
      <w:pPr>
        <w:pStyle w:val="ListParagraph"/>
        <w:numPr>
          <w:ilvl w:val="0"/>
          <w:numId w:val="16"/>
        </w:numPr>
        <w:tabs>
          <w:tab w:val="left" w:pos="709"/>
        </w:tabs>
        <w:spacing w:line="360" w:lineRule="auto"/>
        <w:ind w:left="426" w:right="-425" w:hanging="426"/>
        <w:contextualSpacing w:val="0"/>
        <w:textAlignment w:val="baseline"/>
        <w:rPr>
          <w:rFonts w:ascii="Arial" w:eastAsia="Arial Narrow" w:hAnsi="Arial" w:cs="Arial"/>
          <w:lang w:val="en-US"/>
        </w:rPr>
      </w:pPr>
      <w:r w:rsidRPr="00763E43">
        <w:rPr>
          <w:rFonts w:ascii="Arial" w:eastAsia="Arial Narrow" w:hAnsi="Arial" w:cs="Arial"/>
          <w:lang w:val="en-US"/>
        </w:rPr>
        <w:t>Using partnerships as our principal way of delivering outcomes.</w:t>
      </w:r>
    </w:p>
    <w:p w14:paraId="083FE580" w14:textId="77777777" w:rsidR="00132CBA" w:rsidRPr="000826A1" w:rsidRDefault="00132CBA" w:rsidP="000826A1">
      <w:pPr>
        <w:spacing w:line="360" w:lineRule="auto"/>
        <w:ind w:right="-425"/>
        <w:textAlignment w:val="baseline"/>
        <w:rPr>
          <w:rFonts w:ascii="Arial" w:eastAsia="Arial Narrow" w:hAnsi="Arial" w:cs="Arial"/>
          <w:spacing w:val="7"/>
        </w:rPr>
      </w:pPr>
    </w:p>
    <w:p w14:paraId="67996979" w14:textId="5CBD2524" w:rsidR="00EE0F3C" w:rsidRPr="00A6629E" w:rsidRDefault="00EE0F3C" w:rsidP="00802A98">
      <w:pPr>
        <w:pStyle w:val="01bSubheader"/>
        <w:numPr>
          <w:ilvl w:val="2"/>
          <w:numId w:val="34"/>
        </w:numPr>
      </w:pPr>
      <w:bookmarkStart w:id="10" w:name="_Toc119068068"/>
      <w:r w:rsidRPr="00A6629E">
        <w:t>Ou</w:t>
      </w:r>
      <w:r w:rsidR="00F5451F" w:rsidRPr="00A6629E">
        <w:t xml:space="preserve">r contribution to the Scottish </w:t>
      </w:r>
      <w:r w:rsidRPr="00A6629E">
        <w:t>Government purpose</w:t>
      </w:r>
      <w:bookmarkEnd w:id="10"/>
    </w:p>
    <w:p w14:paraId="338600D5" w14:textId="77777777" w:rsidR="00AF3F47" w:rsidRPr="000826A1" w:rsidRDefault="00AF3F47" w:rsidP="00587275">
      <w:pPr>
        <w:spacing w:line="360" w:lineRule="auto"/>
        <w:ind w:right="-425"/>
        <w:textAlignment w:val="baseline"/>
        <w:rPr>
          <w:rFonts w:ascii="Arial" w:eastAsia="Arial Narrow" w:hAnsi="Arial" w:cs="Arial"/>
          <w:spacing w:val="7"/>
        </w:rPr>
      </w:pPr>
    </w:p>
    <w:p w14:paraId="0CA0126A" w14:textId="793E4954" w:rsidR="00A6629E" w:rsidRDefault="00A6629E" w:rsidP="00A6629E">
      <w:pPr>
        <w:spacing w:line="360" w:lineRule="auto"/>
        <w:ind w:right="-425"/>
        <w:textAlignment w:val="baseline"/>
        <w:rPr>
          <w:rFonts w:ascii="Arial" w:hAnsi="Arial" w:cs="Arial"/>
        </w:rPr>
      </w:pPr>
      <w:r w:rsidRPr="00FC4645">
        <w:rPr>
          <w:rFonts w:ascii="Arial" w:hAnsi="Arial" w:cs="Arial"/>
        </w:rPr>
        <w:t>The Scottish Government’s purpose is to:</w:t>
      </w:r>
    </w:p>
    <w:p w14:paraId="65902010" w14:textId="77777777" w:rsidR="006C1AA9" w:rsidRPr="00FC4645" w:rsidRDefault="006C1AA9" w:rsidP="00A6629E">
      <w:pPr>
        <w:spacing w:line="360" w:lineRule="auto"/>
        <w:ind w:right="-425"/>
        <w:textAlignment w:val="baseline"/>
        <w:rPr>
          <w:rFonts w:ascii="Arial" w:hAnsi="Arial" w:cs="Arial"/>
        </w:rPr>
      </w:pPr>
    </w:p>
    <w:p w14:paraId="73EF2B4B" w14:textId="20233058" w:rsidR="00A6629E" w:rsidRPr="00FC4645" w:rsidRDefault="006C1AA9" w:rsidP="00802A98">
      <w:pPr>
        <w:pStyle w:val="ListParagraph"/>
        <w:numPr>
          <w:ilvl w:val="0"/>
          <w:numId w:val="38"/>
        </w:numPr>
        <w:spacing w:line="360" w:lineRule="auto"/>
        <w:ind w:right="-425"/>
        <w:textAlignment w:val="baseline"/>
        <w:rPr>
          <w:rFonts w:ascii="Arial" w:hAnsi="Arial" w:cs="Arial"/>
        </w:rPr>
      </w:pPr>
      <w:r>
        <w:rPr>
          <w:rFonts w:ascii="Arial" w:hAnsi="Arial" w:cs="Arial"/>
        </w:rPr>
        <w:t>C</w:t>
      </w:r>
      <w:r w:rsidR="00A6629E" w:rsidRPr="00FC4645">
        <w:rPr>
          <w:rFonts w:ascii="Arial" w:hAnsi="Arial" w:cs="Arial"/>
        </w:rPr>
        <w:t>reate a more successful country</w:t>
      </w:r>
      <w:r>
        <w:rPr>
          <w:rFonts w:ascii="Arial" w:hAnsi="Arial" w:cs="Arial"/>
        </w:rPr>
        <w:t>.</w:t>
      </w:r>
    </w:p>
    <w:p w14:paraId="395CE4B1" w14:textId="69AF0205" w:rsidR="00A6629E" w:rsidRPr="00FC4645" w:rsidRDefault="006C1AA9" w:rsidP="00802A98">
      <w:pPr>
        <w:pStyle w:val="ListParagraph"/>
        <w:numPr>
          <w:ilvl w:val="0"/>
          <w:numId w:val="38"/>
        </w:numPr>
        <w:spacing w:line="360" w:lineRule="auto"/>
        <w:ind w:right="-425"/>
        <w:textAlignment w:val="baseline"/>
        <w:rPr>
          <w:rFonts w:ascii="Arial" w:hAnsi="Arial" w:cs="Arial"/>
        </w:rPr>
      </w:pPr>
      <w:r>
        <w:rPr>
          <w:rFonts w:ascii="Arial" w:hAnsi="Arial" w:cs="Arial"/>
        </w:rPr>
        <w:t>G</w:t>
      </w:r>
      <w:r w:rsidR="00A6629E" w:rsidRPr="00FC4645">
        <w:rPr>
          <w:rFonts w:ascii="Arial" w:hAnsi="Arial" w:cs="Arial"/>
        </w:rPr>
        <w:t>ive opportunities to all people living in Scotland</w:t>
      </w:r>
      <w:r>
        <w:rPr>
          <w:rFonts w:ascii="Arial" w:hAnsi="Arial" w:cs="Arial"/>
        </w:rPr>
        <w:t>.</w:t>
      </w:r>
    </w:p>
    <w:p w14:paraId="3BBE2B4D" w14:textId="694B9107" w:rsidR="00A6629E" w:rsidRPr="00FC4645" w:rsidRDefault="006C1AA9" w:rsidP="00802A98">
      <w:pPr>
        <w:pStyle w:val="ListParagraph"/>
        <w:numPr>
          <w:ilvl w:val="0"/>
          <w:numId w:val="38"/>
        </w:numPr>
        <w:spacing w:line="360" w:lineRule="auto"/>
        <w:ind w:right="-425"/>
        <w:textAlignment w:val="baseline"/>
        <w:rPr>
          <w:rFonts w:ascii="Arial" w:hAnsi="Arial" w:cs="Arial"/>
        </w:rPr>
      </w:pPr>
      <w:r>
        <w:rPr>
          <w:rFonts w:ascii="Arial" w:hAnsi="Arial" w:cs="Arial"/>
        </w:rPr>
        <w:t>I</w:t>
      </w:r>
      <w:r w:rsidR="00A6629E" w:rsidRPr="00FC4645">
        <w:rPr>
          <w:rFonts w:ascii="Arial" w:hAnsi="Arial" w:cs="Arial"/>
        </w:rPr>
        <w:t>ncrease the wellbeing of people living in Scotland</w:t>
      </w:r>
      <w:r>
        <w:rPr>
          <w:rFonts w:ascii="Arial" w:hAnsi="Arial" w:cs="Arial"/>
        </w:rPr>
        <w:t>.</w:t>
      </w:r>
    </w:p>
    <w:p w14:paraId="098FEA04" w14:textId="59F0A93F" w:rsidR="00A6629E" w:rsidRPr="00FC4645" w:rsidRDefault="006C1AA9" w:rsidP="00802A98">
      <w:pPr>
        <w:pStyle w:val="ListParagraph"/>
        <w:numPr>
          <w:ilvl w:val="0"/>
          <w:numId w:val="38"/>
        </w:numPr>
        <w:spacing w:line="360" w:lineRule="auto"/>
        <w:ind w:right="-425"/>
        <w:textAlignment w:val="baseline"/>
        <w:rPr>
          <w:rFonts w:ascii="Arial" w:hAnsi="Arial" w:cs="Arial"/>
        </w:rPr>
      </w:pPr>
      <w:r>
        <w:rPr>
          <w:rFonts w:ascii="Arial" w:hAnsi="Arial" w:cs="Arial"/>
        </w:rPr>
        <w:t>C</w:t>
      </w:r>
      <w:r w:rsidR="00A6629E" w:rsidRPr="00FC4645">
        <w:rPr>
          <w:rFonts w:ascii="Arial" w:hAnsi="Arial" w:cs="Arial"/>
        </w:rPr>
        <w:t>reate sustainable and inclusive growth</w:t>
      </w:r>
      <w:r>
        <w:rPr>
          <w:rFonts w:ascii="Arial" w:hAnsi="Arial" w:cs="Arial"/>
        </w:rPr>
        <w:t>.</w:t>
      </w:r>
    </w:p>
    <w:p w14:paraId="7111420A" w14:textId="5122615D" w:rsidR="00A6629E" w:rsidRPr="00FC4645" w:rsidRDefault="006C1AA9" w:rsidP="00802A98">
      <w:pPr>
        <w:pStyle w:val="ListParagraph"/>
        <w:numPr>
          <w:ilvl w:val="0"/>
          <w:numId w:val="38"/>
        </w:numPr>
        <w:spacing w:line="360" w:lineRule="auto"/>
        <w:ind w:right="-425"/>
        <w:textAlignment w:val="baseline"/>
        <w:rPr>
          <w:rFonts w:ascii="Arial" w:hAnsi="Arial" w:cs="Arial"/>
        </w:rPr>
      </w:pPr>
      <w:r>
        <w:rPr>
          <w:rFonts w:ascii="Arial" w:hAnsi="Arial" w:cs="Arial"/>
        </w:rPr>
        <w:t>R</w:t>
      </w:r>
      <w:r w:rsidR="00A6629E" w:rsidRPr="00FC4645">
        <w:rPr>
          <w:rFonts w:ascii="Arial" w:hAnsi="Arial" w:cs="Arial"/>
        </w:rPr>
        <w:t>educe inequalities and give equal importance to economic, environmental</w:t>
      </w:r>
      <w:r w:rsidR="00A50221">
        <w:rPr>
          <w:rFonts w:ascii="Arial" w:hAnsi="Arial" w:cs="Arial"/>
        </w:rPr>
        <w:t>,</w:t>
      </w:r>
      <w:r w:rsidR="00A6629E" w:rsidRPr="00FC4645">
        <w:rPr>
          <w:rFonts w:ascii="Arial" w:hAnsi="Arial" w:cs="Arial"/>
        </w:rPr>
        <w:t xml:space="preserve"> and social progress. </w:t>
      </w:r>
    </w:p>
    <w:p w14:paraId="3E1F6861" w14:textId="77777777" w:rsidR="00A6629E" w:rsidRPr="00FC4645" w:rsidRDefault="00A6629E" w:rsidP="00A6629E">
      <w:pPr>
        <w:spacing w:line="360" w:lineRule="auto"/>
        <w:ind w:right="-425"/>
        <w:textAlignment w:val="baseline"/>
        <w:rPr>
          <w:rFonts w:ascii="Arial" w:hAnsi="Arial" w:cs="Arial"/>
        </w:rPr>
      </w:pPr>
    </w:p>
    <w:p w14:paraId="55F416B2" w14:textId="2EFDFC10" w:rsidR="00A6629E" w:rsidRDefault="00A6629E" w:rsidP="00A6629E">
      <w:pPr>
        <w:spacing w:line="360" w:lineRule="auto"/>
        <w:ind w:right="-425"/>
        <w:textAlignment w:val="baseline"/>
        <w:rPr>
          <w:rFonts w:ascii="Arial" w:hAnsi="Arial" w:cs="Arial"/>
        </w:rPr>
      </w:pPr>
      <w:r w:rsidRPr="00FC4645">
        <w:rPr>
          <w:rFonts w:ascii="Arial" w:hAnsi="Arial" w:cs="Arial"/>
        </w:rPr>
        <w:t>To help achieve its purpose, the Scottish Government has identified national outcomes, which are aligned to the United Nations’ Sustainable Development Goals. We make the most significant contribution to the national outcomes that people:</w:t>
      </w:r>
    </w:p>
    <w:p w14:paraId="60BBC308" w14:textId="77777777" w:rsidR="00A50221" w:rsidRPr="00FC4645" w:rsidRDefault="00A50221" w:rsidP="00A6629E">
      <w:pPr>
        <w:spacing w:line="360" w:lineRule="auto"/>
        <w:ind w:right="-425"/>
        <w:textAlignment w:val="baseline"/>
        <w:rPr>
          <w:rFonts w:ascii="Arial" w:hAnsi="Arial" w:cs="Arial"/>
        </w:rPr>
      </w:pPr>
    </w:p>
    <w:p w14:paraId="1017931E" w14:textId="7BC00E65" w:rsidR="00A6629E" w:rsidRPr="00FC4645" w:rsidRDefault="00A50221" w:rsidP="00802A98">
      <w:pPr>
        <w:pStyle w:val="ListParagraph"/>
        <w:numPr>
          <w:ilvl w:val="0"/>
          <w:numId w:val="39"/>
        </w:numPr>
        <w:spacing w:line="360" w:lineRule="auto"/>
        <w:ind w:right="-425"/>
        <w:textAlignment w:val="baseline"/>
        <w:rPr>
          <w:rFonts w:ascii="Arial" w:hAnsi="Arial" w:cs="Arial"/>
        </w:rPr>
      </w:pPr>
      <w:r>
        <w:rPr>
          <w:rFonts w:ascii="Arial" w:hAnsi="Arial" w:cs="Arial"/>
        </w:rPr>
        <w:t>V</w:t>
      </w:r>
      <w:r w:rsidR="00A6629E" w:rsidRPr="00FC4645">
        <w:rPr>
          <w:rFonts w:ascii="Arial" w:hAnsi="Arial" w:cs="Arial"/>
        </w:rPr>
        <w:t>alue, enjoy, protect</w:t>
      </w:r>
      <w:r w:rsidR="00910FE5">
        <w:rPr>
          <w:rFonts w:ascii="Arial" w:hAnsi="Arial" w:cs="Arial"/>
        </w:rPr>
        <w:t>,</w:t>
      </w:r>
      <w:r w:rsidR="00A6629E" w:rsidRPr="00FC4645">
        <w:rPr>
          <w:rFonts w:ascii="Arial" w:hAnsi="Arial" w:cs="Arial"/>
        </w:rPr>
        <w:t xml:space="preserve"> and enhance their environment</w:t>
      </w:r>
      <w:r>
        <w:rPr>
          <w:rFonts w:ascii="Arial" w:hAnsi="Arial" w:cs="Arial"/>
        </w:rPr>
        <w:t>.</w:t>
      </w:r>
    </w:p>
    <w:p w14:paraId="7373A150" w14:textId="7A069366" w:rsidR="00A6629E" w:rsidRPr="00FC4645" w:rsidRDefault="00A50221" w:rsidP="00802A98">
      <w:pPr>
        <w:pStyle w:val="ListParagraph"/>
        <w:numPr>
          <w:ilvl w:val="0"/>
          <w:numId w:val="39"/>
        </w:numPr>
        <w:spacing w:line="360" w:lineRule="auto"/>
        <w:ind w:right="-425"/>
        <w:textAlignment w:val="baseline"/>
        <w:rPr>
          <w:rFonts w:ascii="Arial" w:hAnsi="Arial" w:cs="Arial"/>
        </w:rPr>
      </w:pPr>
      <w:r>
        <w:rPr>
          <w:rFonts w:ascii="Arial" w:hAnsi="Arial" w:cs="Arial"/>
        </w:rPr>
        <w:t>L</w:t>
      </w:r>
      <w:r w:rsidR="00A6629E" w:rsidRPr="00FC4645">
        <w:rPr>
          <w:rFonts w:ascii="Arial" w:hAnsi="Arial" w:cs="Arial"/>
        </w:rPr>
        <w:t>ive in communities that are inclusive, empowered, resilient</w:t>
      </w:r>
      <w:r w:rsidR="00910FE5">
        <w:rPr>
          <w:rFonts w:ascii="Arial" w:hAnsi="Arial" w:cs="Arial"/>
        </w:rPr>
        <w:t>,</w:t>
      </w:r>
      <w:r w:rsidR="00A6629E" w:rsidRPr="00FC4645">
        <w:rPr>
          <w:rFonts w:ascii="Arial" w:hAnsi="Arial" w:cs="Arial"/>
        </w:rPr>
        <w:t xml:space="preserve"> and safe</w:t>
      </w:r>
      <w:r>
        <w:rPr>
          <w:rFonts w:ascii="Arial" w:hAnsi="Arial" w:cs="Arial"/>
        </w:rPr>
        <w:t>.</w:t>
      </w:r>
    </w:p>
    <w:p w14:paraId="36007BD7" w14:textId="6951A1FB" w:rsidR="00A6629E" w:rsidRPr="00A6629E" w:rsidRDefault="00A50221" w:rsidP="00802A98">
      <w:pPr>
        <w:pStyle w:val="ListParagraph"/>
        <w:numPr>
          <w:ilvl w:val="0"/>
          <w:numId w:val="39"/>
        </w:numPr>
        <w:spacing w:line="360" w:lineRule="auto"/>
        <w:ind w:right="-425"/>
        <w:textAlignment w:val="baseline"/>
        <w:rPr>
          <w:rFonts w:ascii="Arial" w:eastAsia="Arial" w:hAnsi="Arial" w:cs="Arial"/>
          <w:b/>
          <w:color w:val="66AA58"/>
        </w:rPr>
      </w:pPr>
      <w:r>
        <w:rPr>
          <w:rFonts w:ascii="Arial" w:hAnsi="Arial" w:cs="Arial"/>
        </w:rPr>
        <w:t>H</w:t>
      </w:r>
      <w:r w:rsidR="00A6629E" w:rsidRPr="00FC4645">
        <w:rPr>
          <w:rFonts w:ascii="Arial" w:hAnsi="Arial" w:cs="Arial"/>
        </w:rPr>
        <w:t>ave a globally competitive, entrepreneurial, inclusive</w:t>
      </w:r>
      <w:r w:rsidR="00910FE5">
        <w:rPr>
          <w:rFonts w:ascii="Arial" w:hAnsi="Arial" w:cs="Arial"/>
        </w:rPr>
        <w:t>,</w:t>
      </w:r>
      <w:r w:rsidR="00A6629E" w:rsidRPr="00FC4645">
        <w:rPr>
          <w:rFonts w:ascii="Arial" w:hAnsi="Arial" w:cs="Arial"/>
        </w:rPr>
        <w:t xml:space="preserve"> and sustainable economy.</w:t>
      </w:r>
    </w:p>
    <w:p w14:paraId="44153409" w14:textId="77777777" w:rsidR="00A6629E" w:rsidRPr="00A6629E" w:rsidRDefault="00A6629E" w:rsidP="00A6629E">
      <w:pPr>
        <w:spacing w:line="360" w:lineRule="auto"/>
        <w:ind w:right="-425"/>
        <w:textAlignment w:val="baseline"/>
        <w:rPr>
          <w:rFonts w:ascii="Arial" w:eastAsia="Arial" w:hAnsi="Arial" w:cs="Arial"/>
          <w:b/>
          <w:color w:val="66AA58"/>
        </w:rPr>
      </w:pPr>
    </w:p>
    <w:p w14:paraId="4C8E3C44" w14:textId="2F3DBF91" w:rsidR="00EE0F3C" w:rsidRPr="00A100A5" w:rsidRDefault="00EE0F3C" w:rsidP="00802A98">
      <w:pPr>
        <w:pStyle w:val="01bSubheader"/>
        <w:numPr>
          <w:ilvl w:val="2"/>
          <w:numId w:val="34"/>
        </w:numPr>
      </w:pPr>
      <w:bookmarkStart w:id="11" w:name="_Toc119068069"/>
      <w:r>
        <w:lastRenderedPageBreak/>
        <w:t>Our business model</w:t>
      </w:r>
      <w:bookmarkEnd w:id="11"/>
    </w:p>
    <w:p w14:paraId="2960DEAE" w14:textId="77777777" w:rsidR="003C5EB6" w:rsidRPr="003C5EB6" w:rsidRDefault="003C5EB6" w:rsidP="00587275">
      <w:pPr>
        <w:spacing w:line="360" w:lineRule="auto"/>
        <w:ind w:right="-425"/>
        <w:textAlignment w:val="baseline"/>
        <w:rPr>
          <w:rFonts w:ascii="Arial" w:eastAsia="Arial" w:hAnsi="Arial"/>
          <w:b/>
          <w:color w:val="66AA58"/>
        </w:rPr>
      </w:pPr>
    </w:p>
    <w:p w14:paraId="5D0D930A" w14:textId="410B510B" w:rsidR="00A100A5" w:rsidRDefault="00A100A5" w:rsidP="00A100A5">
      <w:pPr>
        <w:spacing w:line="360" w:lineRule="auto"/>
        <w:ind w:right="-425"/>
        <w:textAlignment w:val="baseline"/>
        <w:rPr>
          <w:rFonts w:ascii="Arial" w:eastAsia="Arial Narrow" w:hAnsi="Arial" w:cs="Arial"/>
          <w:spacing w:val="3"/>
          <w:lang w:val="en-US"/>
        </w:rPr>
      </w:pPr>
      <w:r w:rsidRPr="000F0C25">
        <w:rPr>
          <w:rFonts w:ascii="Arial" w:eastAsia="Arial Narrow" w:hAnsi="Arial" w:cs="Arial"/>
          <w:lang w:val="en-US"/>
        </w:rPr>
        <w:t>We are a non-departmental public body, accountable to Scottish Ministers and the Scottish Parliament</w:t>
      </w:r>
      <w:r w:rsidR="00880604" w:rsidRPr="000F0C25">
        <w:rPr>
          <w:rFonts w:ascii="Arial" w:eastAsia="Arial Narrow" w:hAnsi="Arial" w:cs="Arial"/>
          <w:lang w:val="en-US"/>
        </w:rPr>
        <w:t>.</w:t>
      </w:r>
      <w:r w:rsidR="00880604">
        <w:rPr>
          <w:rFonts w:ascii="Arial" w:eastAsia="Arial Narrow" w:hAnsi="Arial" w:cs="Arial"/>
          <w:lang w:val="en-US"/>
        </w:rPr>
        <w:t xml:space="preserve"> </w:t>
      </w:r>
      <w:r w:rsidRPr="000F0C25">
        <w:rPr>
          <w:rFonts w:ascii="Arial" w:eastAsia="Arial Narrow" w:hAnsi="Arial" w:cs="Arial"/>
          <w:spacing w:val="4"/>
          <w:lang w:val="en-US"/>
        </w:rPr>
        <w:t>We are also an independent advisor on the environment.</w:t>
      </w:r>
      <w:r w:rsidRPr="000F0C25">
        <w:rPr>
          <w:rFonts w:ascii="Arial" w:eastAsia="Arial Narrow" w:hAnsi="Arial" w:cs="Arial"/>
          <w:spacing w:val="4"/>
        </w:rPr>
        <w:t xml:space="preserve"> </w:t>
      </w:r>
      <w:r w:rsidRPr="003C5EB6">
        <w:rPr>
          <w:rFonts w:ascii="Arial" w:eastAsia="Arial Narrow" w:hAnsi="Arial" w:cs="Arial"/>
          <w:spacing w:val="7"/>
          <w:lang w:val="en-US"/>
        </w:rPr>
        <w:t xml:space="preserve">We </w:t>
      </w:r>
      <w:r w:rsidRPr="00F84E02">
        <w:rPr>
          <w:rFonts w:ascii="Arial" w:eastAsia="Arial Narrow" w:hAnsi="Arial" w:cs="Arial"/>
          <w:spacing w:val="7"/>
          <w:lang w:val="en-US"/>
        </w:rPr>
        <w:t>have 1,</w:t>
      </w:r>
      <w:r w:rsidR="00F84E02" w:rsidRPr="00F84E02">
        <w:rPr>
          <w:rFonts w:ascii="Arial" w:eastAsia="Arial Narrow" w:hAnsi="Arial" w:cs="Arial"/>
          <w:spacing w:val="7"/>
          <w:lang w:val="en-US"/>
        </w:rPr>
        <w:t>222</w:t>
      </w:r>
      <w:r w:rsidRPr="005231B1">
        <w:rPr>
          <w:rFonts w:ascii="Arial" w:eastAsia="Arial Narrow" w:hAnsi="Arial" w:cs="Arial"/>
          <w:spacing w:val="7"/>
          <w:lang w:val="en-US"/>
        </w:rPr>
        <w:t xml:space="preserve"> </w:t>
      </w:r>
      <w:r w:rsidRPr="000F0C25">
        <w:rPr>
          <w:rFonts w:ascii="Arial" w:eastAsia="Arial Narrow" w:hAnsi="Arial" w:cs="Arial"/>
          <w:spacing w:val="7"/>
          <w:lang w:val="en-US"/>
        </w:rPr>
        <w:t xml:space="preserve">employees </w:t>
      </w:r>
      <w:r w:rsidRPr="000F0C25">
        <w:rPr>
          <w:rFonts w:ascii="Arial" w:eastAsia="Arial Narrow" w:hAnsi="Arial" w:cs="Arial"/>
          <w:spacing w:val="3"/>
          <w:lang w:val="en-US"/>
        </w:rPr>
        <w:t>across Scotland.</w:t>
      </w:r>
      <w:r>
        <w:rPr>
          <w:rFonts w:ascii="Arial" w:eastAsia="Arial Narrow" w:hAnsi="Arial" w:cs="Arial"/>
          <w:spacing w:val="3"/>
          <w:lang w:val="en-US"/>
        </w:rPr>
        <w:t xml:space="preserve"> </w:t>
      </w:r>
    </w:p>
    <w:p w14:paraId="4A81546E" w14:textId="77777777" w:rsidR="00F775E8" w:rsidRPr="00F775E8" w:rsidRDefault="00F775E8" w:rsidP="00587275">
      <w:pPr>
        <w:spacing w:line="360" w:lineRule="auto"/>
        <w:ind w:right="-425"/>
        <w:textAlignment w:val="baseline"/>
        <w:rPr>
          <w:rFonts w:ascii="Arial" w:eastAsia="Arial Narrow" w:hAnsi="Arial" w:cs="Arial"/>
          <w:lang w:val="en-US"/>
        </w:rPr>
      </w:pPr>
    </w:p>
    <w:p w14:paraId="6A1B8843" w14:textId="77777777" w:rsidR="00250845" w:rsidRPr="000F0C25" w:rsidRDefault="00EE0F3C" w:rsidP="00587275">
      <w:pPr>
        <w:spacing w:line="360" w:lineRule="auto"/>
        <w:ind w:right="-425"/>
        <w:textAlignment w:val="baseline"/>
        <w:rPr>
          <w:rFonts w:ascii="Arial" w:eastAsia="Arial Narrow" w:hAnsi="Arial" w:cs="Arial"/>
          <w:b/>
          <w:spacing w:val="4"/>
          <w:lang w:val="en-US"/>
        </w:rPr>
      </w:pPr>
      <w:r w:rsidRPr="00A867FA">
        <w:rPr>
          <w:rFonts w:ascii="Arial" w:eastAsia="Arial Narrow" w:hAnsi="Arial" w:cs="Arial"/>
          <w:b/>
          <w:spacing w:val="4"/>
          <w:lang w:val="en-US"/>
        </w:rPr>
        <w:t>Our Board</w:t>
      </w:r>
    </w:p>
    <w:p w14:paraId="3EC5EDD0" w14:textId="21260C54" w:rsidR="00A867FA" w:rsidRPr="00FB7196" w:rsidRDefault="00A867FA" w:rsidP="00A867FA">
      <w:pPr>
        <w:spacing w:line="360" w:lineRule="auto"/>
        <w:rPr>
          <w:rFonts w:ascii="Arial" w:eastAsia="Arial Narrow" w:hAnsi="Arial" w:cs="Arial"/>
        </w:rPr>
      </w:pPr>
      <w:r w:rsidRPr="00FB7196">
        <w:rPr>
          <w:rFonts w:ascii="Arial" w:hAnsi="Arial" w:cs="Arial"/>
        </w:rPr>
        <w:t>The Board is responsible for the overall direction and performance of our organisation, including our efficiency and effectiveness as a public body. We are committed to having a Board that represents the diversity of Scotland and our people, supporting inclusive growth and equality</w:t>
      </w:r>
      <w:r w:rsidRPr="00FB7196">
        <w:rPr>
          <w:rFonts w:ascii="Arial" w:eastAsia="Arial Narrow" w:hAnsi="Arial" w:cs="Arial"/>
        </w:rPr>
        <w:t>. Further detail on Board members</w:t>
      </w:r>
      <w:r w:rsidRPr="00B9403F">
        <w:rPr>
          <w:rFonts w:ascii="Arial" w:eastAsia="Arial Narrow" w:hAnsi="Arial" w:cs="Arial"/>
          <w:vertAlign w:val="superscript"/>
        </w:rPr>
        <w:footnoteReference w:id="2"/>
      </w:r>
      <w:r w:rsidRPr="00FB7196">
        <w:rPr>
          <w:rFonts w:ascii="Arial" w:eastAsia="Arial Narrow" w:hAnsi="Arial" w:cs="Arial"/>
        </w:rPr>
        <w:t xml:space="preserve"> and the role of the Audit Committee, is covered in the Governance statement in the Accountability report section</w:t>
      </w:r>
      <w:r w:rsidR="005A08B9">
        <w:rPr>
          <w:rFonts w:ascii="Arial" w:eastAsia="Arial Narrow" w:hAnsi="Arial" w:cs="Arial"/>
        </w:rPr>
        <w:t xml:space="preserve"> (section 2.2)</w:t>
      </w:r>
      <w:r w:rsidRPr="00FB7196">
        <w:rPr>
          <w:rFonts w:ascii="Arial" w:eastAsia="Arial Narrow" w:hAnsi="Arial" w:cs="Arial"/>
        </w:rPr>
        <w:t>.</w:t>
      </w:r>
    </w:p>
    <w:p w14:paraId="753A0811" w14:textId="77777777" w:rsidR="00F775E8" w:rsidRPr="000F0C25" w:rsidRDefault="00F775E8" w:rsidP="00587275">
      <w:pPr>
        <w:spacing w:line="360" w:lineRule="auto"/>
        <w:ind w:right="-425"/>
        <w:textAlignment w:val="baseline"/>
        <w:rPr>
          <w:rFonts w:ascii="Arial" w:eastAsia="Arial Narrow" w:hAnsi="Arial" w:cs="Arial"/>
          <w:spacing w:val="6"/>
          <w:lang w:val="en-US"/>
        </w:rPr>
      </w:pPr>
    </w:p>
    <w:p w14:paraId="2626947E" w14:textId="2460A77C" w:rsidR="00EE0F3C" w:rsidRPr="000F0C25" w:rsidRDefault="00EE0F3C" w:rsidP="00587275">
      <w:pPr>
        <w:spacing w:line="360" w:lineRule="auto"/>
        <w:ind w:right="-425"/>
        <w:textAlignment w:val="baseline"/>
        <w:rPr>
          <w:rFonts w:ascii="Arial" w:eastAsia="Arial Narrow" w:hAnsi="Arial" w:cs="Arial"/>
          <w:b/>
          <w:spacing w:val="5"/>
        </w:rPr>
      </w:pPr>
      <w:r w:rsidRPr="00F55F6E">
        <w:rPr>
          <w:rFonts w:ascii="Arial" w:eastAsia="Arial Narrow" w:hAnsi="Arial" w:cs="Arial"/>
          <w:b/>
          <w:spacing w:val="5"/>
          <w:lang w:val="en-US"/>
        </w:rPr>
        <w:t>Our management</w:t>
      </w:r>
    </w:p>
    <w:p w14:paraId="02F6477E" w14:textId="16E0F237" w:rsidR="00F55F6E" w:rsidRDefault="00F55F6E" w:rsidP="00F55F6E">
      <w:pPr>
        <w:spacing w:line="360" w:lineRule="auto"/>
        <w:ind w:right="-425"/>
        <w:textAlignment w:val="baseline"/>
        <w:rPr>
          <w:rFonts w:ascii="Arial" w:eastAsia="Arial Narrow" w:hAnsi="Arial" w:cs="Arial"/>
          <w:spacing w:val="6"/>
          <w:lang w:val="en-US"/>
        </w:rPr>
      </w:pPr>
      <w:r w:rsidRPr="000F0C25">
        <w:rPr>
          <w:rFonts w:ascii="Arial" w:eastAsia="Arial Narrow" w:hAnsi="Arial" w:cs="Arial"/>
          <w:spacing w:val="6"/>
          <w:lang w:val="en-US"/>
        </w:rPr>
        <w:t>Details of our manage</w:t>
      </w:r>
      <w:r>
        <w:rPr>
          <w:rFonts w:ascii="Arial" w:eastAsia="Arial Narrow" w:hAnsi="Arial" w:cs="Arial"/>
          <w:spacing w:val="6"/>
          <w:lang w:val="en-US"/>
        </w:rPr>
        <w:t xml:space="preserve">ment team are included on </w:t>
      </w:r>
      <w:r w:rsidRPr="004C6708">
        <w:rPr>
          <w:rFonts w:ascii="Arial" w:eastAsia="Arial Narrow" w:hAnsi="Arial" w:cs="Arial"/>
          <w:spacing w:val="6"/>
          <w:lang w:val="en-US"/>
        </w:rPr>
        <w:t>pag</w:t>
      </w:r>
      <w:r>
        <w:rPr>
          <w:rFonts w:ascii="Arial" w:eastAsia="Arial Narrow" w:hAnsi="Arial" w:cs="Arial"/>
          <w:spacing w:val="6"/>
          <w:lang w:val="en-US"/>
        </w:rPr>
        <w:t>e</w:t>
      </w:r>
      <w:r w:rsidR="00AB559C">
        <w:rPr>
          <w:rFonts w:ascii="Arial" w:eastAsia="Arial Narrow" w:hAnsi="Arial" w:cs="Arial"/>
          <w:spacing w:val="6"/>
          <w:lang w:val="en-US"/>
        </w:rPr>
        <w:t xml:space="preserve"> </w:t>
      </w:r>
      <w:r w:rsidR="00CE4D41">
        <w:rPr>
          <w:rFonts w:ascii="Arial" w:eastAsia="Arial Narrow" w:hAnsi="Arial" w:cs="Arial"/>
          <w:spacing w:val="6"/>
          <w:lang w:val="en-US"/>
        </w:rPr>
        <w:t>75</w:t>
      </w:r>
      <w:r w:rsidRPr="004C6708">
        <w:rPr>
          <w:rFonts w:ascii="Arial" w:eastAsia="Arial Narrow" w:hAnsi="Arial" w:cs="Arial"/>
          <w:spacing w:val="6"/>
          <w:lang w:val="en-US"/>
        </w:rPr>
        <w:t>.</w:t>
      </w:r>
      <w:r w:rsidRPr="000F0C25">
        <w:rPr>
          <w:rFonts w:ascii="Arial" w:eastAsia="Arial Narrow" w:hAnsi="Arial" w:cs="Arial"/>
          <w:spacing w:val="6"/>
          <w:lang w:val="en-US"/>
        </w:rPr>
        <w:t xml:space="preserve"> The Board has delegated day-to-day management of SEPA’s operations to the </w:t>
      </w:r>
      <w:r w:rsidR="00BB7C99">
        <w:rPr>
          <w:rFonts w:ascii="Arial" w:eastAsia="Arial Narrow" w:hAnsi="Arial" w:cs="Arial"/>
          <w:spacing w:val="6"/>
          <w:lang w:val="en-US"/>
        </w:rPr>
        <w:t>Acting</w:t>
      </w:r>
      <w:r>
        <w:rPr>
          <w:rFonts w:ascii="Arial" w:eastAsia="Arial Narrow" w:hAnsi="Arial" w:cs="Arial"/>
          <w:spacing w:val="6"/>
          <w:lang w:val="en-US"/>
        </w:rPr>
        <w:t xml:space="preserve"> </w:t>
      </w:r>
      <w:r w:rsidRPr="000F0C25">
        <w:rPr>
          <w:rFonts w:ascii="Arial" w:eastAsia="Arial Narrow" w:hAnsi="Arial" w:cs="Arial"/>
          <w:spacing w:val="6"/>
          <w:lang w:val="en-US"/>
        </w:rPr>
        <w:t>Chief Executive, who works with directors and the Agency Management Team. The Agency Management Team is comprised of the Chief Executive, the Executive Director Evidence and Flooding</w:t>
      </w:r>
      <w:r w:rsidR="000F6097">
        <w:rPr>
          <w:rFonts w:ascii="Arial" w:eastAsia="Arial Narrow" w:hAnsi="Arial" w:cs="Arial"/>
          <w:spacing w:val="6"/>
          <w:lang w:val="en-US"/>
        </w:rPr>
        <w:t>,</w:t>
      </w:r>
      <w:r w:rsidRPr="000F0C25">
        <w:rPr>
          <w:rFonts w:ascii="Arial" w:eastAsia="Arial Narrow" w:hAnsi="Arial" w:cs="Arial"/>
          <w:spacing w:val="6"/>
          <w:lang w:val="en-US"/>
        </w:rPr>
        <w:t xml:space="preserve"> and the Chief Officers. The</w:t>
      </w:r>
      <w:r>
        <w:rPr>
          <w:rFonts w:ascii="Arial" w:eastAsia="Arial Narrow" w:hAnsi="Arial" w:cs="Arial"/>
          <w:spacing w:val="6"/>
          <w:lang w:val="en-US"/>
        </w:rPr>
        <w:t xml:space="preserve"> Agency Management Team is </w:t>
      </w:r>
      <w:r w:rsidRPr="000F0C25">
        <w:rPr>
          <w:rFonts w:ascii="Arial" w:eastAsia="Arial Narrow" w:hAnsi="Arial" w:cs="Arial"/>
          <w:spacing w:val="6"/>
          <w:lang w:val="en-US"/>
        </w:rPr>
        <w:t>responsible for strategic planning, business management, performance management</w:t>
      </w:r>
      <w:r w:rsidR="000F6097">
        <w:rPr>
          <w:rFonts w:ascii="Arial" w:eastAsia="Arial Narrow" w:hAnsi="Arial" w:cs="Arial"/>
          <w:spacing w:val="6"/>
          <w:lang w:val="en-US"/>
        </w:rPr>
        <w:t>,</w:t>
      </w:r>
      <w:r w:rsidRPr="000F0C25">
        <w:rPr>
          <w:rFonts w:ascii="Arial" w:eastAsia="Arial Narrow" w:hAnsi="Arial" w:cs="Arial"/>
          <w:spacing w:val="6"/>
          <w:lang w:val="en-US"/>
        </w:rPr>
        <w:t xml:space="preserve"> and change management, amongst other duties.</w:t>
      </w:r>
    </w:p>
    <w:p w14:paraId="158F069E" w14:textId="77777777" w:rsidR="00F775E8" w:rsidRPr="000F0C25" w:rsidRDefault="00F775E8" w:rsidP="00587275">
      <w:pPr>
        <w:spacing w:line="360" w:lineRule="auto"/>
        <w:ind w:right="-425"/>
        <w:textAlignment w:val="baseline"/>
        <w:rPr>
          <w:rFonts w:ascii="Arial" w:eastAsia="Arial Narrow" w:hAnsi="Arial" w:cs="Arial"/>
          <w:spacing w:val="6"/>
        </w:rPr>
      </w:pPr>
    </w:p>
    <w:p w14:paraId="02557141" w14:textId="3A733D1F" w:rsidR="00EE0F3C" w:rsidRPr="00232D89" w:rsidRDefault="00EE0F3C" w:rsidP="00587275">
      <w:pPr>
        <w:spacing w:line="360" w:lineRule="auto"/>
        <w:ind w:right="-425"/>
        <w:textAlignment w:val="baseline"/>
        <w:rPr>
          <w:rFonts w:ascii="Arial" w:eastAsia="Arial Narrow" w:hAnsi="Arial" w:cs="Arial"/>
          <w:spacing w:val="6"/>
        </w:rPr>
      </w:pPr>
      <w:r w:rsidRPr="00232D89">
        <w:rPr>
          <w:rFonts w:ascii="Arial" w:eastAsia="Arial Narrow" w:hAnsi="Arial" w:cs="Arial"/>
          <w:b/>
          <w:spacing w:val="3"/>
          <w:lang w:val="en-US"/>
        </w:rPr>
        <w:t>Our portfolios</w:t>
      </w:r>
    </w:p>
    <w:p w14:paraId="5C2E1B3E" w14:textId="1EAC0DE8" w:rsidR="00F775E8" w:rsidRPr="00232D89" w:rsidRDefault="00EE0F3C" w:rsidP="00587275">
      <w:pPr>
        <w:spacing w:line="360" w:lineRule="auto"/>
        <w:ind w:right="-425"/>
        <w:textAlignment w:val="baseline"/>
        <w:rPr>
          <w:rFonts w:ascii="Arial" w:eastAsia="Arial Narrow" w:hAnsi="Arial" w:cs="Arial"/>
          <w:color w:val="000000" w:themeColor="text1"/>
          <w:spacing w:val="8"/>
          <w:lang w:val="en-US"/>
        </w:rPr>
      </w:pPr>
      <w:r w:rsidRPr="00232D89">
        <w:rPr>
          <w:rFonts w:ascii="Arial" w:eastAsia="Arial Narrow" w:hAnsi="Arial" w:cs="Arial"/>
          <w:spacing w:val="8"/>
          <w:lang w:val="en-US"/>
        </w:rPr>
        <w:t xml:space="preserve">Our </w:t>
      </w:r>
      <w:hyperlink r:id="rId25" w:history="1">
        <w:r w:rsidRPr="00575AC7">
          <w:rPr>
            <w:rStyle w:val="Hyperlink"/>
            <w:rFonts w:ascii="Arial" w:eastAsia="Arial Narrow" w:hAnsi="Arial" w:cs="Arial"/>
            <w:spacing w:val="8"/>
            <w:lang w:val="en-US"/>
          </w:rPr>
          <w:t>Corporate Plan 2017-2022</w:t>
        </w:r>
      </w:hyperlink>
      <w:r w:rsidRPr="00232D89">
        <w:rPr>
          <w:rFonts w:ascii="Arial" w:eastAsia="Arial Narrow" w:hAnsi="Arial" w:cs="Arial"/>
          <w:spacing w:val="8"/>
          <w:lang w:val="en-US"/>
        </w:rPr>
        <w:t xml:space="preserve"> sets out the steps we need to take to help create a society that can operate within the means of only one planet.</w:t>
      </w:r>
    </w:p>
    <w:p w14:paraId="1DA6753D" w14:textId="77777777" w:rsidR="00720926" w:rsidRPr="00232D89" w:rsidRDefault="00720926" w:rsidP="00587275">
      <w:pPr>
        <w:spacing w:line="360" w:lineRule="auto"/>
        <w:ind w:right="-425"/>
        <w:textAlignment w:val="baseline"/>
        <w:rPr>
          <w:rFonts w:ascii="Arial" w:eastAsia="Arial Narrow" w:hAnsi="Arial" w:cs="Arial"/>
          <w:color w:val="000000" w:themeColor="text1"/>
          <w:spacing w:val="8"/>
          <w:lang w:val="en-US"/>
        </w:rPr>
      </w:pPr>
    </w:p>
    <w:p w14:paraId="4E3775AB" w14:textId="5ABC654F" w:rsidR="00C71551" w:rsidRPr="00232D89" w:rsidRDefault="00EE0F3C" w:rsidP="000A1D9E">
      <w:pPr>
        <w:pStyle w:val="ListParagraph"/>
        <w:numPr>
          <w:ilvl w:val="0"/>
          <w:numId w:val="17"/>
        </w:numPr>
        <w:tabs>
          <w:tab w:val="left" w:pos="709"/>
        </w:tabs>
        <w:spacing w:line="360" w:lineRule="auto"/>
        <w:ind w:right="-425"/>
        <w:contextualSpacing w:val="0"/>
        <w:textAlignment w:val="baseline"/>
        <w:rPr>
          <w:rFonts w:ascii="Arial" w:eastAsia="Arial Narrow" w:hAnsi="Arial" w:cs="Arial"/>
          <w:color w:val="000000" w:themeColor="text1"/>
          <w:spacing w:val="7"/>
        </w:rPr>
      </w:pPr>
      <w:r w:rsidRPr="00232D89">
        <w:rPr>
          <w:rFonts w:ascii="Arial" w:eastAsia="Arial Narrow" w:hAnsi="Arial" w:cs="Arial"/>
          <w:color w:val="000000" w:themeColor="text1"/>
          <w:spacing w:val="7"/>
          <w:lang w:val="en-US"/>
        </w:rPr>
        <w:t xml:space="preserve">Compliance and Beyond focuses on </w:t>
      </w:r>
      <w:r w:rsidR="0016277A">
        <w:rPr>
          <w:rFonts w:ascii="Arial" w:eastAsia="Arial Narrow" w:hAnsi="Arial" w:cs="Arial"/>
          <w:color w:val="000000" w:themeColor="text1"/>
          <w:spacing w:val="7"/>
          <w:lang w:val="en-US"/>
        </w:rPr>
        <w:t>E</w:t>
      </w:r>
      <w:r w:rsidRPr="00232D89">
        <w:rPr>
          <w:rFonts w:ascii="Arial" w:eastAsia="Arial Narrow" w:hAnsi="Arial" w:cs="Arial"/>
          <w:color w:val="000000" w:themeColor="text1"/>
          <w:spacing w:val="7"/>
          <w:lang w:val="en-US"/>
        </w:rPr>
        <w:t>nvironmental</w:t>
      </w:r>
      <w:r w:rsidR="00C71551" w:rsidRPr="00232D89">
        <w:rPr>
          <w:rFonts w:ascii="Arial" w:eastAsia="Arial Narrow" w:hAnsi="Arial" w:cs="Arial"/>
          <w:color w:val="000000" w:themeColor="text1"/>
          <w:spacing w:val="7"/>
        </w:rPr>
        <w:t xml:space="preserve"> </w:t>
      </w:r>
      <w:r w:rsidR="0016277A">
        <w:rPr>
          <w:rFonts w:ascii="Arial" w:eastAsia="Arial Narrow" w:hAnsi="Arial" w:cs="Arial"/>
          <w:color w:val="000000" w:themeColor="text1"/>
          <w:spacing w:val="8"/>
          <w:lang w:val="en-US"/>
        </w:rPr>
        <w:t>P</w:t>
      </w:r>
      <w:r w:rsidRPr="00232D89">
        <w:rPr>
          <w:rFonts w:ascii="Arial" w:eastAsia="Arial Narrow" w:hAnsi="Arial" w:cs="Arial"/>
          <w:color w:val="000000" w:themeColor="text1"/>
          <w:spacing w:val="8"/>
          <w:lang w:val="en-US"/>
        </w:rPr>
        <w:t xml:space="preserve">erformance, </w:t>
      </w:r>
      <w:r w:rsidR="0016277A">
        <w:rPr>
          <w:rFonts w:ascii="Arial" w:eastAsia="Arial Narrow" w:hAnsi="Arial" w:cs="Arial"/>
          <w:color w:val="000000" w:themeColor="text1"/>
          <w:spacing w:val="8"/>
          <w:lang w:val="en-US"/>
        </w:rPr>
        <w:t>E</w:t>
      </w:r>
      <w:r w:rsidRPr="00232D89">
        <w:rPr>
          <w:rFonts w:ascii="Arial" w:eastAsia="Arial Narrow" w:hAnsi="Arial" w:cs="Arial"/>
          <w:color w:val="000000" w:themeColor="text1"/>
          <w:spacing w:val="8"/>
          <w:lang w:val="en-US"/>
        </w:rPr>
        <w:t xml:space="preserve">nforcement, </w:t>
      </w:r>
      <w:r w:rsidR="0016277A">
        <w:rPr>
          <w:rFonts w:ascii="Arial" w:eastAsia="Arial Narrow" w:hAnsi="Arial" w:cs="Arial"/>
          <w:color w:val="000000" w:themeColor="text1"/>
          <w:spacing w:val="8"/>
          <w:lang w:val="en-US"/>
        </w:rPr>
        <w:t>P</w:t>
      </w:r>
      <w:r w:rsidRPr="00232D89">
        <w:rPr>
          <w:rFonts w:ascii="Arial" w:eastAsia="Arial Narrow" w:hAnsi="Arial" w:cs="Arial"/>
          <w:color w:val="000000" w:themeColor="text1"/>
          <w:spacing w:val="8"/>
          <w:lang w:val="en-US"/>
        </w:rPr>
        <w:t>ermitting</w:t>
      </w:r>
      <w:r w:rsidR="000A514D" w:rsidRPr="00232D89">
        <w:rPr>
          <w:rFonts w:ascii="Arial" w:eastAsia="Arial Narrow" w:hAnsi="Arial" w:cs="Arial"/>
          <w:color w:val="000000" w:themeColor="text1"/>
          <w:spacing w:val="8"/>
          <w:lang w:val="en-US"/>
        </w:rPr>
        <w:t>,</w:t>
      </w:r>
      <w:r w:rsidRPr="00232D89">
        <w:rPr>
          <w:rFonts w:ascii="Arial" w:eastAsia="Arial Narrow" w:hAnsi="Arial" w:cs="Arial"/>
          <w:color w:val="000000" w:themeColor="text1"/>
          <w:spacing w:val="8"/>
          <w:lang w:val="en-US"/>
        </w:rPr>
        <w:t xml:space="preserve"> and</w:t>
      </w:r>
      <w:r w:rsidR="00C71551" w:rsidRPr="00232D89">
        <w:rPr>
          <w:rFonts w:ascii="Arial" w:eastAsia="Arial Narrow" w:hAnsi="Arial" w:cs="Arial"/>
          <w:color w:val="000000" w:themeColor="text1"/>
          <w:spacing w:val="8"/>
          <w:lang w:val="en-US"/>
        </w:rPr>
        <w:t xml:space="preserve"> </w:t>
      </w:r>
      <w:r w:rsidR="0016277A">
        <w:rPr>
          <w:rFonts w:ascii="Arial" w:eastAsia="Arial Narrow" w:hAnsi="Arial" w:cs="Arial"/>
          <w:color w:val="000000" w:themeColor="text1"/>
          <w:spacing w:val="1"/>
          <w:lang w:val="en-US"/>
        </w:rPr>
        <w:t>L</w:t>
      </w:r>
      <w:r w:rsidRPr="00232D89">
        <w:rPr>
          <w:rFonts w:ascii="Arial" w:eastAsia="Arial Narrow" w:hAnsi="Arial" w:cs="Arial"/>
          <w:color w:val="000000" w:themeColor="text1"/>
          <w:spacing w:val="1"/>
          <w:lang w:val="en-US"/>
        </w:rPr>
        <w:t xml:space="preserve">egal </w:t>
      </w:r>
      <w:r w:rsidR="0016277A">
        <w:rPr>
          <w:rFonts w:ascii="Arial" w:eastAsia="Arial Narrow" w:hAnsi="Arial" w:cs="Arial"/>
          <w:color w:val="000000" w:themeColor="text1"/>
          <w:spacing w:val="1"/>
          <w:lang w:val="en-US"/>
        </w:rPr>
        <w:t>S</w:t>
      </w:r>
      <w:r w:rsidRPr="00232D89">
        <w:rPr>
          <w:rFonts w:ascii="Arial" w:eastAsia="Arial Narrow" w:hAnsi="Arial" w:cs="Arial"/>
          <w:color w:val="000000" w:themeColor="text1"/>
          <w:spacing w:val="1"/>
          <w:lang w:val="en-US"/>
        </w:rPr>
        <w:t>ervices.</w:t>
      </w:r>
    </w:p>
    <w:p w14:paraId="6AA54B10" w14:textId="59213ADA" w:rsidR="00EE0F3C" w:rsidRPr="00232D89" w:rsidRDefault="00EE0F3C" w:rsidP="000A1D9E">
      <w:pPr>
        <w:pStyle w:val="ListParagraph"/>
        <w:numPr>
          <w:ilvl w:val="0"/>
          <w:numId w:val="17"/>
        </w:numPr>
        <w:tabs>
          <w:tab w:val="left" w:pos="709"/>
        </w:tabs>
        <w:spacing w:line="360" w:lineRule="auto"/>
        <w:ind w:left="714" w:right="-425" w:hanging="357"/>
        <w:contextualSpacing w:val="0"/>
        <w:textAlignment w:val="baseline"/>
        <w:rPr>
          <w:rFonts w:ascii="Arial" w:eastAsia="Arial Narrow" w:hAnsi="Arial" w:cs="Arial"/>
          <w:color w:val="000000" w:themeColor="text1"/>
          <w:spacing w:val="7"/>
        </w:rPr>
      </w:pPr>
      <w:r w:rsidRPr="00232D89">
        <w:rPr>
          <w:rFonts w:ascii="Arial" w:eastAsia="Arial Narrow" w:hAnsi="Arial" w:cs="Arial"/>
          <w:color w:val="000000" w:themeColor="text1"/>
          <w:lang w:val="en-US"/>
        </w:rPr>
        <w:t xml:space="preserve">Circular Economy focuses on efficient use of resources and includes our </w:t>
      </w:r>
      <w:r w:rsidR="00695994">
        <w:rPr>
          <w:rFonts w:ascii="Arial" w:eastAsia="Arial Narrow" w:hAnsi="Arial" w:cs="Arial"/>
          <w:color w:val="000000" w:themeColor="text1"/>
          <w:lang w:val="en-US"/>
        </w:rPr>
        <w:t>E</w:t>
      </w:r>
      <w:r w:rsidRPr="00232D89">
        <w:rPr>
          <w:rFonts w:ascii="Arial" w:eastAsia="Arial Narrow" w:hAnsi="Arial" w:cs="Arial"/>
          <w:color w:val="000000" w:themeColor="text1"/>
          <w:lang w:val="en-US"/>
        </w:rPr>
        <w:t xml:space="preserve">nergy, </w:t>
      </w:r>
      <w:r w:rsidR="00695994">
        <w:rPr>
          <w:rFonts w:ascii="Arial" w:eastAsia="Arial Narrow" w:hAnsi="Arial" w:cs="Arial"/>
          <w:color w:val="000000" w:themeColor="text1"/>
          <w:lang w:val="en-US"/>
        </w:rPr>
        <w:t>R</w:t>
      </w:r>
      <w:r w:rsidRPr="00232D89">
        <w:rPr>
          <w:rFonts w:ascii="Arial" w:eastAsia="Arial Narrow" w:hAnsi="Arial" w:cs="Arial"/>
          <w:color w:val="000000" w:themeColor="text1"/>
          <w:lang w:val="en-US"/>
        </w:rPr>
        <w:t xml:space="preserve">adioactive </w:t>
      </w:r>
      <w:r w:rsidR="00695994">
        <w:rPr>
          <w:rFonts w:ascii="Arial" w:eastAsia="Arial Narrow" w:hAnsi="Arial" w:cs="Arial"/>
          <w:color w:val="000000" w:themeColor="text1"/>
          <w:lang w:val="en-US"/>
        </w:rPr>
        <w:t>S</w:t>
      </w:r>
      <w:r w:rsidRPr="00232D89">
        <w:rPr>
          <w:rFonts w:ascii="Arial" w:eastAsia="Arial Narrow" w:hAnsi="Arial" w:cs="Arial"/>
          <w:color w:val="000000" w:themeColor="text1"/>
          <w:lang w:val="en-US"/>
        </w:rPr>
        <w:t xml:space="preserve">ubstances, </w:t>
      </w:r>
      <w:r w:rsidR="00695994">
        <w:rPr>
          <w:rFonts w:ascii="Arial" w:eastAsia="Arial Narrow" w:hAnsi="Arial" w:cs="Arial"/>
          <w:color w:val="000000" w:themeColor="text1"/>
          <w:lang w:val="en-US"/>
        </w:rPr>
        <w:t>W</w:t>
      </w:r>
      <w:r w:rsidRPr="00232D89">
        <w:rPr>
          <w:rFonts w:ascii="Arial" w:eastAsia="Arial Narrow" w:hAnsi="Arial" w:cs="Arial"/>
          <w:color w:val="000000" w:themeColor="text1"/>
          <w:lang w:val="en-US"/>
        </w:rPr>
        <w:t xml:space="preserve">aste and </w:t>
      </w:r>
      <w:r w:rsidR="00695994">
        <w:rPr>
          <w:rFonts w:ascii="Arial" w:eastAsia="Arial Narrow" w:hAnsi="Arial" w:cs="Arial"/>
          <w:color w:val="000000" w:themeColor="text1"/>
          <w:lang w:val="en-US"/>
        </w:rPr>
        <w:t>L</w:t>
      </w:r>
      <w:r w:rsidRPr="00232D89">
        <w:rPr>
          <w:rFonts w:ascii="Arial" w:eastAsia="Arial Narrow" w:hAnsi="Arial" w:cs="Arial"/>
          <w:color w:val="000000" w:themeColor="text1"/>
          <w:lang w:val="en-US"/>
        </w:rPr>
        <w:t xml:space="preserve">andfill, </w:t>
      </w:r>
      <w:r w:rsidR="00695994">
        <w:rPr>
          <w:rFonts w:ascii="Arial" w:eastAsia="Arial Narrow" w:hAnsi="Arial" w:cs="Arial"/>
          <w:color w:val="000000" w:themeColor="text1"/>
          <w:lang w:val="en-US"/>
        </w:rPr>
        <w:t>P</w:t>
      </w:r>
      <w:r w:rsidRPr="00232D89">
        <w:rPr>
          <w:rFonts w:ascii="Arial" w:eastAsia="Arial Narrow" w:hAnsi="Arial" w:cs="Arial"/>
          <w:color w:val="000000" w:themeColor="text1"/>
          <w:lang w:val="en-US"/>
        </w:rPr>
        <w:t xml:space="preserve">lanning and </w:t>
      </w:r>
      <w:r w:rsidR="00695994">
        <w:rPr>
          <w:rFonts w:ascii="Arial" w:eastAsia="Arial Narrow" w:hAnsi="Arial" w:cs="Arial"/>
          <w:color w:val="000000" w:themeColor="text1"/>
          <w:lang w:val="en-US"/>
        </w:rPr>
        <w:t>L</w:t>
      </w:r>
      <w:r w:rsidRPr="00232D89">
        <w:rPr>
          <w:rFonts w:ascii="Arial" w:eastAsia="Arial Narrow" w:hAnsi="Arial" w:cs="Arial"/>
          <w:color w:val="000000" w:themeColor="text1"/>
          <w:lang w:val="en-US"/>
        </w:rPr>
        <w:t xml:space="preserve">and </w:t>
      </w:r>
      <w:r w:rsidR="00695994">
        <w:rPr>
          <w:rFonts w:ascii="Arial" w:eastAsia="Arial Narrow" w:hAnsi="Arial" w:cs="Arial"/>
          <w:color w:val="000000" w:themeColor="text1"/>
          <w:lang w:val="en-US"/>
        </w:rPr>
        <w:t>P</w:t>
      </w:r>
      <w:r w:rsidRPr="00232D89">
        <w:rPr>
          <w:rFonts w:ascii="Arial" w:eastAsia="Arial Narrow" w:hAnsi="Arial" w:cs="Arial"/>
          <w:color w:val="000000" w:themeColor="text1"/>
          <w:lang w:val="en-US"/>
        </w:rPr>
        <w:t xml:space="preserve">olicy, and </w:t>
      </w:r>
      <w:r w:rsidR="00695994">
        <w:rPr>
          <w:rFonts w:ascii="Arial" w:eastAsia="Arial Narrow" w:hAnsi="Arial" w:cs="Arial"/>
          <w:color w:val="000000" w:themeColor="text1"/>
          <w:lang w:val="en-US"/>
        </w:rPr>
        <w:t>W</w:t>
      </w:r>
      <w:r w:rsidRPr="00232D89">
        <w:rPr>
          <w:rFonts w:ascii="Arial" w:eastAsia="Arial Narrow" w:hAnsi="Arial" w:cs="Arial"/>
          <w:color w:val="000000" w:themeColor="text1"/>
          <w:lang w:val="en-US"/>
        </w:rPr>
        <w:t xml:space="preserve">ater </w:t>
      </w:r>
      <w:r w:rsidR="00695994">
        <w:rPr>
          <w:rFonts w:ascii="Arial" w:eastAsia="Arial Narrow" w:hAnsi="Arial" w:cs="Arial"/>
          <w:color w:val="000000" w:themeColor="text1"/>
          <w:lang w:val="en-US"/>
        </w:rPr>
        <w:t>T</w:t>
      </w:r>
      <w:r w:rsidRPr="00232D89">
        <w:rPr>
          <w:rFonts w:ascii="Arial" w:eastAsia="Arial Narrow" w:hAnsi="Arial" w:cs="Arial"/>
          <w:color w:val="000000" w:themeColor="text1"/>
          <w:lang w:val="en-US"/>
        </w:rPr>
        <w:t>eams.</w:t>
      </w:r>
    </w:p>
    <w:p w14:paraId="1FC3F27E" w14:textId="0787CA16" w:rsidR="003E3DD4" w:rsidRPr="00232D89" w:rsidRDefault="003E3DD4" w:rsidP="000A1D9E">
      <w:pPr>
        <w:pStyle w:val="ListParagraph"/>
        <w:numPr>
          <w:ilvl w:val="0"/>
          <w:numId w:val="18"/>
        </w:numPr>
        <w:tabs>
          <w:tab w:val="left" w:pos="288"/>
          <w:tab w:val="left" w:pos="709"/>
        </w:tabs>
        <w:spacing w:line="360" w:lineRule="auto"/>
        <w:ind w:left="714" w:right="-425" w:hanging="357"/>
        <w:contextualSpacing w:val="0"/>
        <w:textAlignment w:val="baseline"/>
        <w:rPr>
          <w:rFonts w:ascii="Arial" w:eastAsia="Arial Narrow" w:hAnsi="Arial" w:cs="Arial"/>
          <w:color w:val="000000" w:themeColor="text1"/>
        </w:rPr>
      </w:pPr>
      <w:r w:rsidRPr="00232D89">
        <w:rPr>
          <w:rFonts w:ascii="Arial" w:eastAsia="Arial Narrow" w:hAnsi="Arial" w:cs="Arial"/>
          <w:color w:val="000000" w:themeColor="text1"/>
          <w:lang w:val="en-US"/>
        </w:rPr>
        <w:t>Evidence and Flooding</w:t>
      </w:r>
      <w:r w:rsidR="00B36065" w:rsidRPr="00232D89">
        <w:rPr>
          <w:rFonts w:ascii="Arial" w:eastAsia="Arial Narrow" w:hAnsi="Arial" w:cs="Arial"/>
          <w:color w:val="000000" w:themeColor="text1"/>
          <w:lang w:val="en-US"/>
        </w:rPr>
        <w:t xml:space="preserve"> </w:t>
      </w:r>
      <w:r w:rsidR="00EE0F3C" w:rsidRPr="00232D89">
        <w:rPr>
          <w:rFonts w:ascii="Arial" w:eastAsia="Arial Narrow" w:hAnsi="Arial" w:cs="Arial"/>
          <w:color w:val="000000" w:themeColor="text1"/>
          <w:lang w:val="en-US"/>
        </w:rPr>
        <w:t xml:space="preserve">focuses on </w:t>
      </w:r>
      <w:r w:rsidR="00BF68EB">
        <w:rPr>
          <w:rFonts w:ascii="Arial" w:eastAsia="Arial Narrow" w:hAnsi="Arial" w:cs="Arial"/>
          <w:color w:val="000000" w:themeColor="text1"/>
          <w:lang w:val="en-US"/>
        </w:rPr>
        <w:t>E</w:t>
      </w:r>
      <w:r w:rsidR="00EE0F3C" w:rsidRPr="00232D89">
        <w:rPr>
          <w:rFonts w:ascii="Arial" w:eastAsia="Arial Narrow" w:hAnsi="Arial" w:cs="Arial"/>
          <w:color w:val="000000" w:themeColor="text1"/>
          <w:lang w:val="en-US"/>
        </w:rPr>
        <w:t xml:space="preserve">vidence, </w:t>
      </w:r>
      <w:r w:rsidR="00BF68EB">
        <w:rPr>
          <w:rFonts w:ascii="Arial" w:eastAsia="Arial Narrow" w:hAnsi="Arial" w:cs="Arial"/>
          <w:color w:val="000000" w:themeColor="text1"/>
          <w:lang w:val="en-US"/>
        </w:rPr>
        <w:t>Fl</w:t>
      </w:r>
      <w:r w:rsidR="00EE0F3C" w:rsidRPr="00232D89">
        <w:rPr>
          <w:rFonts w:ascii="Arial" w:eastAsia="Arial Narrow" w:hAnsi="Arial" w:cs="Arial"/>
          <w:color w:val="000000" w:themeColor="text1"/>
          <w:lang w:val="en-US"/>
        </w:rPr>
        <w:t xml:space="preserve">ood </w:t>
      </w:r>
      <w:r w:rsidR="00BF68EB">
        <w:rPr>
          <w:rFonts w:ascii="Arial" w:eastAsia="Arial Narrow" w:hAnsi="Arial" w:cs="Arial"/>
          <w:color w:val="000000" w:themeColor="text1"/>
          <w:lang w:val="en-US"/>
        </w:rPr>
        <w:t>Ri</w:t>
      </w:r>
      <w:r w:rsidR="00EE0F3C" w:rsidRPr="00232D89">
        <w:rPr>
          <w:rFonts w:ascii="Arial" w:eastAsia="Arial Narrow" w:hAnsi="Arial" w:cs="Arial"/>
          <w:color w:val="000000" w:themeColor="text1"/>
          <w:lang w:val="en-US"/>
        </w:rPr>
        <w:t xml:space="preserve">sk </w:t>
      </w:r>
      <w:r w:rsidR="00BF68EB">
        <w:rPr>
          <w:rFonts w:ascii="Arial" w:eastAsia="Arial Narrow" w:hAnsi="Arial" w:cs="Arial"/>
          <w:color w:val="000000" w:themeColor="text1"/>
          <w:lang w:val="en-US"/>
        </w:rPr>
        <w:t>M</w:t>
      </w:r>
      <w:r w:rsidR="00EE0F3C" w:rsidRPr="00232D89">
        <w:rPr>
          <w:rFonts w:ascii="Arial" w:eastAsia="Arial Narrow" w:hAnsi="Arial" w:cs="Arial"/>
          <w:color w:val="000000" w:themeColor="text1"/>
          <w:lang w:val="en-US"/>
        </w:rPr>
        <w:t>anagement</w:t>
      </w:r>
      <w:r w:rsidR="00B36065" w:rsidRPr="00232D89">
        <w:rPr>
          <w:rFonts w:ascii="Arial" w:eastAsia="Arial Narrow" w:hAnsi="Arial" w:cs="Arial"/>
          <w:color w:val="000000" w:themeColor="text1"/>
          <w:lang w:val="en-US"/>
        </w:rPr>
        <w:t>,</w:t>
      </w:r>
      <w:r w:rsidR="00EE0F3C" w:rsidRPr="00232D89">
        <w:rPr>
          <w:rFonts w:ascii="Arial" w:eastAsia="Arial Narrow" w:hAnsi="Arial" w:cs="Arial"/>
          <w:color w:val="000000" w:themeColor="text1"/>
          <w:lang w:val="en-US"/>
        </w:rPr>
        <w:t xml:space="preserve"> and </w:t>
      </w:r>
      <w:r w:rsidR="00BF68EB">
        <w:rPr>
          <w:rFonts w:ascii="Arial" w:eastAsia="Arial Narrow" w:hAnsi="Arial" w:cs="Arial"/>
          <w:color w:val="000000" w:themeColor="text1"/>
          <w:lang w:val="en-US"/>
        </w:rPr>
        <w:t>D</w:t>
      </w:r>
      <w:r w:rsidR="00EE0F3C" w:rsidRPr="00232D89">
        <w:rPr>
          <w:rFonts w:ascii="Arial" w:eastAsia="Arial Narrow" w:hAnsi="Arial" w:cs="Arial"/>
          <w:color w:val="000000" w:themeColor="text1"/>
          <w:lang w:val="en-US"/>
        </w:rPr>
        <w:t xml:space="preserve">igital </w:t>
      </w:r>
      <w:r w:rsidR="00BF68EB">
        <w:rPr>
          <w:rFonts w:ascii="Arial" w:eastAsia="Arial Narrow" w:hAnsi="Arial" w:cs="Arial"/>
          <w:color w:val="000000" w:themeColor="text1"/>
          <w:lang w:val="en-US"/>
        </w:rPr>
        <w:t>S</w:t>
      </w:r>
      <w:r w:rsidR="00EE0F3C" w:rsidRPr="00232D89">
        <w:rPr>
          <w:rFonts w:ascii="Arial" w:eastAsia="Arial Narrow" w:hAnsi="Arial" w:cs="Arial"/>
          <w:color w:val="000000" w:themeColor="text1"/>
          <w:lang w:val="en-US"/>
        </w:rPr>
        <w:t>ervices.</w:t>
      </w:r>
    </w:p>
    <w:p w14:paraId="5FB50550" w14:textId="4690035D" w:rsidR="003E3DD4" w:rsidRPr="00232D89" w:rsidRDefault="00EE0F3C" w:rsidP="000A1D9E">
      <w:pPr>
        <w:pStyle w:val="ListParagraph"/>
        <w:numPr>
          <w:ilvl w:val="0"/>
          <w:numId w:val="18"/>
        </w:numPr>
        <w:tabs>
          <w:tab w:val="left" w:pos="288"/>
          <w:tab w:val="left" w:pos="709"/>
        </w:tabs>
        <w:spacing w:line="360" w:lineRule="auto"/>
        <w:ind w:left="714" w:right="-425" w:hanging="357"/>
        <w:contextualSpacing w:val="0"/>
        <w:textAlignment w:val="baseline"/>
        <w:rPr>
          <w:rFonts w:ascii="Arial" w:eastAsia="Arial Narrow" w:hAnsi="Arial" w:cs="Arial"/>
          <w:color w:val="000000" w:themeColor="text1"/>
        </w:rPr>
      </w:pPr>
      <w:r w:rsidRPr="00232D89">
        <w:rPr>
          <w:rFonts w:ascii="Arial" w:eastAsia="Arial Narrow" w:hAnsi="Arial" w:cs="Arial"/>
          <w:color w:val="000000" w:themeColor="text1"/>
          <w:lang w:val="en-US"/>
        </w:rPr>
        <w:t>People and Property</w:t>
      </w:r>
      <w:r w:rsidR="003E3DD4" w:rsidRPr="00232D89">
        <w:rPr>
          <w:rFonts w:ascii="Arial" w:eastAsia="Arial Narrow" w:hAnsi="Arial" w:cs="Arial"/>
          <w:color w:val="000000" w:themeColor="text1"/>
          <w:lang w:val="en-US"/>
        </w:rPr>
        <w:t>,</w:t>
      </w:r>
      <w:r w:rsidRPr="00232D89">
        <w:rPr>
          <w:rFonts w:ascii="Arial" w:eastAsia="Arial Narrow" w:hAnsi="Arial" w:cs="Arial"/>
          <w:color w:val="000000" w:themeColor="text1"/>
          <w:lang w:val="en-US"/>
        </w:rPr>
        <w:t xml:space="preserve"> which includes </w:t>
      </w:r>
      <w:r w:rsidR="00854A33">
        <w:rPr>
          <w:rFonts w:ascii="Arial" w:eastAsia="Arial Narrow" w:hAnsi="Arial" w:cs="Arial"/>
          <w:color w:val="000000" w:themeColor="text1"/>
          <w:lang w:val="en-US"/>
        </w:rPr>
        <w:t>L</w:t>
      </w:r>
      <w:r w:rsidRPr="00232D89">
        <w:rPr>
          <w:rFonts w:ascii="Arial" w:eastAsia="Arial Narrow" w:hAnsi="Arial" w:cs="Arial"/>
          <w:color w:val="000000" w:themeColor="text1"/>
          <w:lang w:val="en-US"/>
        </w:rPr>
        <w:t xml:space="preserve">earning and </w:t>
      </w:r>
      <w:r w:rsidR="00854A33">
        <w:rPr>
          <w:rFonts w:ascii="Arial" w:eastAsia="Arial Narrow" w:hAnsi="Arial" w:cs="Arial"/>
          <w:color w:val="000000" w:themeColor="text1"/>
          <w:lang w:val="en-US"/>
        </w:rPr>
        <w:t>D</w:t>
      </w:r>
      <w:r w:rsidRPr="00232D89">
        <w:rPr>
          <w:rFonts w:ascii="Arial" w:eastAsia="Arial Narrow" w:hAnsi="Arial" w:cs="Arial"/>
          <w:color w:val="000000" w:themeColor="text1"/>
          <w:lang w:val="en-US"/>
        </w:rPr>
        <w:t xml:space="preserve">evelopment, </w:t>
      </w:r>
      <w:r w:rsidR="00854A33">
        <w:rPr>
          <w:rFonts w:ascii="Arial" w:eastAsia="Arial Narrow" w:hAnsi="Arial" w:cs="Arial"/>
          <w:color w:val="000000" w:themeColor="text1"/>
          <w:lang w:val="en-US"/>
        </w:rPr>
        <w:t>H</w:t>
      </w:r>
      <w:r w:rsidRPr="00232D89">
        <w:rPr>
          <w:rFonts w:ascii="Arial" w:eastAsia="Arial Narrow" w:hAnsi="Arial" w:cs="Arial"/>
          <w:color w:val="000000" w:themeColor="text1"/>
          <w:lang w:val="en-US"/>
        </w:rPr>
        <w:t xml:space="preserve">uman </w:t>
      </w:r>
      <w:r w:rsidR="00854A33">
        <w:rPr>
          <w:rFonts w:ascii="Arial" w:eastAsia="Arial Narrow" w:hAnsi="Arial" w:cs="Arial"/>
          <w:color w:val="000000" w:themeColor="text1"/>
          <w:lang w:val="en-US"/>
        </w:rPr>
        <w:t>R</w:t>
      </w:r>
      <w:r w:rsidRPr="00232D89">
        <w:rPr>
          <w:rFonts w:ascii="Arial" w:eastAsia="Arial Narrow" w:hAnsi="Arial" w:cs="Arial"/>
          <w:color w:val="000000" w:themeColor="text1"/>
          <w:lang w:val="en-US"/>
        </w:rPr>
        <w:t>esources</w:t>
      </w:r>
      <w:r w:rsidR="00B36065" w:rsidRPr="00232D89">
        <w:rPr>
          <w:rFonts w:ascii="Arial" w:eastAsia="Arial Narrow" w:hAnsi="Arial" w:cs="Arial"/>
          <w:color w:val="000000" w:themeColor="text1"/>
          <w:lang w:val="en-US"/>
        </w:rPr>
        <w:t>,</w:t>
      </w:r>
      <w:r w:rsidRPr="00232D89">
        <w:rPr>
          <w:rFonts w:ascii="Arial" w:eastAsia="Arial Narrow" w:hAnsi="Arial" w:cs="Arial"/>
          <w:color w:val="000000" w:themeColor="text1"/>
          <w:lang w:val="en-US"/>
        </w:rPr>
        <w:t xml:space="preserve"> </w:t>
      </w:r>
      <w:proofErr w:type="spellStart"/>
      <w:r w:rsidR="00EE4E57">
        <w:rPr>
          <w:rFonts w:ascii="Arial" w:eastAsia="Arial Narrow" w:hAnsi="Arial" w:cs="Arial"/>
          <w:color w:val="000000" w:themeColor="text1"/>
          <w:lang w:val="en-US"/>
        </w:rPr>
        <w:t>Organisationa</w:t>
      </w:r>
      <w:r w:rsidR="00854A33">
        <w:rPr>
          <w:rFonts w:ascii="Arial" w:eastAsia="Arial Narrow" w:hAnsi="Arial" w:cs="Arial"/>
          <w:color w:val="000000" w:themeColor="text1"/>
          <w:lang w:val="en-US"/>
        </w:rPr>
        <w:t>l</w:t>
      </w:r>
      <w:proofErr w:type="spellEnd"/>
      <w:r w:rsidR="00854A33">
        <w:rPr>
          <w:rFonts w:ascii="Arial" w:eastAsia="Arial Narrow" w:hAnsi="Arial" w:cs="Arial"/>
          <w:color w:val="000000" w:themeColor="text1"/>
          <w:lang w:val="en-US"/>
        </w:rPr>
        <w:t xml:space="preserve"> Development, </w:t>
      </w:r>
      <w:r w:rsidRPr="00232D89">
        <w:rPr>
          <w:rFonts w:ascii="Arial" w:eastAsia="Arial Narrow" w:hAnsi="Arial" w:cs="Arial"/>
          <w:color w:val="000000" w:themeColor="text1"/>
          <w:lang w:val="en-US"/>
        </w:rPr>
        <w:t>and management of our estate.</w:t>
      </w:r>
    </w:p>
    <w:p w14:paraId="168437C8" w14:textId="1FEAA969" w:rsidR="003E3DD4" w:rsidRPr="00232D89" w:rsidRDefault="00EE0F3C" w:rsidP="000A1D9E">
      <w:pPr>
        <w:pStyle w:val="ListParagraph"/>
        <w:numPr>
          <w:ilvl w:val="0"/>
          <w:numId w:val="18"/>
        </w:numPr>
        <w:tabs>
          <w:tab w:val="left" w:pos="288"/>
          <w:tab w:val="left" w:pos="709"/>
        </w:tabs>
        <w:spacing w:line="360" w:lineRule="auto"/>
        <w:ind w:left="714" w:right="-425" w:hanging="357"/>
        <w:contextualSpacing w:val="0"/>
        <w:textAlignment w:val="baseline"/>
        <w:rPr>
          <w:rFonts w:ascii="Arial" w:eastAsia="Arial Narrow" w:hAnsi="Arial" w:cs="Arial"/>
          <w:color w:val="000000" w:themeColor="text1"/>
        </w:rPr>
      </w:pPr>
      <w:r w:rsidRPr="00232D89">
        <w:rPr>
          <w:rFonts w:ascii="Arial" w:eastAsia="Arial Narrow" w:hAnsi="Arial" w:cs="Arial"/>
          <w:color w:val="000000" w:themeColor="text1"/>
          <w:lang w:val="en-US"/>
        </w:rPr>
        <w:lastRenderedPageBreak/>
        <w:t>Finance manages our financial affairs and procurement activities.</w:t>
      </w:r>
    </w:p>
    <w:p w14:paraId="744C21C2" w14:textId="4C591CCC" w:rsidR="003E3DD4" w:rsidRPr="00232D89" w:rsidRDefault="00DD1F77" w:rsidP="000A1D9E">
      <w:pPr>
        <w:pStyle w:val="ListParagraph"/>
        <w:numPr>
          <w:ilvl w:val="0"/>
          <w:numId w:val="18"/>
        </w:numPr>
        <w:tabs>
          <w:tab w:val="left" w:pos="288"/>
          <w:tab w:val="left" w:pos="709"/>
        </w:tabs>
        <w:spacing w:line="360" w:lineRule="auto"/>
        <w:ind w:left="714" w:right="-425" w:hanging="357"/>
        <w:contextualSpacing w:val="0"/>
        <w:textAlignment w:val="baseline"/>
        <w:rPr>
          <w:rFonts w:ascii="Arial" w:eastAsia="Arial Narrow" w:hAnsi="Arial" w:cs="Arial"/>
          <w:color w:val="000000" w:themeColor="text1"/>
          <w:lang w:val="en-US"/>
        </w:rPr>
      </w:pPr>
      <w:r w:rsidRPr="00232D89">
        <w:rPr>
          <w:rFonts w:ascii="Arial" w:eastAsia="Arial Narrow" w:hAnsi="Arial" w:cs="Arial"/>
          <w:color w:val="000000" w:themeColor="text1"/>
          <w:lang w:val="en-US"/>
        </w:rPr>
        <w:t>International Services</w:t>
      </w:r>
      <w:r w:rsidR="00EE0F3C" w:rsidRPr="00232D89">
        <w:rPr>
          <w:rFonts w:ascii="Arial" w:eastAsia="Arial Narrow" w:hAnsi="Arial" w:cs="Arial"/>
          <w:color w:val="000000" w:themeColor="text1"/>
          <w:lang w:val="en-US"/>
        </w:rPr>
        <w:t xml:space="preserve"> generates additional income by developing global commercial opportunities from our in-house e</w:t>
      </w:r>
      <w:r w:rsidR="003E3DD4" w:rsidRPr="00232D89">
        <w:rPr>
          <w:rFonts w:ascii="Arial" w:eastAsia="Arial Narrow" w:hAnsi="Arial" w:cs="Arial"/>
          <w:color w:val="000000" w:themeColor="text1"/>
          <w:lang w:val="en-US"/>
        </w:rPr>
        <w:t xml:space="preserve">xpertise, as well as seeking to </w:t>
      </w:r>
      <w:proofErr w:type="spellStart"/>
      <w:r w:rsidR="00EE0F3C" w:rsidRPr="00232D89">
        <w:rPr>
          <w:rFonts w:ascii="Arial" w:eastAsia="Arial Narrow" w:hAnsi="Arial" w:cs="Arial"/>
          <w:color w:val="000000" w:themeColor="text1"/>
          <w:lang w:val="en-US"/>
        </w:rPr>
        <w:t>maximise</w:t>
      </w:r>
      <w:proofErr w:type="spellEnd"/>
      <w:r w:rsidR="00EE0F3C" w:rsidRPr="00232D89">
        <w:rPr>
          <w:rFonts w:ascii="Arial" w:eastAsia="Arial Narrow" w:hAnsi="Arial" w:cs="Arial"/>
          <w:color w:val="000000" w:themeColor="text1"/>
          <w:lang w:val="en-US"/>
        </w:rPr>
        <w:t xml:space="preserve"> external grant funding.</w:t>
      </w:r>
    </w:p>
    <w:p w14:paraId="2B97A2C5" w14:textId="100977E4" w:rsidR="00720926" w:rsidRDefault="00EE0F3C" w:rsidP="00EE4E57">
      <w:pPr>
        <w:pStyle w:val="ListParagraph"/>
        <w:numPr>
          <w:ilvl w:val="0"/>
          <w:numId w:val="18"/>
        </w:numPr>
        <w:tabs>
          <w:tab w:val="left" w:pos="288"/>
          <w:tab w:val="left" w:pos="709"/>
        </w:tabs>
        <w:spacing w:line="360" w:lineRule="auto"/>
        <w:ind w:left="714" w:right="-425" w:hanging="357"/>
        <w:contextualSpacing w:val="0"/>
        <w:textAlignment w:val="baseline"/>
        <w:rPr>
          <w:rFonts w:ascii="Arial" w:eastAsia="Arial Narrow" w:hAnsi="Arial" w:cs="Arial"/>
          <w:color w:val="000000" w:themeColor="text1"/>
          <w:lang w:val="en-US"/>
        </w:rPr>
      </w:pPr>
      <w:r w:rsidRPr="00232D89">
        <w:rPr>
          <w:rFonts w:ascii="Arial" w:eastAsia="Arial Narrow" w:hAnsi="Arial" w:cs="Arial"/>
          <w:color w:val="000000" w:themeColor="text1"/>
          <w:lang w:val="en-US"/>
        </w:rPr>
        <w:t>Performance and Innovation</w:t>
      </w:r>
      <w:r w:rsidR="003E3DD4" w:rsidRPr="00232D89">
        <w:rPr>
          <w:rFonts w:ascii="Arial" w:eastAsia="Arial Narrow" w:hAnsi="Arial" w:cs="Arial"/>
          <w:color w:val="000000" w:themeColor="text1"/>
          <w:lang w:val="en-US"/>
        </w:rPr>
        <w:t>,</w:t>
      </w:r>
      <w:r w:rsidRPr="00232D89">
        <w:rPr>
          <w:rFonts w:ascii="Arial" w:eastAsia="Arial Narrow" w:hAnsi="Arial" w:cs="Arial"/>
          <w:color w:val="000000" w:themeColor="text1"/>
          <w:lang w:val="en-US"/>
        </w:rPr>
        <w:t xml:space="preserve"> which includes Regulatory Strategy and Government Relations, </w:t>
      </w:r>
      <w:r w:rsidR="007955A2">
        <w:rPr>
          <w:rFonts w:ascii="Arial" w:eastAsia="Arial Narrow" w:hAnsi="Arial" w:cs="Arial"/>
          <w:color w:val="000000" w:themeColor="text1"/>
          <w:lang w:val="en-US"/>
        </w:rPr>
        <w:t xml:space="preserve">International Services, </w:t>
      </w:r>
      <w:r w:rsidR="00362622">
        <w:rPr>
          <w:rFonts w:ascii="Arial" w:eastAsia="Arial Narrow" w:hAnsi="Arial" w:cs="Arial"/>
          <w:color w:val="000000" w:themeColor="text1"/>
          <w:lang w:val="en-US"/>
        </w:rPr>
        <w:t>Governance,</w:t>
      </w:r>
      <w:r w:rsidR="007955A2">
        <w:rPr>
          <w:rFonts w:ascii="Arial" w:eastAsia="Arial Narrow" w:hAnsi="Arial" w:cs="Arial"/>
          <w:color w:val="000000" w:themeColor="text1"/>
          <w:lang w:val="en-US"/>
        </w:rPr>
        <w:t xml:space="preserve"> and Innovation teams.  </w:t>
      </w:r>
      <w:r w:rsidR="00E7767F">
        <w:rPr>
          <w:rFonts w:ascii="Arial" w:eastAsia="Arial Narrow" w:hAnsi="Arial" w:cs="Arial"/>
          <w:color w:val="000000" w:themeColor="text1"/>
          <w:lang w:val="en-US"/>
        </w:rPr>
        <w:t xml:space="preserve">It also includes Communications and Marketing, which is currently reporting into the </w:t>
      </w:r>
      <w:r w:rsidR="00BB7C99">
        <w:rPr>
          <w:rFonts w:ascii="Arial" w:eastAsia="Arial Narrow" w:hAnsi="Arial" w:cs="Arial"/>
          <w:color w:val="000000" w:themeColor="text1"/>
          <w:lang w:val="en-US"/>
        </w:rPr>
        <w:t>Acting</w:t>
      </w:r>
      <w:r w:rsidR="009E2C47">
        <w:rPr>
          <w:rFonts w:ascii="Arial" w:eastAsia="Arial Narrow" w:hAnsi="Arial" w:cs="Arial"/>
          <w:color w:val="000000" w:themeColor="text1"/>
          <w:lang w:val="en-US"/>
        </w:rPr>
        <w:t xml:space="preserve"> </w:t>
      </w:r>
      <w:r w:rsidR="00E7767F">
        <w:rPr>
          <w:rFonts w:ascii="Arial" w:eastAsia="Arial Narrow" w:hAnsi="Arial" w:cs="Arial"/>
          <w:color w:val="000000" w:themeColor="text1"/>
          <w:lang w:val="en-US"/>
        </w:rPr>
        <w:t>Chief Executive on an interim basis.</w:t>
      </w:r>
    </w:p>
    <w:p w14:paraId="1639A9A9" w14:textId="77777777" w:rsidR="00EE4E57" w:rsidRPr="00EE4E57" w:rsidRDefault="00EE4E57" w:rsidP="00EE4E57">
      <w:pPr>
        <w:pStyle w:val="ListParagraph"/>
        <w:tabs>
          <w:tab w:val="left" w:pos="288"/>
          <w:tab w:val="left" w:pos="709"/>
        </w:tabs>
        <w:spacing w:line="360" w:lineRule="auto"/>
        <w:ind w:left="714" w:right="-425"/>
        <w:contextualSpacing w:val="0"/>
        <w:textAlignment w:val="baseline"/>
        <w:rPr>
          <w:rFonts w:ascii="Arial" w:eastAsia="Arial Narrow" w:hAnsi="Arial" w:cs="Arial"/>
          <w:color w:val="000000" w:themeColor="text1"/>
          <w:lang w:val="en-US"/>
        </w:rPr>
      </w:pPr>
    </w:p>
    <w:p w14:paraId="102A2827" w14:textId="1B741129" w:rsidR="00BC7659" w:rsidRDefault="00BC7659" w:rsidP="00587275">
      <w:pPr>
        <w:spacing w:line="360" w:lineRule="auto"/>
        <w:ind w:right="-425"/>
        <w:textAlignment w:val="baseline"/>
        <w:rPr>
          <w:rFonts w:ascii="Arial" w:eastAsia="Arial Narrow" w:hAnsi="Arial" w:cs="Arial"/>
          <w:b/>
          <w:spacing w:val="5"/>
          <w:lang w:val="en-US"/>
        </w:rPr>
      </w:pPr>
      <w:r w:rsidRPr="00BD2CDF">
        <w:rPr>
          <w:rFonts w:ascii="Arial" w:eastAsia="Arial Narrow" w:hAnsi="Arial" w:cs="Arial"/>
          <w:b/>
          <w:spacing w:val="5"/>
          <w:lang w:val="en-US"/>
        </w:rPr>
        <w:t>Our core services</w:t>
      </w:r>
    </w:p>
    <w:p w14:paraId="15FB0BE4" w14:textId="77777777" w:rsidR="0038463C" w:rsidRDefault="00BC7659" w:rsidP="00587275">
      <w:pPr>
        <w:autoSpaceDE w:val="0"/>
        <w:autoSpaceDN w:val="0"/>
        <w:adjustRightInd w:val="0"/>
        <w:spacing w:line="360" w:lineRule="auto"/>
        <w:ind w:right="-425"/>
        <w:rPr>
          <w:rFonts w:ascii="Arial" w:eastAsia="Arial Narrow" w:hAnsi="Arial" w:cs="Arial"/>
          <w:color w:val="000000" w:themeColor="text1"/>
          <w:spacing w:val="5"/>
          <w:lang w:val="en-US"/>
        </w:rPr>
      </w:pPr>
      <w:r w:rsidRPr="00D55BB9">
        <w:rPr>
          <w:rFonts w:ascii="Arial" w:eastAsia="Arial Narrow" w:hAnsi="Arial" w:cs="Arial"/>
          <w:color w:val="000000" w:themeColor="text1"/>
          <w:spacing w:val="5"/>
          <w:lang w:val="en-US"/>
        </w:rPr>
        <w:t xml:space="preserve">We have two external services: regulation and flooding. </w:t>
      </w:r>
    </w:p>
    <w:p w14:paraId="3E732954" w14:textId="77777777" w:rsidR="0038463C" w:rsidRDefault="0038463C" w:rsidP="00587275">
      <w:pPr>
        <w:autoSpaceDE w:val="0"/>
        <w:autoSpaceDN w:val="0"/>
        <w:adjustRightInd w:val="0"/>
        <w:spacing w:line="360" w:lineRule="auto"/>
        <w:ind w:right="-425"/>
        <w:rPr>
          <w:rFonts w:ascii="Arial" w:eastAsia="Arial Narrow" w:hAnsi="Arial" w:cs="Arial"/>
          <w:color w:val="000000" w:themeColor="text1"/>
          <w:spacing w:val="5"/>
          <w:lang w:val="en-US"/>
        </w:rPr>
      </w:pPr>
    </w:p>
    <w:p w14:paraId="2BA4C826" w14:textId="0C0CF55A" w:rsidR="003A7816" w:rsidRPr="0040041C" w:rsidRDefault="003A7816" w:rsidP="000A1D9E">
      <w:pPr>
        <w:pStyle w:val="ListParagraph"/>
        <w:numPr>
          <w:ilvl w:val="0"/>
          <w:numId w:val="21"/>
        </w:numPr>
        <w:autoSpaceDE w:val="0"/>
        <w:autoSpaceDN w:val="0"/>
        <w:adjustRightInd w:val="0"/>
        <w:spacing w:line="360" w:lineRule="auto"/>
        <w:ind w:right="-425"/>
        <w:rPr>
          <w:rStyle w:val="eop"/>
          <w:rFonts w:ascii="Arial" w:hAnsi="Arial" w:cs="Arial"/>
          <w:b/>
          <w:bCs/>
          <w:color w:val="000000" w:themeColor="text1"/>
          <w:sz w:val="22"/>
          <w:szCs w:val="22"/>
        </w:rPr>
      </w:pPr>
      <w:r w:rsidRPr="0040041C">
        <w:rPr>
          <w:rStyle w:val="normaltextrun"/>
          <w:rFonts w:ascii="Arial" w:hAnsi="Arial" w:cs="Arial"/>
          <w:color w:val="000000"/>
          <w:shd w:val="clear" w:color="auto" w:fill="FFFFFF"/>
        </w:rPr>
        <w:t>We are clear that compliance with environmental regulations is non-negotiable. Every Scottish business will comply with environmental laws. We are moving our regulation from individual sites to a sectoral approach to support this aim and to help as many businesses as possible to achieve the environmental, economic</w:t>
      </w:r>
      <w:r w:rsidR="00D9209F">
        <w:rPr>
          <w:rStyle w:val="normaltextrun"/>
          <w:rFonts w:ascii="Arial" w:hAnsi="Arial" w:cs="Arial"/>
          <w:color w:val="000000"/>
          <w:shd w:val="clear" w:color="auto" w:fill="FFFFFF"/>
        </w:rPr>
        <w:t>,</w:t>
      </w:r>
      <w:r w:rsidRPr="0040041C">
        <w:rPr>
          <w:rStyle w:val="normaltextrun"/>
          <w:rFonts w:ascii="Arial" w:hAnsi="Arial" w:cs="Arial"/>
          <w:color w:val="000000"/>
          <w:shd w:val="clear" w:color="auto" w:fill="FFFFFF"/>
        </w:rPr>
        <w:t xml:space="preserve"> and social benefits that come from voluntarily moving beyond compliance and adopting more sustainable business practices. We are also focusing our efforts on targeted places where great partnership </w:t>
      </w:r>
      <w:r w:rsidR="000E081E" w:rsidRPr="0040041C">
        <w:rPr>
          <w:rStyle w:val="normaltextrun"/>
          <w:rFonts w:ascii="Arial" w:hAnsi="Arial" w:cs="Arial"/>
          <w:color w:val="000000"/>
          <w:shd w:val="clear" w:color="auto" w:fill="FFFFFF"/>
        </w:rPr>
        <w:t>working,</w:t>
      </w:r>
      <w:r w:rsidRPr="0040041C">
        <w:rPr>
          <w:rStyle w:val="normaltextrun"/>
          <w:rFonts w:ascii="Arial" w:hAnsi="Arial" w:cs="Arial"/>
          <w:color w:val="000000"/>
          <w:shd w:val="clear" w:color="auto" w:fill="FFFFFF"/>
        </w:rPr>
        <w:t xml:space="preserve"> and collaboration can deliver environmental improvements along with social and economic opportunities. </w:t>
      </w:r>
    </w:p>
    <w:p w14:paraId="6B9F167F" w14:textId="77777777" w:rsidR="003A7816" w:rsidRPr="0040041C" w:rsidRDefault="003A7816" w:rsidP="003A7816">
      <w:pPr>
        <w:pStyle w:val="ListParagraph"/>
        <w:autoSpaceDE w:val="0"/>
        <w:autoSpaceDN w:val="0"/>
        <w:adjustRightInd w:val="0"/>
        <w:spacing w:line="360" w:lineRule="auto"/>
        <w:ind w:right="-425"/>
        <w:rPr>
          <w:rStyle w:val="eop"/>
          <w:rFonts w:ascii="Arial" w:hAnsi="Arial" w:cs="Arial"/>
          <w:b/>
          <w:bCs/>
          <w:color w:val="000000" w:themeColor="text1"/>
          <w:sz w:val="22"/>
          <w:szCs w:val="22"/>
        </w:rPr>
      </w:pPr>
    </w:p>
    <w:p w14:paraId="512EE4EC" w14:textId="1532C625" w:rsidR="003A7816" w:rsidRPr="00B36998" w:rsidRDefault="003A7816" w:rsidP="000A1D9E">
      <w:pPr>
        <w:pStyle w:val="ListParagraph"/>
        <w:numPr>
          <w:ilvl w:val="0"/>
          <w:numId w:val="21"/>
        </w:numPr>
        <w:autoSpaceDE w:val="0"/>
        <w:autoSpaceDN w:val="0"/>
        <w:adjustRightInd w:val="0"/>
        <w:spacing w:line="360" w:lineRule="auto"/>
        <w:ind w:right="-425"/>
        <w:rPr>
          <w:rFonts w:ascii="Arial" w:hAnsi="Arial" w:cs="Arial"/>
          <w:b/>
          <w:bCs/>
          <w:color w:val="000000" w:themeColor="text1"/>
          <w:sz w:val="22"/>
          <w:szCs w:val="22"/>
        </w:rPr>
      </w:pPr>
      <w:r w:rsidRPr="7A937A10">
        <w:rPr>
          <w:rFonts w:ascii="Arial" w:hAnsi="Arial" w:cs="Arial"/>
          <w:shd w:val="clear" w:color="auto" w:fill="FFFFFF"/>
        </w:rPr>
        <w:t>SEPA is Scotland’s national flood forecasting, flood warning</w:t>
      </w:r>
      <w:r w:rsidR="00D6728B">
        <w:rPr>
          <w:rFonts w:ascii="Arial" w:hAnsi="Arial" w:cs="Arial"/>
          <w:shd w:val="clear" w:color="auto" w:fill="FFFFFF"/>
        </w:rPr>
        <w:t>,</w:t>
      </w:r>
      <w:r>
        <w:rPr>
          <w:rFonts w:ascii="Arial" w:hAnsi="Arial" w:cs="Arial"/>
          <w:shd w:val="clear" w:color="auto" w:fill="FFFFFF"/>
        </w:rPr>
        <w:t xml:space="preserve"> </w:t>
      </w:r>
      <w:r w:rsidRPr="7A937A10">
        <w:rPr>
          <w:rFonts w:ascii="Arial" w:hAnsi="Arial" w:cs="Arial"/>
          <w:shd w:val="clear" w:color="auto" w:fill="FFFFFF"/>
        </w:rPr>
        <w:t xml:space="preserve">and strategic flood risk management authority and our Flooding Services help Scotland avoid the risk of flooding to new communities and businesses; protect those existing communities and businesses that are at risk from the effects of climate change; and warn if flooding is imminent so action can be taken to reduce the impact. </w:t>
      </w:r>
    </w:p>
    <w:p w14:paraId="3040977D" w14:textId="77777777" w:rsidR="00A27E90" w:rsidRPr="00AA076E" w:rsidRDefault="00A27E90" w:rsidP="00AA076E">
      <w:pPr>
        <w:autoSpaceDE w:val="0"/>
        <w:autoSpaceDN w:val="0"/>
        <w:adjustRightInd w:val="0"/>
        <w:spacing w:line="360" w:lineRule="auto"/>
        <w:ind w:right="-425"/>
        <w:rPr>
          <w:rFonts w:ascii="Arial" w:hAnsi="Arial" w:cs="Arial"/>
          <w:b/>
          <w:bCs/>
          <w:color w:val="000000" w:themeColor="text1"/>
        </w:rPr>
      </w:pPr>
    </w:p>
    <w:p w14:paraId="0C73B111" w14:textId="543C9FB3" w:rsidR="00FA2D5D" w:rsidRPr="006A175F" w:rsidRDefault="00803CF6" w:rsidP="00587275">
      <w:pPr>
        <w:spacing w:line="360" w:lineRule="auto"/>
        <w:ind w:right="-425"/>
        <w:rPr>
          <w:rFonts w:ascii="Arial" w:eastAsiaTheme="minorHAnsi" w:hAnsi="Arial" w:cs="Arial"/>
          <w:b/>
          <w:bCs/>
          <w:lang w:eastAsia="en-US"/>
        </w:rPr>
      </w:pPr>
      <w:r w:rsidRPr="006A175F">
        <w:rPr>
          <w:rFonts w:ascii="Arial" w:eastAsiaTheme="minorHAnsi" w:hAnsi="Arial" w:cs="Arial"/>
          <w:b/>
          <w:bCs/>
          <w:lang w:eastAsia="en-US"/>
        </w:rPr>
        <w:t>Our funding</w:t>
      </w:r>
    </w:p>
    <w:p w14:paraId="4D5C96D7" w14:textId="0EC7AFC5" w:rsidR="00FA2D5D" w:rsidRDefault="00FA2D5D" w:rsidP="00587275">
      <w:pPr>
        <w:spacing w:line="360" w:lineRule="auto"/>
        <w:ind w:right="-425"/>
        <w:rPr>
          <w:rFonts w:ascii="Arial" w:eastAsiaTheme="minorHAnsi" w:hAnsi="Arial" w:cs="Arial"/>
          <w:bCs/>
          <w:szCs w:val="22"/>
          <w:lang w:eastAsia="en-US"/>
        </w:rPr>
      </w:pPr>
      <w:r w:rsidRPr="006A175F">
        <w:rPr>
          <w:rFonts w:ascii="Arial" w:eastAsiaTheme="minorHAnsi" w:hAnsi="Arial" w:cs="Arial"/>
          <w:bCs/>
          <w:szCs w:val="22"/>
          <w:lang w:eastAsia="en-US"/>
        </w:rPr>
        <w:t xml:space="preserve">Our income in </w:t>
      </w:r>
      <w:r w:rsidR="005E585D" w:rsidRPr="006A175F">
        <w:rPr>
          <w:rFonts w:ascii="Arial" w:eastAsiaTheme="minorHAnsi" w:hAnsi="Arial" w:cs="Arial"/>
          <w:bCs/>
          <w:szCs w:val="22"/>
          <w:lang w:eastAsia="en-US"/>
        </w:rPr>
        <w:t>202</w:t>
      </w:r>
      <w:r w:rsidR="006A175F">
        <w:rPr>
          <w:rFonts w:ascii="Arial" w:eastAsiaTheme="minorHAnsi" w:hAnsi="Arial" w:cs="Arial"/>
          <w:bCs/>
          <w:szCs w:val="22"/>
          <w:lang w:eastAsia="en-US"/>
        </w:rPr>
        <w:t>1</w:t>
      </w:r>
      <w:r w:rsidR="006D10A8">
        <w:rPr>
          <w:rFonts w:ascii="Arial" w:eastAsiaTheme="minorHAnsi" w:hAnsi="Arial" w:cs="Arial"/>
          <w:bCs/>
          <w:szCs w:val="22"/>
          <w:lang w:eastAsia="en-US"/>
        </w:rPr>
        <w:t>/22</w:t>
      </w:r>
      <w:r w:rsidR="00177706" w:rsidRPr="006A175F">
        <w:rPr>
          <w:rFonts w:ascii="Arial" w:eastAsiaTheme="minorHAnsi" w:hAnsi="Arial" w:cs="Arial"/>
          <w:bCs/>
          <w:szCs w:val="22"/>
          <w:lang w:eastAsia="en-US"/>
        </w:rPr>
        <w:t xml:space="preserve"> of £</w:t>
      </w:r>
      <w:r w:rsidR="007048EC">
        <w:rPr>
          <w:rFonts w:ascii="Arial" w:eastAsiaTheme="minorHAnsi" w:hAnsi="Arial" w:cs="Arial"/>
          <w:bCs/>
          <w:szCs w:val="22"/>
          <w:lang w:eastAsia="en-US"/>
        </w:rPr>
        <w:t>9</w:t>
      </w:r>
      <w:r w:rsidR="00AD1B30">
        <w:rPr>
          <w:rFonts w:ascii="Arial" w:eastAsiaTheme="minorHAnsi" w:hAnsi="Arial" w:cs="Arial"/>
          <w:bCs/>
          <w:szCs w:val="22"/>
          <w:lang w:eastAsia="en-US"/>
        </w:rPr>
        <w:t>7</w:t>
      </w:r>
      <w:r w:rsidR="007048EC">
        <w:rPr>
          <w:rFonts w:ascii="Arial" w:eastAsiaTheme="minorHAnsi" w:hAnsi="Arial" w:cs="Arial"/>
          <w:bCs/>
          <w:szCs w:val="22"/>
          <w:lang w:eastAsia="en-US"/>
        </w:rPr>
        <w:t>m</w:t>
      </w:r>
      <w:r w:rsidR="00EC353D">
        <w:rPr>
          <w:rFonts w:ascii="Arial" w:eastAsiaTheme="minorHAnsi" w:hAnsi="Arial" w:cs="Arial"/>
          <w:bCs/>
          <w:szCs w:val="22"/>
          <w:lang w:eastAsia="en-US"/>
        </w:rPr>
        <w:t xml:space="preserve"> </w:t>
      </w:r>
      <w:r w:rsidRPr="006A175F">
        <w:rPr>
          <w:rFonts w:ascii="Arial" w:eastAsiaTheme="minorHAnsi" w:hAnsi="Arial" w:cs="Arial"/>
          <w:bCs/>
          <w:szCs w:val="22"/>
          <w:lang w:eastAsia="en-US"/>
        </w:rPr>
        <w:t>comes from a mixture of grants from the Scottish Government</w:t>
      </w:r>
      <w:r w:rsidR="00801095">
        <w:rPr>
          <w:rFonts w:ascii="Arial" w:eastAsiaTheme="minorHAnsi" w:hAnsi="Arial" w:cs="Arial"/>
          <w:bCs/>
          <w:szCs w:val="22"/>
          <w:lang w:eastAsia="en-US"/>
        </w:rPr>
        <w:t xml:space="preserve"> (Grant in Aid</w:t>
      </w:r>
      <w:r w:rsidR="00927CE1">
        <w:rPr>
          <w:rFonts w:ascii="Arial" w:eastAsiaTheme="minorHAnsi" w:hAnsi="Arial" w:cs="Arial"/>
          <w:bCs/>
          <w:szCs w:val="22"/>
          <w:lang w:eastAsia="en-US"/>
        </w:rPr>
        <w:t xml:space="preserve"> - </w:t>
      </w:r>
      <w:r w:rsidRPr="006A175F">
        <w:rPr>
          <w:rFonts w:ascii="Arial" w:eastAsiaTheme="minorHAnsi" w:hAnsi="Arial" w:cs="Arial"/>
          <w:bCs/>
          <w:szCs w:val="22"/>
          <w:lang w:eastAsia="en-US"/>
        </w:rPr>
        <w:t>£</w:t>
      </w:r>
      <w:r w:rsidR="00EC1D3A">
        <w:rPr>
          <w:rFonts w:ascii="Arial" w:eastAsiaTheme="minorHAnsi" w:hAnsi="Arial" w:cs="Arial"/>
          <w:bCs/>
          <w:szCs w:val="22"/>
          <w:lang w:eastAsia="en-US"/>
        </w:rPr>
        <w:t>4</w:t>
      </w:r>
      <w:r w:rsidR="007E4770">
        <w:rPr>
          <w:rFonts w:ascii="Arial" w:eastAsiaTheme="minorHAnsi" w:hAnsi="Arial" w:cs="Arial"/>
          <w:bCs/>
          <w:szCs w:val="22"/>
          <w:lang w:eastAsia="en-US"/>
        </w:rPr>
        <w:t>9m</w:t>
      </w:r>
      <w:r w:rsidR="00B82B0D">
        <w:rPr>
          <w:rFonts w:ascii="Arial" w:eastAsiaTheme="minorHAnsi" w:hAnsi="Arial" w:cs="Arial"/>
          <w:bCs/>
          <w:szCs w:val="22"/>
          <w:lang w:eastAsia="en-US"/>
        </w:rPr>
        <w:t>; this includes £6.2m capital</w:t>
      </w:r>
      <w:r w:rsidR="00B24098">
        <w:rPr>
          <w:rFonts w:ascii="Arial" w:eastAsiaTheme="minorHAnsi" w:hAnsi="Arial" w:cs="Arial"/>
          <w:bCs/>
          <w:szCs w:val="22"/>
          <w:lang w:eastAsia="en-US"/>
        </w:rPr>
        <w:t>)</w:t>
      </w:r>
      <w:r w:rsidR="008F731E">
        <w:rPr>
          <w:rFonts w:ascii="Arial" w:eastAsiaTheme="minorHAnsi" w:hAnsi="Arial" w:cs="Arial"/>
          <w:bCs/>
          <w:szCs w:val="22"/>
          <w:lang w:eastAsia="en-US"/>
        </w:rPr>
        <w:t>,</w:t>
      </w:r>
      <w:r w:rsidR="00BF0067">
        <w:rPr>
          <w:rFonts w:ascii="Arial" w:eastAsiaTheme="minorHAnsi" w:hAnsi="Arial" w:cs="Arial"/>
          <w:bCs/>
          <w:szCs w:val="22"/>
          <w:lang w:eastAsia="en-US"/>
        </w:rPr>
        <w:t xml:space="preserve"> </w:t>
      </w:r>
      <w:r w:rsidRPr="006A175F">
        <w:rPr>
          <w:rFonts w:ascii="Arial" w:eastAsiaTheme="minorHAnsi" w:hAnsi="Arial" w:cs="Arial"/>
          <w:bCs/>
          <w:szCs w:val="22"/>
          <w:lang w:eastAsia="en-US"/>
        </w:rPr>
        <w:t>licence fees from those we regulate (£4</w:t>
      </w:r>
      <w:r w:rsidR="009151BA">
        <w:rPr>
          <w:rFonts w:ascii="Arial" w:eastAsiaTheme="minorHAnsi" w:hAnsi="Arial" w:cs="Arial"/>
          <w:bCs/>
          <w:szCs w:val="22"/>
          <w:lang w:eastAsia="en-US"/>
        </w:rPr>
        <w:t>3</w:t>
      </w:r>
      <w:r w:rsidRPr="006A175F">
        <w:rPr>
          <w:rFonts w:ascii="Arial" w:eastAsiaTheme="minorHAnsi" w:hAnsi="Arial" w:cs="Arial"/>
          <w:bCs/>
          <w:szCs w:val="22"/>
          <w:lang w:eastAsia="en-US"/>
        </w:rPr>
        <w:t>m)</w:t>
      </w:r>
      <w:r w:rsidR="003673FD">
        <w:rPr>
          <w:rFonts w:ascii="Arial" w:eastAsiaTheme="minorHAnsi" w:hAnsi="Arial" w:cs="Arial"/>
          <w:bCs/>
          <w:szCs w:val="22"/>
          <w:lang w:eastAsia="en-US"/>
        </w:rPr>
        <w:t>,</w:t>
      </w:r>
      <w:r w:rsidR="00A329C5" w:rsidRPr="006A175F">
        <w:rPr>
          <w:rFonts w:ascii="Arial" w:eastAsiaTheme="minorHAnsi" w:hAnsi="Arial" w:cs="Arial"/>
          <w:bCs/>
          <w:szCs w:val="22"/>
          <w:lang w:eastAsia="en-US"/>
        </w:rPr>
        <w:t xml:space="preserve"> and other income</w:t>
      </w:r>
      <w:r w:rsidR="006E6203">
        <w:rPr>
          <w:rFonts w:ascii="Arial" w:eastAsiaTheme="minorHAnsi" w:hAnsi="Arial" w:cs="Arial"/>
          <w:bCs/>
          <w:szCs w:val="22"/>
          <w:lang w:eastAsia="en-US"/>
        </w:rPr>
        <w:t xml:space="preserve"> (</w:t>
      </w:r>
      <w:r w:rsidRPr="006A175F">
        <w:rPr>
          <w:rFonts w:ascii="Arial" w:eastAsiaTheme="minorHAnsi" w:hAnsi="Arial" w:cs="Arial"/>
          <w:bCs/>
          <w:szCs w:val="22"/>
          <w:lang w:eastAsia="en-US"/>
        </w:rPr>
        <w:t>£</w:t>
      </w:r>
      <w:r w:rsidR="00893D57">
        <w:rPr>
          <w:rFonts w:ascii="Arial" w:eastAsiaTheme="minorHAnsi" w:hAnsi="Arial" w:cs="Arial"/>
          <w:bCs/>
          <w:szCs w:val="22"/>
          <w:lang w:eastAsia="en-US"/>
        </w:rPr>
        <w:t>5</w:t>
      </w:r>
      <w:r w:rsidR="002110E5">
        <w:rPr>
          <w:rFonts w:ascii="Arial" w:eastAsiaTheme="minorHAnsi" w:hAnsi="Arial" w:cs="Arial"/>
          <w:bCs/>
          <w:szCs w:val="22"/>
          <w:lang w:eastAsia="en-US"/>
        </w:rPr>
        <w:t>m</w:t>
      </w:r>
      <w:r w:rsidR="006E6203">
        <w:rPr>
          <w:rFonts w:ascii="Arial" w:eastAsiaTheme="minorHAnsi" w:hAnsi="Arial" w:cs="Arial"/>
          <w:bCs/>
          <w:szCs w:val="22"/>
          <w:lang w:eastAsia="en-US"/>
        </w:rPr>
        <w:t>)</w:t>
      </w:r>
      <w:r w:rsidR="00A329C5" w:rsidRPr="006A175F">
        <w:rPr>
          <w:rFonts w:ascii="Arial" w:eastAsiaTheme="minorHAnsi" w:hAnsi="Arial" w:cs="Arial"/>
          <w:bCs/>
          <w:szCs w:val="22"/>
          <w:lang w:eastAsia="en-US"/>
        </w:rPr>
        <w:t>.</w:t>
      </w:r>
      <w:r w:rsidR="00880F23" w:rsidRPr="006A175F">
        <w:rPr>
          <w:rFonts w:ascii="Arial" w:eastAsiaTheme="minorHAnsi" w:hAnsi="Arial" w:cs="Arial"/>
          <w:bCs/>
          <w:szCs w:val="22"/>
          <w:lang w:eastAsia="en-US"/>
        </w:rPr>
        <w:t xml:space="preserve"> </w:t>
      </w:r>
      <w:r w:rsidRPr="006A175F">
        <w:rPr>
          <w:rFonts w:ascii="Arial" w:eastAsiaTheme="minorHAnsi" w:hAnsi="Arial" w:cs="Arial"/>
          <w:bCs/>
          <w:szCs w:val="22"/>
          <w:lang w:eastAsia="en-US"/>
        </w:rPr>
        <w:t xml:space="preserve"> This income covered our operating costs for the year</w:t>
      </w:r>
      <w:r w:rsidR="00D50A98" w:rsidRPr="006A175F">
        <w:rPr>
          <w:rFonts w:ascii="Arial" w:eastAsiaTheme="minorHAnsi" w:hAnsi="Arial" w:cs="Arial"/>
          <w:bCs/>
          <w:szCs w:val="22"/>
          <w:lang w:eastAsia="en-US"/>
        </w:rPr>
        <w:t>,</w:t>
      </w:r>
      <w:r w:rsidR="00880F23" w:rsidRPr="006A175F">
        <w:rPr>
          <w:rFonts w:ascii="Arial" w:eastAsiaTheme="minorHAnsi" w:hAnsi="Arial" w:cs="Arial"/>
          <w:bCs/>
          <w:szCs w:val="22"/>
          <w:lang w:eastAsia="en-US"/>
        </w:rPr>
        <w:t xml:space="preserve"> </w:t>
      </w:r>
      <w:r w:rsidR="00C81DF2" w:rsidRPr="006A175F">
        <w:rPr>
          <w:rFonts w:ascii="Arial" w:eastAsiaTheme="minorHAnsi" w:hAnsi="Arial" w:cs="Arial"/>
          <w:bCs/>
          <w:szCs w:val="22"/>
          <w:lang w:eastAsia="en-US"/>
        </w:rPr>
        <w:t xml:space="preserve">excluding </w:t>
      </w:r>
      <w:r w:rsidR="00457458" w:rsidRPr="006A175F">
        <w:rPr>
          <w:rFonts w:ascii="Arial" w:eastAsiaTheme="minorHAnsi" w:hAnsi="Arial" w:cs="Arial"/>
          <w:bCs/>
          <w:szCs w:val="22"/>
          <w:lang w:eastAsia="en-US"/>
        </w:rPr>
        <w:t>pensions</w:t>
      </w:r>
      <w:r w:rsidR="000A06AF" w:rsidRPr="006A175F">
        <w:rPr>
          <w:rFonts w:ascii="Arial" w:eastAsiaTheme="minorHAnsi" w:hAnsi="Arial" w:cs="Arial"/>
          <w:bCs/>
          <w:szCs w:val="22"/>
          <w:lang w:eastAsia="en-US"/>
        </w:rPr>
        <w:t xml:space="preserve"> costs under IAS</w:t>
      </w:r>
      <w:r w:rsidR="00BC1419" w:rsidRPr="006A175F">
        <w:rPr>
          <w:rFonts w:ascii="Arial" w:eastAsiaTheme="minorHAnsi" w:hAnsi="Arial" w:cs="Arial"/>
          <w:bCs/>
          <w:szCs w:val="22"/>
          <w:lang w:eastAsia="en-US"/>
        </w:rPr>
        <w:t xml:space="preserve"> 19</w:t>
      </w:r>
      <w:r w:rsidRPr="006A175F">
        <w:rPr>
          <w:rFonts w:ascii="Arial" w:eastAsiaTheme="minorHAnsi" w:hAnsi="Arial" w:cs="Arial"/>
          <w:bCs/>
          <w:szCs w:val="22"/>
          <w:lang w:eastAsia="en-US"/>
        </w:rPr>
        <w:t xml:space="preserve"> of £</w:t>
      </w:r>
      <w:r w:rsidR="009151BA">
        <w:rPr>
          <w:rFonts w:ascii="Arial" w:eastAsiaTheme="minorHAnsi" w:hAnsi="Arial" w:cs="Arial"/>
          <w:bCs/>
          <w:szCs w:val="22"/>
          <w:lang w:eastAsia="en-US"/>
        </w:rPr>
        <w:t>20</w:t>
      </w:r>
      <w:r w:rsidRPr="006A175F">
        <w:rPr>
          <w:rFonts w:ascii="Arial" w:eastAsiaTheme="minorHAnsi" w:hAnsi="Arial" w:cs="Arial"/>
          <w:bCs/>
          <w:szCs w:val="22"/>
          <w:lang w:eastAsia="en-US"/>
        </w:rPr>
        <w:t>m</w:t>
      </w:r>
      <w:r w:rsidR="003673FD">
        <w:rPr>
          <w:rFonts w:ascii="Arial" w:eastAsiaTheme="minorHAnsi" w:hAnsi="Arial" w:cs="Arial"/>
          <w:bCs/>
          <w:szCs w:val="22"/>
          <w:lang w:eastAsia="en-US"/>
        </w:rPr>
        <w:t>,</w:t>
      </w:r>
      <w:r w:rsidRPr="006A175F">
        <w:rPr>
          <w:rFonts w:ascii="Arial" w:eastAsiaTheme="minorHAnsi" w:hAnsi="Arial" w:cs="Arial"/>
          <w:bCs/>
          <w:szCs w:val="22"/>
          <w:lang w:eastAsia="en-US"/>
        </w:rPr>
        <w:t xml:space="preserve"> and </w:t>
      </w:r>
      <w:r w:rsidR="00734492">
        <w:rPr>
          <w:rFonts w:ascii="Arial" w:eastAsiaTheme="minorHAnsi" w:hAnsi="Arial" w:cs="Arial"/>
          <w:bCs/>
          <w:szCs w:val="22"/>
          <w:lang w:eastAsia="en-US"/>
        </w:rPr>
        <w:t xml:space="preserve">the </w:t>
      </w:r>
      <w:r w:rsidR="0029609A">
        <w:rPr>
          <w:rFonts w:ascii="Arial" w:eastAsiaTheme="minorHAnsi" w:hAnsi="Arial" w:cs="Arial"/>
          <w:bCs/>
          <w:szCs w:val="22"/>
          <w:lang w:eastAsia="en-US"/>
        </w:rPr>
        <w:t xml:space="preserve">movements in the value of assets </w:t>
      </w:r>
      <w:r w:rsidR="00844F70">
        <w:rPr>
          <w:rFonts w:ascii="Arial" w:eastAsiaTheme="minorHAnsi" w:hAnsi="Arial" w:cs="Arial"/>
          <w:bCs/>
          <w:szCs w:val="22"/>
          <w:lang w:eastAsia="en-US"/>
        </w:rPr>
        <w:t xml:space="preserve">of </w:t>
      </w:r>
      <w:r w:rsidR="0029609A">
        <w:rPr>
          <w:rFonts w:ascii="Arial" w:eastAsiaTheme="minorHAnsi" w:hAnsi="Arial" w:cs="Arial"/>
          <w:bCs/>
          <w:szCs w:val="22"/>
          <w:lang w:eastAsia="en-US"/>
        </w:rPr>
        <w:t>£0.</w:t>
      </w:r>
      <w:r w:rsidR="00862775">
        <w:rPr>
          <w:rFonts w:ascii="Arial" w:eastAsiaTheme="minorHAnsi" w:hAnsi="Arial" w:cs="Arial"/>
          <w:bCs/>
          <w:szCs w:val="22"/>
          <w:lang w:eastAsia="en-US"/>
        </w:rPr>
        <w:t>4</w:t>
      </w:r>
      <w:r w:rsidR="0029609A">
        <w:rPr>
          <w:rFonts w:ascii="Arial" w:eastAsiaTheme="minorHAnsi" w:hAnsi="Arial" w:cs="Arial"/>
          <w:bCs/>
          <w:szCs w:val="22"/>
          <w:lang w:eastAsia="en-US"/>
        </w:rPr>
        <w:t>m</w:t>
      </w:r>
      <w:r w:rsidR="00830190">
        <w:rPr>
          <w:rFonts w:ascii="Arial" w:eastAsiaTheme="minorHAnsi" w:hAnsi="Arial" w:cs="Arial"/>
          <w:bCs/>
          <w:szCs w:val="22"/>
          <w:lang w:eastAsia="en-US"/>
        </w:rPr>
        <w:t xml:space="preserve"> both of which are funded from the Annually Managed Expenditure (AME) budget</w:t>
      </w:r>
      <w:r w:rsidR="008303E0">
        <w:rPr>
          <w:rFonts w:ascii="Arial" w:eastAsiaTheme="minorHAnsi" w:hAnsi="Arial" w:cs="Arial"/>
          <w:bCs/>
          <w:szCs w:val="22"/>
          <w:lang w:eastAsia="en-US"/>
        </w:rPr>
        <w:t xml:space="preserve"> (</w:t>
      </w:r>
      <w:hyperlink w:anchor="Note22AME" w:history="1">
        <w:r w:rsidR="00830190" w:rsidRPr="0045095E">
          <w:rPr>
            <w:rStyle w:val="Hyperlink"/>
            <w:rFonts w:ascii="Arial" w:eastAsiaTheme="minorHAnsi" w:hAnsi="Arial" w:cs="Arial"/>
            <w:bCs/>
            <w:szCs w:val="22"/>
            <w:lang w:eastAsia="en-US"/>
          </w:rPr>
          <w:t>see note</w:t>
        </w:r>
        <w:r w:rsidR="008303E0" w:rsidRPr="0045095E">
          <w:rPr>
            <w:rStyle w:val="Hyperlink"/>
            <w:rFonts w:ascii="Arial" w:eastAsiaTheme="minorHAnsi" w:hAnsi="Arial" w:cs="Arial"/>
            <w:bCs/>
            <w:szCs w:val="22"/>
            <w:lang w:eastAsia="en-US"/>
          </w:rPr>
          <w:t xml:space="preserve"> 22</w:t>
        </w:r>
      </w:hyperlink>
      <w:r w:rsidR="008303E0">
        <w:rPr>
          <w:rFonts w:ascii="Arial" w:eastAsiaTheme="minorHAnsi" w:hAnsi="Arial" w:cs="Arial"/>
          <w:bCs/>
          <w:szCs w:val="22"/>
          <w:lang w:eastAsia="en-US"/>
        </w:rPr>
        <w:t>)</w:t>
      </w:r>
      <w:r w:rsidRPr="006A175F">
        <w:rPr>
          <w:rFonts w:ascii="Arial" w:eastAsiaTheme="minorHAnsi" w:hAnsi="Arial" w:cs="Arial"/>
          <w:bCs/>
          <w:szCs w:val="22"/>
          <w:lang w:eastAsia="en-US"/>
        </w:rPr>
        <w:t>.</w:t>
      </w:r>
    </w:p>
    <w:p w14:paraId="7413A2C0" w14:textId="77777777" w:rsidR="00FA2D5D" w:rsidRPr="006A175F" w:rsidRDefault="00FA2D5D" w:rsidP="00587275">
      <w:pPr>
        <w:spacing w:line="360" w:lineRule="auto"/>
        <w:ind w:right="-425"/>
        <w:rPr>
          <w:rFonts w:ascii="Arial" w:eastAsiaTheme="minorHAnsi" w:hAnsi="Arial" w:cs="Arial"/>
          <w:bCs/>
          <w:szCs w:val="22"/>
          <w:lang w:eastAsia="en-US"/>
        </w:rPr>
      </w:pPr>
    </w:p>
    <w:p w14:paraId="1DDB7F44" w14:textId="77777777" w:rsidR="00647AC5" w:rsidRDefault="00FA2D5D" w:rsidP="00C8157D">
      <w:pPr>
        <w:spacing w:line="360" w:lineRule="auto"/>
        <w:ind w:right="-425"/>
        <w:rPr>
          <w:rFonts w:ascii="Arial" w:eastAsiaTheme="minorHAnsi" w:hAnsi="Arial" w:cs="Arial"/>
          <w:bCs/>
          <w:szCs w:val="22"/>
          <w:lang w:eastAsia="en-US"/>
        </w:rPr>
        <w:sectPr w:rsidR="00647AC5" w:rsidSect="00766B69">
          <w:pgSz w:w="11906" w:h="16838" w:code="9"/>
          <w:pgMar w:top="539" w:right="991" w:bottom="709" w:left="1134" w:header="709" w:footer="170" w:gutter="0"/>
          <w:cols w:space="708"/>
          <w:docGrid w:linePitch="360"/>
        </w:sectPr>
      </w:pPr>
      <w:r w:rsidRPr="00C63093">
        <w:rPr>
          <w:rFonts w:ascii="Arial" w:eastAsiaTheme="minorHAnsi" w:hAnsi="Arial" w:cs="Arial"/>
          <w:bCs/>
          <w:szCs w:val="22"/>
          <w:lang w:eastAsia="en-US"/>
        </w:rPr>
        <w:t xml:space="preserve">The chart below shows where our income has come from </w:t>
      </w:r>
      <w:r w:rsidR="00D56E4E" w:rsidRPr="00C63093">
        <w:rPr>
          <w:rFonts w:ascii="Arial" w:eastAsiaTheme="minorHAnsi" w:hAnsi="Arial" w:cs="Arial"/>
          <w:bCs/>
          <w:szCs w:val="22"/>
          <w:lang w:eastAsia="en-US"/>
        </w:rPr>
        <w:t xml:space="preserve">and how it has been used </w:t>
      </w:r>
      <w:r w:rsidR="00296832" w:rsidRPr="00C63093">
        <w:rPr>
          <w:rFonts w:ascii="Arial" w:eastAsiaTheme="minorHAnsi" w:hAnsi="Arial" w:cs="Arial"/>
          <w:bCs/>
          <w:szCs w:val="22"/>
          <w:lang w:eastAsia="en-US"/>
        </w:rPr>
        <w:t>from April 201</w:t>
      </w:r>
      <w:r w:rsidR="00426CEB" w:rsidRPr="00C63093">
        <w:rPr>
          <w:rFonts w:ascii="Arial" w:eastAsiaTheme="minorHAnsi" w:hAnsi="Arial" w:cs="Arial"/>
          <w:bCs/>
          <w:szCs w:val="22"/>
          <w:lang w:eastAsia="en-US"/>
        </w:rPr>
        <w:t>3</w:t>
      </w:r>
      <w:r w:rsidR="00296832" w:rsidRPr="00C63093">
        <w:rPr>
          <w:rFonts w:ascii="Arial" w:eastAsiaTheme="minorHAnsi" w:hAnsi="Arial" w:cs="Arial"/>
          <w:bCs/>
          <w:szCs w:val="22"/>
          <w:lang w:eastAsia="en-US"/>
        </w:rPr>
        <w:t xml:space="preserve"> through to </w:t>
      </w:r>
      <w:r w:rsidR="008761EE" w:rsidRPr="00C63093">
        <w:rPr>
          <w:rFonts w:ascii="Arial" w:eastAsiaTheme="minorHAnsi" w:hAnsi="Arial" w:cs="Arial"/>
          <w:bCs/>
          <w:szCs w:val="22"/>
          <w:lang w:eastAsia="en-US"/>
        </w:rPr>
        <w:t>March 202</w:t>
      </w:r>
      <w:r w:rsidR="00426CEB" w:rsidRPr="00C63093">
        <w:rPr>
          <w:rFonts w:ascii="Arial" w:eastAsiaTheme="minorHAnsi" w:hAnsi="Arial" w:cs="Arial"/>
          <w:bCs/>
          <w:szCs w:val="22"/>
          <w:lang w:eastAsia="en-US"/>
        </w:rPr>
        <w:t>3</w:t>
      </w:r>
      <w:r w:rsidR="00A161B7" w:rsidRPr="00C63093">
        <w:rPr>
          <w:rFonts w:ascii="Arial" w:eastAsiaTheme="minorHAnsi" w:hAnsi="Arial" w:cs="Arial"/>
          <w:bCs/>
          <w:szCs w:val="22"/>
          <w:lang w:eastAsia="en-US"/>
        </w:rPr>
        <w:t>.  It also includes how we intend to spend our income</w:t>
      </w:r>
      <w:r w:rsidR="00434E0A" w:rsidRPr="00C63093">
        <w:rPr>
          <w:rFonts w:ascii="Arial" w:eastAsiaTheme="minorHAnsi" w:hAnsi="Arial" w:cs="Arial"/>
          <w:bCs/>
          <w:szCs w:val="22"/>
          <w:lang w:eastAsia="en-US"/>
        </w:rPr>
        <w:t xml:space="preserve"> in</w:t>
      </w:r>
      <w:r w:rsidR="0039625F" w:rsidRPr="00C63093">
        <w:rPr>
          <w:rFonts w:ascii="Arial" w:eastAsiaTheme="minorHAnsi" w:hAnsi="Arial" w:cs="Arial"/>
          <w:bCs/>
          <w:szCs w:val="22"/>
          <w:lang w:eastAsia="en-US"/>
        </w:rPr>
        <w:t xml:space="preserve"> </w:t>
      </w:r>
      <w:r w:rsidR="000845C9">
        <w:rPr>
          <w:rFonts w:ascii="Arial" w:eastAsiaTheme="minorHAnsi" w:hAnsi="Arial" w:cs="Arial"/>
          <w:bCs/>
          <w:szCs w:val="22"/>
          <w:lang w:eastAsia="en-US"/>
        </w:rPr>
        <w:t>2022/23</w:t>
      </w:r>
      <w:r w:rsidR="00434E0A" w:rsidRPr="00C63093">
        <w:rPr>
          <w:rFonts w:ascii="Arial" w:eastAsiaTheme="minorHAnsi" w:hAnsi="Arial" w:cs="Arial"/>
          <w:bCs/>
          <w:szCs w:val="22"/>
          <w:lang w:eastAsia="en-US"/>
        </w:rPr>
        <w:t>.</w:t>
      </w:r>
    </w:p>
    <w:p w14:paraId="0AE7DE39" w14:textId="6DDCDA9B" w:rsidR="003139AF" w:rsidRPr="00D92488" w:rsidRDefault="00647AC5" w:rsidP="00D92488">
      <w:pPr>
        <w:spacing w:line="360" w:lineRule="auto"/>
        <w:ind w:right="-425"/>
        <w:jc w:val="center"/>
        <w:rPr>
          <w:rFonts w:ascii="Arial" w:eastAsiaTheme="minorHAnsi" w:hAnsi="Arial" w:cs="Arial"/>
          <w:bCs/>
          <w:szCs w:val="22"/>
          <w:lang w:eastAsia="en-US"/>
        </w:rPr>
      </w:pPr>
      <w:r>
        <w:rPr>
          <w:rFonts w:ascii="Arial" w:eastAsiaTheme="minorHAnsi" w:hAnsi="Arial" w:cs="Arial"/>
          <w:bCs/>
          <w:noProof/>
          <w:szCs w:val="22"/>
          <w:lang w:eastAsia="en-US"/>
        </w:rPr>
        <w:lastRenderedPageBreak/>
        <w:drawing>
          <wp:anchor distT="0" distB="0" distL="114300" distR="114300" simplePos="0" relativeHeight="251658244" behindDoc="0" locked="0" layoutInCell="1" allowOverlap="1" wp14:anchorId="2507CDCD" wp14:editId="1E5698C2">
            <wp:simplePos x="0" y="0"/>
            <wp:positionH relativeFrom="column">
              <wp:posOffset>540619</wp:posOffset>
            </wp:positionH>
            <wp:positionV relativeFrom="paragraph">
              <wp:posOffset>3810</wp:posOffset>
            </wp:positionV>
            <wp:extent cx="8239125" cy="4502913"/>
            <wp:effectExtent l="0" t="0" r="0" b="0"/>
            <wp:wrapTopAndBottom/>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39125" cy="4502913"/>
                    </a:xfrm>
                    <a:prstGeom prst="rect">
                      <a:avLst/>
                    </a:prstGeom>
                    <a:noFill/>
                  </pic:spPr>
                </pic:pic>
              </a:graphicData>
            </a:graphic>
          </wp:anchor>
        </w:drawing>
      </w:r>
    </w:p>
    <w:p w14:paraId="6C184F60" w14:textId="2B28B89C" w:rsidR="00A350F4" w:rsidRDefault="003139AF" w:rsidP="003B2CA1">
      <w:pPr>
        <w:spacing w:line="360" w:lineRule="auto"/>
        <w:ind w:right="-425"/>
        <w:rPr>
          <w:rFonts w:ascii="Arial" w:eastAsiaTheme="minorHAnsi" w:hAnsi="Arial" w:cs="Arial"/>
          <w:bCs/>
          <w:szCs w:val="22"/>
          <w:lang w:eastAsia="en-US"/>
        </w:rPr>
        <w:sectPr w:rsidR="00A350F4" w:rsidSect="00647AC5">
          <w:pgSz w:w="16838" w:h="11906" w:orient="landscape" w:code="9"/>
          <w:pgMar w:top="1134" w:right="539" w:bottom="991" w:left="709" w:header="709" w:footer="170" w:gutter="0"/>
          <w:cols w:space="708"/>
          <w:docGrid w:linePitch="360"/>
        </w:sectPr>
      </w:pPr>
      <w:r w:rsidRPr="00A56964">
        <w:rPr>
          <w:rFonts w:ascii="Arial" w:eastAsiaTheme="minorHAnsi" w:hAnsi="Arial" w:cs="Arial"/>
          <w:bCs/>
          <w:szCs w:val="22"/>
          <w:lang w:eastAsia="en-US"/>
        </w:rPr>
        <w:t>SEPA is committed to managing its expenditure within the income available to it year on year. The Scottish Government has allocated SEPA £3</w:t>
      </w:r>
      <w:r>
        <w:rPr>
          <w:rFonts w:ascii="Arial" w:eastAsiaTheme="minorHAnsi" w:hAnsi="Arial" w:cs="Arial"/>
          <w:bCs/>
          <w:szCs w:val="22"/>
          <w:lang w:eastAsia="en-US"/>
        </w:rPr>
        <w:t>2</w:t>
      </w:r>
      <w:r w:rsidRPr="00A56964">
        <w:rPr>
          <w:rFonts w:ascii="Arial" w:eastAsiaTheme="minorHAnsi" w:hAnsi="Arial" w:cs="Arial"/>
          <w:bCs/>
          <w:szCs w:val="22"/>
          <w:lang w:eastAsia="en-US"/>
        </w:rPr>
        <w:t xml:space="preserve">.0m cash grant for </w:t>
      </w:r>
      <w:r w:rsidR="000845C9">
        <w:rPr>
          <w:rFonts w:ascii="Arial" w:eastAsiaTheme="minorHAnsi" w:hAnsi="Arial" w:cs="Arial"/>
          <w:bCs/>
          <w:szCs w:val="22"/>
          <w:lang w:eastAsia="en-US"/>
        </w:rPr>
        <w:t>2022/23</w:t>
      </w:r>
      <w:r w:rsidRPr="00A56964">
        <w:rPr>
          <w:rFonts w:ascii="Arial" w:eastAsiaTheme="minorHAnsi" w:hAnsi="Arial" w:cs="Arial"/>
          <w:bCs/>
          <w:szCs w:val="22"/>
          <w:lang w:eastAsia="en-US"/>
        </w:rPr>
        <w:t xml:space="preserve"> operating costs and £</w:t>
      </w:r>
      <w:r>
        <w:rPr>
          <w:rFonts w:ascii="Arial" w:eastAsiaTheme="minorHAnsi" w:hAnsi="Arial" w:cs="Arial"/>
          <w:bCs/>
          <w:szCs w:val="22"/>
          <w:lang w:eastAsia="en-US"/>
        </w:rPr>
        <w:t>4</w:t>
      </w:r>
      <w:r w:rsidRPr="00A56964">
        <w:rPr>
          <w:rFonts w:ascii="Arial" w:eastAsiaTheme="minorHAnsi" w:hAnsi="Arial" w:cs="Arial"/>
          <w:bCs/>
          <w:szCs w:val="22"/>
          <w:lang w:eastAsia="en-US"/>
        </w:rPr>
        <w:t>.</w:t>
      </w:r>
      <w:r>
        <w:rPr>
          <w:rFonts w:ascii="Arial" w:eastAsiaTheme="minorHAnsi" w:hAnsi="Arial" w:cs="Arial"/>
          <w:bCs/>
          <w:szCs w:val="22"/>
          <w:lang w:eastAsia="en-US"/>
        </w:rPr>
        <w:t>1</w:t>
      </w:r>
      <w:r w:rsidRPr="00A56964">
        <w:rPr>
          <w:rFonts w:ascii="Arial" w:eastAsiaTheme="minorHAnsi" w:hAnsi="Arial" w:cs="Arial"/>
          <w:bCs/>
          <w:szCs w:val="22"/>
          <w:lang w:eastAsia="en-US"/>
        </w:rPr>
        <w:t xml:space="preserve">m for capital investment. </w:t>
      </w:r>
      <w:r w:rsidR="004A3468">
        <w:rPr>
          <w:rFonts w:ascii="Arial" w:eastAsiaTheme="minorHAnsi" w:hAnsi="Arial" w:cs="Arial"/>
          <w:bCs/>
          <w:szCs w:val="22"/>
          <w:lang w:eastAsia="en-US"/>
        </w:rPr>
        <w:t xml:space="preserve">We have assumed a further </w:t>
      </w:r>
      <w:r w:rsidR="003C1C96">
        <w:rPr>
          <w:rFonts w:ascii="Arial" w:eastAsiaTheme="minorHAnsi" w:hAnsi="Arial" w:cs="Arial"/>
          <w:bCs/>
          <w:szCs w:val="22"/>
          <w:lang w:eastAsia="en-US"/>
        </w:rPr>
        <w:t>£3.4m in budget adjustments</w:t>
      </w:r>
      <w:r w:rsidR="00130B49">
        <w:rPr>
          <w:rFonts w:ascii="Arial" w:eastAsiaTheme="minorHAnsi" w:hAnsi="Arial" w:cs="Arial"/>
          <w:bCs/>
          <w:szCs w:val="22"/>
          <w:lang w:eastAsia="en-US"/>
        </w:rPr>
        <w:t xml:space="preserve"> </w:t>
      </w:r>
      <w:r w:rsidR="005E6C12">
        <w:rPr>
          <w:rFonts w:ascii="Arial" w:hAnsi="Arial" w:cs="Arial"/>
          <w:lang w:val="en"/>
        </w:rPr>
        <w:t xml:space="preserve">to fund </w:t>
      </w:r>
      <w:r w:rsidR="00012711">
        <w:rPr>
          <w:rFonts w:ascii="Arial" w:hAnsi="Arial" w:cs="Arial"/>
          <w:lang w:val="en"/>
        </w:rPr>
        <w:t>several</w:t>
      </w:r>
      <w:r w:rsidR="005E6C12">
        <w:rPr>
          <w:rFonts w:ascii="Arial" w:hAnsi="Arial" w:cs="Arial"/>
          <w:lang w:val="en"/>
        </w:rPr>
        <w:t xml:space="preserve"> key deliverables including Flood Forecasting, Flood Warning, Deposit Return Scheme</w:t>
      </w:r>
      <w:r w:rsidR="00061CB8">
        <w:rPr>
          <w:rFonts w:ascii="Arial" w:hAnsi="Arial" w:cs="Arial"/>
          <w:lang w:val="en"/>
        </w:rPr>
        <w:t>,</w:t>
      </w:r>
      <w:r w:rsidR="00641C69">
        <w:rPr>
          <w:rFonts w:ascii="Arial" w:hAnsi="Arial" w:cs="Arial"/>
          <w:lang w:val="en"/>
        </w:rPr>
        <w:t xml:space="preserve"> and adm</w:t>
      </w:r>
      <w:r w:rsidR="005E6C12">
        <w:rPr>
          <w:rFonts w:ascii="Arial" w:hAnsi="Arial" w:cs="Arial"/>
          <w:lang w:val="en"/>
        </w:rPr>
        <w:t>inistration of the Water Environment Fund</w:t>
      </w:r>
      <w:r w:rsidR="00641C69">
        <w:rPr>
          <w:rFonts w:ascii="Arial" w:hAnsi="Arial" w:cs="Arial"/>
          <w:lang w:val="en"/>
        </w:rPr>
        <w:t xml:space="preserve">.  </w:t>
      </w:r>
      <w:r>
        <w:rPr>
          <w:rFonts w:ascii="Arial" w:eastAsiaTheme="minorHAnsi" w:hAnsi="Arial" w:cs="Arial"/>
          <w:lang w:val="en"/>
        </w:rPr>
        <w:t>We</w:t>
      </w:r>
      <w:r w:rsidRPr="00A56964">
        <w:rPr>
          <w:rFonts w:ascii="Arial" w:eastAsiaTheme="minorHAnsi" w:hAnsi="Arial" w:cs="Arial"/>
          <w:bCs/>
          <w:szCs w:val="22"/>
          <w:lang w:eastAsia="en-US"/>
        </w:rPr>
        <w:t xml:space="preserve"> have estimated that the fees from charging schemes and other income to be £4</w:t>
      </w:r>
      <w:r>
        <w:rPr>
          <w:rFonts w:ascii="Arial" w:eastAsiaTheme="minorHAnsi" w:hAnsi="Arial" w:cs="Arial"/>
          <w:bCs/>
          <w:szCs w:val="22"/>
          <w:lang w:eastAsia="en-US"/>
        </w:rPr>
        <w:t>6</w:t>
      </w:r>
      <w:r w:rsidRPr="00A56964">
        <w:rPr>
          <w:rFonts w:ascii="Arial" w:eastAsiaTheme="minorHAnsi" w:hAnsi="Arial" w:cs="Arial"/>
          <w:bCs/>
          <w:szCs w:val="22"/>
          <w:lang w:eastAsia="en-US"/>
        </w:rPr>
        <w:t xml:space="preserve">m in </w:t>
      </w:r>
      <w:r w:rsidR="000845C9">
        <w:rPr>
          <w:rFonts w:ascii="Arial" w:eastAsiaTheme="minorHAnsi" w:hAnsi="Arial" w:cs="Arial"/>
          <w:bCs/>
          <w:szCs w:val="22"/>
          <w:lang w:eastAsia="en-US"/>
        </w:rPr>
        <w:t>2022/2</w:t>
      </w:r>
      <w:r w:rsidR="00305A3B">
        <w:rPr>
          <w:rFonts w:ascii="Arial" w:eastAsiaTheme="minorHAnsi" w:hAnsi="Arial" w:cs="Arial"/>
          <w:bCs/>
          <w:szCs w:val="22"/>
          <w:lang w:eastAsia="en-US"/>
        </w:rPr>
        <w:t>3.</w:t>
      </w:r>
    </w:p>
    <w:p w14:paraId="3FE8BDBC" w14:textId="2EFD3C23" w:rsidR="006A43C9" w:rsidRDefault="008D632D" w:rsidP="003B2CA1">
      <w:pPr>
        <w:pStyle w:val="01bSubheader"/>
        <w:jc w:val="left"/>
        <w:rPr>
          <w:b w:val="0"/>
          <w:color w:val="000000" w:themeColor="text1"/>
          <w:sz w:val="24"/>
          <w:szCs w:val="24"/>
          <w:lang w:val="en-GB"/>
        </w:rPr>
      </w:pPr>
      <w:bookmarkStart w:id="12" w:name="_Toc119068070"/>
      <w:r w:rsidRPr="008D632D">
        <w:rPr>
          <w:b w:val="0"/>
          <w:color w:val="000000" w:themeColor="text1"/>
          <w:sz w:val="24"/>
          <w:szCs w:val="24"/>
          <w:lang w:val="en-GB"/>
        </w:rPr>
        <w:lastRenderedPageBreak/>
        <w:t>The figures above exclude non-cash budget resource provided by Scottish Government each year and the expenditure. The non-cash expenditure for 2021</w:t>
      </w:r>
      <w:r w:rsidR="00CF31E2">
        <w:rPr>
          <w:b w:val="0"/>
          <w:color w:val="000000" w:themeColor="text1"/>
          <w:sz w:val="24"/>
          <w:szCs w:val="24"/>
          <w:lang w:val="en-GB"/>
        </w:rPr>
        <w:t>/</w:t>
      </w:r>
      <w:r w:rsidRPr="008D632D">
        <w:rPr>
          <w:b w:val="0"/>
          <w:color w:val="000000" w:themeColor="text1"/>
          <w:sz w:val="24"/>
          <w:szCs w:val="24"/>
          <w:lang w:val="en-GB"/>
        </w:rPr>
        <w:t>22 was depreciation and loss on asset disposals shown in the statement of comprehensive net expenditure of £3.3m. Additionally, the expenditure excludes costs funded by the AME (</w:t>
      </w:r>
      <w:hyperlink w:anchor="Note22AME" w:history="1">
        <w:r w:rsidRPr="00CB56D9">
          <w:rPr>
            <w:rStyle w:val="Hyperlink"/>
            <w:b w:val="0"/>
            <w:sz w:val="24"/>
            <w:szCs w:val="24"/>
            <w:lang w:val="en-GB"/>
          </w:rPr>
          <w:t>see note 22</w:t>
        </w:r>
      </w:hyperlink>
      <w:r w:rsidRPr="008D632D">
        <w:rPr>
          <w:b w:val="0"/>
          <w:color w:val="000000" w:themeColor="text1"/>
          <w:sz w:val="24"/>
          <w:szCs w:val="24"/>
          <w:lang w:val="en-GB"/>
        </w:rPr>
        <w:t>). Grant in aid received equals the cash drawn down from Scottish Government in year</w:t>
      </w:r>
      <w:r w:rsidR="00F0741D">
        <w:rPr>
          <w:b w:val="0"/>
          <w:color w:val="000000" w:themeColor="text1"/>
          <w:sz w:val="24"/>
          <w:szCs w:val="24"/>
          <w:lang w:val="en-GB"/>
        </w:rPr>
        <w:t>.</w:t>
      </w:r>
      <w:bookmarkEnd w:id="12"/>
    </w:p>
    <w:p w14:paraId="3060854C" w14:textId="77777777" w:rsidR="00F0741D" w:rsidRPr="008D632D" w:rsidRDefault="00F0741D" w:rsidP="00450E14">
      <w:pPr>
        <w:pStyle w:val="01bSubheader"/>
        <w:rPr>
          <w:b w:val="0"/>
          <w:color w:val="000000" w:themeColor="text1"/>
          <w:sz w:val="24"/>
          <w:szCs w:val="24"/>
        </w:rPr>
      </w:pPr>
    </w:p>
    <w:p w14:paraId="2D9BED80" w14:textId="2314F32A" w:rsidR="00417E59" w:rsidRPr="006C78D8" w:rsidRDefault="00417E59" w:rsidP="00802A98">
      <w:pPr>
        <w:pStyle w:val="01bSubheader"/>
        <w:numPr>
          <w:ilvl w:val="2"/>
          <w:numId w:val="34"/>
        </w:numPr>
      </w:pPr>
      <w:bookmarkStart w:id="13" w:name="_Toc119068071"/>
      <w:r w:rsidRPr="006C78D8">
        <w:t>Response and recovery from a major cyber-attack</w:t>
      </w:r>
      <w:bookmarkEnd w:id="13"/>
    </w:p>
    <w:p w14:paraId="75C14954" w14:textId="77777777" w:rsidR="002431C9" w:rsidRPr="006C78D8" w:rsidRDefault="002431C9" w:rsidP="00417E59">
      <w:pPr>
        <w:pStyle w:val="01bSubheader"/>
        <w:rPr>
          <w:b w:val="0"/>
          <w:sz w:val="24"/>
          <w:szCs w:val="24"/>
        </w:rPr>
      </w:pPr>
    </w:p>
    <w:p w14:paraId="51F30BD5" w14:textId="2090AA87" w:rsidR="00417E59" w:rsidRPr="006C78D8" w:rsidRDefault="00C60C52" w:rsidP="002431C9">
      <w:pPr>
        <w:spacing w:line="360" w:lineRule="auto"/>
        <w:rPr>
          <w:rFonts w:ascii="Arial" w:hAnsi="Arial" w:cs="Arial"/>
          <w:szCs w:val="22"/>
          <w:lang w:val="en-US"/>
        </w:rPr>
      </w:pPr>
      <w:r>
        <w:rPr>
          <w:rFonts w:ascii="Arial" w:hAnsi="Arial" w:cs="Arial"/>
          <w:szCs w:val="22"/>
          <w:lang w:val="en-US"/>
        </w:rPr>
        <w:t xml:space="preserve">In December 2020 SEPA was the victim of a serious and significant cyber-attack orchestrated by </w:t>
      </w:r>
      <w:r w:rsidR="00EF4F1E">
        <w:rPr>
          <w:rFonts w:ascii="Arial" w:hAnsi="Arial" w:cs="Arial"/>
          <w:szCs w:val="22"/>
          <w:lang w:val="en-US"/>
        </w:rPr>
        <w:t>i</w:t>
      </w:r>
      <w:r>
        <w:rPr>
          <w:rFonts w:ascii="Arial" w:hAnsi="Arial" w:cs="Arial"/>
          <w:szCs w:val="22"/>
          <w:lang w:val="en-US"/>
        </w:rPr>
        <w:t xml:space="preserve">nternational, serious, and </w:t>
      </w:r>
      <w:proofErr w:type="spellStart"/>
      <w:r>
        <w:rPr>
          <w:rFonts w:ascii="Arial" w:hAnsi="Arial" w:cs="Arial"/>
          <w:szCs w:val="22"/>
          <w:lang w:val="en-US"/>
        </w:rPr>
        <w:t>organised</w:t>
      </w:r>
      <w:proofErr w:type="spellEnd"/>
      <w:r>
        <w:rPr>
          <w:rFonts w:ascii="Arial" w:hAnsi="Arial" w:cs="Arial"/>
          <w:szCs w:val="22"/>
          <w:lang w:val="en-US"/>
        </w:rPr>
        <w:t xml:space="preserve"> criminals</w:t>
      </w:r>
      <w:r w:rsidR="00DF3C47">
        <w:rPr>
          <w:rFonts w:ascii="Arial" w:hAnsi="Arial" w:cs="Arial"/>
          <w:szCs w:val="22"/>
          <w:lang w:val="en-US"/>
        </w:rPr>
        <w:t xml:space="preserve">. </w:t>
      </w:r>
      <w:r>
        <w:rPr>
          <w:rFonts w:ascii="Arial" w:hAnsi="Arial" w:cs="Arial"/>
          <w:szCs w:val="22"/>
          <w:lang w:val="en-US"/>
        </w:rPr>
        <w:t>The attack has had a significant impact on our operations and on our ability to deliver our full range of services</w:t>
      </w:r>
      <w:r w:rsidR="00DF3C47">
        <w:rPr>
          <w:rFonts w:ascii="Arial" w:hAnsi="Arial" w:cs="Arial"/>
          <w:szCs w:val="22"/>
          <w:lang w:val="en-US"/>
        </w:rPr>
        <w:t xml:space="preserve">. </w:t>
      </w:r>
      <w:r>
        <w:rPr>
          <w:rFonts w:ascii="Arial" w:hAnsi="Arial" w:cs="Arial"/>
          <w:szCs w:val="22"/>
          <w:lang w:val="en-US"/>
        </w:rPr>
        <w:t>Our focus throughout our recovery and response</w:t>
      </w:r>
      <w:r w:rsidR="008270A9">
        <w:rPr>
          <w:rFonts w:ascii="Arial" w:hAnsi="Arial" w:cs="Arial"/>
          <w:szCs w:val="22"/>
          <w:lang w:val="en-US"/>
        </w:rPr>
        <w:t xml:space="preserve"> has been on:</w:t>
      </w:r>
    </w:p>
    <w:p w14:paraId="5C1D113E" w14:textId="77777777" w:rsidR="0068342D" w:rsidRPr="006C78D8" w:rsidRDefault="0068342D" w:rsidP="0068342D">
      <w:pPr>
        <w:spacing w:line="360" w:lineRule="auto"/>
        <w:rPr>
          <w:rFonts w:ascii="Arial" w:hAnsi="Arial" w:cs="Arial"/>
        </w:rPr>
      </w:pPr>
    </w:p>
    <w:p w14:paraId="7419DD64" w14:textId="2045A85B" w:rsidR="00417E59" w:rsidRPr="006C78D8" w:rsidRDefault="00417E59" w:rsidP="00802A98">
      <w:pPr>
        <w:pStyle w:val="ListParagraph"/>
        <w:numPr>
          <w:ilvl w:val="0"/>
          <w:numId w:val="39"/>
        </w:numPr>
        <w:spacing w:line="360" w:lineRule="auto"/>
        <w:ind w:right="-425"/>
        <w:textAlignment w:val="baseline"/>
        <w:rPr>
          <w:rFonts w:ascii="Arial" w:hAnsi="Arial" w:cs="Arial"/>
        </w:rPr>
      </w:pPr>
      <w:r w:rsidRPr="006C78D8">
        <w:rPr>
          <w:rFonts w:ascii="Arial" w:hAnsi="Arial" w:cs="Arial"/>
        </w:rPr>
        <w:t>protecting the environment, communities</w:t>
      </w:r>
      <w:r w:rsidR="003D568F" w:rsidRPr="006C78D8">
        <w:rPr>
          <w:rFonts w:ascii="Arial" w:hAnsi="Arial" w:cs="Arial"/>
        </w:rPr>
        <w:t>,</w:t>
      </w:r>
      <w:r w:rsidRPr="006C78D8">
        <w:rPr>
          <w:rFonts w:ascii="Arial" w:hAnsi="Arial" w:cs="Arial"/>
        </w:rPr>
        <w:t xml:space="preserve"> and our staff;</w:t>
      </w:r>
    </w:p>
    <w:p w14:paraId="1F4F3E90" w14:textId="77777777" w:rsidR="00417E59" w:rsidRPr="006C78D8" w:rsidRDefault="00417E59" w:rsidP="00802A98">
      <w:pPr>
        <w:pStyle w:val="ListParagraph"/>
        <w:numPr>
          <w:ilvl w:val="0"/>
          <w:numId w:val="39"/>
        </w:numPr>
        <w:spacing w:line="360" w:lineRule="auto"/>
        <w:ind w:right="-425"/>
        <w:textAlignment w:val="baseline"/>
        <w:rPr>
          <w:rFonts w:ascii="Arial" w:hAnsi="Arial" w:cs="Arial"/>
        </w:rPr>
      </w:pPr>
      <w:r w:rsidRPr="006C78D8">
        <w:rPr>
          <w:rFonts w:ascii="Arial" w:hAnsi="Arial" w:cs="Arial"/>
        </w:rPr>
        <w:t>ensuring critical service delivery on flooding and environmental regulation; and</w:t>
      </w:r>
    </w:p>
    <w:p w14:paraId="3E1FF041" w14:textId="622B612C" w:rsidR="00417E59" w:rsidRPr="006C78D8" w:rsidRDefault="00417E59" w:rsidP="00802A98">
      <w:pPr>
        <w:pStyle w:val="ListParagraph"/>
        <w:numPr>
          <w:ilvl w:val="0"/>
          <w:numId w:val="39"/>
        </w:numPr>
        <w:spacing w:line="360" w:lineRule="auto"/>
        <w:ind w:right="-425"/>
        <w:textAlignment w:val="baseline"/>
        <w:rPr>
          <w:rFonts w:ascii="Arial" w:hAnsi="Arial" w:cs="Arial"/>
        </w:rPr>
      </w:pPr>
      <w:r w:rsidRPr="006C78D8">
        <w:rPr>
          <w:rFonts w:ascii="Arial" w:hAnsi="Arial" w:cs="Arial"/>
        </w:rPr>
        <w:t>recovering in a way that takes us forward.</w:t>
      </w:r>
    </w:p>
    <w:p w14:paraId="353BB32C" w14:textId="77777777" w:rsidR="0068342D" w:rsidRPr="006C78D8" w:rsidRDefault="0068342D" w:rsidP="0068342D">
      <w:pPr>
        <w:pStyle w:val="ListParagraph"/>
        <w:spacing w:line="360" w:lineRule="auto"/>
        <w:ind w:right="-425"/>
        <w:textAlignment w:val="baseline"/>
        <w:rPr>
          <w:rFonts w:ascii="Arial" w:hAnsi="Arial" w:cs="Arial"/>
        </w:rPr>
      </w:pPr>
    </w:p>
    <w:p w14:paraId="6A50D490" w14:textId="0789A11E" w:rsidR="00417E59" w:rsidRPr="006C78D8" w:rsidRDefault="00417E59" w:rsidP="006E7F85">
      <w:pPr>
        <w:spacing w:line="360" w:lineRule="auto"/>
        <w:rPr>
          <w:rFonts w:ascii="Arial" w:hAnsi="Arial" w:cs="Arial"/>
        </w:rPr>
      </w:pPr>
      <w:r w:rsidRPr="006C78D8">
        <w:rPr>
          <w:rFonts w:ascii="Arial" w:hAnsi="Arial" w:cs="Arial"/>
        </w:rPr>
        <w:t>We are grateful for the significant support of the Scottish Government, Police Scotland, the National Cyber Response Centre</w:t>
      </w:r>
      <w:r w:rsidR="007C31E8" w:rsidRPr="006C78D8">
        <w:rPr>
          <w:rFonts w:ascii="Arial" w:hAnsi="Arial" w:cs="Arial"/>
        </w:rPr>
        <w:t>,</w:t>
      </w:r>
      <w:r w:rsidRPr="006C78D8">
        <w:rPr>
          <w:rFonts w:ascii="Arial" w:hAnsi="Arial" w:cs="Arial"/>
        </w:rPr>
        <w:t xml:space="preserve"> and Scottish Business Resilience Centre to help us with our response.</w:t>
      </w:r>
    </w:p>
    <w:p w14:paraId="3C239533" w14:textId="77777777" w:rsidR="0068342D" w:rsidRPr="006C78D8" w:rsidRDefault="0068342D" w:rsidP="006E7F85">
      <w:pPr>
        <w:spacing w:line="360" w:lineRule="auto"/>
        <w:rPr>
          <w:rFonts w:ascii="Arial" w:hAnsi="Arial" w:cs="Arial"/>
          <w:szCs w:val="22"/>
          <w:lang w:val="en-US"/>
        </w:rPr>
      </w:pPr>
    </w:p>
    <w:p w14:paraId="39F7882E" w14:textId="784F742A" w:rsidR="00417E59" w:rsidRPr="006C78D8" w:rsidRDefault="00417E59" w:rsidP="006E7F85">
      <w:pPr>
        <w:spacing w:line="360" w:lineRule="auto"/>
        <w:rPr>
          <w:rStyle w:val="eop"/>
          <w:rFonts w:ascii="Arial" w:hAnsi="Arial" w:cs="Arial"/>
          <w:shd w:val="clear" w:color="auto" w:fill="FFFFFF"/>
        </w:rPr>
      </w:pPr>
      <w:r w:rsidRPr="006C78D8">
        <w:rPr>
          <w:rStyle w:val="normaltextrun"/>
          <w:rFonts w:ascii="Arial" w:hAnsi="Arial" w:cs="Arial"/>
          <w:shd w:val="clear" w:color="auto" w:fill="FFFFFF"/>
        </w:rPr>
        <w:t>London Business School research has concluded that cyber-risk has more than quadrupled since 2002 and tripled since 2013 whilst the Scottish Business Resilience Centre states that in the fourth quarter of 2020, attacks utilising PowerShell</w:t>
      </w:r>
      <w:r w:rsidR="00334908">
        <w:rPr>
          <w:rStyle w:val="normaltextrun"/>
          <w:rFonts w:ascii="Arial" w:hAnsi="Arial" w:cs="Arial"/>
          <w:shd w:val="clear" w:color="auto" w:fill="FFFFFF"/>
        </w:rPr>
        <w:t>, a tool for malware attacks,</w:t>
      </w:r>
      <w:r w:rsidRPr="006C78D8">
        <w:rPr>
          <w:rStyle w:val="normaltextrun"/>
          <w:rFonts w:ascii="Arial" w:hAnsi="Arial" w:cs="Arial"/>
          <w:shd w:val="clear" w:color="auto" w:fill="FFFFFF"/>
        </w:rPr>
        <w:t xml:space="preserve"> grew by 208% while malware leveraging Microsoft Office increased by 199%. The same study also identified that attacks targeting public sector entities increased by 93%.    </w:t>
      </w:r>
      <w:r w:rsidRPr="006C78D8">
        <w:rPr>
          <w:rStyle w:val="eop"/>
          <w:rFonts w:ascii="Arial" w:hAnsi="Arial" w:cs="Arial"/>
          <w:shd w:val="clear" w:color="auto" w:fill="FFFFFF"/>
        </w:rPr>
        <w:t> </w:t>
      </w:r>
    </w:p>
    <w:p w14:paraId="25B5B95D" w14:textId="77777777" w:rsidR="0068342D" w:rsidRPr="006C78D8" w:rsidRDefault="0068342D" w:rsidP="0068342D">
      <w:pPr>
        <w:spacing w:line="360" w:lineRule="auto"/>
        <w:rPr>
          <w:rFonts w:ascii="Arial" w:hAnsi="Arial" w:cs="Arial"/>
        </w:rPr>
      </w:pPr>
    </w:p>
    <w:p w14:paraId="68302DD1" w14:textId="16EDAFD4" w:rsidR="00417E59" w:rsidRPr="006C78D8" w:rsidRDefault="00417E59" w:rsidP="00417E59">
      <w:pPr>
        <w:spacing w:line="360" w:lineRule="auto"/>
        <w:rPr>
          <w:rFonts w:ascii="Arial" w:hAnsi="Arial" w:cs="Arial"/>
        </w:rPr>
      </w:pPr>
      <w:r w:rsidRPr="006C78D8">
        <w:rPr>
          <w:rFonts w:ascii="Arial" w:hAnsi="Arial" w:cs="Arial"/>
        </w:rPr>
        <w:t xml:space="preserve">We voluntarily </w:t>
      </w:r>
      <w:hyperlink r:id="rId27" w:history="1">
        <w:r w:rsidRPr="006C78D8">
          <w:rPr>
            <w:rStyle w:val="Hyperlink"/>
            <w:rFonts w:ascii="Arial" w:hAnsi="Arial" w:cs="Arial"/>
          </w:rPr>
          <w:t>commissioned reviews</w:t>
        </w:r>
      </w:hyperlink>
      <w:r w:rsidRPr="006C78D8">
        <w:rPr>
          <w:rFonts w:ascii="Arial" w:hAnsi="Arial" w:cs="Arial"/>
        </w:rPr>
        <w:t xml:space="preserve"> from independent experts to:  </w:t>
      </w:r>
    </w:p>
    <w:p w14:paraId="59A51671" w14:textId="77777777" w:rsidR="0068342D" w:rsidRPr="006C78D8" w:rsidRDefault="0068342D" w:rsidP="00417E59">
      <w:pPr>
        <w:spacing w:line="360" w:lineRule="auto"/>
        <w:rPr>
          <w:rFonts w:ascii="Arial" w:hAnsi="Arial" w:cs="Arial"/>
        </w:rPr>
      </w:pPr>
    </w:p>
    <w:p w14:paraId="1B5A945A" w14:textId="053C569A" w:rsidR="00417E59" w:rsidRPr="006C78D8" w:rsidRDefault="00083980" w:rsidP="00802A98">
      <w:pPr>
        <w:pStyle w:val="ListParagraph"/>
        <w:numPr>
          <w:ilvl w:val="0"/>
          <w:numId w:val="39"/>
        </w:numPr>
        <w:spacing w:line="360" w:lineRule="auto"/>
        <w:ind w:right="-425"/>
        <w:textAlignment w:val="baseline"/>
        <w:rPr>
          <w:rFonts w:ascii="Arial" w:hAnsi="Arial" w:cs="Arial"/>
        </w:rPr>
      </w:pPr>
      <w:r w:rsidRPr="006C78D8">
        <w:rPr>
          <w:rFonts w:ascii="Arial" w:hAnsi="Arial" w:cs="Arial"/>
        </w:rPr>
        <w:t xml:space="preserve">help </w:t>
      </w:r>
      <w:r w:rsidR="00417E59" w:rsidRPr="006C78D8">
        <w:rPr>
          <w:rFonts w:ascii="Arial" w:hAnsi="Arial" w:cs="Arial"/>
        </w:rPr>
        <w:t>ensure that SEPA further enhances its cyber security as the organisation builds new systems and practices</w:t>
      </w:r>
      <w:r w:rsidR="00627689" w:rsidRPr="006C78D8">
        <w:rPr>
          <w:rFonts w:ascii="Arial" w:hAnsi="Arial" w:cs="Arial"/>
        </w:rPr>
        <w:t>;</w:t>
      </w:r>
      <w:r w:rsidRPr="006C78D8">
        <w:rPr>
          <w:rFonts w:ascii="Arial" w:hAnsi="Arial" w:cs="Arial"/>
        </w:rPr>
        <w:t xml:space="preserve"> and</w:t>
      </w:r>
    </w:p>
    <w:p w14:paraId="17585A98" w14:textId="7072AFD2" w:rsidR="00417E59" w:rsidRDefault="00083980" w:rsidP="00802A98">
      <w:pPr>
        <w:pStyle w:val="ListParagraph"/>
        <w:numPr>
          <w:ilvl w:val="0"/>
          <w:numId w:val="39"/>
        </w:numPr>
        <w:spacing w:line="360" w:lineRule="auto"/>
        <w:ind w:right="-425"/>
        <w:textAlignment w:val="baseline"/>
        <w:rPr>
          <w:rFonts w:ascii="Arial" w:hAnsi="Arial" w:cs="Arial"/>
        </w:rPr>
      </w:pPr>
      <w:r w:rsidRPr="006C78D8">
        <w:rPr>
          <w:rFonts w:ascii="Arial" w:hAnsi="Arial" w:cs="Arial"/>
        </w:rPr>
        <w:t xml:space="preserve">help </w:t>
      </w:r>
      <w:r w:rsidR="00417E59" w:rsidRPr="006C78D8">
        <w:rPr>
          <w:rFonts w:ascii="Arial" w:hAnsi="Arial" w:cs="Arial"/>
        </w:rPr>
        <w:t>others learn from SEPA’s experience to better protect themselves from cyber-crime. </w:t>
      </w:r>
    </w:p>
    <w:p w14:paraId="244E30FA" w14:textId="77777777" w:rsidR="00D07782" w:rsidRPr="006C78D8" w:rsidRDefault="00D07782" w:rsidP="00D07782">
      <w:pPr>
        <w:pStyle w:val="ListParagraph"/>
        <w:spacing w:line="360" w:lineRule="auto"/>
        <w:ind w:right="-425"/>
        <w:textAlignment w:val="baseline"/>
        <w:rPr>
          <w:rFonts w:ascii="Arial" w:hAnsi="Arial" w:cs="Arial"/>
        </w:rPr>
      </w:pPr>
    </w:p>
    <w:p w14:paraId="4687DB28" w14:textId="23AAE836" w:rsidR="00417E59" w:rsidRPr="006C78D8" w:rsidRDefault="00D07782" w:rsidP="00417E59">
      <w:pPr>
        <w:spacing w:line="360" w:lineRule="auto"/>
        <w:rPr>
          <w:rFonts w:ascii="Arial" w:hAnsi="Arial" w:cs="Arial"/>
        </w:rPr>
      </w:pPr>
      <w:r w:rsidRPr="006C78D8">
        <w:rPr>
          <w:rFonts w:ascii="Arial" w:hAnsi="Arial" w:cs="Arial"/>
          <w:noProof/>
          <w:sz w:val="22"/>
          <w:szCs w:val="22"/>
        </w:rPr>
        <w:lastRenderedPageBreak/>
        <w:drawing>
          <wp:inline distT="0" distB="0" distL="0" distR="0" wp14:anchorId="6E9B33D6" wp14:editId="4B1EF4E4">
            <wp:extent cx="6210935" cy="3493030"/>
            <wp:effectExtent l="0" t="0" r="0"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210935" cy="3493030"/>
                    </a:xfrm>
                    <a:prstGeom prst="rect">
                      <a:avLst/>
                    </a:prstGeom>
                  </pic:spPr>
                </pic:pic>
              </a:graphicData>
            </a:graphic>
          </wp:inline>
        </w:drawing>
      </w:r>
    </w:p>
    <w:p w14:paraId="5AD7DE9E" w14:textId="77777777" w:rsidR="006251B5" w:rsidRPr="006C78D8" w:rsidRDefault="006251B5" w:rsidP="00417E59">
      <w:pPr>
        <w:spacing w:line="360" w:lineRule="auto"/>
        <w:rPr>
          <w:rFonts w:ascii="Arial" w:hAnsi="Arial" w:cs="Arial"/>
        </w:rPr>
      </w:pPr>
    </w:p>
    <w:p w14:paraId="327F5CBC" w14:textId="6ADB2BC2" w:rsidR="00FD6690" w:rsidRPr="006C78D8" w:rsidRDefault="00FD6690" w:rsidP="002431C9">
      <w:pPr>
        <w:spacing w:line="360" w:lineRule="auto"/>
        <w:rPr>
          <w:rFonts w:ascii="Arial" w:hAnsi="Arial" w:cs="Arial"/>
          <w:szCs w:val="22"/>
          <w:lang w:val="en-US"/>
        </w:rPr>
      </w:pPr>
      <w:r w:rsidRPr="006C78D8">
        <w:rPr>
          <w:rFonts w:ascii="Arial" w:hAnsi="Arial" w:cs="Arial"/>
          <w:szCs w:val="22"/>
          <w:lang w:val="en-US"/>
        </w:rPr>
        <w:t xml:space="preserve">In October 2021, we hosted a webinar in partnership with </w:t>
      </w:r>
      <w:r w:rsidR="00FA08EE" w:rsidRPr="006C78D8">
        <w:rPr>
          <w:rFonts w:ascii="Arial" w:hAnsi="Arial" w:cs="Arial"/>
          <w:szCs w:val="22"/>
          <w:lang w:val="en-US"/>
        </w:rPr>
        <w:t xml:space="preserve">the </w:t>
      </w:r>
      <w:r w:rsidRPr="006C78D8">
        <w:rPr>
          <w:rFonts w:ascii="Arial" w:hAnsi="Arial" w:cs="Arial"/>
          <w:szCs w:val="22"/>
          <w:lang w:val="en-US"/>
        </w:rPr>
        <w:t>Scottish Business Resilien</w:t>
      </w:r>
      <w:r w:rsidR="00FA08EE" w:rsidRPr="006C78D8">
        <w:rPr>
          <w:rFonts w:ascii="Arial" w:hAnsi="Arial" w:cs="Arial"/>
          <w:szCs w:val="22"/>
          <w:lang w:val="en-US"/>
        </w:rPr>
        <w:t xml:space="preserve">ce </w:t>
      </w:r>
      <w:r w:rsidRPr="006C78D8">
        <w:rPr>
          <w:rFonts w:ascii="Arial" w:hAnsi="Arial" w:cs="Arial"/>
          <w:szCs w:val="22"/>
          <w:lang w:val="en-US"/>
        </w:rPr>
        <w:t xml:space="preserve">Centre and </w:t>
      </w:r>
      <w:proofErr w:type="spellStart"/>
      <w:r w:rsidRPr="006C78D8">
        <w:rPr>
          <w:rFonts w:ascii="Arial" w:hAnsi="Arial" w:cs="Arial"/>
          <w:szCs w:val="22"/>
          <w:lang w:val="en-US"/>
        </w:rPr>
        <w:t>FutureScot</w:t>
      </w:r>
      <w:proofErr w:type="spellEnd"/>
      <w:r w:rsidRPr="006C78D8">
        <w:rPr>
          <w:rFonts w:ascii="Arial" w:hAnsi="Arial" w:cs="Arial"/>
          <w:szCs w:val="22"/>
          <w:lang w:val="en-US"/>
        </w:rPr>
        <w:t xml:space="preserve"> that attracted over 800 delegates from an international audience</w:t>
      </w:r>
      <w:r w:rsidR="00813ED6" w:rsidRPr="006C78D8">
        <w:rPr>
          <w:rFonts w:ascii="Arial" w:hAnsi="Arial" w:cs="Arial"/>
          <w:szCs w:val="22"/>
          <w:lang w:val="en-US"/>
        </w:rPr>
        <w:t xml:space="preserve">.  We </w:t>
      </w:r>
      <w:r w:rsidRPr="006C78D8">
        <w:rPr>
          <w:rFonts w:ascii="Arial" w:hAnsi="Arial" w:cs="Arial"/>
          <w:szCs w:val="22"/>
          <w:lang w:val="en-US"/>
        </w:rPr>
        <w:t>published as much as we could of these reviews so that others could learn from our experience.</w:t>
      </w:r>
    </w:p>
    <w:p w14:paraId="07852601" w14:textId="77777777" w:rsidR="009A2152" w:rsidRPr="006C78D8" w:rsidRDefault="009A2152" w:rsidP="009A2152">
      <w:pPr>
        <w:spacing w:line="360" w:lineRule="auto"/>
        <w:rPr>
          <w:rFonts w:ascii="Arial" w:hAnsi="Arial" w:cs="Arial"/>
          <w:szCs w:val="22"/>
          <w:lang w:val="en-US"/>
        </w:rPr>
      </w:pPr>
    </w:p>
    <w:p w14:paraId="72780833" w14:textId="77777777" w:rsidR="000B6E72" w:rsidRDefault="00FD6690" w:rsidP="002431C9">
      <w:pPr>
        <w:spacing w:line="360" w:lineRule="auto"/>
        <w:rPr>
          <w:rFonts w:ascii="Arial" w:hAnsi="Arial" w:cs="Arial"/>
          <w:szCs w:val="22"/>
          <w:lang w:val="en-US"/>
        </w:rPr>
      </w:pPr>
      <w:r w:rsidRPr="006C78D8">
        <w:rPr>
          <w:rFonts w:ascii="Arial" w:hAnsi="Arial" w:cs="Arial"/>
          <w:szCs w:val="22"/>
          <w:lang w:val="en-US"/>
        </w:rPr>
        <w:t>A key element of our recovery has been to set a high level of transparency in our work.  </w:t>
      </w:r>
    </w:p>
    <w:p w14:paraId="5B155CA1" w14:textId="48BC491A" w:rsidR="00FD6690" w:rsidRPr="006C78D8" w:rsidRDefault="00FD6690" w:rsidP="002431C9">
      <w:pPr>
        <w:spacing w:line="360" w:lineRule="auto"/>
        <w:rPr>
          <w:rFonts w:ascii="Arial" w:hAnsi="Arial" w:cs="Arial"/>
          <w:szCs w:val="22"/>
          <w:lang w:val="en-US"/>
        </w:rPr>
      </w:pPr>
      <w:r w:rsidRPr="006C78D8">
        <w:rPr>
          <w:rFonts w:ascii="Arial" w:hAnsi="Arial" w:cs="Arial"/>
          <w:szCs w:val="22"/>
          <w:lang w:val="en-US"/>
        </w:rPr>
        <w:t>We</w:t>
      </w:r>
      <w:r w:rsidR="00C11F11">
        <w:rPr>
          <w:rFonts w:ascii="Arial" w:hAnsi="Arial" w:cs="Arial"/>
          <w:szCs w:val="22"/>
          <w:lang w:val="en-US"/>
        </w:rPr>
        <w:t xml:space="preserve"> </w:t>
      </w:r>
      <w:r w:rsidRPr="006C78D8">
        <w:rPr>
          <w:rFonts w:ascii="Arial" w:hAnsi="Arial" w:cs="Arial"/>
          <w:szCs w:val="22"/>
          <w:lang w:val="en-US"/>
        </w:rPr>
        <w:t>have spoken openly about the impact of the attack, our response and recovery, including weekly service updates as one example of the many ways we</w:t>
      </w:r>
      <w:r w:rsidR="00602A0B" w:rsidRPr="006C78D8">
        <w:rPr>
          <w:rFonts w:ascii="Arial" w:hAnsi="Arial" w:cs="Arial"/>
          <w:szCs w:val="22"/>
          <w:lang w:val="en-US"/>
        </w:rPr>
        <w:t xml:space="preserve"> have </w:t>
      </w:r>
      <w:r w:rsidRPr="006C78D8">
        <w:rPr>
          <w:rFonts w:ascii="Arial" w:hAnsi="Arial" w:cs="Arial"/>
          <w:szCs w:val="22"/>
          <w:lang w:val="en-US"/>
        </w:rPr>
        <w:t>kept people informed about our recovery and how to work with us.  </w:t>
      </w:r>
    </w:p>
    <w:p w14:paraId="4F90C7DE" w14:textId="77777777" w:rsidR="009A2152" w:rsidRPr="006C78D8" w:rsidRDefault="009A2152" w:rsidP="009A2152">
      <w:pPr>
        <w:spacing w:line="360" w:lineRule="auto"/>
        <w:rPr>
          <w:rFonts w:ascii="Arial" w:hAnsi="Arial" w:cs="Arial"/>
          <w:szCs w:val="22"/>
          <w:lang w:val="en-US"/>
        </w:rPr>
      </w:pPr>
    </w:p>
    <w:p w14:paraId="5D8F7F80" w14:textId="722A5C52" w:rsidR="00FD6690" w:rsidRPr="006C78D8" w:rsidRDefault="00FD6690" w:rsidP="002431C9">
      <w:pPr>
        <w:spacing w:line="360" w:lineRule="auto"/>
        <w:rPr>
          <w:rFonts w:ascii="Arial" w:hAnsi="Arial" w:cs="Arial"/>
          <w:szCs w:val="22"/>
          <w:lang w:val="en-US"/>
        </w:rPr>
      </w:pPr>
      <w:r w:rsidRPr="006C78D8">
        <w:rPr>
          <w:rFonts w:ascii="Arial" w:hAnsi="Arial" w:cs="Arial"/>
          <w:szCs w:val="22"/>
          <w:lang w:val="en-US"/>
        </w:rPr>
        <w:t xml:space="preserve">More than 12 months on, we have now </w:t>
      </w:r>
      <w:proofErr w:type="spellStart"/>
      <w:r w:rsidRPr="006C78D8">
        <w:rPr>
          <w:rFonts w:ascii="Arial" w:hAnsi="Arial" w:cs="Arial"/>
          <w:szCs w:val="22"/>
          <w:lang w:val="en-US"/>
        </w:rPr>
        <w:t>stabilised</w:t>
      </w:r>
      <w:proofErr w:type="spellEnd"/>
      <w:r w:rsidRPr="006C78D8">
        <w:rPr>
          <w:rFonts w:ascii="Arial" w:hAnsi="Arial" w:cs="Arial"/>
          <w:szCs w:val="22"/>
          <w:lang w:val="en-US"/>
        </w:rPr>
        <w:t xml:space="preserve"> our most critical systems, built most of our services from scratch and are making good progress in recovering data. </w:t>
      </w:r>
      <w:r w:rsidR="00A4727D">
        <w:rPr>
          <w:rFonts w:ascii="Arial" w:hAnsi="Arial" w:cs="Arial"/>
          <w:szCs w:val="22"/>
          <w:lang w:val="en-US"/>
        </w:rPr>
        <w:t>As of March 2022, w</w:t>
      </w:r>
      <w:r w:rsidRPr="006C78D8">
        <w:rPr>
          <w:rFonts w:ascii="Arial" w:hAnsi="Arial" w:cs="Arial"/>
          <w:szCs w:val="22"/>
          <w:lang w:val="en-US"/>
        </w:rPr>
        <w:t>e ha</w:t>
      </w:r>
      <w:r w:rsidR="00176A6C">
        <w:rPr>
          <w:rFonts w:ascii="Arial" w:hAnsi="Arial" w:cs="Arial"/>
          <w:szCs w:val="22"/>
          <w:lang w:val="en-US"/>
        </w:rPr>
        <w:t>d</w:t>
      </w:r>
      <w:r w:rsidRPr="006C78D8">
        <w:rPr>
          <w:rFonts w:ascii="Arial" w:hAnsi="Arial" w:cs="Arial"/>
          <w:szCs w:val="22"/>
          <w:lang w:val="en-US"/>
        </w:rPr>
        <w:t xml:space="preserve"> also implemented 35 of the 44 recommendations made in the reviews with good progress on the remaining nine.  </w:t>
      </w:r>
    </w:p>
    <w:p w14:paraId="07F11811" w14:textId="47350570" w:rsidR="009F3E81" w:rsidRPr="006C78D8" w:rsidRDefault="009F3E81" w:rsidP="001765AD">
      <w:pPr>
        <w:spacing w:line="360" w:lineRule="auto"/>
        <w:rPr>
          <w:rFonts w:ascii="Arial" w:hAnsi="Arial" w:cs="Arial"/>
        </w:rPr>
      </w:pPr>
    </w:p>
    <w:p w14:paraId="78BBA487" w14:textId="1CF44D94" w:rsidR="0085174D" w:rsidRPr="006C78D8" w:rsidRDefault="0085174D" w:rsidP="00EA4F8B">
      <w:pPr>
        <w:spacing w:line="360" w:lineRule="auto"/>
        <w:rPr>
          <w:rFonts w:ascii="Arial" w:hAnsi="Arial" w:cs="Arial"/>
          <w:szCs w:val="22"/>
          <w:lang w:val="en-US"/>
        </w:rPr>
      </w:pPr>
      <w:r w:rsidRPr="006C78D8">
        <w:rPr>
          <w:rFonts w:ascii="Arial" w:hAnsi="Arial" w:cs="Arial"/>
          <w:szCs w:val="22"/>
          <w:lang w:val="en-US"/>
        </w:rPr>
        <w:t xml:space="preserve">While the impacts will continue to be felt for some time, we are moving into a different phase of our recovery: a phase that </w:t>
      </w:r>
      <w:proofErr w:type="spellStart"/>
      <w:r w:rsidRPr="006C78D8">
        <w:rPr>
          <w:rFonts w:ascii="Arial" w:hAnsi="Arial" w:cs="Arial"/>
          <w:szCs w:val="22"/>
          <w:lang w:val="en-US"/>
        </w:rPr>
        <w:t>recognises</w:t>
      </w:r>
      <w:proofErr w:type="spellEnd"/>
      <w:r w:rsidRPr="006C78D8">
        <w:rPr>
          <w:rFonts w:ascii="Arial" w:hAnsi="Arial" w:cs="Arial"/>
          <w:szCs w:val="22"/>
          <w:lang w:val="en-US"/>
        </w:rPr>
        <w:t xml:space="preserve"> we </w:t>
      </w:r>
      <w:r w:rsidR="00DC4B53" w:rsidRPr="006C78D8">
        <w:rPr>
          <w:rFonts w:ascii="Arial" w:hAnsi="Arial" w:cs="Arial"/>
          <w:szCs w:val="22"/>
          <w:lang w:val="en-US"/>
        </w:rPr>
        <w:t>cannot</w:t>
      </w:r>
      <w:r w:rsidRPr="006C78D8">
        <w:rPr>
          <w:rFonts w:ascii="Arial" w:hAnsi="Arial" w:cs="Arial"/>
          <w:szCs w:val="22"/>
          <w:lang w:val="en-US"/>
        </w:rPr>
        <w:t xml:space="preserve"> do everything at once but that accelerates the transformational changes to the Agency we were already embarking upon. </w:t>
      </w:r>
    </w:p>
    <w:p w14:paraId="6350F54A" w14:textId="77777777" w:rsidR="002431C9" w:rsidRPr="006C78D8" w:rsidRDefault="002431C9" w:rsidP="00EA4F8B">
      <w:pPr>
        <w:spacing w:line="360" w:lineRule="auto"/>
        <w:rPr>
          <w:rFonts w:ascii="Arial" w:hAnsi="Arial" w:cs="Arial"/>
          <w:szCs w:val="22"/>
          <w:lang w:val="en-US"/>
        </w:rPr>
      </w:pPr>
    </w:p>
    <w:p w14:paraId="51A3CF8B" w14:textId="73D1542E" w:rsidR="0085174D" w:rsidRPr="006C78D8" w:rsidRDefault="0085174D" w:rsidP="00EA4F8B">
      <w:pPr>
        <w:spacing w:line="360" w:lineRule="auto"/>
        <w:rPr>
          <w:rFonts w:ascii="Arial" w:hAnsi="Arial" w:cs="Arial"/>
          <w:szCs w:val="22"/>
          <w:lang w:val="en-US"/>
        </w:rPr>
      </w:pPr>
      <w:r w:rsidRPr="006C78D8">
        <w:rPr>
          <w:rFonts w:ascii="Arial" w:hAnsi="Arial" w:cs="Arial"/>
          <w:szCs w:val="22"/>
          <w:lang w:val="en-US"/>
        </w:rPr>
        <w:t>Despite not being something we wanted</w:t>
      </w:r>
      <w:r w:rsidR="008330CA" w:rsidRPr="006C78D8">
        <w:rPr>
          <w:rFonts w:ascii="Arial" w:hAnsi="Arial" w:cs="Arial"/>
          <w:szCs w:val="22"/>
          <w:lang w:val="en-US"/>
        </w:rPr>
        <w:t xml:space="preserve"> to experience</w:t>
      </w:r>
      <w:r w:rsidRPr="006C78D8">
        <w:rPr>
          <w:rFonts w:ascii="Arial" w:hAnsi="Arial" w:cs="Arial"/>
          <w:szCs w:val="22"/>
          <w:lang w:val="en-US"/>
        </w:rPr>
        <w:t>, the attack is acting as a catalyst to bring forward our plans</w:t>
      </w:r>
      <w:r w:rsidR="008330CA" w:rsidRPr="006C78D8">
        <w:rPr>
          <w:rFonts w:ascii="Arial" w:hAnsi="Arial" w:cs="Arial"/>
          <w:szCs w:val="22"/>
          <w:lang w:val="en-US"/>
        </w:rPr>
        <w:t xml:space="preserve"> more quickly </w:t>
      </w:r>
      <w:r w:rsidRPr="006C78D8">
        <w:rPr>
          <w:rFonts w:ascii="Arial" w:hAnsi="Arial" w:cs="Arial"/>
          <w:szCs w:val="22"/>
          <w:lang w:val="en-US"/>
        </w:rPr>
        <w:t xml:space="preserve">to be a </w:t>
      </w:r>
      <w:r w:rsidR="008F5EDE" w:rsidRPr="006C78D8">
        <w:rPr>
          <w:rFonts w:ascii="Arial" w:hAnsi="Arial" w:cs="Arial"/>
          <w:szCs w:val="22"/>
          <w:lang w:val="en-US"/>
        </w:rPr>
        <w:t>nimbler and more flexible</w:t>
      </w:r>
      <w:r w:rsidRPr="006C78D8">
        <w:rPr>
          <w:rFonts w:ascii="Arial" w:hAnsi="Arial" w:cs="Arial"/>
          <w:szCs w:val="22"/>
          <w:lang w:val="en-US"/>
        </w:rPr>
        <w:t xml:space="preserve"> </w:t>
      </w:r>
      <w:proofErr w:type="spellStart"/>
      <w:r w:rsidRPr="006C78D8">
        <w:rPr>
          <w:rFonts w:ascii="Arial" w:hAnsi="Arial" w:cs="Arial"/>
          <w:szCs w:val="22"/>
          <w:lang w:val="en-US"/>
        </w:rPr>
        <w:t>organisation</w:t>
      </w:r>
      <w:proofErr w:type="spellEnd"/>
      <w:r w:rsidRPr="006C78D8">
        <w:rPr>
          <w:rFonts w:ascii="Arial" w:hAnsi="Arial" w:cs="Arial"/>
          <w:szCs w:val="22"/>
          <w:lang w:val="en-US"/>
        </w:rPr>
        <w:t xml:space="preserve"> that is designed to meet today’s environmental challenges. For example, we decided early on to </w:t>
      </w:r>
      <w:r w:rsidRPr="006C78D8">
        <w:rPr>
          <w:rFonts w:ascii="Arial" w:hAnsi="Arial" w:cs="Arial"/>
          <w:szCs w:val="22"/>
          <w:lang w:val="en-US"/>
        </w:rPr>
        <w:lastRenderedPageBreak/>
        <w:t xml:space="preserve">accelerate our Digital Strategy: building new platforms that deliver our services more quickly and more efficiently.  </w:t>
      </w:r>
    </w:p>
    <w:p w14:paraId="6606DCAC" w14:textId="77777777" w:rsidR="002431C9" w:rsidRPr="006C78D8" w:rsidRDefault="002431C9" w:rsidP="00EA4F8B">
      <w:pPr>
        <w:spacing w:line="360" w:lineRule="auto"/>
        <w:rPr>
          <w:rFonts w:ascii="Arial" w:hAnsi="Arial" w:cs="Arial"/>
          <w:szCs w:val="22"/>
          <w:lang w:val="en-US"/>
        </w:rPr>
      </w:pPr>
    </w:p>
    <w:p w14:paraId="145DF51F" w14:textId="710EFA1F" w:rsidR="0085174D" w:rsidRPr="00EA4F8B" w:rsidRDefault="0085174D" w:rsidP="00EA4F8B">
      <w:pPr>
        <w:spacing w:line="360" w:lineRule="auto"/>
        <w:rPr>
          <w:rFonts w:ascii="Arial" w:hAnsi="Arial" w:cs="Arial"/>
          <w:szCs w:val="22"/>
          <w:lang w:val="en-US"/>
        </w:rPr>
      </w:pPr>
      <w:r w:rsidRPr="006C78D8">
        <w:rPr>
          <w:rFonts w:ascii="Arial" w:hAnsi="Arial" w:cs="Arial"/>
          <w:szCs w:val="22"/>
          <w:lang w:val="en-US"/>
        </w:rPr>
        <w:t>Experiencing such a significant attack has been extremely challenging and complex – for our staff, for our partners</w:t>
      </w:r>
      <w:r w:rsidR="002431C9" w:rsidRPr="006C78D8">
        <w:rPr>
          <w:rFonts w:ascii="Arial" w:hAnsi="Arial" w:cs="Arial"/>
          <w:szCs w:val="22"/>
          <w:lang w:val="en-US"/>
        </w:rPr>
        <w:t>,</w:t>
      </w:r>
      <w:r w:rsidRPr="006C78D8">
        <w:rPr>
          <w:rFonts w:ascii="Arial" w:hAnsi="Arial" w:cs="Arial"/>
          <w:szCs w:val="22"/>
          <w:lang w:val="en-US"/>
        </w:rPr>
        <w:t xml:space="preserve"> and for those that rely on our services.</w:t>
      </w:r>
      <w:r w:rsidRPr="00EA4F8B">
        <w:rPr>
          <w:rFonts w:ascii="Arial" w:hAnsi="Arial" w:cs="Arial"/>
          <w:szCs w:val="22"/>
          <w:lang w:val="en-US"/>
        </w:rPr>
        <w:t xml:space="preserve">  </w:t>
      </w:r>
    </w:p>
    <w:p w14:paraId="6F2DE222" w14:textId="77777777" w:rsidR="00F16B56" w:rsidRPr="002431C9" w:rsidRDefault="00F16B56" w:rsidP="002431C9">
      <w:pPr>
        <w:spacing w:line="360" w:lineRule="auto"/>
        <w:rPr>
          <w:rFonts w:ascii="Arial" w:hAnsi="Arial" w:cs="Arial"/>
          <w:szCs w:val="22"/>
          <w:lang w:val="en-US"/>
        </w:rPr>
      </w:pPr>
    </w:p>
    <w:p w14:paraId="304AA0CD" w14:textId="4976D749" w:rsidR="00F16B56" w:rsidRDefault="00F16B56" w:rsidP="00802A98">
      <w:pPr>
        <w:pStyle w:val="01bSubheader"/>
        <w:numPr>
          <w:ilvl w:val="2"/>
          <w:numId w:val="34"/>
        </w:numPr>
      </w:pPr>
      <w:bookmarkStart w:id="14" w:name="_Toc119068072"/>
      <w:r w:rsidRPr="36C4F9CA">
        <w:t>We know the scale of the challenge and opportunity presented by the climate and nature emergencies, and the urgency to act</w:t>
      </w:r>
      <w:bookmarkEnd w:id="14"/>
    </w:p>
    <w:p w14:paraId="7C89A41A" w14:textId="77777777" w:rsidR="00F16B56" w:rsidRDefault="00F16B56" w:rsidP="00F16B56">
      <w:pPr>
        <w:spacing w:line="360" w:lineRule="auto"/>
        <w:rPr>
          <w:rFonts w:ascii="Arial" w:hAnsi="Arial" w:cs="Arial"/>
        </w:rPr>
      </w:pPr>
    </w:p>
    <w:p w14:paraId="51B2B6DE" w14:textId="162EDB2B" w:rsidR="00F16B56" w:rsidRPr="00775E92" w:rsidRDefault="51EC6D49" w:rsidP="46D6F24B">
      <w:pPr>
        <w:spacing w:line="360" w:lineRule="auto"/>
        <w:rPr>
          <w:rFonts w:ascii="Arial" w:hAnsi="Arial" w:cs="Arial"/>
          <w:lang w:val="en-US"/>
        </w:rPr>
      </w:pPr>
      <w:r w:rsidRPr="46D6F24B">
        <w:rPr>
          <w:rFonts w:ascii="Arial" w:hAnsi="Arial" w:cs="Arial"/>
          <w:lang w:val="en-US"/>
        </w:rPr>
        <w:t xml:space="preserve">In </w:t>
      </w:r>
      <w:r w:rsidR="2CABD0E6" w:rsidRPr="46D6F24B">
        <w:rPr>
          <w:rFonts w:ascii="Arial" w:hAnsi="Arial" w:cs="Arial"/>
          <w:lang w:val="en-US"/>
        </w:rPr>
        <w:t>November 2021,</w:t>
      </w:r>
      <w:r w:rsidRPr="46D6F24B">
        <w:rPr>
          <w:rFonts w:ascii="Arial" w:hAnsi="Arial" w:cs="Arial"/>
          <w:lang w:val="en-US"/>
        </w:rPr>
        <w:t xml:space="preserve"> the eyes of the world were on Glasgow and COP26. </w:t>
      </w:r>
      <w:r w:rsidR="0E581EA2" w:rsidRPr="46D6F24B">
        <w:rPr>
          <w:rFonts w:ascii="Arial" w:hAnsi="Arial" w:cs="Arial"/>
          <w:lang w:val="en-US"/>
        </w:rPr>
        <w:t xml:space="preserve">SEPA partnered with the host city, </w:t>
      </w:r>
      <w:r w:rsidRPr="46D6F24B">
        <w:rPr>
          <w:rFonts w:ascii="Arial" w:hAnsi="Arial" w:cs="Arial"/>
          <w:lang w:val="en-US"/>
        </w:rPr>
        <w:t>Glasgow City Council and Global Footprint Network</w:t>
      </w:r>
      <w:r w:rsidR="755760AB" w:rsidRPr="46D6F24B">
        <w:rPr>
          <w:rFonts w:ascii="Arial" w:hAnsi="Arial" w:cs="Arial"/>
          <w:lang w:val="en-US"/>
        </w:rPr>
        <w:t xml:space="preserve">, </w:t>
      </w:r>
      <w:r w:rsidRPr="46D6F24B">
        <w:rPr>
          <w:rFonts w:ascii="Arial" w:hAnsi="Arial" w:cs="Arial"/>
          <w:lang w:val="en-US"/>
        </w:rPr>
        <w:t xml:space="preserve">an international non-profit </w:t>
      </w:r>
      <w:proofErr w:type="spellStart"/>
      <w:r w:rsidRPr="46D6F24B">
        <w:rPr>
          <w:rFonts w:ascii="Arial" w:hAnsi="Arial" w:cs="Arial"/>
          <w:lang w:val="en-US"/>
        </w:rPr>
        <w:t>organisation</w:t>
      </w:r>
      <w:proofErr w:type="spellEnd"/>
      <w:r w:rsidR="49F95DF4" w:rsidRPr="46D6F24B">
        <w:rPr>
          <w:rFonts w:ascii="Arial" w:hAnsi="Arial" w:cs="Arial"/>
          <w:lang w:val="en-US"/>
        </w:rPr>
        <w:t>. W</w:t>
      </w:r>
      <w:r w:rsidR="016A7A68" w:rsidRPr="46D6F24B">
        <w:rPr>
          <w:rFonts w:ascii="Arial" w:hAnsi="Arial" w:cs="Arial"/>
          <w:lang w:val="en-US"/>
        </w:rPr>
        <w:t>e</w:t>
      </w:r>
      <w:r w:rsidRPr="46D6F24B">
        <w:rPr>
          <w:rFonts w:ascii="Arial" w:hAnsi="Arial" w:cs="Arial"/>
          <w:lang w:val="en-US"/>
        </w:rPr>
        <w:t xml:space="preserve"> highlight</w:t>
      </w:r>
      <w:r w:rsidR="7A3D5105" w:rsidRPr="46D6F24B">
        <w:rPr>
          <w:rFonts w:ascii="Arial" w:hAnsi="Arial" w:cs="Arial"/>
          <w:lang w:val="en-US"/>
        </w:rPr>
        <w:t>ed</w:t>
      </w:r>
      <w:r w:rsidRPr="46D6F24B">
        <w:rPr>
          <w:rFonts w:ascii="Arial" w:hAnsi="Arial" w:cs="Arial"/>
          <w:lang w:val="en-US"/>
        </w:rPr>
        <w:t xml:space="preserve"> the urgency of driving an economic recovery from the global health pandemic where all can thrive within the means of the planet. </w:t>
      </w:r>
    </w:p>
    <w:p w14:paraId="25AB8608" w14:textId="77777777" w:rsidR="00A25103" w:rsidRPr="00096B58" w:rsidRDefault="00A25103" w:rsidP="00F16B56">
      <w:pPr>
        <w:spacing w:line="360" w:lineRule="auto"/>
        <w:rPr>
          <w:rFonts w:ascii="Arial" w:hAnsi="Arial" w:cs="Arial"/>
          <w:szCs w:val="22"/>
          <w:lang w:val="en-US"/>
        </w:rPr>
      </w:pPr>
    </w:p>
    <w:p w14:paraId="72817A51" w14:textId="0E000F6B" w:rsidR="005D089D" w:rsidRDefault="795BB909" w:rsidP="46D6F24B">
      <w:pPr>
        <w:spacing w:line="360" w:lineRule="auto"/>
        <w:rPr>
          <w:rFonts w:ascii="Arial" w:hAnsi="Arial" w:cs="Arial"/>
          <w:lang w:val="en-US"/>
        </w:rPr>
      </w:pPr>
      <w:proofErr w:type="spellStart"/>
      <w:r w:rsidRPr="46D6F24B">
        <w:rPr>
          <w:rFonts w:ascii="Arial" w:hAnsi="Arial" w:cs="Arial"/>
          <w:lang w:val="en-US"/>
        </w:rPr>
        <w:t>Councillor</w:t>
      </w:r>
      <w:proofErr w:type="spellEnd"/>
      <w:r w:rsidRPr="46D6F24B">
        <w:rPr>
          <w:rFonts w:ascii="Arial" w:hAnsi="Arial" w:cs="Arial"/>
          <w:lang w:val="en-US"/>
        </w:rPr>
        <w:t xml:space="preserve"> Susan Aitken, the Leader of Glasgow City Council, </w:t>
      </w:r>
      <w:hyperlink r:id="rId29">
        <w:r w:rsidRPr="46D6F24B">
          <w:rPr>
            <w:rFonts w:ascii="Arial" w:hAnsi="Arial" w:cs="Arial"/>
            <w:lang w:val="en-US"/>
          </w:rPr>
          <w:t>announced on behalf of SEPA and Global Footprint Network</w:t>
        </w:r>
      </w:hyperlink>
      <w:r w:rsidRPr="46D6F24B">
        <w:rPr>
          <w:rFonts w:ascii="Arial" w:hAnsi="Arial" w:cs="Arial"/>
          <w:lang w:val="en-US"/>
        </w:rPr>
        <w:t xml:space="preserve"> that with almost half a year remaining, we had already used up our quota of the Earth’s biological resources for 2021 by July 29</w:t>
      </w:r>
      <w:r w:rsidRPr="46D6F24B">
        <w:rPr>
          <w:rFonts w:ascii="Arial" w:hAnsi="Arial" w:cs="Arial"/>
          <w:vertAlign w:val="superscript"/>
          <w:lang w:val="en-US"/>
        </w:rPr>
        <w:t>th</w:t>
      </w:r>
      <w:r w:rsidR="4AA4461D" w:rsidRPr="46D6F24B">
        <w:rPr>
          <w:rFonts w:ascii="Arial" w:hAnsi="Arial" w:cs="Arial"/>
          <w:lang w:val="en-US"/>
        </w:rPr>
        <w:t>. She</w:t>
      </w:r>
      <w:r w:rsidRPr="46D6F24B">
        <w:rPr>
          <w:rFonts w:ascii="Arial" w:hAnsi="Arial" w:cs="Arial"/>
          <w:lang w:val="en-US"/>
        </w:rPr>
        <w:t xml:space="preserve"> highlighted the role that cities and places can make in reaching net-zero goals through their infrastructure, regulatory powers</w:t>
      </w:r>
      <w:r w:rsidR="00445FEE">
        <w:rPr>
          <w:rFonts w:ascii="Arial" w:hAnsi="Arial" w:cs="Arial"/>
          <w:lang w:val="en-US"/>
        </w:rPr>
        <w:t>,</w:t>
      </w:r>
      <w:r w:rsidRPr="46D6F24B">
        <w:rPr>
          <w:rFonts w:ascii="Arial" w:hAnsi="Arial" w:cs="Arial"/>
          <w:lang w:val="en-US"/>
        </w:rPr>
        <w:t xml:space="preserve"> and opportunity to shape their resource efficiency.</w:t>
      </w:r>
      <w:r w:rsidR="69BC097E" w:rsidRPr="46D6F24B">
        <w:rPr>
          <w:rFonts w:ascii="Arial" w:hAnsi="Arial" w:cs="Arial"/>
          <w:lang w:val="en-US"/>
        </w:rPr>
        <w:t xml:space="preserve"> This influence is demonstrated by the</w:t>
      </w:r>
      <w:r w:rsidR="1527B284" w:rsidRPr="46D6F24B">
        <w:rPr>
          <w:rFonts w:ascii="Arial" w:hAnsi="Arial" w:cs="Arial"/>
          <w:lang w:val="en-US"/>
        </w:rPr>
        <w:t xml:space="preserve"> </w:t>
      </w:r>
      <w:r w:rsidR="69BC097E" w:rsidRPr="46D6F24B">
        <w:rPr>
          <w:rFonts w:ascii="Arial" w:hAnsi="Arial" w:cs="Arial"/>
          <w:lang w:val="en-US"/>
        </w:rPr>
        <w:t>Leven Programme, a regeneration initiative led by SEPA aiming to improve the local environment and encourage social and economic opportunities along the River Leven catchment</w:t>
      </w:r>
      <w:r w:rsidR="1527B284" w:rsidRPr="46D6F24B">
        <w:rPr>
          <w:rFonts w:ascii="Arial" w:hAnsi="Arial" w:cs="Arial"/>
          <w:lang w:val="en-US"/>
        </w:rPr>
        <w:t>. Th</w:t>
      </w:r>
      <w:r w:rsidR="66AB5226" w:rsidRPr="46D6F24B">
        <w:rPr>
          <w:rFonts w:ascii="Arial" w:hAnsi="Arial" w:cs="Arial"/>
          <w:lang w:val="en-US"/>
        </w:rPr>
        <w:t>e place</w:t>
      </w:r>
      <w:r w:rsidR="7DF98607" w:rsidRPr="46D6F24B">
        <w:rPr>
          <w:rFonts w:ascii="Arial" w:hAnsi="Arial" w:cs="Arial"/>
          <w:lang w:val="en-US"/>
        </w:rPr>
        <w:t>-</w:t>
      </w:r>
      <w:r w:rsidR="66AB5226" w:rsidRPr="46D6F24B">
        <w:rPr>
          <w:rFonts w:ascii="Arial" w:hAnsi="Arial" w:cs="Arial"/>
          <w:lang w:val="en-US"/>
        </w:rPr>
        <w:t xml:space="preserve">based </w:t>
      </w:r>
      <w:proofErr w:type="spellStart"/>
      <w:r w:rsidR="66AB5226" w:rsidRPr="46D6F24B">
        <w:rPr>
          <w:rFonts w:ascii="Arial" w:hAnsi="Arial" w:cs="Arial"/>
          <w:lang w:val="en-US"/>
        </w:rPr>
        <w:t>programme</w:t>
      </w:r>
      <w:proofErr w:type="spellEnd"/>
      <w:r w:rsidR="66AB5226" w:rsidRPr="46D6F24B">
        <w:rPr>
          <w:rFonts w:ascii="Arial" w:hAnsi="Arial" w:cs="Arial"/>
          <w:lang w:val="en-US"/>
        </w:rPr>
        <w:t xml:space="preserve"> </w:t>
      </w:r>
      <w:r w:rsidR="69BC097E" w:rsidRPr="46D6F24B">
        <w:rPr>
          <w:rFonts w:ascii="Arial" w:hAnsi="Arial" w:cs="Arial"/>
          <w:lang w:val="en-US"/>
        </w:rPr>
        <w:t xml:space="preserve">was </w:t>
      </w:r>
      <w:proofErr w:type="spellStart"/>
      <w:r w:rsidR="69BC097E" w:rsidRPr="46D6F24B">
        <w:rPr>
          <w:rFonts w:ascii="Arial" w:hAnsi="Arial" w:cs="Arial"/>
          <w:lang w:val="en-US"/>
        </w:rPr>
        <w:t>recognised</w:t>
      </w:r>
      <w:proofErr w:type="spellEnd"/>
      <w:r w:rsidR="69BC097E" w:rsidRPr="46D6F24B">
        <w:rPr>
          <w:rFonts w:ascii="Arial" w:hAnsi="Arial" w:cs="Arial"/>
          <w:lang w:val="en-US"/>
        </w:rPr>
        <w:t xml:space="preserve"> as a Climate Beacon by Creative Carbon Scotland. </w:t>
      </w:r>
      <w:r w:rsidR="66AB5226" w:rsidRPr="46D6F24B">
        <w:rPr>
          <w:rFonts w:ascii="Arial" w:hAnsi="Arial" w:cs="Arial"/>
          <w:lang w:val="en-US"/>
        </w:rPr>
        <w:t>F</w:t>
      </w:r>
      <w:r w:rsidR="69BC097E" w:rsidRPr="46D6F24B">
        <w:rPr>
          <w:rFonts w:ascii="Arial" w:hAnsi="Arial" w:cs="Arial"/>
          <w:lang w:val="en-US"/>
        </w:rPr>
        <w:t>ace</w:t>
      </w:r>
      <w:r w:rsidR="66AB5226" w:rsidRPr="46D6F24B">
        <w:rPr>
          <w:rFonts w:ascii="Arial" w:hAnsi="Arial" w:cs="Arial"/>
          <w:lang w:val="en-US"/>
        </w:rPr>
        <w:t>d</w:t>
      </w:r>
      <w:r w:rsidR="2151F6AC" w:rsidRPr="46D6F24B">
        <w:rPr>
          <w:rFonts w:ascii="Arial" w:hAnsi="Arial" w:cs="Arial"/>
          <w:lang w:val="en-US"/>
        </w:rPr>
        <w:t xml:space="preserve"> with</w:t>
      </w:r>
      <w:r w:rsidR="2B6DD171" w:rsidRPr="46D6F24B">
        <w:rPr>
          <w:rFonts w:ascii="Arial" w:hAnsi="Arial" w:cs="Arial"/>
          <w:lang w:val="en-US"/>
        </w:rPr>
        <w:t xml:space="preserve"> managing the impacts from</w:t>
      </w:r>
      <w:r w:rsidR="2151F6AC" w:rsidRPr="46D6F24B">
        <w:rPr>
          <w:rFonts w:ascii="Arial" w:hAnsi="Arial" w:cs="Arial"/>
          <w:lang w:val="en-US"/>
        </w:rPr>
        <w:t xml:space="preserve"> the twin</w:t>
      </w:r>
      <w:r w:rsidR="69BC097E" w:rsidRPr="46D6F24B">
        <w:rPr>
          <w:rFonts w:ascii="Arial" w:hAnsi="Arial" w:cs="Arial"/>
          <w:lang w:val="en-US"/>
        </w:rPr>
        <w:t xml:space="preserve"> challenge </w:t>
      </w:r>
      <w:r w:rsidR="2151F6AC" w:rsidRPr="46D6F24B">
        <w:rPr>
          <w:rFonts w:ascii="Arial" w:hAnsi="Arial" w:cs="Arial"/>
          <w:lang w:val="en-US"/>
        </w:rPr>
        <w:t>of</w:t>
      </w:r>
      <w:r w:rsidR="69BC097E" w:rsidRPr="46D6F24B">
        <w:rPr>
          <w:rFonts w:ascii="Arial" w:hAnsi="Arial" w:cs="Arial"/>
          <w:lang w:val="en-US"/>
        </w:rPr>
        <w:t xml:space="preserve"> climate change, such as coastal erosion, drought, coastal</w:t>
      </w:r>
      <w:r w:rsidR="00C36F79">
        <w:rPr>
          <w:rFonts w:ascii="Arial" w:hAnsi="Arial" w:cs="Arial"/>
          <w:lang w:val="en-US"/>
        </w:rPr>
        <w:t xml:space="preserve"> </w:t>
      </w:r>
      <w:r w:rsidR="69BC097E" w:rsidRPr="46D6F24B">
        <w:rPr>
          <w:rFonts w:ascii="Arial" w:hAnsi="Arial" w:cs="Arial"/>
          <w:lang w:val="en-US"/>
        </w:rPr>
        <w:t>and fluvial flooding</w:t>
      </w:r>
      <w:r w:rsidR="74F4189F" w:rsidRPr="46D6F24B">
        <w:rPr>
          <w:rFonts w:ascii="Arial" w:hAnsi="Arial" w:cs="Arial"/>
          <w:lang w:val="en-US"/>
        </w:rPr>
        <w:t xml:space="preserve"> </w:t>
      </w:r>
      <w:r w:rsidR="69BC097E" w:rsidRPr="46D6F24B">
        <w:rPr>
          <w:rFonts w:ascii="Arial" w:hAnsi="Arial" w:cs="Arial"/>
          <w:lang w:val="en-US"/>
        </w:rPr>
        <w:t>and biodiversity loss, being a</w:t>
      </w:r>
      <w:r w:rsidR="78C2D290" w:rsidRPr="46D6F24B">
        <w:rPr>
          <w:rFonts w:ascii="Arial" w:hAnsi="Arial" w:cs="Arial"/>
          <w:lang w:val="en-US"/>
        </w:rPr>
        <w:t xml:space="preserve">warded </w:t>
      </w:r>
      <w:r w:rsidR="69BC097E" w:rsidRPr="46D6F24B">
        <w:rPr>
          <w:rFonts w:ascii="Arial" w:hAnsi="Arial" w:cs="Arial"/>
          <w:lang w:val="en-US"/>
        </w:rPr>
        <w:t xml:space="preserve">Climate Beacon </w:t>
      </w:r>
      <w:r w:rsidR="78C2D290" w:rsidRPr="46D6F24B">
        <w:rPr>
          <w:rFonts w:ascii="Arial" w:hAnsi="Arial" w:cs="Arial"/>
          <w:lang w:val="en-US"/>
        </w:rPr>
        <w:t xml:space="preserve">status </w:t>
      </w:r>
      <w:r w:rsidR="292F59C5" w:rsidRPr="46D6F24B">
        <w:rPr>
          <w:rFonts w:ascii="Arial" w:hAnsi="Arial" w:cs="Arial"/>
          <w:lang w:val="en-US"/>
        </w:rPr>
        <w:t xml:space="preserve">gave extra </w:t>
      </w:r>
      <w:r w:rsidR="283B299D" w:rsidRPr="46D6F24B">
        <w:rPr>
          <w:rFonts w:ascii="Arial" w:hAnsi="Arial" w:cs="Arial"/>
          <w:lang w:val="en-US"/>
        </w:rPr>
        <w:t xml:space="preserve">support to the just transition taking place in the area </w:t>
      </w:r>
      <w:r w:rsidR="69BC097E" w:rsidRPr="46D6F24B">
        <w:rPr>
          <w:rFonts w:ascii="Arial" w:hAnsi="Arial" w:cs="Arial"/>
          <w:lang w:val="en-US"/>
        </w:rPr>
        <w:t>and ensure</w:t>
      </w:r>
      <w:r w:rsidR="254523EA" w:rsidRPr="46D6F24B">
        <w:rPr>
          <w:rFonts w:ascii="Arial" w:hAnsi="Arial" w:cs="Arial"/>
          <w:lang w:val="en-US"/>
        </w:rPr>
        <w:t>s</w:t>
      </w:r>
      <w:r w:rsidR="69BC097E" w:rsidRPr="46D6F24B">
        <w:rPr>
          <w:rFonts w:ascii="Arial" w:hAnsi="Arial" w:cs="Arial"/>
          <w:lang w:val="en-US"/>
        </w:rPr>
        <w:t xml:space="preserve"> those in the community</w:t>
      </w:r>
      <w:r w:rsidR="00E66FA4">
        <w:rPr>
          <w:rFonts w:ascii="Arial" w:hAnsi="Arial" w:cs="Arial"/>
          <w:lang w:val="en-US"/>
        </w:rPr>
        <w:t xml:space="preserve"> </w:t>
      </w:r>
      <w:r w:rsidR="69BC097E" w:rsidRPr="46D6F24B">
        <w:rPr>
          <w:rFonts w:ascii="Arial" w:hAnsi="Arial" w:cs="Arial"/>
          <w:lang w:val="en-US"/>
        </w:rPr>
        <w:t>who may be hardest hit by climate change,</w:t>
      </w:r>
      <w:r w:rsidR="283B299D" w:rsidRPr="46D6F24B">
        <w:rPr>
          <w:rFonts w:ascii="Arial" w:hAnsi="Arial" w:cs="Arial"/>
          <w:lang w:val="en-US"/>
        </w:rPr>
        <w:t xml:space="preserve"> have opportunities to</w:t>
      </w:r>
      <w:r w:rsidR="69BC097E" w:rsidRPr="46D6F24B">
        <w:rPr>
          <w:rFonts w:ascii="Arial" w:hAnsi="Arial" w:cs="Arial"/>
          <w:lang w:val="en-US"/>
        </w:rPr>
        <w:t xml:space="preserve"> co-design the change</w:t>
      </w:r>
      <w:r w:rsidR="74F4189F" w:rsidRPr="46D6F24B">
        <w:rPr>
          <w:rFonts w:ascii="Arial" w:hAnsi="Arial" w:cs="Arial"/>
          <w:lang w:val="en-US"/>
        </w:rPr>
        <w:t>s</w:t>
      </w:r>
      <w:r w:rsidR="69BC097E" w:rsidRPr="46D6F24B">
        <w:rPr>
          <w:rFonts w:ascii="Arial" w:hAnsi="Arial" w:cs="Arial"/>
          <w:lang w:val="en-US"/>
        </w:rPr>
        <w:t xml:space="preserve"> needed</w:t>
      </w:r>
      <w:r w:rsidR="254523EA" w:rsidRPr="46D6F24B">
        <w:rPr>
          <w:rFonts w:ascii="Arial" w:hAnsi="Arial" w:cs="Arial"/>
          <w:lang w:val="en-US"/>
        </w:rPr>
        <w:t xml:space="preserve"> to adapt.</w:t>
      </w:r>
    </w:p>
    <w:p w14:paraId="0A3F97DD" w14:textId="77777777" w:rsidR="000C2697" w:rsidRPr="00775E92" w:rsidRDefault="000C2697" w:rsidP="00096B58">
      <w:pPr>
        <w:spacing w:line="360" w:lineRule="auto"/>
        <w:rPr>
          <w:rFonts w:ascii="Arial" w:hAnsi="Arial" w:cs="Arial"/>
          <w:szCs w:val="22"/>
          <w:lang w:val="en-US"/>
        </w:rPr>
      </w:pPr>
    </w:p>
    <w:p w14:paraId="0C859CD7" w14:textId="7B69420E" w:rsidR="005F0B24" w:rsidRPr="00775E92" w:rsidRDefault="005F0B24" w:rsidP="005F0B24">
      <w:pPr>
        <w:spacing w:line="360" w:lineRule="auto"/>
        <w:rPr>
          <w:rFonts w:ascii="Arial" w:hAnsi="Arial" w:cs="Arial"/>
          <w:szCs w:val="22"/>
          <w:lang w:val="en-US"/>
        </w:rPr>
      </w:pPr>
      <w:r w:rsidRPr="00775E92">
        <w:rPr>
          <w:rFonts w:ascii="Arial" w:hAnsi="Arial" w:cs="Arial"/>
          <w:szCs w:val="22"/>
          <w:lang w:val="en-US"/>
        </w:rPr>
        <w:t xml:space="preserve">Nearly 200 countries agreed to the Glasgow Climate Pact and the Paris Agreement’s Rulebook at </w:t>
      </w:r>
      <w:r w:rsidR="00A52F57" w:rsidRPr="00775E92">
        <w:rPr>
          <w:rFonts w:ascii="Arial" w:hAnsi="Arial" w:cs="Arial"/>
          <w:szCs w:val="22"/>
          <w:lang w:val="en-US"/>
        </w:rPr>
        <w:t>COP26,</w:t>
      </w:r>
      <w:r w:rsidRPr="00775E92">
        <w:rPr>
          <w:rFonts w:ascii="Arial" w:hAnsi="Arial" w:cs="Arial"/>
          <w:szCs w:val="22"/>
          <w:lang w:val="en-US"/>
        </w:rPr>
        <w:t xml:space="preserve"> and these will help to shape how countries and businesses respond to the threat of climate change. </w:t>
      </w:r>
    </w:p>
    <w:p w14:paraId="7CDE8C7D" w14:textId="77777777" w:rsidR="005F0B24" w:rsidRPr="00775E92" w:rsidRDefault="005F0B24" w:rsidP="005F0B24">
      <w:pPr>
        <w:spacing w:line="360" w:lineRule="auto"/>
        <w:rPr>
          <w:rFonts w:ascii="Arial" w:hAnsi="Arial" w:cs="Arial"/>
          <w:szCs w:val="22"/>
          <w:lang w:val="en-US"/>
        </w:rPr>
      </w:pPr>
    </w:p>
    <w:p w14:paraId="00C093F2" w14:textId="02798FC6" w:rsidR="005F0B24" w:rsidRDefault="005F0B24" w:rsidP="005F0B24">
      <w:pPr>
        <w:spacing w:line="360" w:lineRule="auto"/>
        <w:rPr>
          <w:rFonts w:ascii="Arial" w:hAnsi="Arial" w:cs="Arial"/>
          <w:szCs w:val="22"/>
          <w:lang w:val="en-US"/>
        </w:rPr>
      </w:pPr>
      <w:r w:rsidRPr="00775E92">
        <w:rPr>
          <w:rFonts w:ascii="Arial" w:hAnsi="Arial" w:cs="Arial"/>
          <w:szCs w:val="22"/>
          <w:lang w:val="en-US"/>
        </w:rPr>
        <w:t>Regenerative SEPA is our response</w:t>
      </w:r>
      <w:r w:rsidR="008B37B7" w:rsidRPr="00775E92">
        <w:rPr>
          <w:rFonts w:ascii="Arial" w:hAnsi="Arial" w:cs="Arial"/>
          <w:szCs w:val="22"/>
          <w:lang w:val="en-US"/>
        </w:rPr>
        <w:t xml:space="preserve"> and plan for</w:t>
      </w:r>
      <w:r w:rsidRPr="00775E92">
        <w:rPr>
          <w:rFonts w:ascii="Arial" w:hAnsi="Arial" w:cs="Arial"/>
          <w:szCs w:val="22"/>
          <w:lang w:val="en-US"/>
        </w:rPr>
        <w:t xml:space="preserve"> how we will reduce our own emissions and impacts to zero, or net zero, while at the same time, taking actions that repair the environment. We have already significantly reduced our own impacts, more than halving our </w:t>
      </w:r>
      <w:r w:rsidRPr="00775E92">
        <w:rPr>
          <w:rFonts w:ascii="Arial" w:hAnsi="Arial" w:cs="Arial"/>
          <w:szCs w:val="22"/>
          <w:lang w:val="en-US"/>
        </w:rPr>
        <w:lastRenderedPageBreak/>
        <w:t>greenhouse gas emissions in the five years between 2014</w:t>
      </w:r>
      <w:r w:rsidR="00D96E14">
        <w:rPr>
          <w:rFonts w:ascii="Arial" w:hAnsi="Arial" w:cs="Arial"/>
          <w:szCs w:val="22"/>
          <w:lang w:val="en-US"/>
        </w:rPr>
        <w:t>-</w:t>
      </w:r>
      <w:r w:rsidRPr="00775E92">
        <w:rPr>
          <w:rFonts w:ascii="Arial" w:hAnsi="Arial" w:cs="Arial"/>
          <w:szCs w:val="22"/>
          <w:lang w:val="en-US"/>
        </w:rPr>
        <w:t>15 and 2019</w:t>
      </w:r>
      <w:r w:rsidR="00D96E14">
        <w:rPr>
          <w:rFonts w:ascii="Arial" w:hAnsi="Arial" w:cs="Arial"/>
          <w:szCs w:val="22"/>
          <w:lang w:val="en-US"/>
        </w:rPr>
        <w:t>-</w:t>
      </w:r>
      <w:r w:rsidRPr="00775E92">
        <w:rPr>
          <w:rFonts w:ascii="Arial" w:hAnsi="Arial" w:cs="Arial"/>
          <w:szCs w:val="22"/>
          <w:lang w:val="en-US"/>
        </w:rPr>
        <w:t>2021. We did this by reducing emissions from our buildings and from our travel, by putting in place policies and by investing in new assets. Regenerative SEPA builds on this experience and goes further, faster</w:t>
      </w:r>
      <w:r w:rsidR="0005043A">
        <w:rPr>
          <w:rFonts w:ascii="Arial" w:hAnsi="Arial" w:cs="Arial"/>
          <w:szCs w:val="22"/>
          <w:lang w:val="en-US"/>
        </w:rPr>
        <w:t>,</w:t>
      </w:r>
      <w:r w:rsidRPr="00775E92">
        <w:rPr>
          <w:rFonts w:ascii="Arial" w:hAnsi="Arial" w:cs="Arial"/>
          <w:szCs w:val="22"/>
          <w:lang w:val="en-US"/>
        </w:rPr>
        <w:t xml:space="preserve"> and wider. </w:t>
      </w:r>
      <w:r w:rsidR="002D114D">
        <w:rPr>
          <w:rFonts w:ascii="Arial" w:hAnsi="Arial" w:cs="Arial"/>
          <w:szCs w:val="22"/>
          <w:lang w:val="en-US"/>
        </w:rPr>
        <w:t xml:space="preserve">To support our </w:t>
      </w:r>
      <w:r w:rsidR="006B0718">
        <w:rPr>
          <w:rFonts w:ascii="Arial" w:hAnsi="Arial" w:cs="Arial"/>
          <w:szCs w:val="22"/>
          <w:lang w:val="en-US"/>
        </w:rPr>
        <w:t>goal,</w:t>
      </w:r>
      <w:r w:rsidR="00815015">
        <w:rPr>
          <w:rFonts w:ascii="Arial" w:hAnsi="Arial" w:cs="Arial"/>
          <w:szCs w:val="22"/>
          <w:lang w:val="en-US"/>
        </w:rPr>
        <w:t xml:space="preserve"> we have set out</w:t>
      </w:r>
      <w:r w:rsidR="009B2B40">
        <w:rPr>
          <w:rFonts w:ascii="Arial" w:hAnsi="Arial" w:cs="Arial"/>
          <w:szCs w:val="22"/>
          <w:lang w:val="en-US"/>
        </w:rPr>
        <w:t xml:space="preserve"> four targets:</w:t>
      </w:r>
    </w:p>
    <w:p w14:paraId="4E13EF8D" w14:textId="77777777" w:rsidR="009B2B40" w:rsidRDefault="009B2B40" w:rsidP="005F0B24">
      <w:pPr>
        <w:spacing w:line="360" w:lineRule="auto"/>
        <w:rPr>
          <w:rFonts w:ascii="Arial" w:hAnsi="Arial" w:cs="Arial"/>
          <w:szCs w:val="22"/>
          <w:lang w:val="en-US"/>
        </w:rPr>
      </w:pPr>
    </w:p>
    <w:p w14:paraId="22DFA476" w14:textId="3C51EC92" w:rsidR="00426B63" w:rsidRPr="00DB192F" w:rsidRDefault="00397976" w:rsidP="00DB192F">
      <w:pPr>
        <w:pStyle w:val="ListParagraph"/>
        <w:numPr>
          <w:ilvl w:val="0"/>
          <w:numId w:val="39"/>
        </w:numPr>
        <w:spacing w:line="360" w:lineRule="auto"/>
        <w:ind w:right="-425"/>
        <w:textAlignment w:val="baseline"/>
        <w:rPr>
          <w:rFonts w:ascii="Arial" w:hAnsi="Arial" w:cs="Arial"/>
        </w:rPr>
      </w:pPr>
      <w:r w:rsidRPr="00DB192F">
        <w:rPr>
          <w:rFonts w:ascii="Arial" w:hAnsi="Arial" w:cs="Arial"/>
        </w:rPr>
        <w:t xml:space="preserve">Net </w:t>
      </w:r>
      <w:r w:rsidR="00BA4AC3" w:rsidRPr="00DB192F">
        <w:rPr>
          <w:rFonts w:ascii="Arial" w:hAnsi="Arial" w:cs="Arial"/>
        </w:rPr>
        <w:t>Zero direct emissions by 2025</w:t>
      </w:r>
      <w:r w:rsidR="007F2A98" w:rsidRPr="00DB192F">
        <w:rPr>
          <w:rFonts w:ascii="Arial" w:hAnsi="Arial" w:cs="Arial"/>
        </w:rPr>
        <w:t xml:space="preserve"> and Net Zero all emissions by 2030.</w:t>
      </w:r>
    </w:p>
    <w:p w14:paraId="07C300C3" w14:textId="1058BC24" w:rsidR="007F2A98" w:rsidRPr="00DB192F" w:rsidRDefault="007F2A98" w:rsidP="00DB192F">
      <w:pPr>
        <w:pStyle w:val="ListParagraph"/>
        <w:numPr>
          <w:ilvl w:val="0"/>
          <w:numId w:val="39"/>
        </w:numPr>
        <w:spacing w:line="360" w:lineRule="auto"/>
        <w:ind w:right="-425"/>
        <w:textAlignment w:val="baseline"/>
        <w:rPr>
          <w:rFonts w:ascii="Arial" w:hAnsi="Arial" w:cs="Arial"/>
        </w:rPr>
      </w:pPr>
      <w:r w:rsidRPr="00DB192F">
        <w:rPr>
          <w:rFonts w:ascii="Arial" w:hAnsi="Arial" w:cs="Arial"/>
        </w:rPr>
        <w:t>Net Zero materials use by 2030.</w:t>
      </w:r>
    </w:p>
    <w:p w14:paraId="3E9C77A9" w14:textId="2EEF2663" w:rsidR="007F2A98" w:rsidRPr="00DB192F" w:rsidRDefault="007F2A98" w:rsidP="00DB192F">
      <w:pPr>
        <w:pStyle w:val="ListParagraph"/>
        <w:numPr>
          <w:ilvl w:val="0"/>
          <w:numId w:val="39"/>
        </w:numPr>
        <w:spacing w:line="360" w:lineRule="auto"/>
        <w:ind w:right="-425"/>
        <w:textAlignment w:val="baseline"/>
        <w:rPr>
          <w:rFonts w:ascii="Arial" w:hAnsi="Arial" w:cs="Arial"/>
        </w:rPr>
      </w:pPr>
      <w:r w:rsidRPr="00DB192F">
        <w:rPr>
          <w:rFonts w:ascii="Arial" w:hAnsi="Arial" w:cs="Arial"/>
        </w:rPr>
        <w:t xml:space="preserve">Net Zero water use by </w:t>
      </w:r>
      <w:r w:rsidR="00E22D73" w:rsidRPr="00DB192F">
        <w:rPr>
          <w:rFonts w:ascii="Arial" w:hAnsi="Arial" w:cs="Arial"/>
        </w:rPr>
        <w:t>2030.</w:t>
      </w:r>
    </w:p>
    <w:p w14:paraId="50EAB1D2" w14:textId="28A3A2D4" w:rsidR="00E22D73" w:rsidRPr="00DB192F" w:rsidRDefault="004A2F52" w:rsidP="00DB192F">
      <w:pPr>
        <w:pStyle w:val="ListParagraph"/>
        <w:numPr>
          <w:ilvl w:val="0"/>
          <w:numId w:val="39"/>
        </w:numPr>
        <w:spacing w:line="360" w:lineRule="auto"/>
        <w:ind w:right="-425"/>
        <w:textAlignment w:val="baseline"/>
        <w:rPr>
          <w:rFonts w:ascii="Arial" w:hAnsi="Arial" w:cs="Arial"/>
        </w:rPr>
      </w:pPr>
      <w:r w:rsidRPr="00DB192F">
        <w:rPr>
          <w:rFonts w:ascii="Arial" w:hAnsi="Arial" w:cs="Arial"/>
        </w:rPr>
        <w:t>Zero waste by 2030.</w:t>
      </w:r>
    </w:p>
    <w:p w14:paraId="2B579D73" w14:textId="5B400DFB" w:rsidR="00950D53" w:rsidRDefault="00950D53" w:rsidP="005F0B24">
      <w:pPr>
        <w:spacing w:line="360" w:lineRule="auto"/>
        <w:rPr>
          <w:rFonts w:ascii="Arial" w:hAnsi="Arial" w:cs="Arial"/>
          <w:shd w:val="clear" w:color="auto" w:fill="FFFFFF"/>
        </w:rPr>
      </w:pPr>
    </w:p>
    <w:p w14:paraId="0C61FE2D" w14:textId="3EE3BF8B" w:rsidR="00DF2C47" w:rsidRDefault="00DF2C47" w:rsidP="00DF2C47">
      <w:pPr>
        <w:spacing w:line="360" w:lineRule="auto"/>
        <w:rPr>
          <w:rFonts w:ascii="Arial" w:hAnsi="Arial" w:cs="Arial"/>
        </w:rPr>
      </w:pPr>
      <w:r w:rsidRPr="00AD3835">
        <w:rPr>
          <w:rFonts w:ascii="Arial" w:hAnsi="Arial" w:cs="Arial"/>
        </w:rPr>
        <w:t xml:space="preserve">Climate change presents the greatest risk to humanity. It is happening </w:t>
      </w:r>
      <w:r w:rsidR="002D3780" w:rsidRPr="00AD3835">
        <w:rPr>
          <w:rFonts w:ascii="Arial" w:hAnsi="Arial" w:cs="Arial"/>
        </w:rPr>
        <w:t>now,</w:t>
      </w:r>
      <w:r w:rsidRPr="00AD3835">
        <w:rPr>
          <w:rFonts w:ascii="Arial" w:hAnsi="Arial" w:cs="Arial"/>
        </w:rPr>
        <w:t xml:space="preserve"> and the impacts are already evident with wetter winters and drier summers with more intense, localised torrential downpours which can</w:t>
      </w:r>
      <w:r>
        <w:rPr>
          <w:rFonts w:ascii="Arial" w:hAnsi="Arial" w:cs="Arial"/>
        </w:rPr>
        <w:t xml:space="preserve"> cause flash flooding and</w:t>
      </w:r>
      <w:r w:rsidRPr="00AD3835">
        <w:rPr>
          <w:rFonts w:ascii="Arial" w:hAnsi="Arial" w:cs="Arial"/>
        </w:rPr>
        <w:t xml:space="preserve"> leave urban areas vulnerable to surface water flooding. Engaging in innovative modelling techniques</w:t>
      </w:r>
      <w:r>
        <w:rPr>
          <w:rStyle w:val="FootnoteReference"/>
          <w:rFonts w:ascii="Arial" w:hAnsi="Arial" w:cs="Arial"/>
        </w:rPr>
        <w:footnoteReference w:id="3"/>
      </w:r>
      <w:r w:rsidRPr="00AD3835">
        <w:rPr>
          <w:rFonts w:ascii="Arial" w:hAnsi="Arial" w:cs="Arial"/>
        </w:rPr>
        <w:t xml:space="preserve"> we are able to introduce new flood hazard mapping to provide a clearer indication of surface water flood risk now and in the future. </w:t>
      </w:r>
    </w:p>
    <w:p w14:paraId="2660B5BA" w14:textId="77777777" w:rsidR="00DF2C47" w:rsidRDefault="00DF2C47" w:rsidP="00DF2C47">
      <w:pPr>
        <w:spacing w:line="360" w:lineRule="auto"/>
        <w:rPr>
          <w:rFonts w:ascii="Arial" w:hAnsi="Arial" w:cs="Arial"/>
        </w:rPr>
      </w:pPr>
    </w:p>
    <w:p w14:paraId="67286EF1" w14:textId="0E8C6428" w:rsidR="00DF2C47" w:rsidRDefault="00DF2C47" w:rsidP="00DF2C47">
      <w:pPr>
        <w:spacing w:line="360" w:lineRule="auto"/>
        <w:rPr>
          <w:rFonts w:ascii="Arial" w:hAnsi="Arial" w:cs="Arial"/>
        </w:rPr>
      </w:pPr>
      <w:r w:rsidRPr="005A36A2">
        <w:rPr>
          <w:rFonts w:ascii="Arial" w:hAnsi="Arial" w:cs="Arial"/>
        </w:rPr>
        <w:t>Parallel to the increased flood risk, we are experiencing drier summers and more frequent periods of water scarcity. Met Office data showed that the north and west of the country experienced its driest April</w:t>
      </w:r>
      <w:r w:rsidR="008033A5">
        <w:rPr>
          <w:rFonts w:ascii="Arial" w:hAnsi="Arial" w:cs="Arial"/>
        </w:rPr>
        <w:t xml:space="preserve"> </w:t>
      </w:r>
      <w:r w:rsidRPr="005A36A2">
        <w:rPr>
          <w:rFonts w:ascii="Arial" w:hAnsi="Arial" w:cs="Arial"/>
        </w:rPr>
        <w:t>-</w:t>
      </w:r>
      <w:r w:rsidR="008033A5">
        <w:rPr>
          <w:rFonts w:ascii="Arial" w:hAnsi="Arial" w:cs="Arial"/>
        </w:rPr>
        <w:t xml:space="preserve"> </w:t>
      </w:r>
      <w:r w:rsidRPr="005A36A2">
        <w:rPr>
          <w:rFonts w:ascii="Arial" w:hAnsi="Arial" w:cs="Arial"/>
        </w:rPr>
        <w:t xml:space="preserve">September in 160 years, while for the whole country it was the second driest on record for the same period. SEPA is responsible for the forecasting, </w:t>
      </w:r>
      <w:r w:rsidR="00082F80" w:rsidRPr="005A36A2">
        <w:rPr>
          <w:rFonts w:ascii="Arial" w:hAnsi="Arial" w:cs="Arial"/>
        </w:rPr>
        <w:t>monitoring,</w:t>
      </w:r>
      <w:r w:rsidRPr="005A36A2">
        <w:rPr>
          <w:rFonts w:ascii="Arial" w:hAnsi="Arial" w:cs="Arial"/>
        </w:rPr>
        <w:t xml:space="preserve"> and reporting of the situation facing Scotland's water resources, </w:t>
      </w:r>
      <w:r w:rsidR="00956442">
        <w:rPr>
          <w:rFonts w:ascii="Arial" w:hAnsi="Arial" w:cs="Arial"/>
        </w:rPr>
        <w:t xml:space="preserve">and </w:t>
      </w:r>
      <w:r w:rsidRPr="005A36A2">
        <w:rPr>
          <w:rFonts w:ascii="Arial" w:hAnsi="Arial" w:cs="Arial"/>
        </w:rPr>
        <w:t>producing regular reports on the water situation. In 20</w:t>
      </w:r>
      <w:r w:rsidR="00152DF1">
        <w:rPr>
          <w:rFonts w:ascii="Arial" w:hAnsi="Arial" w:cs="Arial"/>
        </w:rPr>
        <w:t>21</w:t>
      </w:r>
      <w:r w:rsidRPr="005A36A2">
        <w:rPr>
          <w:rFonts w:ascii="Arial" w:hAnsi="Arial" w:cs="Arial"/>
        </w:rPr>
        <w:t xml:space="preserve"> these reports showed the majority of Scotland </w:t>
      </w:r>
      <w:r w:rsidR="00AD3083">
        <w:rPr>
          <w:rFonts w:ascii="Arial" w:hAnsi="Arial" w:cs="Arial"/>
        </w:rPr>
        <w:t xml:space="preserve">was </w:t>
      </w:r>
      <w:r w:rsidRPr="005A36A2">
        <w:rPr>
          <w:rFonts w:ascii="Arial" w:hAnsi="Arial" w:cs="Arial"/>
        </w:rPr>
        <w:t>experiencing impacts of water scarcity and deteriorating conditions across the summer months. We engaged directly with operators that hold abstraction licenses to advise of the situation, to ensure best practice was being followed and help to find solutions.</w:t>
      </w:r>
    </w:p>
    <w:p w14:paraId="1535139B" w14:textId="77777777" w:rsidR="00DF2C47" w:rsidRPr="005A36A2" w:rsidRDefault="00DF2C47" w:rsidP="00DF2C47">
      <w:pPr>
        <w:spacing w:line="360" w:lineRule="auto"/>
        <w:rPr>
          <w:rFonts w:ascii="Arial" w:hAnsi="Arial" w:cs="Arial"/>
        </w:rPr>
      </w:pPr>
    </w:p>
    <w:p w14:paraId="303DE50C" w14:textId="51DBC9CF" w:rsidR="00DF2C47" w:rsidRDefault="00DF2C47" w:rsidP="00DF2C47">
      <w:pPr>
        <w:spacing w:line="360" w:lineRule="auto"/>
        <w:rPr>
          <w:rFonts w:ascii="Arial" w:hAnsi="Arial" w:cs="Arial"/>
        </w:rPr>
      </w:pPr>
      <w:r w:rsidRPr="005A36A2">
        <w:rPr>
          <w:rFonts w:ascii="Arial" w:hAnsi="Arial" w:cs="Arial"/>
        </w:rPr>
        <w:t>In Galloway local farmers said the drought was the “most severe witnessed in a generation”.  We prioritised operators, like Girvan Early Growers – a cooperative of local farmers in Ayrshire, for whom abstraction was critical for the business and implemented fast</w:t>
      </w:r>
      <w:r w:rsidR="002863A4">
        <w:rPr>
          <w:rFonts w:ascii="Arial" w:hAnsi="Arial" w:cs="Arial"/>
        </w:rPr>
        <w:t>-</w:t>
      </w:r>
      <w:r w:rsidRPr="005A36A2">
        <w:rPr>
          <w:rFonts w:ascii="Arial" w:hAnsi="Arial" w:cs="Arial"/>
        </w:rPr>
        <w:t xml:space="preserve">track </w:t>
      </w:r>
      <w:r w:rsidR="00621EAC">
        <w:rPr>
          <w:rFonts w:ascii="Arial" w:hAnsi="Arial" w:cs="Arial"/>
        </w:rPr>
        <w:t xml:space="preserve">controlled activities regulation </w:t>
      </w:r>
      <w:r w:rsidR="00621EAC" w:rsidRPr="00621EAC">
        <w:rPr>
          <w:rFonts w:ascii="Arial" w:hAnsi="Arial" w:cs="Arial"/>
        </w:rPr>
        <w:t>(</w:t>
      </w:r>
      <w:r w:rsidRPr="00621EAC">
        <w:rPr>
          <w:rFonts w:ascii="Arial" w:hAnsi="Arial" w:cs="Arial"/>
        </w:rPr>
        <w:t>CAR</w:t>
      </w:r>
      <w:r w:rsidR="00621EAC" w:rsidRPr="00621EAC">
        <w:rPr>
          <w:rFonts w:ascii="Arial" w:hAnsi="Arial" w:cs="Arial"/>
        </w:rPr>
        <w:t>)</w:t>
      </w:r>
      <w:r w:rsidRPr="005A36A2">
        <w:rPr>
          <w:rFonts w:ascii="Arial" w:hAnsi="Arial" w:cs="Arial"/>
        </w:rPr>
        <w:t xml:space="preserve"> licences to support businesses. Where there was </w:t>
      </w:r>
      <w:r w:rsidR="00172AC1">
        <w:rPr>
          <w:rFonts w:ascii="Arial" w:hAnsi="Arial" w:cs="Arial"/>
        </w:rPr>
        <w:t>s</w:t>
      </w:r>
      <w:r w:rsidRPr="005A36A2">
        <w:rPr>
          <w:rFonts w:ascii="Arial" w:hAnsi="Arial" w:cs="Arial"/>
        </w:rPr>
        <w:t xml:space="preserve">ignificant </w:t>
      </w:r>
      <w:r w:rsidR="00172AC1">
        <w:rPr>
          <w:rFonts w:ascii="Arial" w:hAnsi="Arial" w:cs="Arial"/>
        </w:rPr>
        <w:t>s</w:t>
      </w:r>
      <w:r w:rsidRPr="005A36A2">
        <w:rPr>
          <w:rFonts w:ascii="Arial" w:hAnsi="Arial" w:cs="Arial"/>
        </w:rPr>
        <w:t>carcity</w:t>
      </w:r>
      <w:r w:rsidR="00BB6633">
        <w:rPr>
          <w:rFonts w:ascii="Arial" w:hAnsi="Arial" w:cs="Arial"/>
        </w:rPr>
        <w:t>,</w:t>
      </w:r>
      <w:r w:rsidRPr="005A36A2">
        <w:rPr>
          <w:rFonts w:ascii="Arial" w:hAnsi="Arial" w:cs="Arial"/>
        </w:rPr>
        <w:t xml:space="preserve"> we issued a temporary suspension of abstraction to protect the environment while continuing to support businesses on using alternative sources of water to irrigate their crops and continue production.</w:t>
      </w:r>
    </w:p>
    <w:p w14:paraId="54812F53" w14:textId="6391B7DD" w:rsidR="00950D53" w:rsidRDefault="00950D53" w:rsidP="005F0B24">
      <w:pPr>
        <w:spacing w:line="360" w:lineRule="auto"/>
        <w:rPr>
          <w:rFonts w:ascii="Arial" w:hAnsi="Arial" w:cs="Arial"/>
          <w:shd w:val="clear" w:color="auto" w:fill="FFFFFF"/>
        </w:rPr>
      </w:pPr>
    </w:p>
    <w:p w14:paraId="182103E9" w14:textId="2F3DBF91" w:rsidR="005C5038" w:rsidRPr="00CD03F2" w:rsidRDefault="005C5038" w:rsidP="00802A98">
      <w:pPr>
        <w:pStyle w:val="01bSubheader"/>
        <w:numPr>
          <w:ilvl w:val="2"/>
          <w:numId w:val="34"/>
        </w:numPr>
      </w:pPr>
      <w:bookmarkStart w:id="15" w:name="_Toc119068073"/>
      <w:r>
        <w:t xml:space="preserve">We are clear that compliance is non-negotiable, and </w:t>
      </w:r>
      <w:r w:rsidR="00CD03F2">
        <w:t>we will</w:t>
      </w:r>
      <w:r>
        <w:t xml:space="preserve"> support Scottish business to </w:t>
      </w:r>
      <w:proofErr w:type="spellStart"/>
      <w:r>
        <w:t>realise</w:t>
      </w:r>
      <w:proofErr w:type="spellEnd"/>
      <w:r>
        <w:t xml:space="preserve"> the opportunities of a net zero economy</w:t>
      </w:r>
      <w:bookmarkEnd w:id="15"/>
    </w:p>
    <w:p w14:paraId="459FCEAC" w14:textId="77777777" w:rsidR="005C5038" w:rsidRPr="00965EF9" w:rsidRDefault="005C5038" w:rsidP="005C5038">
      <w:pPr>
        <w:spacing w:line="360" w:lineRule="auto"/>
        <w:rPr>
          <w:rFonts w:ascii="Arial" w:hAnsi="Arial" w:cs="Arial"/>
        </w:rPr>
      </w:pPr>
    </w:p>
    <w:p w14:paraId="1EC86BD6" w14:textId="77777777" w:rsidR="005C5038" w:rsidRPr="00E478D3" w:rsidRDefault="005C5038" w:rsidP="005C5038">
      <w:pPr>
        <w:spacing w:line="360" w:lineRule="auto"/>
        <w:rPr>
          <w:rStyle w:val="normaltextrun"/>
          <w:rFonts w:ascii="Arial" w:hAnsi="Arial" w:cs="Arial"/>
          <w:b/>
          <w:bCs/>
          <w:shd w:val="clear" w:color="auto" w:fill="FFFFFF"/>
          <w:lang w:val="en-US"/>
        </w:rPr>
      </w:pPr>
      <w:r w:rsidRPr="00E478D3">
        <w:rPr>
          <w:rStyle w:val="normaltextrun"/>
          <w:rFonts w:ascii="Arial" w:hAnsi="Arial" w:cs="Arial"/>
          <w:b/>
          <w:bCs/>
          <w:shd w:val="clear" w:color="auto" w:fill="FFFFFF"/>
          <w:lang w:val="en-US"/>
        </w:rPr>
        <w:t>Beyond compliance</w:t>
      </w:r>
    </w:p>
    <w:p w14:paraId="09DDB1EF" w14:textId="68C2A51A" w:rsidR="005C5038" w:rsidRPr="00E215FA" w:rsidRDefault="005C5038" w:rsidP="005C5038">
      <w:pPr>
        <w:spacing w:line="360" w:lineRule="auto"/>
        <w:rPr>
          <w:rFonts w:ascii="Arial" w:eastAsia="Arial" w:hAnsi="Arial" w:cs="Arial"/>
        </w:rPr>
      </w:pPr>
      <w:r w:rsidRPr="00E215FA">
        <w:rPr>
          <w:rFonts w:ascii="Arial" w:hAnsi="Arial" w:cs="Arial"/>
        </w:rPr>
        <w:t xml:space="preserve">With the global ambition of COP26 and </w:t>
      </w:r>
      <w:r w:rsidR="00720288">
        <w:rPr>
          <w:rFonts w:ascii="Arial" w:hAnsi="Arial" w:cs="Arial"/>
        </w:rPr>
        <w:t>ambitious</w:t>
      </w:r>
      <w:r w:rsidRPr="00E215FA">
        <w:rPr>
          <w:rFonts w:ascii="Arial" w:hAnsi="Arial" w:cs="Arial"/>
        </w:rPr>
        <w:t xml:space="preserve"> Scottish Government targets on net zero, many businesses are looking for ways to drive forward their environmental performance. Sustainable Growth Agreements </w:t>
      </w:r>
      <w:r w:rsidR="00E33C98">
        <w:rPr>
          <w:rFonts w:ascii="Arial" w:hAnsi="Arial" w:cs="Arial"/>
        </w:rPr>
        <w:t xml:space="preserve">(SGAs) </w:t>
      </w:r>
      <w:r w:rsidRPr="00E215FA">
        <w:rPr>
          <w:rFonts w:ascii="Arial" w:hAnsi="Arial" w:cs="Arial"/>
        </w:rPr>
        <w:t xml:space="preserve">are voluntary </w:t>
      </w:r>
      <w:r w:rsidRPr="00E215FA">
        <w:rPr>
          <w:rFonts w:ascii="Arial" w:eastAsia="Arial" w:hAnsi="Arial" w:cs="Arial"/>
        </w:rPr>
        <w:t>formal agreements between SEPA and an organisation (or organisations) that focus on practical action to deliver environmentally positive outcomes. Through these agreements we can drive compliance but also encourage, facilitate</w:t>
      </w:r>
      <w:r w:rsidR="00F41BC0">
        <w:rPr>
          <w:rFonts w:ascii="Arial" w:eastAsia="Arial" w:hAnsi="Arial" w:cs="Arial"/>
        </w:rPr>
        <w:t>,</w:t>
      </w:r>
      <w:r w:rsidRPr="00E215FA">
        <w:rPr>
          <w:rFonts w:ascii="Arial" w:eastAsia="Arial" w:hAnsi="Arial" w:cs="Arial"/>
        </w:rPr>
        <w:t xml:space="preserve"> and support businesses that have the ambition to go even further. Across </w:t>
      </w:r>
      <w:r w:rsidR="000845C9">
        <w:rPr>
          <w:rFonts w:ascii="Arial" w:eastAsia="Arial" w:hAnsi="Arial" w:cs="Arial"/>
        </w:rPr>
        <w:t>2021/2022</w:t>
      </w:r>
      <w:r w:rsidRPr="00E215FA">
        <w:rPr>
          <w:rFonts w:ascii="Arial" w:eastAsia="Arial" w:hAnsi="Arial" w:cs="Arial"/>
        </w:rPr>
        <w:t xml:space="preserve"> we signed four </w:t>
      </w:r>
      <w:r w:rsidR="00F02516">
        <w:rPr>
          <w:rFonts w:ascii="Arial" w:eastAsia="Arial" w:hAnsi="Arial" w:cs="Arial"/>
        </w:rPr>
        <w:t>SGAs</w:t>
      </w:r>
      <w:r w:rsidRPr="00E215FA">
        <w:rPr>
          <w:rFonts w:ascii="Arial" w:eastAsia="Arial" w:hAnsi="Arial" w:cs="Arial"/>
        </w:rPr>
        <w:t>:</w:t>
      </w:r>
    </w:p>
    <w:p w14:paraId="18FFD25A" w14:textId="77777777" w:rsidR="005C5038" w:rsidRPr="00BF176C" w:rsidRDefault="005C5038" w:rsidP="00BF176C">
      <w:pPr>
        <w:spacing w:line="360" w:lineRule="auto"/>
        <w:rPr>
          <w:rFonts w:ascii="Arial" w:hAnsi="Arial" w:cs="Arial"/>
          <w:szCs w:val="22"/>
          <w:lang w:val="en-US"/>
        </w:rPr>
      </w:pPr>
    </w:p>
    <w:p w14:paraId="77AFF743" w14:textId="77777777" w:rsidR="002837E9" w:rsidRPr="00652B3D" w:rsidRDefault="002837E9" w:rsidP="002837E9">
      <w:pPr>
        <w:pStyle w:val="ListParagraph"/>
        <w:numPr>
          <w:ilvl w:val="0"/>
          <w:numId w:val="40"/>
        </w:numPr>
        <w:spacing w:line="360" w:lineRule="auto"/>
        <w:rPr>
          <w:rFonts w:ascii="Arial" w:hAnsi="Arial" w:cs="Arial"/>
        </w:rPr>
      </w:pPr>
      <w:r w:rsidRPr="00E215FA">
        <w:rPr>
          <w:rFonts w:ascii="Arial" w:hAnsi="Arial" w:cs="Arial"/>
        </w:rPr>
        <w:t>A three-year partnership with Robertson, one of the largest family-owned construction, housing, infrastructure</w:t>
      </w:r>
      <w:r>
        <w:rPr>
          <w:rFonts w:ascii="Arial" w:hAnsi="Arial" w:cs="Arial"/>
        </w:rPr>
        <w:t>,</w:t>
      </w:r>
      <w:r w:rsidRPr="00E215FA">
        <w:rPr>
          <w:rFonts w:ascii="Arial" w:hAnsi="Arial" w:cs="Arial"/>
        </w:rPr>
        <w:t xml:space="preserve"> and support service businesses in the UK </w:t>
      </w:r>
      <w:r w:rsidRPr="00E215FA">
        <w:rPr>
          <w:rFonts w:ascii="Arial" w:hAnsi="Arial" w:cs="Arial"/>
          <w:shd w:val="clear" w:color="auto" w:fill="FFFFFF"/>
        </w:rPr>
        <w:t>focus</w:t>
      </w:r>
      <w:r>
        <w:rPr>
          <w:rFonts w:ascii="Arial" w:hAnsi="Arial" w:cs="Arial"/>
          <w:shd w:val="clear" w:color="auto" w:fill="FFFFFF"/>
        </w:rPr>
        <w:t>ed</w:t>
      </w:r>
      <w:r w:rsidRPr="00E215FA">
        <w:rPr>
          <w:rFonts w:ascii="Arial" w:hAnsi="Arial" w:cs="Arial"/>
          <w:shd w:val="clear" w:color="auto" w:fill="FFFFFF"/>
        </w:rPr>
        <w:t xml:space="preserve"> on </w:t>
      </w:r>
      <w:r>
        <w:rPr>
          <w:rFonts w:ascii="Arial" w:hAnsi="Arial" w:cs="Arial"/>
          <w:shd w:val="clear" w:color="auto" w:fill="FFFFFF"/>
        </w:rPr>
        <w:t xml:space="preserve">building </w:t>
      </w:r>
      <w:r w:rsidRPr="00E215FA">
        <w:rPr>
          <w:rFonts w:ascii="Arial" w:hAnsi="Arial" w:cs="Arial"/>
          <w:shd w:val="clear" w:color="auto" w:fill="FFFFFF"/>
        </w:rPr>
        <w:t>environmental performance across an entire supply chain</w:t>
      </w:r>
      <w:r>
        <w:rPr>
          <w:rFonts w:ascii="Arial" w:hAnsi="Arial" w:cs="Arial"/>
          <w:shd w:val="clear" w:color="auto" w:fill="FFFFFF"/>
        </w:rPr>
        <w:t>.</w:t>
      </w:r>
      <w:r w:rsidRPr="00E215FA">
        <w:rPr>
          <w:rFonts w:ascii="Arial" w:hAnsi="Arial" w:cs="Arial"/>
          <w:shd w:val="clear" w:color="auto" w:fill="FFFFFF"/>
        </w:rPr>
        <w:t xml:space="preserve"> </w:t>
      </w:r>
    </w:p>
    <w:p w14:paraId="52BD27EF" w14:textId="77777777" w:rsidR="00652B3D" w:rsidRPr="00E215FA" w:rsidRDefault="00652B3D" w:rsidP="00652B3D">
      <w:pPr>
        <w:pStyle w:val="ListParagraph"/>
        <w:spacing w:line="360" w:lineRule="auto"/>
        <w:rPr>
          <w:rFonts w:ascii="Arial" w:hAnsi="Arial" w:cs="Arial"/>
        </w:rPr>
      </w:pPr>
    </w:p>
    <w:p w14:paraId="213FEE46" w14:textId="77777777" w:rsidR="00A1352D" w:rsidRDefault="00A1352D" w:rsidP="00A1352D">
      <w:pPr>
        <w:pStyle w:val="ListParagraph"/>
        <w:numPr>
          <w:ilvl w:val="0"/>
          <w:numId w:val="40"/>
        </w:numPr>
        <w:spacing w:line="360" w:lineRule="auto"/>
        <w:rPr>
          <w:rFonts w:ascii="Arial" w:hAnsi="Arial" w:cs="Arial"/>
        </w:rPr>
      </w:pPr>
      <w:r w:rsidRPr="00E215FA">
        <w:rPr>
          <w:rFonts w:ascii="Arial" w:hAnsi="Arial" w:cs="Arial"/>
        </w:rPr>
        <w:t xml:space="preserve">A joint vision with Tennent’s </w:t>
      </w:r>
      <w:r>
        <w:rPr>
          <w:rFonts w:ascii="Arial" w:hAnsi="Arial" w:cs="Arial"/>
        </w:rPr>
        <w:t>focused</w:t>
      </w:r>
      <w:r w:rsidRPr="00E215FA">
        <w:rPr>
          <w:rFonts w:ascii="Arial" w:hAnsi="Arial" w:cs="Arial"/>
        </w:rPr>
        <w:t xml:space="preserve"> on two key areas –Tennent’s environmental footprint across plant, value chain (customers and suppliers), distribution networks and materials use</w:t>
      </w:r>
      <w:r>
        <w:rPr>
          <w:rFonts w:ascii="Arial" w:hAnsi="Arial" w:cs="Arial"/>
        </w:rPr>
        <w:t xml:space="preserve"> and how the company can use </w:t>
      </w:r>
      <w:r w:rsidRPr="00E215FA">
        <w:rPr>
          <w:rFonts w:ascii="Arial" w:hAnsi="Arial" w:cs="Arial"/>
        </w:rPr>
        <w:t>its brands to engage consumers about climate change and environmental challenges and help drive positive change.</w:t>
      </w:r>
    </w:p>
    <w:p w14:paraId="699B3539" w14:textId="77777777" w:rsidR="00652B3D" w:rsidRPr="00652B3D" w:rsidRDefault="00652B3D" w:rsidP="00652B3D">
      <w:pPr>
        <w:spacing w:line="360" w:lineRule="auto"/>
        <w:rPr>
          <w:rFonts w:ascii="Arial" w:hAnsi="Arial" w:cs="Arial"/>
        </w:rPr>
      </w:pPr>
    </w:p>
    <w:p w14:paraId="33743C7A" w14:textId="42C6A047" w:rsidR="00DD31D5" w:rsidRPr="00652B3D" w:rsidRDefault="00DD31D5" w:rsidP="00DD31D5">
      <w:pPr>
        <w:pStyle w:val="ListParagraph"/>
        <w:numPr>
          <w:ilvl w:val="0"/>
          <w:numId w:val="40"/>
        </w:numPr>
        <w:spacing w:line="360" w:lineRule="auto"/>
        <w:rPr>
          <w:rFonts w:ascii="Arial" w:hAnsi="Arial" w:cs="Arial"/>
        </w:rPr>
      </w:pPr>
      <w:r w:rsidRPr="00E215FA">
        <w:rPr>
          <w:rFonts w:ascii="Arial" w:hAnsi="Arial" w:cs="Arial"/>
        </w:rPr>
        <w:t>An agreement with Construction Scotland Innovation Centre (CSIC)</w:t>
      </w:r>
      <w:r>
        <w:rPr>
          <w:rFonts w:ascii="Arial" w:hAnsi="Arial" w:cs="Arial"/>
        </w:rPr>
        <w:t xml:space="preserve"> (now called Built Environment – Smarter Transformation (BE-ST)</w:t>
      </w:r>
      <w:r w:rsidR="00EE1A82">
        <w:rPr>
          <w:rFonts w:ascii="Arial" w:hAnsi="Arial" w:cs="Arial"/>
        </w:rPr>
        <w:t>)</w:t>
      </w:r>
      <w:r w:rsidRPr="00E215FA">
        <w:rPr>
          <w:rFonts w:ascii="Arial" w:hAnsi="Arial" w:cs="Arial"/>
        </w:rPr>
        <w:t xml:space="preserve"> </w:t>
      </w:r>
      <w:r>
        <w:rPr>
          <w:rFonts w:ascii="Arial" w:hAnsi="Arial" w:cs="Arial"/>
        </w:rPr>
        <w:t xml:space="preserve">focused on </w:t>
      </w:r>
      <w:r w:rsidRPr="00E215FA">
        <w:rPr>
          <w:rFonts w:ascii="Arial" w:hAnsi="Arial" w:cs="Arial"/>
        </w:rPr>
        <w:t xml:space="preserve">support </w:t>
      </w:r>
      <w:r w:rsidR="008E017D">
        <w:rPr>
          <w:rFonts w:ascii="Arial" w:hAnsi="Arial" w:cs="Arial"/>
        </w:rPr>
        <w:t xml:space="preserve">to </w:t>
      </w:r>
      <w:r w:rsidRPr="00E215FA">
        <w:rPr>
          <w:rFonts w:ascii="Arial" w:hAnsi="Arial" w:cs="Arial"/>
        </w:rPr>
        <w:t>the</w:t>
      </w:r>
      <w:r>
        <w:rPr>
          <w:rFonts w:ascii="Arial" w:hAnsi="Arial" w:cs="Arial"/>
        </w:rPr>
        <w:t xml:space="preserve"> construction</w:t>
      </w:r>
      <w:r w:rsidRPr="00E215FA">
        <w:rPr>
          <w:rFonts w:ascii="Arial" w:hAnsi="Arial" w:cs="Arial"/>
        </w:rPr>
        <w:t xml:space="preserve"> industry’s journey to net zero, increas</w:t>
      </w:r>
      <w:r>
        <w:rPr>
          <w:rFonts w:ascii="Arial" w:hAnsi="Arial" w:cs="Arial"/>
        </w:rPr>
        <w:t>ing</w:t>
      </w:r>
      <w:r w:rsidRPr="00E215FA">
        <w:rPr>
          <w:rFonts w:ascii="Arial" w:hAnsi="Arial" w:cs="Arial"/>
        </w:rPr>
        <w:t xml:space="preserve"> resilience in the built environment</w:t>
      </w:r>
      <w:r w:rsidR="0001413E">
        <w:rPr>
          <w:rFonts w:ascii="Arial" w:hAnsi="Arial" w:cs="Arial"/>
        </w:rPr>
        <w:t xml:space="preserve">, </w:t>
      </w:r>
      <w:r w:rsidRPr="00E215FA">
        <w:rPr>
          <w:rFonts w:ascii="Arial" w:hAnsi="Arial" w:cs="Arial"/>
        </w:rPr>
        <w:t>and encourag</w:t>
      </w:r>
      <w:r>
        <w:rPr>
          <w:rFonts w:ascii="Arial" w:hAnsi="Arial" w:cs="Arial"/>
        </w:rPr>
        <w:t>ing</w:t>
      </w:r>
      <w:r w:rsidRPr="00E215FA">
        <w:rPr>
          <w:rFonts w:ascii="Arial" w:hAnsi="Arial" w:cs="Arial"/>
        </w:rPr>
        <w:t xml:space="preserve"> investment in green infrastructure.</w:t>
      </w:r>
      <w:r w:rsidRPr="00E215FA">
        <w:rPr>
          <w:rFonts w:ascii="Arial" w:hAnsi="Arial" w:cs="Arial"/>
          <w:color w:val="333333"/>
          <w:sz w:val="29"/>
          <w:szCs w:val="29"/>
          <w:shd w:val="clear" w:color="auto" w:fill="FFFFFF"/>
        </w:rPr>
        <w:t> </w:t>
      </w:r>
    </w:p>
    <w:p w14:paraId="7E998551" w14:textId="77777777" w:rsidR="00652B3D" w:rsidRPr="00652B3D" w:rsidRDefault="00652B3D" w:rsidP="00652B3D">
      <w:pPr>
        <w:spacing w:line="360" w:lineRule="auto"/>
        <w:rPr>
          <w:rFonts w:ascii="Arial" w:hAnsi="Arial" w:cs="Arial"/>
        </w:rPr>
      </w:pPr>
    </w:p>
    <w:p w14:paraId="77F6AB26" w14:textId="6864C729" w:rsidR="00761317" w:rsidRPr="00EF393B" w:rsidRDefault="00761317" w:rsidP="00761317">
      <w:pPr>
        <w:pStyle w:val="ListParagraph"/>
        <w:numPr>
          <w:ilvl w:val="0"/>
          <w:numId w:val="40"/>
        </w:numPr>
        <w:spacing w:line="360" w:lineRule="auto"/>
        <w:rPr>
          <w:rFonts w:ascii="Arial" w:hAnsi="Arial" w:cs="Arial"/>
        </w:rPr>
      </w:pPr>
      <w:r w:rsidRPr="7A937A10">
        <w:rPr>
          <w:rFonts w:ascii="Arial" w:hAnsi="Arial" w:cs="Arial"/>
        </w:rPr>
        <w:t xml:space="preserve">A partnership with University of Stirling </w:t>
      </w:r>
      <w:r>
        <w:rPr>
          <w:rFonts w:ascii="Arial" w:hAnsi="Arial" w:cs="Arial"/>
          <w:shd w:val="clear" w:color="auto" w:fill="FFFFFF"/>
        </w:rPr>
        <w:t>to</w:t>
      </w:r>
      <w:r w:rsidRPr="7A937A10">
        <w:rPr>
          <w:rFonts w:ascii="Arial" w:hAnsi="Arial" w:cs="Arial"/>
          <w:shd w:val="clear" w:color="auto" w:fill="FFFFFF"/>
        </w:rPr>
        <w:t xml:space="preserve"> scal</w:t>
      </w:r>
      <w:r>
        <w:rPr>
          <w:rFonts w:ascii="Arial" w:hAnsi="Arial" w:cs="Arial"/>
          <w:shd w:val="clear" w:color="auto" w:fill="FFFFFF"/>
        </w:rPr>
        <w:t>e</w:t>
      </w:r>
      <w:r w:rsidRPr="7A937A10">
        <w:rPr>
          <w:rFonts w:ascii="Arial" w:hAnsi="Arial" w:cs="Arial"/>
          <w:shd w:val="clear" w:color="auto" w:fill="FFFFFF"/>
        </w:rPr>
        <w:t xml:space="preserve"> up Stirling’s state-of -the-art environmental monitoring of the Firth of Forth catchment to support nationwide objectives</w:t>
      </w:r>
      <w:r w:rsidR="00D21395">
        <w:rPr>
          <w:rFonts w:ascii="Arial" w:hAnsi="Arial" w:cs="Arial"/>
          <w:shd w:val="clear" w:color="auto" w:fill="FFFFFF"/>
        </w:rPr>
        <w:t xml:space="preserve"> </w:t>
      </w:r>
      <w:r w:rsidRPr="7A937A10">
        <w:rPr>
          <w:rFonts w:ascii="Arial" w:hAnsi="Arial" w:cs="Arial"/>
          <w:shd w:val="clear" w:color="auto" w:fill="FFFFFF"/>
        </w:rPr>
        <w:t>creating a dashboard that can provide hyper-local, real-time flood data</w:t>
      </w:r>
      <w:r w:rsidRPr="00EF393B">
        <w:rPr>
          <w:rFonts w:ascii="Arial" w:hAnsi="Arial" w:cs="Arial"/>
          <w:shd w:val="clear" w:color="auto" w:fill="FFFFFF"/>
        </w:rPr>
        <w:t xml:space="preserve"> and forecasting, for </w:t>
      </w:r>
      <w:r w:rsidRPr="00C744B8">
        <w:rPr>
          <w:rFonts w:ascii="Arial" w:hAnsi="Arial" w:cs="Arial"/>
          <w:shd w:val="clear" w:color="auto" w:fill="FFFFFF"/>
        </w:rPr>
        <w:t>example. It will also provide open data on the performance and benefits of a range of environmental interventions and nature-based solutions, such as peatland restoration, tree planting, carbon offsetting or improved water management</w:t>
      </w:r>
      <w:r w:rsidR="00B023EF">
        <w:rPr>
          <w:rFonts w:ascii="Arial" w:hAnsi="Arial" w:cs="Arial"/>
          <w:shd w:val="clear" w:color="auto" w:fill="FFFFFF"/>
        </w:rPr>
        <w:t>.</w:t>
      </w:r>
    </w:p>
    <w:p w14:paraId="24D2EE0F" w14:textId="77777777" w:rsidR="005C5038" w:rsidRPr="00EF393B" w:rsidRDefault="005C5038" w:rsidP="005C5038">
      <w:pPr>
        <w:spacing w:line="360" w:lineRule="auto"/>
        <w:rPr>
          <w:rFonts w:ascii="Arial" w:eastAsia="Arial" w:hAnsi="Arial" w:cs="Arial"/>
        </w:rPr>
      </w:pPr>
    </w:p>
    <w:p w14:paraId="68477359" w14:textId="6CE5332C" w:rsidR="005C5038" w:rsidRDefault="121005DE" w:rsidP="005C5038">
      <w:pPr>
        <w:spacing w:line="360" w:lineRule="auto"/>
        <w:rPr>
          <w:rFonts w:ascii="Arial" w:hAnsi="Arial" w:cs="Arial"/>
        </w:rPr>
      </w:pPr>
      <w:r w:rsidRPr="46D6F24B">
        <w:rPr>
          <w:rFonts w:ascii="Arial" w:eastAsia="Arial" w:hAnsi="Arial" w:cs="Arial"/>
        </w:rPr>
        <w:lastRenderedPageBreak/>
        <w:t>VIBES Scottish Business Awards also promote and encourage beyond compliance behaviour</w:t>
      </w:r>
      <w:r w:rsidR="22FB6CD9" w:rsidRPr="46D6F24B">
        <w:rPr>
          <w:rFonts w:ascii="Arial" w:eastAsia="Arial" w:hAnsi="Arial" w:cs="Arial"/>
        </w:rPr>
        <w:t>. I</w:t>
      </w:r>
      <w:r w:rsidRPr="46D6F24B">
        <w:rPr>
          <w:rFonts w:ascii="Arial" w:eastAsia="Arial" w:hAnsi="Arial" w:cs="Arial"/>
        </w:rPr>
        <w:t xml:space="preserve">n 2021 the SEPA led initiative awarded four </w:t>
      </w:r>
      <w:r w:rsidRPr="46D6F24B">
        <w:rPr>
          <w:rFonts w:ascii="Arial" w:hAnsi="Arial" w:cs="Arial"/>
        </w:rPr>
        <w:t>Scottish companies from sectors as diverse as construction and horticulture an Outstanding Achievement Award in recognition of their commitment to tackling environmental impacts and reducing carbon emissions.</w:t>
      </w:r>
    </w:p>
    <w:p w14:paraId="3BBECD79" w14:textId="21DD7686" w:rsidR="00C54FFC" w:rsidRDefault="00C54FFC" w:rsidP="005C5038">
      <w:pPr>
        <w:spacing w:line="360" w:lineRule="auto"/>
        <w:rPr>
          <w:rFonts w:ascii="Arial" w:hAnsi="Arial" w:cs="Arial"/>
        </w:rPr>
      </w:pPr>
    </w:p>
    <w:p w14:paraId="74776087" w14:textId="77777777" w:rsidR="00C54FFC" w:rsidRPr="00EF393B" w:rsidRDefault="00C54FFC" w:rsidP="00C54FFC">
      <w:pPr>
        <w:spacing w:line="360" w:lineRule="auto"/>
        <w:rPr>
          <w:rFonts w:ascii="Arial" w:hAnsi="Arial" w:cs="Arial"/>
          <w:b/>
          <w:bCs/>
        </w:rPr>
      </w:pPr>
      <w:r w:rsidRPr="00EF393B">
        <w:rPr>
          <w:rFonts w:ascii="Arial" w:hAnsi="Arial" w:cs="Arial"/>
          <w:b/>
          <w:bCs/>
        </w:rPr>
        <w:t>Waste crime</w:t>
      </w:r>
    </w:p>
    <w:p w14:paraId="22BF1840" w14:textId="77777777" w:rsidR="00C54FFC" w:rsidRPr="00EF393B" w:rsidRDefault="00C54FFC" w:rsidP="00C54FFC">
      <w:pPr>
        <w:spacing w:line="360" w:lineRule="auto"/>
        <w:rPr>
          <w:rStyle w:val="eop"/>
          <w:rFonts w:ascii="Arial" w:hAnsi="Arial" w:cs="Arial"/>
          <w:shd w:val="clear" w:color="auto" w:fill="FFFFFF"/>
        </w:rPr>
      </w:pPr>
      <w:r w:rsidRPr="00EF393B">
        <w:rPr>
          <w:rStyle w:val="normaltextrun"/>
          <w:rFonts w:ascii="Arial" w:hAnsi="Arial" w:cs="Arial"/>
          <w:shd w:val="clear" w:color="auto" w:fill="FFFFFF"/>
        </w:rPr>
        <w:t>Within the restrictions placed on us by the pandemic, and despite our compliance assessment data and system being impacted by the cyber-attack, we continued to monitor those we regulate through a compliance checking plan that used a combination of desktop checks and site visits. Our priority was illegal activities and sites of high hazard with significant non-compliance or with the potential for high community impact. We maintained our 24-hour Pollution Hotline and incident response, prioritising incidents with the highest potential impact on the environment or communities.</w:t>
      </w:r>
      <w:r w:rsidRPr="00EF393B">
        <w:rPr>
          <w:rStyle w:val="eop"/>
          <w:rFonts w:ascii="Arial" w:hAnsi="Arial" w:cs="Arial"/>
          <w:shd w:val="clear" w:color="auto" w:fill="FFFFFF"/>
        </w:rPr>
        <w:t> </w:t>
      </w:r>
    </w:p>
    <w:p w14:paraId="181216CF" w14:textId="77777777" w:rsidR="00C54FFC" w:rsidRPr="00EF393B" w:rsidRDefault="00C54FFC" w:rsidP="00C54FFC">
      <w:pPr>
        <w:spacing w:line="360" w:lineRule="auto"/>
        <w:rPr>
          <w:rStyle w:val="eop"/>
          <w:rFonts w:ascii="Arial" w:hAnsi="Arial" w:cs="Arial"/>
          <w:shd w:val="clear" w:color="auto" w:fill="FFFFFF"/>
        </w:rPr>
      </w:pPr>
    </w:p>
    <w:p w14:paraId="0901C896" w14:textId="41F7EDA6" w:rsidR="00C54FFC" w:rsidRDefault="00C54FFC" w:rsidP="00C54FFC">
      <w:pPr>
        <w:spacing w:line="360" w:lineRule="auto"/>
        <w:rPr>
          <w:rStyle w:val="eop"/>
          <w:rFonts w:ascii="Arial" w:hAnsi="Arial" w:cs="Arial"/>
          <w:shd w:val="clear" w:color="auto" w:fill="FFFFFF"/>
        </w:rPr>
      </w:pPr>
      <w:r w:rsidRPr="00EF393B">
        <w:rPr>
          <w:rStyle w:val="eop"/>
          <w:rFonts w:ascii="Arial" w:hAnsi="Arial" w:cs="Arial"/>
          <w:shd w:val="clear" w:color="auto" w:fill="FFFFFF"/>
        </w:rPr>
        <w:t>The waste industry was a focus of our work across the year, specifically targeting those that seek to profit from environmental non-compliance</w:t>
      </w:r>
      <w:r w:rsidR="00FD34B7">
        <w:rPr>
          <w:rStyle w:val="eop"/>
          <w:rFonts w:ascii="Arial" w:hAnsi="Arial" w:cs="Arial"/>
          <w:shd w:val="clear" w:color="auto" w:fill="FFFFFF"/>
        </w:rPr>
        <w:t>.</w:t>
      </w:r>
    </w:p>
    <w:p w14:paraId="6D0F68E3" w14:textId="77777777" w:rsidR="00855D1A" w:rsidRDefault="00855D1A" w:rsidP="00C54FFC">
      <w:pPr>
        <w:spacing w:line="360" w:lineRule="auto"/>
        <w:rPr>
          <w:rStyle w:val="eop"/>
          <w:rFonts w:ascii="Arial" w:hAnsi="Arial" w:cs="Arial"/>
          <w:shd w:val="clear" w:color="auto" w:fill="FFFFFF"/>
        </w:rPr>
      </w:pPr>
    </w:p>
    <w:p w14:paraId="5F64CDE6" w14:textId="766D34BF" w:rsidR="00FD34B7" w:rsidRDefault="00855D1A" w:rsidP="00C54FFC">
      <w:pPr>
        <w:spacing w:line="360" w:lineRule="auto"/>
        <w:rPr>
          <w:rStyle w:val="eop"/>
          <w:rFonts w:ascii="Arial" w:hAnsi="Arial" w:cs="Arial"/>
          <w:shd w:val="clear" w:color="auto" w:fill="FFFFFF"/>
        </w:rPr>
      </w:pPr>
      <w:r>
        <w:rPr>
          <w:noProof/>
        </w:rPr>
        <w:drawing>
          <wp:inline distT="0" distB="0" distL="0" distR="0" wp14:anchorId="4AB39647" wp14:editId="257D11A2">
            <wp:extent cx="6191250" cy="4175869"/>
            <wp:effectExtent l="0" t="0" r="0" b="0"/>
            <wp:docPr id="13" name="Picture 13"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5879" cy="4185736"/>
                    </a:xfrm>
                    <a:prstGeom prst="rect">
                      <a:avLst/>
                    </a:prstGeom>
                    <a:noFill/>
                    <a:ln>
                      <a:noFill/>
                    </a:ln>
                  </pic:spPr>
                </pic:pic>
              </a:graphicData>
            </a:graphic>
          </wp:inline>
        </w:drawing>
      </w:r>
    </w:p>
    <w:p w14:paraId="463AB194" w14:textId="77777777" w:rsidR="00FD34B7" w:rsidRPr="00EF393B" w:rsidRDefault="00FD34B7" w:rsidP="00C54FFC">
      <w:pPr>
        <w:spacing w:line="360" w:lineRule="auto"/>
        <w:rPr>
          <w:rStyle w:val="eop"/>
          <w:rFonts w:ascii="Arial" w:hAnsi="Arial" w:cs="Arial"/>
          <w:shd w:val="clear" w:color="auto" w:fill="FFFFFF"/>
        </w:rPr>
      </w:pPr>
    </w:p>
    <w:p w14:paraId="2478DD9D" w14:textId="3B7DDB52" w:rsidR="00C54FFC" w:rsidRPr="00BC0D14" w:rsidRDefault="00C54FFC" w:rsidP="00BC0D14">
      <w:pPr>
        <w:spacing w:line="360" w:lineRule="auto"/>
        <w:rPr>
          <w:rFonts w:ascii="Arial" w:hAnsi="Arial" w:cs="Arial"/>
        </w:rPr>
      </w:pPr>
      <w:r w:rsidRPr="00BC0D14">
        <w:rPr>
          <w:rFonts w:ascii="Arial" w:hAnsi="Arial" w:cs="Arial"/>
        </w:rPr>
        <w:t xml:space="preserve">In August </w:t>
      </w:r>
      <w:r w:rsidR="00B46326">
        <w:rPr>
          <w:rFonts w:ascii="Arial" w:hAnsi="Arial" w:cs="Arial"/>
        </w:rPr>
        <w:t xml:space="preserve">2021 </w:t>
      </w:r>
      <w:r w:rsidRPr="00BC0D14">
        <w:rPr>
          <w:rFonts w:ascii="Arial" w:hAnsi="Arial" w:cs="Arial"/>
        </w:rPr>
        <w:t xml:space="preserve">we led Scotland’s efforts to tackle </w:t>
      </w:r>
      <w:r w:rsidR="00470AE6" w:rsidRPr="00BC0D14">
        <w:rPr>
          <w:rFonts w:ascii="Arial" w:hAnsi="Arial" w:cs="Arial"/>
        </w:rPr>
        <w:t xml:space="preserve">a </w:t>
      </w:r>
      <w:r w:rsidRPr="00BC0D14">
        <w:rPr>
          <w:rFonts w:ascii="Arial" w:hAnsi="Arial" w:cs="Arial"/>
        </w:rPr>
        <w:t xml:space="preserve">new waste crime trend as seven lorries of waste </w:t>
      </w:r>
      <w:r w:rsidR="00524767" w:rsidRPr="00BC0D14">
        <w:rPr>
          <w:rFonts w:ascii="Arial" w:hAnsi="Arial" w:cs="Arial"/>
        </w:rPr>
        <w:t xml:space="preserve">were </w:t>
      </w:r>
      <w:r w:rsidRPr="00BC0D14">
        <w:rPr>
          <w:rFonts w:ascii="Arial" w:hAnsi="Arial" w:cs="Arial"/>
        </w:rPr>
        <w:t xml:space="preserve">found in North Lanarkshire in recent months. Working alongside partners </w:t>
      </w:r>
      <w:r w:rsidRPr="00BC0D14">
        <w:rPr>
          <w:rFonts w:ascii="Arial" w:hAnsi="Arial" w:cs="Arial"/>
        </w:rPr>
        <w:lastRenderedPageBreak/>
        <w:t xml:space="preserve">through the Serious Organised Crime Taskforce and the Joint Unit for Waste Crime, SEPA had been tracking this growing trend across the UK since last year. </w:t>
      </w:r>
    </w:p>
    <w:p w14:paraId="1920CD0B" w14:textId="77777777" w:rsidR="00711314" w:rsidRPr="00EF393B" w:rsidRDefault="00711314" w:rsidP="00711314">
      <w:pPr>
        <w:pStyle w:val="ListParagraph"/>
        <w:spacing w:line="360" w:lineRule="auto"/>
        <w:rPr>
          <w:rFonts w:ascii="Arial" w:hAnsi="Arial" w:cs="Arial"/>
          <w:shd w:val="clear" w:color="auto" w:fill="FFFFFF"/>
        </w:rPr>
      </w:pPr>
    </w:p>
    <w:p w14:paraId="4BDA8F93" w14:textId="0358E9F8" w:rsidR="00C54FFC" w:rsidRPr="00BC0D14" w:rsidRDefault="00C54FFC" w:rsidP="00BC0D14">
      <w:pPr>
        <w:spacing w:line="360" w:lineRule="auto"/>
        <w:rPr>
          <w:rFonts w:ascii="Arial" w:hAnsi="Arial" w:cs="Arial"/>
        </w:rPr>
      </w:pPr>
      <w:r w:rsidRPr="00BC0D14">
        <w:rPr>
          <w:rFonts w:ascii="Arial" w:hAnsi="Arial" w:cs="Arial"/>
        </w:rPr>
        <w:t>In November</w:t>
      </w:r>
      <w:r w:rsidR="00B46326">
        <w:rPr>
          <w:rFonts w:ascii="Arial" w:hAnsi="Arial" w:cs="Arial"/>
        </w:rPr>
        <w:t xml:space="preserve"> 2021</w:t>
      </w:r>
      <w:r w:rsidR="00711314" w:rsidRPr="00BC0D14">
        <w:rPr>
          <w:rFonts w:ascii="Arial" w:hAnsi="Arial" w:cs="Arial"/>
        </w:rPr>
        <w:t>,</w:t>
      </w:r>
      <w:r w:rsidRPr="00BC0D14">
        <w:rPr>
          <w:rFonts w:ascii="Arial" w:hAnsi="Arial" w:cs="Arial"/>
        </w:rPr>
        <w:t xml:space="preserve"> a leading UK and European recycling company was fined £20,000 at Airdrie Sheriff Court </w:t>
      </w:r>
      <w:r w:rsidR="001B628E" w:rsidRPr="00BC0D14">
        <w:rPr>
          <w:rFonts w:ascii="Arial" w:hAnsi="Arial" w:cs="Arial"/>
        </w:rPr>
        <w:t xml:space="preserve">after </w:t>
      </w:r>
      <w:r w:rsidRPr="00BC0D14">
        <w:rPr>
          <w:rFonts w:ascii="Arial" w:hAnsi="Arial" w:cs="Arial"/>
        </w:rPr>
        <w:t xml:space="preserve">we uncovered the largest single illegal export of household waste from Scotland. SAICA </w:t>
      </w:r>
      <w:proofErr w:type="spellStart"/>
      <w:r w:rsidRPr="00BC0D14">
        <w:rPr>
          <w:rFonts w:ascii="Arial" w:hAnsi="Arial" w:cs="Arial"/>
        </w:rPr>
        <w:t>Natur</w:t>
      </w:r>
      <w:proofErr w:type="spellEnd"/>
      <w:r w:rsidRPr="00BC0D14">
        <w:rPr>
          <w:rFonts w:ascii="Arial" w:hAnsi="Arial" w:cs="Arial"/>
        </w:rPr>
        <w:t xml:space="preserve"> UK Limited has admitted to illegally exporting around 1,300 tons of household waste misdescribed as </w:t>
      </w:r>
      <w:r w:rsidR="002E47BE" w:rsidRPr="00BC0D14">
        <w:rPr>
          <w:rFonts w:ascii="Arial" w:hAnsi="Arial" w:cs="Arial"/>
        </w:rPr>
        <w:t>wastepaper</w:t>
      </w:r>
      <w:r w:rsidRPr="00BC0D14">
        <w:rPr>
          <w:rFonts w:ascii="Arial" w:hAnsi="Arial" w:cs="Arial"/>
        </w:rPr>
        <w:t xml:space="preserve"> to an overseas country in direct contravention of regulations designed to protect the environment and communities. SEPA officers examining the bales of waste discovered electrical and electronic equipment, used nappies, sanitary towels, food contaminated packaging, food, dog excrement, wood, textiles, shoes, clothing, jewellery, aerosol cans, toys, glass, plastic food</w:t>
      </w:r>
      <w:r w:rsidR="00AF7137" w:rsidRPr="00BC0D14">
        <w:rPr>
          <w:rFonts w:ascii="Arial" w:hAnsi="Arial" w:cs="Arial"/>
        </w:rPr>
        <w:t>,</w:t>
      </w:r>
      <w:r w:rsidRPr="00BC0D14">
        <w:rPr>
          <w:rFonts w:ascii="Arial" w:hAnsi="Arial" w:cs="Arial"/>
        </w:rPr>
        <w:t xml:space="preserve"> and drinks containers and cans.</w:t>
      </w:r>
    </w:p>
    <w:p w14:paraId="77E423C3" w14:textId="77777777" w:rsidR="00711314" w:rsidRPr="00ED72AF" w:rsidRDefault="00711314" w:rsidP="00ED72AF">
      <w:pPr>
        <w:spacing w:line="360" w:lineRule="auto"/>
        <w:rPr>
          <w:rStyle w:val="eop"/>
        </w:rPr>
      </w:pPr>
    </w:p>
    <w:p w14:paraId="3F831E20" w14:textId="780D79D5" w:rsidR="00C54FFC" w:rsidRPr="00BC0D14" w:rsidRDefault="5AFAA346" w:rsidP="00BC0D14">
      <w:pPr>
        <w:spacing w:line="360" w:lineRule="auto"/>
        <w:rPr>
          <w:rFonts w:ascii="Arial" w:hAnsi="Arial" w:cs="Arial"/>
        </w:rPr>
      </w:pPr>
      <w:r w:rsidRPr="46D6F24B">
        <w:rPr>
          <w:rFonts w:ascii="Arial" w:hAnsi="Arial" w:cs="Arial"/>
        </w:rPr>
        <w:t>SEPA’s work tackling waste crime was featured on BBC Disclosure</w:t>
      </w:r>
      <w:r w:rsidR="6D75D092" w:rsidRPr="46D6F24B">
        <w:rPr>
          <w:rFonts w:ascii="Arial" w:hAnsi="Arial" w:cs="Arial"/>
        </w:rPr>
        <w:t>’s Dirty Business</w:t>
      </w:r>
      <w:r w:rsidR="559B0BA2" w:rsidRPr="46D6F24B">
        <w:rPr>
          <w:rFonts w:ascii="Arial" w:hAnsi="Arial" w:cs="Arial"/>
        </w:rPr>
        <w:t>. It showed o</w:t>
      </w:r>
      <w:r w:rsidRPr="46D6F24B">
        <w:rPr>
          <w:rFonts w:ascii="Arial" w:hAnsi="Arial" w:cs="Arial"/>
        </w:rPr>
        <w:t>ur staff on complex investigations including a site visit to an unidentified location, where a criminal gang has buried large amounts of waste underground resulting in environmental impact from the release of harmful gases and liquids as the illegal deposit degrades. Launched in 2019, SEPA’s dedicated intelligence and enforcement function includes the monitoring of over 234 active</w:t>
      </w:r>
      <w:r w:rsidR="00344ADD">
        <w:rPr>
          <w:rFonts w:ascii="Arial" w:hAnsi="Arial" w:cs="Arial"/>
        </w:rPr>
        <w:t xml:space="preserve"> </w:t>
      </w:r>
      <w:r w:rsidRPr="46D6F24B">
        <w:rPr>
          <w:rFonts w:ascii="Arial" w:hAnsi="Arial" w:cs="Arial"/>
        </w:rPr>
        <w:t>waste cases including 31 high priority sites,</w:t>
      </w:r>
      <w:r w:rsidR="00DD7AFD">
        <w:rPr>
          <w:rFonts w:ascii="Arial" w:hAnsi="Arial" w:cs="Arial"/>
        </w:rPr>
        <w:t xml:space="preserve"> </w:t>
      </w:r>
      <w:r w:rsidRPr="46D6F24B">
        <w:rPr>
          <w:rFonts w:ascii="Arial" w:hAnsi="Arial" w:cs="Arial"/>
        </w:rPr>
        <w:t>some</w:t>
      </w:r>
      <w:r w:rsidR="00DD7AFD">
        <w:rPr>
          <w:rFonts w:ascii="Arial" w:hAnsi="Arial" w:cs="Arial"/>
        </w:rPr>
        <w:t xml:space="preserve"> </w:t>
      </w:r>
      <w:r w:rsidRPr="46D6F24B">
        <w:rPr>
          <w:rFonts w:ascii="Arial" w:hAnsi="Arial" w:cs="Arial"/>
        </w:rPr>
        <w:t>linked to serious and organised crime activities.</w:t>
      </w:r>
    </w:p>
    <w:p w14:paraId="1BE03723" w14:textId="77777777" w:rsidR="00711314" w:rsidRPr="00711314" w:rsidRDefault="00711314" w:rsidP="00711314">
      <w:pPr>
        <w:spacing w:line="360" w:lineRule="auto"/>
        <w:rPr>
          <w:rStyle w:val="eop"/>
          <w:rFonts w:ascii="Arial" w:hAnsi="Arial" w:cs="Arial"/>
          <w:shd w:val="clear" w:color="auto" w:fill="FFFFFF"/>
        </w:rPr>
      </w:pPr>
    </w:p>
    <w:p w14:paraId="242795CE" w14:textId="689D6B60" w:rsidR="00C54FFC" w:rsidRPr="003171F6" w:rsidRDefault="00C54FFC" w:rsidP="00C54FFC">
      <w:pPr>
        <w:spacing w:line="360" w:lineRule="auto"/>
        <w:rPr>
          <w:rFonts w:ascii="Arial" w:hAnsi="Arial" w:cs="Arial"/>
        </w:rPr>
      </w:pPr>
      <w:r w:rsidRPr="7A937A10">
        <w:rPr>
          <w:rFonts w:ascii="Arial" w:hAnsi="Arial" w:cs="Arial"/>
        </w:rPr>
        <w:t xml:space="preserve">A consultation setting out plans for a mandatory digital waste tracking service in the UK was undertaken earlier this year setting out a UK-wide approach to introduce mandatory Digital Waste Tracking (DWT) for the movement of waste. Plans will help track compliance and tackle illegal waste exports and fly-tipping like those profiled by the BBC. Digital waste tracking is a priority for Scottish Government and for SEPA, featuring in the Climate Change Update Plan and SEPA’s Annual Operating Plan for </w:t>
      </w:r>
      <w:r w:rsidR="000845C9">
        <w:rPr>
          <w:rFonts w:ascii="Arial" w:hAnsi="Arial" w:cs="Arial"/>
        </w:rPr>
        <w:t>2021/22</w:t>
      </w:r>
      <w:r w:rsidRPr="7A937A10">
        <w:rPr>
          <w:rFonts w:ascii="Arial" w:hAnsi="Arial" w:cs="Arial"/>
        </w:rPr>
        <w:t>. The implementation of digital waste tracking in Scotland over the next th</w:t>
      </w:r>
      <w:r w:rsidR="00221791">
        <w:rPr>
          <w:rFonts w:ascii="Arial" w:hAnsi="Arial" w:cs="Arial"/>
        </w:rPr>
        <w:t>r</w:t>
      </w:r>
      <w:r w:rsidRPr="7A937A10">
        <w:rPr>
          <w:rFonts w:ascii="Arial" w:hAnsi="Arial" w:cs="Arial"/>
        </w:rPr>
        <w:t>ee years has been allocated £900k from the Scottish Government Low Carbon Fund.</w:t>
      </w:r>
    </w:p>
    <w:p w14:paraId="1DAAD40F" w14:textId="799EBE8A" w:rsidR="00C54FFC" w:rsidRDefault="00C54FFC" w:rsidP="00C54FFC">
      <w:pPr>
        <w:spacing w:line="360" w:lineRule="auto"/>
        <w:rPr>
          <w:rFonts w:ascii="Arial" w:hAnsi="Arial" w:cs="Arial"/>
        </w:rPr>
      </w:pPr>
    </w:p>
    <w:p w14:paraId="1B6EE0AA" w14:textId="77777777" w:rsidR="00E07B5D" w:rsidRDefault="00E07B5D" w:rsidP="00B47A2A">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t>Protecting our water environment </w:t>
      </w:r>
      <w:r>
        <w:rPr>
          <w:rStyle w:val="eop"/>
          <w:rFonts w:ascii="Arial" w:hAnsi="Arial" w:cs="Arial"/>
        </w:rPr>
        <w:t> </w:t>
      </w:r>
    </w:p>
    <w:p w14:paraId="07AD9AF3" w14:textId="1A6B24AC"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In December</w:t>
      </w:r>
      <w:r w:rsidR="00B46326">
        <w:rPr>
          <w:rStyle w:val="normaltextrun"/>
          <w:rFonts w:ascii="Arial" w:hAnsi="Arial" w:cs="Arial"/>
        </w:rPr>
        <w:t xml:space="preserve"> 2021</w:t>
      </w:r>
      <w:r>
        <w:rPr>
          <w:rStyle w:val="normaltextrun"/>
          <w:rFonts w:ascii="Arial" w:hAnsi="Arial" w:cs="Arial"/>
        </w:rPr>
        <w:t xml:space="preserve">, </w:t>
      </w:r>
      <w:r w:rsidR="00E1445E">
        <w:rPr>
          <w:rStyle w:val="normaltextrun"/>
          <w:rFonts w:ascii="Arial" w:hAnsi="Arial" w:cs="Arial"/>
        </w:rPr>
        <w:t xml:space="preserve">the </w:t>
      </w:r>
      <w:r>
        <w:rPr>
          <w:rStyle w:val="normaltextrun"/>
          <w:rFonts w:ascii="Arial" w:hAnsi="Arial" w:cs="Arial"/>
        </w:rPr>
        <w:t>Minister for Environment, Biodiversity and Land Reform Mairi McAllan MSP announced further protection and improvement for the ecological condition of Scotland’s water environment through a comprehensive new action plan, backed by enhanced resources and a multi-</w:t>
      </w:r>
      <w:r w:rsidR="00877500">
        <w:rPr>
          <w:rStyle w:val="normaltextrun"/>
          <w:rFonts w:ascii="Arial" w:hAnsi="Arial" w:cs="Arial"/>
        </w:rPr>
        <w:t>million-pound</w:t>
      </w:r>
      <w:r>
        <w:rPr>
          <w:rStyle w:val="normaltextrun"/>
          <w:rFonts w:ascii="Arial" w:hAnsi="Arial" w:cs="Arial"/>
        </w:rPr>
        <w:t xml:space="preserve"> package of investment. SEPA’s </w:t>
      </w:r>
      <w:hyperlink r:id="rId31" w:history="1">
        <w:r w:rsidRPr="00B47A2A">
          <w:rPr>
            <w:rStyle w:val="Hyperlink"/>
            <w:rFonts w:ascii="Arial" w:hAnsi="Arial" w:cs="Arial"/>
          </w:rPr>
          <w:t>River Basin Management Plans</w:t>
        </w:r>
      </w:hyperlink>
      <w:r>
        <w:rPr>
          <w:rStyle w:val="normaltextrun"/>
          <w:rFonts w:ascii="Arial" w:hAnsi="Arial" w:cs="Arial"/>
        </w:rPr>
        <w:t xml:space="preserve">, developed and delivered collaboratively, set out a range of priority </w:t>
      </w:r>
      <w:r>
        <w:rPr>
          <w:rStyle w:val="normaltextrun"/>
          <w:rFonts w:ascii="Arial" w:hAnsi="Arial" w:cs="Arial"/>
        </w:rPr>
        <w:lastRenderedPageBreak/>
        <w:t>measures, including working with land managers to reduce diffuse pollution from agriculture, and supporting the passage of migratory fish such as salmon.</w:t>
      </w:r>
      <w:r>
        <w:rPr>
          <w:rStyle w:val="eop"/>
          <w:rFonts w:ascii="Arial" w:hAnsi="Arial" w:cs="Arial"/>
        </w:rPr>
        <w:t> </w:t>
      </w:r>
    </w:p>
    <w:p w14:paraId="2A1E10CE" w14:textId="77777777"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5E776EF9" w14:textId="77777777"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hd w:val="clear" w:color="auto" w:fill="FFFFFF"/>
        </w:rPr>
        <w:t>The River Basin Management Plans set our ambition and vision not only to protect Scotland’s waters, but also to improve and restore our water environment for the benefit of all. The comprehensive actions set out in the plans are expected to result in 81% of Scotland’s water environment being in a good condition by 2027, which is a significant improvement of 15% on current results.</w:t>
      </w:r>
      <w:r>
        <w:rPr>
          <w:rStyle w:val="eop"/>
          <w:rFonts w:ascii="Arial" w:hAnsi="Arial" w:cs="Arial"/>
        </w:rPr>
        <w:t> </w:t>
      </w:r>
    </w:p>
    <w:p w14:paraId="26E932E1" w14:textId="77777777" w:rsidR="00E07B5D" w:rsidRPr="00ED72AF" w:rsidRDefault="00E07B5D" w:rsidP="00ED72AF">
      <w:pPr>
        <w:spacing w:line="360" w:lineRule="auto"/>
        <w:rPr>
          <w:rStyle w:val="eop"/>
        </w:rPr>
      </w:pPr>
      <w:r w:rsidRPr="00ED72AF">
        <w:rPr>
          <w:rStyle w:val="eop"/>
        </w:rPr>
        <w:t> </w:t>
      </w:r>
    </w:p>
    <w:p w14:paraId="5B51B535" w14:textId="4C4D1ABA" w:rsidR="00E07B5D" w:rsidRDefault="00E07B5D" w:rsidP="00611C68">
      <w:pPr>
        <w:pStyle w:val="paragraph"/>
        <w:spacing w:before="0" w:beforeAutospacing="0" w:after="0" w:afterAutospacing="0" w:line="360" w:lineRule="auto"/>
        <w:textAlignment w:val="baseline"/>
        <w:rPr>
          <w:rStyle w:val="eop"/>
          <w:rFonts w:ascii="Arial" w:hAnsi="Arial" w:cs="Arial"/>
        </w:rPr>
      </w:pPr>
      <w:r>
        <w:rPr>
          <w:rStyle w:val="normaltextrun"/>
          <w:rFonts w:ascii="Arial" w:hAnsi="Arial" w:cs="Arial"/>
          <w:shd w:val="clear" w:color="auto" w:fill="FFFFFF"/>
        </w:rPr>
        <w:t>Supporting the delivery of River Basin Management Plans, SEPA’s Water Environment Fund enables river restoration. Projects committed to across the year included:</w:t>
      </w:r>
      <w:r>
        <w:rPr>
          <w:rStyle w:val="eop"/>
          <w:rFonts w:ascii="Arial" w:hAnsi="Arial" w:cs="Arial"/>
        </w:rPr>
        <w:t> </w:t>
      </w:r>
    </w:p>
    <w:p w14:paraId="45073872" w14:textId="77777777" w:rsidR="00D41A62" w:rsidRPr="00D41A62" w:rsidRDefault="00D41A62" w:rsidP="00D41A62">
      <w:pPr>
        <w:spacing w:line="360" w:lineRule="auto"/>
        <w:rPr>
          <w:rStyle w:val="eop"/>
          <w:rFonts w:ascii="Arial" w:hAnsi="Arial" w:cs="Arial"/>
        </w:rPr>
      </w:pPr>
    </w:p>
    <w:p w14:paraId="68A1996E" w14:textId="01BE92CA" w:rsidR="00E07B5D" w:rsidRDefault="00B47A2A" w:rsidP="00802A98">
      <w:pPr>
        <w:pStyle w:val="paragraph"/>
        <w:numPr>
          <w:ilvl w:val="0"/>
          <w:numId w:val="41"/>
        </w:numPr>
        <w:spacing w:before="0" w:beforeAutospacing="0" w:after="0" w:afterAutospacing="0" w:line="360" w:lineRule="auto"/>
        <w:textAlignment w:val="baseline"/>
        <w:rPr>
          <w:rStyle w:val="eop"/>
          <w:rFonts w:ascii="Arial" w:hAnsi="Arial" w:cs="Arial"/>
        </w:rPr>
      </w:pPr>
      <w:r>
        <w:rPr>
          <w:rStyle w:val="normaltextrun"/>
          <w:rFonts w:ascii="Arial" w:hAnsi="Arial" w:cs="Arial"/>
          <w:shd w:val="clear" w:color="auto" w:fill="FFFFFF"/>
        </w:rPr>
        <w:t xml:space="preserve">The start of </w:t>
      </w:r>
      <w:r w:rsidR="00E07B5D">
        <w:rPr>
          <w:rStyle w:val="normaltextrun"/>
          <w:rFonts w:ascii="Arial" w:hAnsi="Arial" w:cs="Arial"/>
          <w:shd w:val="clear" w:color="auto" w:fill="FFFFFF"/>
        </w:rPr>
        <w:t>major improvement works at Lyne Burn in Dunfermline, restoring a 500m artificially straightened section of the river to a more natural condition, connecting to the recently built flood scheme extending the length of river with high quality habitat.</w:t>
      </w:r>
      <w:r w:rsidR="00E07B5D">
        <w:rPr>
          <w:rStyle w:val="eop"/>
          <w:rFonts w:ascii="Arial" w:hAnsi="Arial" w:cs="Arial"/>
        </w:rPr>
        <w:t> </w:t>
      </w:r>
    </w:p>
    <w:p w14:paraId="0712106D" w14:textId="77777777" w:rsidR="00D41A62" w:rsidRDefault="00D41A62" w:rsidP="00D41A62">
      <w:pPr>
        <w:pStyle w:val="paragraph"/>
        <w:spacing w:before="0" w:beforeAutospacing="0" w:after="0" w:afterAutospacing="0" w:line="360" w:lineRule="auto"/>
        <w:ind w:left="720"/>
        <w:textAlignment w:val="baseline"/>
        <w:rPr>
          <w:rFonts w:ascii="Arial" w:hAnsi="Arial" w:cs="Arial"/>
        </w:rPr>
      </w:pPr>
    </w:p>
    <w:p w14:paraId="1A87EF60" w14:textId="07E5FD8E" w:rsidR="00E07B5D" w:rsidRDefault="00E07B5D" w:rsidP="00802A98">
      <w:pPr>
        <w:pStyle w:val="paragraph"/>
        <w:numPr>
          <w:ilvl w:val="0"/>
          <w:numId w:val="41"/>
        </w:numPr>
        <w:spacing w:before="0" w:beforeAutospacing="0" w:after="0" w:afterAutospacing="0" w:line="360" w:lineRule="auto"/>
        <w:textAlignment w:val="baseline"/>
        <w:rPr>
          <w:rStyle w:val="eop"/>
          <w:rFonts w:ascii="Arial" w:hAnsi="Arial" w:cs="Arial"/>
        </w:rPr>
      </w:pPr>
      <w:r>
        <w:rPr>
          <w:rStyle w:val="normaltextrun"/>
          <w:rFonts w:ascii="Arial" w:hAnsi="Arial" w:cs="Arial"/>
        </w:rPr>
        <w:t xml:space="preserve">A new fish pass at Mid Calder Weir. The £670,000 project will see the current large weir altered to help the free passage of migratory fish species up the Almond. The work is part of the </w:t>
      </w:r>
      <w:proofErr w:type="spellStart"/>
      <w:r>
        <w:rPr>
          <w:rStyle w:val="normaltextrun"/>
          <w:rFonts w:ascii="Arial" w:hAnsi="Arial" w:cs="Arial"/>
        </w:rPr>
        <w:t>RiverLife</w:t>
      </w:r>
      <w:proofErr w:type="spellEnd"/>
      <w:r>
        <w:rPr>
          <w:rStyle w:val="normaltextrun"/>
          <w:rFonts w:ascii="Arial" w:hAnsi="Arial" w:cs="Arial"/>
        </w:rPr>
        <w:t>: Almond &amp; Avon - Almond Barriers Project, which aims to improve the ecological condition of the river.</w:t>
      </w:r>
    </w:p>
    <w:p w14:paraId="1D3CD2AE" w14:textId="77777777" w:rsidR="00D41A62" w:rsidRPr="00D41A62" w:rsidRDefault="00D41A62" w:rsidP="00D41A62">
      <w:pPr>
        <w:spacing w:line="360" w:lineRule="auto"/>
        <w:rPr>
          <w:rStyle w:val="eop"/>
        </w:rPr>
      </w:pPr>
    </w:p>
    <w:p w14:paraId="6BF6E441" w14:textId="2F62FF44" w:rsidR="00E07B5D" w:rsidRDefault="00E07B5D" w:rsidP="00802A98">
      <w:pPr>
        <w:pStyle w:val="paragraph"/>
        <w:numPr>
          <w:ilvl w:val="0"/>
          <w:numId w:val="41"/>
        </w:numPr>
        <w:spacing w:before="0" w:beforeAutospacing="0" w:after="0" w:afterAutospacing="0" w:line="360" w:lineRule="auto"/>
        <w:textAlignment w:val="baseline"/>
        <w:rPr>
          <w:rFonts w:ascii="Arial" w:hAnsi="Arial" w:cs="Arial"/>
        </w:rPr>
      </w:pPr>
      <w:r>
        <w:rPr>
          <w:rStyle w:val="normaltextrun"/>
          <w:rFonts w:ascii="Arial" w:hAnsi="Arial" w:cs="Arial"/>
        </w:rPr>
        <w:t>A study to look at how the Levern Water could once again be part of the life of Barrhead, return it to a more natural form</w:t>
      </w:r>
      <w:r w:rsidR="00272413">
        <w:rPr>
          <w:rStyle w:val="normaltextrun"/>
          <w:rFonts w:ascii="Arial" w:hAnsi="Arial" w:cs="Arial"/>
        </w:rPr>
        <w:t>,</w:t>
      </w:r>
      <w:r>
        <w:rPr>
          <w:rStyle w:val="normaltextrun"/>
          <w:rFonts w:ascii="Arial" w:hAnsi="Arial" w:cs="Arial"/>
        </w:rPr>
        <w:t xml:space="preserve"> and bring migratory fish back. </w:t>
      </w:r>
      <w:r>
        <w:rPr>
          <w:rStyle w:val="eop"/>
          <w:rFonts w:ascii="Arial" w:hAnsi="Arial" w:cs="Arial"/>
        </w:rPr>
        <w:t> </w:t>
      </w:r>
    </w:p>
    <w:p w14:paraId="799F7C28" w14:textId="77777777" w:rsidR="00E07B5D" w:rsidRPr="00BD04DA" w:rsidRDefault="00E07B5D" w:rsidP="00D41A62">
      <w:pPr>
        <w:spacing w:line="360" w:lineRule="auto"/>
        <w:rPr>
          <w:rStyle w:val="eop"/>
          <w:rFonts w:ascii="Arial" w:hAnsi="Arial" w:cs="Arial"/>
        </w:rPr>
      </w:pPr>
      <w:r w:rsidRPr="00BD04DA">
        <w:rPr>
          <w:rStyle w:val="eop"/>
          <w:rFonts w:ascii="Arial" w:hAnsi="Arial" w:cs="Arial"/>
        </w:rPr>
        <w:t> </w:t>
      </w:r>
    </w:p>
    <w:p w14:paraId="766B161F" w14:textId="375E9060"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hd w:val="clear" w:color="auto" w:fill="FFFFFF"/>
        </w:rPr>
        <w:t>Scotland is already renowned worldwide for the quality of our rivers, lochs, wetlands</w:t>
      </w:r>
      <w:r w:rsidR="00BD04DA">
        <w:rPr>
          <w:rStyle w:val="normaltextrun"/>
          <w:rFonts w:ascii="Arial" w:hAnsi="Arial" w:cs="Arial"/>
          <w:shd w:val="clear" w:color="auto" w:fill="FFFFFF"/>
        </w:rPr>
        <w:t>,</w:t>
      </w:r>
      <w:r>
        <w:rPr>
          <w:rStyle w:val="normaltextrun"/>
          <w:rFonts w:ascii="Arial" w:hAnsi="Arial" w:cs="Arial"/>
          <w:shd w:val="clear" w:color="auto" w:fill="FFFFFF"/>
        </w:rPr>
        <w:t xml:space="preserve"> and seas and in 2021</w:t>
      </w:r>
      <w:r w:rsidR="00BD04DA">
        <w:rPr>
          <w:rStyle w:val="normaltextrun"/>
          <w:rFonts w:ascii="Arial" w:hAnsi="Arial" w:cs="Arial"/>
          <w:shd w:val="clear" w:color="auto" w:fill="FFFFFF"/>
        </w:rPr>
        <w:t>,</w:t>
      </w:r>
      <w:r>
        <w:rPr>
          <w:rStyle w:val="normaltextrun"/>
          <w:rFonts w:ascii="Arial" w:hAnsi="Arial" w:cs="Arial"/>
          <w:shd w:val="clear" w:color="auto" w:fill="FFFFFF"/>
        </w:rPr>
        <w:t xml:space="preserve"> 99% of bathing waters have passed environmental standards with more than ever reaching ‘excellent’ status.</w:t>
      </w:r>
      <w:r>
        <w:rPr>
          <w:rStyle w:val="eop"/>
          <w:rFonts w:ascii="Arial" w:hAnsi="Arial" w:cs="Arial"/>
        </w:rPr>
        <w:t> </w:t>
      </w:r>
    </w:p>
    <w:p w14:paraId="053C8C64" w14:textId="77777777" w:rsidR="00E07B5D" w:rsidRPr="00BD04DA" w:rsidRDefault="00E07B5D" w:rsidP="00BD04DA">
      <w:pPr>
        <w:spacing w:line="360" w:lineRule="auto"/>
        <w:rPr>
          <w:rStyle w:val="eop"/>
          <w:rFonts w:ascii="Arial" w:hAnsi="Arial" w:cs="Arial"/>
        </w:rPr>
      </w:pPr>
      <w:r w:rsidRPr="00BD04DA">
        <w:rPr>
          <w:rStyle w:val="eop"/>
          <w:rFonts w:ascii="Arial" w:hAnsi="Arial" w:cs="Arial"/>
        </w:rPr>
        <w:t> </w:t>
      </w:r>
    </w:p>
    <w:p w14:paraId="7EE285CE" w14:textId="0C18AF15"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 xml:space="preserve">As one of </w:t>
      </w:r>
      <w:r w:rsidR="0067513B">
        <w:rPr>
          <w:rStyle w:val="normaltextrun"/>
          <w:rFonts w:ascii="Arial" w:hAnsi="Arial" w:cs="Arial"/>
        </w:rPr>
        <w:t>several</w:t>
      </w:r>
      <w:r>
        <w:rPr>
          <w:rStyle w:val="normaltextrun"/>
          <w:rFonts w:ascii="Arial" w:hAnsi="Arial" w:cs="Arial"/>
        </w:rPr>
        <w:t xml:space="preserve"> organisations regulating finfish aquaculture, SEPA protects the marine environment for the people of Scotland. We do this by ensuring that the aquaculture industry meets environmental standards and in December 2021 launched a consultation on proposed wild salmon protection zones and a sea lice exposure threshold that applies in these zones, making the protection of Scotland’s wild Atlantic salmon a ‘national priority’.</w:t>
      </w:r>
      <w:r>
        <w:rPr>
          <w:rStyle w:val="eop"/>
          <w:rFonts w:ascii="Arial" w:hAnsi="Arial" w:cs="Arial"/>
        </w:rPr>
        <w:t> </w:t>
      </w:r>
    </w:p>
    <w:p w14:paraId="533439DA" w14:textId="00CD4045" w:rsidR="00935762" w:rsidRDefault="00E07B5D" w:rsidP="00BD04DA">
      <w:pPr>
        <w:spacing w:line="360" w:lineRule="auto"/>
        <w:rPr>
          <w:rStyle w:val="eop"/>
          <w:rFonts w:ascii="Arial" w:hAnsi="Arial" w:cs="Arial"/>
        </w:rPr>
      </w:pPr>
      <w:r>
        <w:rPr>
          <w:rStyle w:val="eop"/>
          <w:rFonts w:ascii="Arial" w:hAnsi="Arial" w:cs="Arial"/>
        </w:rPr>
        <w:t> </w:t>
      </w:r>
      <w:r w:rsidR="00935762">
        <w:rPr>
          <w:rStyle w:val="eop"/>
          <w:rFonts w:ascii="Arial" w:hAnsi="Arial" w:cs="Arial"/>
        </w:rPr>
        <w:br w:type="page"/>
      </w:r>
    </w:p>
    <w:p w14:paraId="5D274CDD" w14:textId="77777777" w:rsidR="00E07B5D" w:rsidRPr="00BD04DA" w:rsidRDefault="00E07B5D" w:rsidP="00BD04DA">
      <w:pPr>
        <w:spacing w:line="360" w:lineRule="auto"/>
        <w:rPr>
          <w:rStyle w:val="eop"/>
          <w:rFonts w:ascii="Arial" w:hAnsi="Arial" w:cs="Arial"/>
        </w:rPr>
      </w:pPr>
    </w:p>
    <w:p w14:paraId="159C5084" w14:textId="77777777"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rPr>
        <w:t>Clean air for Scotland</w:t>
      </w:r>
      <w:r>
        <w:rPr>
          <w:rStyle w:val="eop"/>
          <w:rFonts w:ascii="Arial" w:hAnsi="Arial" w:cs="Arial"/>
        </w:rPr>
        <w:t> </w:t>
      </w:r>
    </w:p>
    <w:p w14:paraId="5891DA23" w14:textId="5AF48DC2" w:rsidR="00E07B5D" w:rsidRDefault="00E07B5D" w:rsidP="00611C68">
      <w:pPr>
        <w:pStyle w:val="paragraph"/>
        <w:spacing w:before="0" w:beforeAutospacing="0" w:after="0" w:afterAutospacing="0" w:line="360" w:lineRule="auto"/>
        <w:textAlignment w:val="baseline"/>
        <w:rPr>
          <w:rStyle w:val="eop"/>
          <w:rFonts w:ascii="Arial" w:hAnsi="Arial" w:cs="Arial"/>
        </w:rPr>
      </w:pPr>
      <w:r>
        <w:rPr>
          <w:rStyle w:val="normaltextrun"/>
          <w:rFonts w:ascii="Arial" w:hAnsi="Arial" w:cs="Arial"/>
        </w:rPr>
        <w:t>Good air quality is essential for a good quality of life, helping to maintain human health and wellbeing, our climate</w:t>
      </w:r>
      <w:r w:rsidR="00202570">
        <w:rPr>
          <w:rStyle w:val="normaltextrun"/>
          <w:rFonts w:ascii="Arial" w:hAnsi="Arial" w:cs="Arial"/>
        </w:rPr>
        <w:t>,</w:t>
      </w:r>
      <w:r>
        <w:rPr>
          <w:rStyle w:val="normaltextrun"/>
          <w:rFonts w:ascii="Arial" w:hAnsi="Arial" w:cs="Arial"/>
        </w:rPr>
        <w:t xml:space="preserve"> and habitats. It</w:t>
      </w:r>
      <w:r w:rsidR="00202570">
        <w:rPr>
          <w:rStyle w:val="normaltextrun"/>
          <w:rFonts w:ascii="Arial" w:hAnsi="Arial" w:cs="Arial"/>
        </w:rPr>
        <w:t xml:space="preserve"> is</w:t>
      </w:r>
      <w:r>
        <w:rPr>
          <w:rStyle w:val="normaltextrun"/>
          <w:rFonts w:ascii="Arial" w:hAnsi="Arial" w:cs="Arial"/>
        </w:rPr>
        <w:t xml:space="preserve"> also vital in our work towards becoming a net zero nation. </w:t>
      </w:r>
      <w:r>
        <w:rPr>
          <w:rStyle w:val="eop"/>
          <w:rFonts w:ascii="Arial" w:hAnsi="Arial" w:cs="Arial"/>
        </w:rPr>
        <w:t> </w:t>
      </w:r>
    </w:p>
    <w:p w14:paraId="05E34168" w14:textId="77777777" w:rsidR="0083011A" w:rsidRDefault="0083011A" w:rsidP="00611C68">
      <w:pPr>
        <w:pStyle w:val="paragraph"/>
        <w:spacing w:before="0" w:beforeAutospacing="0" w:after="0" w:afterAutospacing="0" w:line="360" w:lineRule="auto"/>
        <w:textAlignment w:val="baseline"/>
        <w:rPr>
          <w:rStyle w:val="eop"/>
          <w:rFonts w:ascii="Arial" w:hAnsi="Arial" w:cs="Arial"/>
        </w:rPr>
      </w:pPr>
    </w:p>
    <w:p w14:paraId="7E7CCC8C" w14:textId="54DCCE55" w:rsidR="0083011A" w:rsidRPr="0083011A" w:rsidRDefault="0083011A" w:rsidP="0083011A">
      <w:pPr>
        <w:pStyle w:val="paragraph"/>
        <w:spacing w:before="0" w:beforeAutospacing="0" w:after="0" w:afterAutospacing="0" w:line="360" w:lineRule="auto"/>
        <w:textAlignment w:val="baseline"/>
        <w:rPr>
          <w:rStyle w:val="normaltextrun"/>
          <w:rFonts w:ascii="Arial" w:hAnsi="Arial" w:cs="Arial"/>
        </w:rPr>
      </w:pPr>
      <w:r w:rsidRPr="0083011A">
        <w:rPr>
          <w:rStyle w:val="normaltextrun"/>
          <w:rFonts w:ascii="Arial" w:hAnsi="Arial" w:cs="Arial"/>
        </w:rPr>
        <w:t xml:space="preserve">SEPA is the lead organisation in delivering the National Modelling Framework for the </w:t>
      </w:r>
      <w:hyperlink r:id="rId32" w:history="1">
        <w:r w:rsidR="00C852F7" w:rsidRPr="003C73E4">
          <w:rPr>
            <w:rStyle w:val="Hyperlink"/>
            <w:rFonts w:ascii="Arial" w:hAnsi="Arial" w:cs="Arial"/>
          </w:rPr>
          <w:t>Cleaner Air for Scotland Strategy</w:t>
        </w:r>
      </w:hyperlink>
      <w:r w:rsidR="00C852F7">
        <w:rPr>
          <w:rStyle w:val="normaltextrun"/>
          <w:rFonts w:ascii="Arial" w:hAnsi="Arial" w:cs="Arial"/>
        </w:rPr>
        <w:t xml:space="preserve"> </w:t>
      </w:r>
      <w:r w:rsidRPr="0083011A">
        <w:rPr>
          <w:rStyle w:val="normaltextrun"/>
          <w:rFonts w:ascii="Arial" w:hAnsi="Arial" w:cs="Arial"/>
        </w:rPr>
        <w:t xml:space="preserve">(CAFS2). A key part of CAFS2 is the commitment to introduce </w:t>
      </w:r>
      <w:hyperlink r:id="rId33" w:history="1">
        <w:r w:rsidR="00947573" w:rsidRPr="00947573">
          <w:rPr>
            <w:rStyle w:val="Hyperlink"/>
            <w:rFonts w:ascii="Arial" w:hAnsi="Arial" w:cs="Arial"/>
          </w:rPr>
          <w:t>Low Emission Zones</w:t>
        </w:r>
      </w:hyperlink>
      <w:r w:rsidRPr="0083011A">
        <w:rPr>
          <w:rStyle w:val="normaltextrun"/>
          <w:rFonts w:ascii="Arial" w:hAnsi="Arial" w:cs="Arial"/>
        </w:rPr>
        <w:t xml:space="preserve"> (LEZs) in Aberdeen, Dundee, Edinburgh, and Glasgow. Through this role, we worked with Transport Scotland to support the four cities and build the evidence-base for LEZs. </w:t>
      </w:r>
    </w:p>
    <w:p w14:paraId="14C02214" w14:textId="77777777" w:rsidR="0083011A" w:rsidRPr="0083011A" w:rsidRDefault="0083011A" w:rsidP="0083011A">
      <w:pPr>
        <w:pStyle w:val="paragraph"/>
        <w:spacing w:before="0" w:beforeAutospacing="0" w:after="0" w:afterAutospacing="0" w:line="360" w:lineRule="auto"/>
        <w:textAlignment w:val="baseline"/>
        <w:rPr>
          <w:rStyle w:val="normaltextrun"/>
          <w:rFonts w:ascii="Arial" w:hAnsi="Arial" w:cs="Arial"/>
        </w:rPr>
      </w:pPr>
    </w:p>
    <w:p w14:paraId="29E81FA0" w14:textId="28CA5A5A" w:rsidR="0083011A" w:rsidRPr="0083011A" w:rsidRDefault="0083011A" w:rsidP="0083011A">
      <w:pPr>
        <w:pStyle w:val="paragraph"/>
        <w:spacing w:before="0" w:beforeAutospacing="0" w:after="0" w:afterAutospacing="0" w:line="360" w:lineRule="auto"/>
        <w:textAlignment w:val="baseline"/>
        <w:rPr>
          <w:rStyle w:val="normaltextrun"/>
          <w:rFonts w:ascii="Arial" w:hAnsi="Arial" w:cs="Arial"/>
        </w:rPr>
      </w:pPr>
      <w:r w:rsidRPr="0083011A">
        <w:rPr>
          <w:rStyle w:val="normaltextrun"/>
          <w:rFonts w:ascii="Arial" w:hAnsi="Arial" w:cs="Arial"/>
        </w:rPr>
        <w:t>The cyber-attack significantly impacted our ability to undertake air quality modelling, with knock on effects for delivering these National Modelling Framework obligations. Since March 2021 we have rebuilt our modelling capabilities, which has enabled us to undertake emissions modelling, create visualisation tools</w:t>
      </w:r>
      <w:r w:rsidR="009B7C3E">
        <w:rPr>
          <w:rStyle w:val="normaltextrun"/>
          <w:rFonts w:ascii="Arial" w:hAnsi="Arial" w:cs="Arial"/>
        </w:rPr>
        <w:t>,</w:t>
      </w:r>
      <w:r w:rsidRPr="0083011A">
        <w:rPr>
          <w:rStyle w:val="normaltextrun"/>
          <w:rFonts w:ascii="Arial" w:hAnsi="Arial" w:cs="Arial"/>
        </w:rPr>
        <w:t xml:space="preserve"> and assist local authorities in finalising their LEZ proposals.</w:t>
      </w:r>
    </w:p>
    <w:p w14:paraId="4912061B" w14:textId="77777777" w:rsidR="0083011A" w:rsidRDefault="0083011A" w:rsidP="0083011A">
      <w:pPr>
        <w:pStyle w:val="paragraph"/>
        <w:spacing w:before="0" w:beforeAutospacing="0" w:after="0" w:afterAutospacing="0" w:line="360" w:lineRule="auto"/>
        <w:textAlignment w:val="baseline"/>
        <w:rPr>
          <w:rStyle w:val="normaltextrun"/>
          <w:rFonts w:ascii="Arial" w:hAnsi="Arial" w:cs="Arial"/>
        </w:rPr>
      </w:pPr>
    </w:p>
    <w:p w14:paraId="53811080" w14:textId="7A800EDD" w:rsidR="0083011A" w:rsidRPr="0083011A" w:rsidRDefault="0083011A" w:rsidP="0083011A">
      <w:pPr>
        <w:pStyle w:val="paragraph"/>
        <w:spacing w:before="0" w:beforeAutospacing="0" w:after="0" w:afterAutospacing="0" w:line="360" w:lineRule="auto"/>
        <w:textAlignment w:val="baseline"/>
        <w:rPr>
          <w:rStyle w:val="normaltextrun"/>
          <w:rFonts w:ascii="Arial" w:hAnsi="Arial" w:cs="Arial"/>
        </w:rPr>
      </w:pPr>
      <w:r>
        <w:rPr>
          <w:rStyle w:val="normaltextrun"/>
          <w:rFonts w:ascii="Arial" w:hAnsi="Arial" w:cs="Arial"/>
        </w:rPr>
        <w:t xml:space="preserve">To mark Clean Air Day, SEPA monitored air quality levels around two Montrose schools, educating pupils about air pollution through our </w:t>
      </w:r>
      <w:hyperlink r:id="rId34" w:history="1">
        <w:r w:rsidR="005A027C" w:rsidRPr="00F57CAC">
          <w:rPr>
            <w:rStyle w:val="Hyperlink"/>
            <w:rFonts w:ascii="Arial" w:hAnsi="Arial" w:cs="Arial"/>
          </w:rPr>
          <w:t>‘Learn About Air’</w:t>
        </w:r>
      </w:hyperlink>
      <w:r>
        <w:rPr>
          <w:rStyle w:val="normaltextrun"/>
          <w:rFonts w:ascii="Arial" w:hAnsi="Arial" w:cs="Arial"/>
        </w:rPr>
        <w:t xml:space="preserve"> education initiative.</w:t>
      </w:r>
      <w:r w:rsidRPr="0083011A">
        <w:rPr>
          <w:rStyle w:val="normaltextrun"/>
        </w:rPr>
        <w:t> </w:t>
      </w:r>
    </w:p>
    <w:p w14:paraId="72EF356D" w14:textId="77777777" w:rsidR="00A85DF7" w:rsidRPr="00A85DF7" w:rsidRDefault="00A85DF7" w:rsidP="00611C68">
      <w:pPr>
        <w:pStyle w:val="paragraph"/>
        <w:spacing w:before="0" w:beforeAutospacing="0" w:after="0" w:afterAutospacing="0" w:line="360" w:lineRule="auto"/>
        <w:textAlignment w:val="baseline"/>
        <w:rPr>
          <w:rFonts w:ascii="Arial" w:hAnsi="Arial" w:cs="Arial"/>
        </w:rPr>
      </w:pPr>
    </w:p>
    <w:p w14:paraId="6E6A629A" w14:textId="77777777"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SEPA published the Scottish Pollutant Release Inventory (SPRI) data for 2020, providing a valuable picture of the amount of pollutants released in Scotland from SEPA regulated industrial sites. It showed that greenhouse gas emissions from SEPA regulated industrial sites fell by 6% between 2019 and 2020, following a continued downward trajectory since 2007. </w:t>
      </w:r>
      <w:r>
        <w:rPr>
          <w:rStyle w:val="eop"/>
          <w:rFonts w:ascii="Arial" w:hAnsi="Arial" w:cs="Arial"/>
        </w:rPr>
        <w:t> </w:t>
      </w:r>
    </w:p>
    <w:p w14:paraId="0255B1C0" w14:textId="7394DB12" w:rsidR="00E07B5D" w:rsidRDefault="00E07B5D" w:rsidP="00611C68">
      <w:pPr>
        <w:pStyle w:val="paragraph"/>
        <w:spacing w:before="0" w:beforeAutospacing="0" w:after="0" w:afterAutospacing="0" w:line="360" w:lineRule="auto"/>
        <w:textAlignment w:val="baseline"/>
      </w:pPr>
    </w:p>
    <w:p w14:paraId="4C4E44FF" w14:textId="129B0FB4" w:rsidR="00B16114" w:rsidRPr="00B16114" w:rsidRDefault="00B16114" w:rsidP="00611C68">
      <w:pPr>
        <w:pStyle w:val="paragraph"/>
        <w:spacing w:before="0" w:beforeAutospacing="0" w:after="0" w:afterAutospacing="0" w:line="360" w:lineRule="auto"/>
        <w:textAlignment w:val="baseline"/>
        <w:rPr>
          <w:rStyle w:val="normaltextrun"/>
          <w:b/>
          <w:bCs/>
        </w:rPr>
      </w:pPr>
      <w:proofErr w:type="spellStart"/>
      <w:r w:rsidRPr="00B16114">
        <w:rPr>
          <w:rStyle w:val="normaltextrun"/>
          <w:rFonts w:ascii="Arial" w:hAnsi="Arial" w:cs="Arial"/>
          <w:b/>
          <w:bCs/>
        </w:rPr>
        <w:t>Mossmorran</w:t>
      </w:r>
      <w:proofErr w:type="spellEnd"/>
    </w:p>
    <w:p w14:paraId="2C90B358" w14:textId="653750BF" w:rsidR="00E07B5D" w:rsidRDefault="00E07B5D" w:rsidP="00611C68">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t xml:space="preserve">We continued to deliver our commitments to communities around the </w:t>
      </w:r>
      <w:proofErr w:type="spellStart"/>
      <w:r>
        <w:rPr>
          <w:rStyle w:val="normaltextrun"/>
          <w:rFonts w:ascii="Arial" w:hAnsi="Arial" w:cs="Arial"/>
        </w:rPr>
        <w:t>Mossmorran</w:t>
      </w:r>
      <w:proofErr w:type="spellEnd"/>
      <w:r>
        <w:rPr>
          <w:rStyle w:val="normaltextrun"/>
          <w:rFonts w:ascii="Arial" w:hAnsi="Arial" w:cs="Arial"/>
        </w:rPr>
        <w:t xml:space="preserve"> complex in Fife by hosting a series of events to explain the role of SEPA and other public bodies in the regulation of the </w:t>
      </w:r>
      <w:proofErr w:type="spellStart"/>
      <w:r>
        <w:rPr>
          <w:rStyle w:val="normaltextrun"/>
          <w:rFonts w:ascii="Arial" w:hAnsi="Arial" w:cs="Arial"/>
        </w:rPr>
        <w:t>Mossmorran</w:t>
      </w:r>
      <w:proofErr w:type="spellEnd"/>
      <w:r>
        <w:rPr>
          <w:rStyle w:val="normaltextrun"/>
          <w:rFonts w:ascii="Arial" w:hAnsi="Arial" w:cs="Arial"/>
        </w:rPr>
        <w:t> complex, explain</w:t>
      </w:r>
      <w:r w:rsidR="00A22578">
        <w:rPr>
          <w:rStyle w:val="normaltextrun"/>
          <w:rFonts w:ascii="Arial" w:hAnsi="Arial" w:cs="Arial"/>
        </w:rPr>
        <w:t>ing</w:t>
      </w:r>
      <w:r>
        <w:rPr>
          <w:rStyle w:val="normaltextrun"/>
          <w:rFonts w:ascii="Arial" w:hAnsi="Arial" w:cs="Arial"/>
        </w:rPr>
        <w:t xml:space="preserve"> how air quality, noise and vibration are assessed, shar</w:t>
      </w:r>
      <w:r w:rsidR="00A22578">
        <w:rPr>
          <w:rStyle w:val="normaltextrun"/>
          <w:rFonts w:ascii="Arial" w:hAnsi="Arial" w:cs="Arial"/>
        </w:rPr>
        <w:t>ing</w:t>
      </w:r>
      <w:r>
        <w:rPr>
          <w:rStyle w:val="normaltextrun"/>
          <w:rFonts w:ascii="Arial" w:hAnsi="Arial" w:cs="Arial"/>
        </w:rPr>
        <w:t xml:space="preserve"> information on what we currently monitor, including where and why and what it tells us and </w:t>
      </w:r>
      <w:r w:rsidR="00A22578">
        <w:rPr>
          <w:rStyle w:val="normaltextrun"/>
          <w:rFonts w:ascii="Arial" w:hAnsi="Arial" w:cs="Arial"/>
        </w:rPr>
        <w:t>listening to</w:t>
      </w:r>
      <w:r>
        <w:rPr>
          <w:rStyle w:val="normaltextrun"/>
          <w:rFonts w:ascii="Arial" w:hAnsi="Arial" w:cs="Arial"/>
        </w:rPr>
        <w:t xml:space="preserve"> concerns about air quality and the impacts of noise and vibration. The insights helped us to understand what the community would like to know about monitoring activities and how the results of this can be shared in an accessible and informative way. </w:t>
      </w:r>
      <w:r>
        <w:rPr>
          <w:rStyle w:val="eop"/>
          <w:rFonts w:ascii="Arial" w:hAnsi="Arial" w:cs="Arial"/>
        </w:rPr>
        <w:t> </w:t>
      </w:r>
    </w:p>
    <w:p w14:paraId="5DA24F62" w14:textId="77777777" w:rsidR="000D2572" w:rsidRPr="00965EF9" w:rsidRDefault="000D2572" w:rsidP="00004625">
      <w:pPr>
        <w:pStyle w:val="01bSubheader"/>
        <w:numPr>
          <w:ilvl w:val="2"/>
          <w:numId w:val="34"/>
        </w:numPr>
        <w:ind w:left="709" w:hanging="709"/>
      </w:pPr>
      <w:bookmarkStart w:id="16" w:name="_Toc119068074"/>
      <w:r w:rsidRPr="00965EF9">
        <w:lastRenderedPageBreak/>
        <w:t>Preparing Scotland more powerfully for future flood risk</w:t>
      </w:r>
      <w:bookmarkEnd w:id="16"/>
      <w:r w:rsidRPr="00965EF9">
        <w:t> </w:t>
      </w:r>
    </w:p>
    <w:p w14:paraId="36CC595D" w14:textId="77777777" w:rsidR="000D2572" w:rsidRPr="00965EF9" w:rsidRDefault="000D2572" w:rsidP="00965EF9">
      <w:pPr>
        <w:spacing w:line="360" w:lineRule="auto"/>
        <w:rPr>
          <w:rFonts w:ascii="Arial" w:hAnsi="Arial" w:cs="Arial"/>
        </w:rPr>
      </w:pPr>
      <w:r w:rsidRPr="00965EF9">
        <w:t> </w:t>
      </w:r>
    </w:p>
    <w:p w14:paraId="588D1ACD" w14:textId="77777777" w:rsidR="000D2572" w:rsidRPr="000D2572" w:rsidRDefault="000D2572" w:rsidP="000D2572">
      <w:pPr>
        <w:pStyle w:val="paragraph"/>
        <w:spacing w:before="0" w:beforeAutospacing="0" w:after="0" w:afterAutospacing="0" w:line="360" w:lineRule="auto"/>
        <w:jc w:val="both"/>
        <w:textAlignment w:val="baseline"/>
        <w:rPr>
          <w:rFonts w:ascii="Segoe UI" w:hAnsi="Segoe UI" w:cs="Segoe UI"/>
          <w:b/>
          <w:bCs/>
          <w:color w:val="66AA58"/>
        </w:rPr>
      </w:pPr>
      <w:r w:rsidRPr="000D2572">
        <w:rPr>
          <w:rStyle w:val="normaltextrun"/>
          <w:rFonts w:ascii="Arial" w:hAnsi="Arial" w:cs="Arial"/>
          <w:lang w:val="en-US"/>
        </w:rPr>
        <w:t>SEPA helps Scotland to avoid the risk of flooding to new communities and businesses; protect those existing communities and businesses that are at risk from the effects of climate change; and warn if flooding is imminent so action can be taken to reduce the impact.</w:t>
      </w:r>
      <w:r w:rsidRPr="000D2572">
        <w:rPr>
          <w:rStyle w:val="eop"/>
          <w:rFonts w:ascii="Arial" w:hAnsi="Arial" w:cs="Arial"/>
          <w:b/>
          <w:bCs/>
        </w:rPr>
        <w:t> </w:t>
      </w:r>
    </w:p>
    <w:p w14:paraId="384A1865" w14:textId="77777777" w:rsidR="000D2572" w:rsidRPr="00965EF9" w:rsidRDefault="000D2572" w:rsidP="00965EF9">
      <w:pPr>
        <w:pStyle w:val="paragraph"/>
        <w:spacing w:before="0" w:beforeAutospacing="0" w:after="0" w:afterAutospacing="0" w:line="360" w:lineRule="auto"/>
        <w:textAlignment w:val="baseline"/>
      </w:pPr>
      <w:r w:rsidRPr="00965EF9">
        <w:t> </w:t>
      </w:r>
    </w:p>
    <w:p w14:paraId="0D96A014" w14:textId="6DD49C8C" w:rsidR="000D2572" w:rsidRPr="000D2572" w:rsidRDefault="000D2572" w:rsidP="000D2572">
      <w:pPr>
        <w:pStyle w:val="paragraph"/>
        <w:spacing w:before="0" w:beforeAutospacing="0" w:after="0" w:afterAutospacing="0" w:line="360" w:lineRule="auto"/>
        <w:textAlignment w:val="baseline"/>
        <w:rPr>
          <w:rFonts w:ascii="Segoe UI" w:hAnsi="Segoe UI" w:cs="Segoe UI"/>
        </w:rPr>
      </w:pPr>
      <w:r w:rsidRPr="00C97812">
        <w:rPr>
          <w:rStyle w:val="normaltextrun"/>
          <w:rFonts w:ascii="Arial" w:hAnsi="Arial" w:cs="Arial"/>
          <w:shd w:val="clear" w:color="auto" w:fill="FFFFFF"/>
        </w:rPr>
        <w:t>2020 was the UK’s fifth wettest year since records began, and six of the 10 wettest years have been since 1998.</w:t>
      </w:r>
      <w:r w:rsidRPr="000D2572">
        <w:rPr>
          <w:rStyle w:val="normaltextrun"/>
          <w:rFonts w:ascii="Arial" w:hAnsi="Arial" w:cs="Arial"/>
          <w:shd w:val="clear" w:color="auto" w:fill="FFFFFF"/>
        </w:rPr>
        <w:t> </w:t>
      </w:r>
      <w:r w:rsidRPr="000D2572">
        <w:rPr>
          <w:rStyle w:val="eop"/>
          <w:rFonts w:ascii="Arial" w:hAnsi="Arial" w:cs="Arial"/>
        </w:rPr>
        <w:t> </w:t>
      </w:r>
      <w:r w:rsidR="009442E1">
        <w:rPr>
          <w:rStyle w:val="FootnoteReference"/>
          <w:rFonts w:ascii="Segoe UI" w:hAnsi="Segoe UI" w:cs="Segoe UI"/>
        </w:rPr>
        <w:footnoteReference w:id="4"/>
      </w:r>
    </w:p>
    <w:p w14:paraId="6687DA62" w14:textId="77777777" w:rsidR="000D2572" w:rsidRPr="00965EF9" w:rsidRDefault="000D2572" w:rsidP="000D2572">
      <w:pPr>
        <w:pStyle w:val="paragraph"/>
        <w:spacing w:before="0" w:beforeAutospacing="0" w:after="0" w:afterAutospacing="0" w:line="360" w:lineRule="auto"/>
        <w:textAlignment w:val="baseline"/>
      </w:pPr>
      <w:r w:rsidRPr="00965EF9">
        <w:t> </w:t>
      </w:r>
    </w:p>
    <w:p w14:paraId="0F89C17D" w14:textId="1D275172" w:rsidR="006F2CE0" w:rsidRDefault="000D2572" w:rsidP="000D2572">
      <w:pPr>
        <w:pStyle w:val="paragraph"/>
        <w:spacing w:before="0" w:beforeAutospacing="0" w:after="0" w:afterAutospacing="0" w:line="360" w:lineRule="auto"/>
        <w:textAlignment w:val="baseline"/>
        <w:rPr>
          <w:rStyle w:val="eop"/>
          <w:rFonts w:ascii="Arial" w:hAnsi="Arial" w:cs="Arial"/>
        </w:rPr>
      </w:pPr>
      <w:r w:rsidRPr="000D2572">
        <w:rPr>
          <w:rStyle w:val="normaltextrun"/>
          <w:rFonts w:ascii="Arial" w:hAnsi="Arial" w:cs="Arial"/>
          <w:shd w:val="clear" w:color="auto" w:fill="FFFFFF"/>
        </w:rPr>
        <w:t xml:space="preserve">As Scotland’s national flood forecasting and warning authority, we continued to play a key role in Scotland’s response to weather events. In October, when parts of Scotland </w:t>
      </w:r>
      <w:r w:rsidRPr="000D2572">
        <w:rPr>
          <w:rStyle w:val="normaltextrun"/>
          <w:rFonts w:ascii="Arial" w:hAnsi="Arial" w:cs="Arial"/>
        </w:rPr>
        <w:t xml:space="preserve">experienced persistent and very heavy rainfall, our early provision of information through the </w:t>
      </w:r>
      <w:r w:rsidRPr="00CD69D9">
        <w:rPr>
          <w:rStyle w:val="normaltextrun"/>
          <w:rFonts w:ascii="Arial" w:hAnsi="Arial" w:cs="Arial"/>
        </w:rPr>
        <w:t>Flood Guidance Statement</w:t>
      </w:r>
      <w:r w:rsidR="0050152F" w:rsidRPr="00CD69D9">
        <w:rPr>
          <w:rStyle w:val="FootnoteReference"/>
          <w:rFonts w:ascii="Arial" w:hAnsi="Arial" w:cs="Arial"/>
        </w:rPr>
        <w:footnoteReference w:id="5"/>
      </w:r>
      <w:r w:rsidRPr="00CD69D9">
        <w:rPr>
          <w:rStyle w:val="normaltextrun"/>
          <w:rFonts w:ascii="Arial" w:hAnsi="Arial" w:cs="Arial"/>
        </w:rPr>
        <w:t xml:space="preserve"> flagged</w:t>
      </w:r>
      <w:r w:rsidRPr="000D2572">
        <w:rPr>
          <w:rStyle w:val="normaltextrun"/>
          <w:rFonts w:ascii="Arial" w:hAnsi="Arial" w:cs="Arial"/>
        </w:rPr>
        <w:t xml:space="preserve"> an amber risk in the region and we issued regional Flood Alerts and local Flood Warnings to 21 communities. Scottish Borders Council declared a major incident in Hawick, where flood defences are under construction. Over 500 properties were evacuated. In Annandale, Dumfries and Galloway, two bridges</w:t>
      </w:r>
      <w:r w:rsidR="00BA2503">
        <w:rPr>
          <w:rStyle w:val="normaltextrun"/>
          <w:rFonts w:ascii="Arial" w:hAnsi="Arial" w:cs="Arial"/>
        </w:rPr>
        <w:t xml:space="preserve"> were</w:t>
      </w:r>
      <w:r w:rsidRPr="000D2572">
        <w:rPr>
          <w:rStyle w:val="normaltextrun"/>
          <w:rFonts w:ascii="Arial" w:hAnsi="Arial" w:cs="Arial"/>
        </w:rPr>
        <w:t xml:space="preserve"> washed away, communities were isolated and deep flooding occurred on many roads. Rescue operations were also needed in </w:t>
      </w:r>
      <w:proofErr w:type="spellStart"/>
      <w:r w:rsidRPr="000D2572">
        <w:rPr>
          <w:rStyle w:val="normaltextrun"/>
          <w:rFonts w:ascii="Arial" w:hAnsi="Arial" w:cs="Arial"/>
        </w:rPr>
        <w:t>Whitesands</w:t>
      </w:r>
      <w:proofErr w:type="spellEnd"/>
      <w:r w:rsidRPr="000D2572">
        <w:rPr>
          <w:rStyle w:val="normaltextrun"/>
          <w:rFonts w:ascii="Arial" w:hAnsi="Arial" w:cs="Arial"/>
        </w:rPr>
        <w:t xml:space="preserve"> in Dumfries, where properties and businesses were affected. </w:t>
      </w:r>
      <w:r w:rsidR="00DC2763" w:rsidRPr="000D2572">
        <w:rPr>
          <w:rStyle w:val="normaltextrun"/>
          <w:rFonts w:ascii="Arial" w:hAnsi="Arial" w:cs="Arial"/>
        </w:rPr>
        <w:t>We worked hard throughout the period to maintain the vital information from our rain and water level gauges to support the response and decision making for local authority and emergency response partners. </w:t>
      </w:r>
      <w:r w:rsidR="00DC2763" w:rsidRPr="000D2572">
        <w:rPr>
          <w:rStyle w:val="eop"/>
          <w:rFonts w:ascii="Arial" w:hAnsi="Arial" w:cs="Arial"/>
        </w:rPr>
        <w:t> </w:t>
      </w:r>
    </w:p>
    <w:p w14:paraId="086C4A46" w14:textId="3D6A1A53" w:rsidR="00DC2763" w:rsidRDefault="00DC2763" w:rsidP="000D2572">
      <w:pPr>
        <w:pStyle w:val="paragraph"/>
        <w:spacing w:before="0" w:beforeAutospacing="0" w:after="0" w:afterAutospacing="0" w:line="360" w:lineRule="auto"/>
        <w:textAlignment w:val="baseline"/>
        <w:rPr>
          <w:rStyle w:val="eop"/>
          <w:rFonts w:ascii="Arial" w:hAnsi="Arial" w:cs="Arial"/>
        </w:rPr>
      </w:pPr>
    </w:p>
    <w:p w14:paraId="2A80B327" w14:textId="6D6478B6" w:rsidR="00DC2763" w:rsidRDefault="00DC2763" w:rsidP="000D2572">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Keeping our partners and communities informed is a vital part of our work</w:t>
      </w:r>
      <w:r w:rsidR="003B1D70">
        <w:rPr>
          <w:rStyle w:val="eop"/>
          <w:rFonts w:ascii="Arial" w:hAnsi="Arial" w:cs="Arial"/>
        </w:rPr>
        <w:t>:</w:t>
      </w:r>
    </w:p>
    <w:p w14:paraId="4277DF12" w14:textId="77777777" w:rsidR="003B1D70" w:rsidRDefault="003B1D70" w:rsidP="000D2572">
      <w:pPr>
        <w:pStyle w:val="paragraph"/>
        <w:spacing w:before="0" w:beforeAutospacing="0" w:after="0" w:afterAutospacing="0" w:line="360" w:lineRule="auto"/>
        <w:textAlignment w:val="baseline"/>
        <w:rPr>
          <w:rStyle w:val="normaltextrun"/>
          <w:rFonts w:ascii="Arial" w:hAnsi="Arial" w:cs="Arial"/>
        </w:rPr>
      </w:pPr>
    </w:p>
    <w:p w14:paraId="18329B23" w14:textId="0BB5803F" w:rsidR="006F2CE0" w:rsidRPr="006F2CE0" w:rsidRDefault="00BA2503" w:rsidP="00802A98">
      <w:pPr>
        <w:pStyle w:val="paragraph"/>
        <w:numPr>
          <w:ilvl w:val="0"/>
          <w:numId w:val="42"/>
        </w:numPr>
        <w:spacing w:before="0" w:beforeAutospacing="0" w:after="0" w:afterAutospacing="0" w:line="360" w:lineRule="auto"/>
        <w:textAlignment w:val="baseline"/>
        <w:rPr>
          <w:rStyle w:val="normaltextrun"/>
          <w:rFonts w:ascii="Segoe UI" w:hAnsi="Segoe UI" w:cs="Segoe UI"/>
        </w:rPr>
      </w:pPr>
      <w:r>
        <w:rPr>
          <w:rStyle w:val="normaltextrun"/>
          <w:rFonts w:ascii="Arial" w:hAnsi="Arial" w:cs="Arial"/>
        </w:rPr>
        <w:t>SEPA</w:t>
      </w:r>
      <w:r w:rsidR="000D2572" w:rsidRPr="000D2572">
        <w:rPr>
          <w:rStyle w:val="normaltextrun"/>
          <w:rFonts w:ascii="Arial" w:hAnsi="Arial" w:cs="Arial"/>
        </w:rPr>
        <w:t xml:space="preserve"> issued 173 </w:t>
      </w:r>
      <w:r>
        <w:rPr>
          <w:rStyle w:val="normaltextrun"/>
          <w:rFonts w:ascii="Arial" w:hAnsi="Arial" w:cs="Arial"/>
        </w:rPr>
        <w:t xml:space="preserve">flooding </w:t>
      </w:r>
      <w:r w:rsidR="000D2572" w:rsidRPr="000D2572">
        <w:rPr>
          <w:rStyle w:val="normaltextrun"/>
          <w:rFonts w:ascii="Arial" w:hAnsi="Arial" w:cs="Arial"/>
        </w:rPr>
        <w:t>messages</w:t>
      </w:r>
      <w:r w:rsidR="003B1D70">
        <w:rPr>
          <w:rStyle w:val="normaltextrun"/>
          <w:rFonts w:ascii="Arial" w:hAnsi="Arial" w:cs="Arial"/>
        </w:rPr>
        <w:t>.</w:t>
      </w:r>
    </w:p>
    <w:p w14:paraId="21CAEDE9" w14:textId="1645C42A" w:rsidR="006F2CE0" w:rsidRPr="006F2CE0" w:rsidRDefault="006F2CE0" w:rsidP="00802A98">
      <w:pPr>
        <w:pStyle w:val="paragraph"/>
        <w:numPr>
          <w:ilvl w:val="0"/>
          <w:numId w:val="42"/>
        </w:numPr>
        <w:spacing w:before="0" w:beforeAutospacing="0" w:after="0" w:afterAutospacing="0" w:line="360" w:lineRule="auto"/>
        <w:textAlignment w:val="baseline"/>
        <w:rPr>
          <w:rStyle w:val="normaltextrun"/>
          <w:rFonts w:ascii="Segoe UI" w:hAnsi="Segoe UI" w:cs="Segoe UI"/>
        </w:rPr>
      </w:pPr>
      <w:r>
        <w:rPr>
          <w:rStyle w:val="normaltextrun"/>
          <w:rFonts w:ascii="Arial" w:hAnsi="Arial" w:cs="Arial"/>
        </w:rPr>
        <w:t xml:space="preserve">We </w:t>
      </w:r>
      <w:r w:rsidR="000D2572" w:rsidRPr="000D2572">
        <w:rPr>
          <w:rStyle w:val="normaltextrun"/>
          <w:rFonts w:ascii="Arial" w:hAnsi="Arial" w:cs="Arial"/>
        </w:rPr>
        <w:t>attended local resilience partnerships in Dumfries and Galloway and the Scottish Borders</w:t>
      </w:r>
      <w:r>
        <w:rPr>
          <w:rStyle w:val="normaltextrun"/>
          <w:rFonts w:ascii="Arial" w:hAnsi="Arial" w:cs="Arial"/>
        </w:rPr>
        <w:t xml:space="preserve"> to support planning by emergency responders</w:t>
      </w:r>
      <w:r w:rsidR="000D4603">
        <w:rPr>
          <w:rStyle w:val="normaltextrun"/>
          <w:rFonts w:ascii="Arial" w:hAnsi="Arial" w:cs="Arial"/>
        </w:rPr>
        <w:t>.</w:t>
      </w:r>
    </w:p>
    <w:p w14:paraId="04D1C782" w14:textId="6A99EE36" w:rsidR="000D2572" w:rsidRPr="000D2572" w:rsidRDefault="000D2572" w:rsidP="00802A98">
      <w:pPr>
        <w:pStyle w:val="paragraph"/>
        <w:numPr>
          <w:ilvl w:val="0"/>
          <w:numId w:val="42"/>
        </w:numPr>
        <w:spacing w:before="0" w:beforeAutospacing="0" w:after="0" w:afterAutospacing="0" w:line="360" w:lineRule="auto"/>
        <w:textAlignment w:val="baseline"/>
        <w:rPr>
          <w:rFonts w:ascii="Segoe UI" w:hAnsi="Segoe UI" w:cs="Segoe UI"/>
        </w:rPr>
      </w:pPr>
      <w:r w:rsidRPr="000D2572">
        <w:rPr>
          <w:rStyle w:val="normaltextrun"/>
          <w:rFonts w:ascii="Arial" w:hAnsi="Arial" w:cs="Arial"/>
        </w:rPr>
        <w:t xml:space="preserve">We </w:t>
      </w:r>
      <w:r w:rsidR="006F2CE0">
        <w:rPr>
          <w:rStyle w:val="normaltextrun"/>
          <w:rFonts w:ascii="Arial" w:hAnsi="Arial" w:cs="Arial"/>
        </w:rPr>
        <w:t xml:space="preserve">engaged with the public through </w:t>
      </w:r>
      <w:r w:rsidR="00422384">
        <w:rPr>
          <w:rStyle w:val="normaltextrun"/>
          <w:rFonts w:ascii="Arial" w:hAnsi="Arial" w:cs="Arial"/>
        </w:rPr>
        <w:t>TV</w:t>
      </w:r>
      <w:r w:rsidR="006F2CE0">
        <w:rPr>
          <w:rStyle w:val="normaltextrun"/>
          <w:rFonts w:ascii="Arial" w:hAnsi="Arial" w:cs="Arial"/>
        </w:rPr>
        <w:t xml:space="preserve"> </w:t>
      </w:r>
      <w:r w:rsidR="00422384">
        <w:rPr>
          <w:rStyle w:val="normaltextrun"/>
          <w:rFonts w:ascii="Arial" w:hAnsi="Arial" w:cs="Arial"/>
        </w:rPr>
        <w:t xml:space="preserve">interviews, press statements, </w:t>
      </w:r>
      <w:r w:rsidRPr="000D2572">
        <w:rPr>
          <w:rStyle w:val="normaltextrun"/>
          <w:rFonts w:ascii="Arial" w:hAnsi="Arial" w:cs="Arial"/>
        </w:rPr>
        <w:t xml:space="preserve">social media, and radio. </w:t>
      </w:r>
    </w:p>
    <w:p w14:paraId="7EDF7AE6" w14:textId="77777777" w:rsidR="000D2572" w:rsidRPr="002A6599" w:rsidRDefault="000D2572" w:rsidP="000D2572">
      <w:pPr>
        <w:pStyle w:val="paragraph"/>
        <w:spacing w:before="0" w:beforeAutospacing="0" w:after="0" w:afterAutospacing="0" w:line="360" w:lineRule="auto"/>
        <w:textAlignment w:val="baseline"/>
        <w:rPr>
          <w:rStyle w:val="normaltextrun"/>
          <w:rFonts w:ascii="Arial" w:hAnsi="Arial" w:cs="Arial"/>
        </w:rPr>
      </w:pPr>
      <w:r w:rsidRPr="002A6599">
        <w:rPr>
          <w:rStyle w:val="normaltextrun"/>
          <w:rFonts w:ascii="Arial" w:hAnsi="Arial" w:cs="Arial"/>
        </w:rPr>
        <w:t> </w:t>
      </w:r>
    </w:p>
    <w:p w14:paraId="5E7ABDFE" w14:textId="25060ED9" w:rsidR="000D2572" w:rsidRPr="000D2572" w:rsidRDefault="000D2572" w:rsidP="000D2572">
      <w:pPr>
        <w:pStyle w:val="paragraph"/>
        <w:spacing w:before="0" w:beforeAutospacing="0" w:after="0" w:afterAutospacing="0" w:line="360" w:lineRule="auto"/>
        <w:textAlignment w:val="baseline"/>
        <w:rPr>
          <w:rFonts w:ascii="Segoe UI" w:hAnsi="Segoe UI" w:cs="Segoe UI"/>
        </w:rPr>
      </w:pPr>
      <w:r w:rsidRPr="000D2572">
        <w:rPr>
          <w:rStyle w:val="normaltextrun"/>
          <w:rFonts w:ascii="Arial" w:hAnsi="Arial" w:cs="Arial"/>
        </w:rPr>
        <w:t xml:space="preserve">In </w:t>
      </w:r>
      <w:r w:rsidRPr="000D2572">
        <w:rPr>
          <w:rStyle w:val="normaltextrun"/>
          <w:rFonts w:ascii="Arial" w:hAnsi="Arial" w:cs="Arial"/>
          <w:shd w:val="clear" w:color="auto" w:fill="FFFFFF"/>
        </w:rPr>
        <w:t>2022</w:t>
      </w:r>
      <w:r w:rsidR="000D4603">
        <w:rPr>
          <w:rStyle w:val="normaltextrun"/>
          <w:rFonts w:ascii="Arial" w:hAnsi="Arial" w:cs="Arial"/>
          <w:shd w:val="clear" w:color="auto" w:fill="FFFFFF"/>
        </w:rPr>
        <w:t>,</w:t>
      </w:r>
      <w:r w:rsidRPr="000D2572">
        <w:rPr>
          <w:rStyle w:val="normaltextrun"/>
          <w:rFonts w:ascii="Arial" w:hAnsi="Arial" w:cs="Arial"/>
          <w:shd w:val="clear" w:color="auto" w:fill="FFFFFF"/>
        </w:rPr>
        <w:t xml:space="preserve"> Storm Dudley, Storm Eunice</w:t>
      </w:r>
      <w:r w:rsidR="000D4603">
        <w:rPr>
          <w:rStyle w:val="normaltextrun"/>
          <w:rFonts w:ascii="Arial" w:hAnsi="Arial" w:cs="Arial"/>
          <w:shd w:val="clear" w:color="auto" w:fill="FFFFFF"/>
        </w:rPr>
        <w:t>,</w:t>
      </w:r>
      <w:r w:rsidRPr="000D2572">
        <w:rPr>
          <w:rStyle w:val="normaltextrun"/>
          <w:rFonts w:ascii="Arial" w:hAnsi="Arial" w:cs="Arial"/>
          <w:shd w:val="clear" w:color="auto" w:fill="FFFFFF"/>
        </w:rPr>
        <w:t xml:space="preserve"> and Storm Franklin impacted Scotland in quick succession bringing coastal flood risk and wave overtopping as strong winds combined with </w:t>
      </w:r>
      <w:r w:rsidRPr="000D2572">
        <w:rPr>
          <w:rStyle w:val="normaltextrun"/>
          <w:rFonts w:ascii="Arial" w:hAnsi="Arial" w:cs="Arial"/>
          <w:shd w:val="clear" w:color="auto" w:fill="FFFFFF"/>
        </w:rPr>
        <w:lastRenderedPageBreak/>
        <w:t>storm surge and coincided with a period of high spring tides. Again</w:t>
      </w:r>
      <w:r w:rsidR="00946DCB">
        <w:rPr>
          <w:rStyle w:val="normaltextrun"/>
          <w:rFonts w:ascii="Arial" w:hAnsi="Arial" w:cs="Arial"/>
          <w:shd w:val="clear" w:color="auto" w:fill="FFFFFF"/>
        </w:rPr>
        <w:t>,</w:t>
      </w:r>
      <w:r w:rsidRPr="000D2572">
        <w:rPr>
          <w:rStyle w:val="normaltextrun"/>
          <w:rFonts w:ascii="Arial" w:hAnsi="Arial" w:cs="Arial"/>
          <w:shd w:val="clear" w:color="auto" w:fill="FFFFFF"/>
        </w:rPr>
        <w:t xml:space="preserve"> our role as national flood forecaster and warning authority</w:t>
      </w:r>
      <w:r w:rsidR="00946DCB">
        <w:rPr>
          <w:rStyle w:val="normaltextrun"/>
          <w:rFonts w:ascii="Arial" w:hAnsi="Arial" w:cs="Arial"/>
          <w:shd w:val="clear" w:color="auto" w:fill="FFFFFF"/>
        </w:rPr>
        <w:t>,</w:t>
      </w:r>
      <w:r w:rsidRPr="000D2572">
        <w:rPr>
          <w:rStyle w:val="normaltextrun"/>
          <w:rFonts w:ascii="Arial" w:hAnsi="Arial" w:cs="Arial"/>
          <w:shd w:val="clear" w:color="auto" w:fill="FFFFFF"/>
        </w:rPr>
        <w:t xml:space="preserve"> provided the vital information and advance notice for partner agencies to mobilise resources to respond to reduce the impact of flood risk on lives, businesses</w:t>
      </w:r>
      <w:r w:rsidR="00946DCB">
        <w:rPr>
          <w:rStyle w:val="normaltextrun"/>
          <w:rFonts w:ascii="Arial" w:hAnsi="Arial" w:cs="Arial"/>
          <w:shd w:val="clear" w:color="auto" w:fill="FFFFFF"/>
        </w:rPr>
        <w:t>,</w:t>
      </w:r>
      <w:r w:rsidRPr="000D2572">
        <w:rPr>
          <w:rStyle w:val="normaltextrun"/>
          <w:rFonts w:ascii="Arial" w:hAnsi="Arial" w:cs="Arial"/>
          <w:shd w:val="clear" w:color="auto" w:fill="FFFFFF"/>
        </w:rPr>
        <w:t xml:space="preserve"> and community infrastructure.</w:t>
      </w:r>
      <w:r w:rsidRPr="000D2572">
        <w:rPr>
          <w:rStyle w:val="eop"/>
          <w:rFonts w:ascii="Arial" w:hAnsi="Arial" w:cs="Arial"/>
        </w:rPr>
        <w:t> </w:t>
      </w:r>
    </w:p>
    <w:p w14:paraId="25D79D9B" w14:textId="77777777" w:rsidR="000D2572" w:rsidRPr="002A6599" w:rsidRDefault="000D2572" w:rsidP="000D2572">
      <w:pPr>
        <w:pStyle w:val="paragraph"/>
        <w:spacing w:before="0" w:beforeAutospacing="0" w:after="0" w:afterAutospacing="0" w:line="360" w:lineRule="auto"/>
        <w:textAlignment w:val="baseline"/>
        <w:rPr>
          <w:rStyle w:val="normaltextrun"/>
          <w:rFonts w:ascii="Arial" w:hAnsi="Arial" w:cs="Arial"/>
        </w:rPr>
      </w:pPr>
      <w:r w:rsidRPr="002A6599">
        <w:rPr>
          <w:rStyle w:val="normaltextrun"/>
          <w:rFonts w:ascii="Arial" w:hAnsi="Arial" w:cs="Arial"/>
        </w:rPr>
        <w:t> </w:t>
      </w:r>
    </w:p>
    <w:p w14:paraId="5BC5FF1A" w14:textId="136BA1F6" w:rsidR="000D2572" w:rsidRDefault="000D2572" w:rsidP="000D2572">
      <w:pPr>
        <w:pStyle w:val="paragraph"/>
        <w:spacing w:before="0" w:beforeAutospacing="0" w:after="0" w:afterAutospacing="0" w:line="360" w:lineRule="auto"/>
        <w:textAlignment w:val="baseline"/>
        <w:rPr>
          <w:rStyle w:val="eop"/>
          <w:rFonts w:ascii="Arial" w:hAnsi="Arial" w:cs="Arial"/>
        </w:rPr>
      </w:pPr>
      <w:r w:rsidRPr="000D2572">
        <w:rPr>
          <w:rStyle w:val="normaltextrun"/>
          <w:rFonts w:ascii="Arial" w:hAnsi="Arial" w:cs="Arial"/>
          <w:shd w:val="clear" w:color="auto" w:fill="FFFFFF"/>
        </w:rPr>
        <w:t xml:space="preserve">SEPA’s </w:t>
      </w:r>
      <w:r w:rsidRPr="000D2572">
        <w:rPr>
          <w:rStyle w:val="normaltextrun"/>
          <w:rFonts w:ascii="Arial" w:hAnsi="Arial" w:cs="Arial"/>
        </w:rPr>
        <w:t>Flood risk management plans are Scotland’s route map for reducing the effects of flooding on our communities. This is key to Scotland’s health, wellbeing</w:t>
      </w:r>
      <w:r w:rsidR="002A6599">
        <w:rPr>
          <w:rStyle w:val="normaltextrun"/>
          <w:rFonts w:ascii="Arial" w:hAnsi="Arial" w:cs="Arial"/>
        </w:rPr>
        <w:t>,</w:t>
      </w:r>
      <w:r w:rsidRPr="000D2572">
        <w:rPr>
          <w:rStyle w:val="normaltextrun"/>
          <w:rFonts w:ascii="Arial" w:hAnsi="Arial" w:cs="Arial"/>
        </w:rPr>
        <w:t xml:space="preserve"> and economic success, with an estimated 284,000 homes, businesses</w:t>
      </w:r>
      <w:r w:rsidR="002A4BA3">
        <w:rPr>
          <w:rStyle w:val="normaltextrun"/>
          <w:rFonts w:ascii="Arial" w:hAnsi="Arial" w:cs="Arial"/>
        </w:rPr>
        <w:t>,</w:t>
      </w:r>
      <w:r w:rsidRPr="000D2572">
        <w:rPr>
          <w:rStyle w:val="normaltextrun"/>
          <w:rFonts w:ascii="Arial" w:hAnsi="Arial" w:cs="Arial"/>
        </w:rPr>
        <w:t xml:space="preserve"> and services identified as at risk of flooding. The plans are also an important response to the climate emergency, as the number of homes businesses</w:t>
      </w:r>
      <w:r w:rsidR="002A4BA3">
        <w:rPr>
          <w:rStyle w:val="normaltextrun"/>
          <w:rFonts w:ascii="Arial" w:hAnsi="Arial" w:cs="Arial"/>
        </w:rPr>
        <w:t>,</w:t>
      </w:r>
      <w:r w:rsidRPr="000D2572">
        <w:rPr>
          <w:rStyle w:val="normaltextrun"/>
          <w:rFonts w:ascii="Arial" w:hAnsi="Arial" w:cs="Arial"/>
        </w:rPr>
        <w:t xml:space="preserve"> and services at risk of flooding are projected to increase by an estimated 110,000 by the 2080s.</w:t>
      </w:r>
      <w:r w:rsidRPr="000D2572">
        <w:rPr>
          <w:rStyle w:val="eop"/>
          <w:rFonts w:ascii="Arial" w:hAnsi="Arial" w:cs="Arial"/>
        </w:rPr>
        <w:t> </w:t>
      </w:r>
    </w:p>
    <w:p w14:paraId="7DB12AE4" w14:textId="77777777" w:rsidR="000323EB" w:rsidRPr="002A6599" w:rsidRDefault="000323EB" w:rsidP="000D2572">
      <w:pPr>
        <w:pStyle w:val="paragraph"/>
        <w:spacing w:before="0" w:beforeAutospacing="0" w:after="0" w:afterAutospacing="0" w:line="360" w:lineRule="auto"/>
        <w:textAlignment w:val="baseline"/>
        <w:rPr>
          <w:rStyle w:val="normaltextrun"/>
          <w:rFonts w:ascii="Arial" w:hAnsi="Arial" w:cs="Arial"/>
        </w:rPr>
      </w:pPr>
    </w:p>
    <w:p w14:paraId="4B9DE634" w14:textId="77777777" w:rsidR="00672F95" w:rsidRDefault="000D2572" w:rsidP="000D2572">
      <w:pPr>
        <w:pStyle w:val="paragraph"/>
        <w:shd w:val="clear" w:color="auto" w:fill="FFFFFF"/>
        <w:spacing w:before="0" w:beforeAutospacing="0" w:after="0" w:afterAutospacing="0" w:line="360" w:lineRule="auto"/>
        <w:textAlignment w:val="baseline"/>
        <w:rPr>
          <w:rStyle w:val="normaltextrun"/>
          <w:rFonts w:ascii="Arial" w:hAnsi="Arial" w:cs="Arial"/>
        </w:rPr>
        <w:sectPr w:rsidR="00672F95" w:rsidSect="00766B69">
          <w:pgSz w:w="11906" w:h="16838" w:code="9"/>
          <w:pgMar w:top="539" w:right="991" w:bottom="709" w:left="1134" w:header="709" w:footer="170" w:gutter="0"/>
          <w:cols w:space="708"/>
          <w:docGrid w:linePitch="360"/>
        </w:sectPr>
      </w:pPr>
      <w:r w:rsidRPr="000D2572">
        <w:rPr>
          <w:rStyle w:val="normaltextrun"/>
          <w:rFonts w:ascii="Arial" w:hAnsi="Arial" w:cs="Arial"/>
        </w:rPr>
        <w:t>Scotland has been divided into 14 Local Plan Districts, with a plan prepared for each district that coordinates efforts of authorities responsible for flood management and outlines the long</w:t>
      </w:r>
      <w:r w:rsidR="002A4BA3">
        <w:rPr>
          <w:rStyle w:val="normaltextrun"/>
          <w:rFonts w:ascii="Arial" w:hAnsi="Arial" w:cs="Arial"/>
        </w:rPr>
        <w:t>-</w:t>
      </w:r>
      <w:r w:rsidRPr="000D2572">
        <w:rPr>
          <w:rStyle w:val="normaltextrun"/>
          <w:rFonts w:ascii="Arial" w:hAnsi="Arial" w:cs="Arial"/>
        </w:rPr>
        <w:t>term ambition by setting objectives and identifying actions.</w:t>
      </w:r>
    </w:p>
    <w:p w14:paraId="405D3D50" w14:textId="58EE12BC" w:rsidR="000323EB" w:rsidRDefault="00672F95" w:rsidP="000D2572">
      <w:pPr>
        <w:pStyle w:val="paragraph"/>
        <w:shd w:val="clear" w:color="auto" w:fill="FFFFFF"/>
        <w:spacing w:before="0" w:beforeAutospacing="0" w:after="0" w:afterAutospacing="0" w:line="360" w:lineRule="auto"/>
        <w:textAlignment w:val="baseline"/>
        <w:rPr>
          <w:rStyle w:val="normaltextrun"/>
          <w:rFonts w:ascii="Arial" w:hAnsi="Arial" w:cs="Arial"/>
        </w:rPr>
      </w:pPr>
      <w:r>
        <w:rPr>
          <w:noProof/>
        </w:rPr>
        <w:lastRenderedPageBreak/>
        <w:drawing>
          <wp:inline distT="0" distB="0" distL="0" distR="0" wp14:anchorId="4051A26B" wp14:editId="5DB8BCC0">
            <wp:extent cx="9601200" cy="4801091"/>
            <wp:effectExtent l="0" t="0" r="0" b="0"/>
            <wp:docPr id="20" name="Picture 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43104" cy="4822045"/>
                    </a:xfrm>
                    <a:prstGeom prst="rect">
                      <a:avLst/>
                    </a:prstGeom>
                    <a:noFill/>
                    <a:ln>
                      <a:noFill/>
                    </a:ln>
                  </pic:spPr>
                </pic:pic>
              </a:graphicData>
            </a:graphic>
          </wp:inline>
        </w:drawing>
      </w:r>
    </w:p>
    <w:p w14:paraId="55D86056" w14:textId="24E9A641" w:rsidR="000D2572" w:rsidRPr="000D2572" w:rsidRDefault="000D2572" w:rsidP="000D2572">
      <w:pPr>
        <w:pStyle w:val="paragraph"/>
        <w:shd w:val="clear" w:color="auto" w:fill="FFFFFF"/>
        <w:spacing w:before="0" w:beforeAutospacing="0" w:after="0" w:afterAutospacing="0" w:line="360" w:lineRule="auto"/>
        <w:textAlignment w:val="baseline"/>
        <w:rPr>
          <w:rFonts w:ascii="Segoe UI" w:hAnsi="Segoe UI" w:cs="Segoe UI"/>
        </w:rPr>
      </w:pPr>
      <w:r w:rsidRPr="000D2572">
        <w:rPr>
          <w:rStyle w:val="normaltextrun"/>
          <w:rFonts w:ascii="Arial" w:hAnsi="Arial" w:cs="Arial"/>
        </w:rPr>
        <w:t> </w:t>
      </w:r>
      <w:r w:rsidRPr="000D2572">
        <w:rPr>
          <w:rStyle w:val="eop"/>
          <w:rFonts w:ascii="Arial" w:hAnsi="Arial" w:cs="Arial"/>
        </w:rPr>
        <w:t> </w:t>
      </w:r>
    </w:p>
    <w:p w14:paraId="76FCA1F8" w14:textId="77777777" w:rsidR="0006070B" w:rsidRDefault="000D2572" w:rsidP="000D2572">
      <w:pPr>
        <w:pStyle w:val="paragraph"/>
        <w:shd w:val="clear" w:color="auto" w:fill="FFFFFF"/>
        <w:spacing w:before="0" w:beforeAutospacing="0" w:after="0" w:afterAutospacing="0" w:line="360" w:lineRule="auto"/>
        <w:textAlignment w:val="baseline"/>
        <w:rPr>
          <w:rStyle w:val="normaltextrun"/>
          <w:rFonts w:ascii="Arial" w:hAnsi="Arial" w:cs="Arial"/>
          <w:shd w:val="clear" w:color="auto" w:fill="FFFFFF"/>
        </w:rPr>
        <w:sectPr w:rsidR="0006070B" w:rsidSect="00672F95">
          <w:pgSz w:w="16838" w:h="11906" w:orient="landscape" w:code="9"/>
          <w:pgMar w:top="1134" w:right="539" w:bottom="991" w:left="709" w:header="709" w:footer="170" w:gutter="0"/>
          <w:cols w:space="708"/>
          <w:docGrid w:linePitch="360"/>
        </w:sectPr>
      </w:pPr>
      <w:r w:rsidRPr="000D2572">
        <w:rPr>
          <w:rStyle w:val="normaltextrun"/>
          <w:rFonts w:ascii="Arial" w:hAnsi="Arial" w:cs="Arial"/>
        </w:rPr>
        <w:t xml:space="preserve">The plans build on the improved understanding of flood risk developed over the last six years to highlight actions for highest risk communities. We have also invested in improving our knowledge of the flood risk from rain (pluvial flooding) with new flood hazard mapping designed to </w:t>
      </w:r>
      <w:r w:rsidRPr="000D2572">
        <w:rPr>
          <w:rStyle w:val="normaltextrun"/>
          <w:rFonts w:ascii="Arial" w:hAnsi="Arial" w:cs="Arial"/>
          <w:shd w:val="clear" w:color="auto" w:fill="FFFFFF"/>
        </w:rPr>
        <w:t>enable people, communities</w:t>
      </w:r>
      <w:r w:rsidR="0006070B">
        <w:rPr>
          <w:rStyle w:val="normaltextrun"/>
          <w:rFonts w:ascii="Arial" w:hAnsi="Arial" w:cs="Arial"/>
          <w:shd w:val="clear" w:color="auto" w:fill="FFFFFF"/>
        </w:rPr>
        <w:t>,</w:t>
      </w:r>
      <w:r w:rsidRPr="000D2572">
        <w:rPr>
          <w:rStyle w:val="normaltextrun"/>
          <w:rFonts w:ascii="Arial" w:hAnsi="Arial" w:cs="Arial"/>
          <w:shd w:val="clear" w:color="auto" w:fill="FFFFFF"/>
        </w:rPr>
        <w:t xml:space="preserve"> and businesses to better understand the risks and act to reduce the impact of surface water flooding.</w:t>
      </w:r>
      <w:r w:rsidRPr="000D2572">
        <w:rPr>
          <w:rStyle w:val="normaltextrun"/>
          <w:rFonts w:ascii="Arial" w:hAnsi="Arial" w:cs="Arial"/>
        </w:rPr>
        <w:t xml:space="preserve"> </w:t>
      </w:r>
      <w:r w:rsidRPr="000D2572">
        <w:rPr>
          <w:rStyle w:val="normaltextrun"/>
          <w:rFonts w:ascii="Arial" w:hAnsi="Arial" w:cs="Arial"/>
          <w:shd w:val="clear" w:color="auto" w:fill="FFFFFF"/>
        </w:rPr>
        <w:t xml:space="preserve">The mapping provides </w:t>
      </w:r>
    </w:p>
    <w:p w14:paraId="68F49F8D" w14:textId="6F5DA7D6" w:rsidR="000D2572" w:rsidRDefault="000D2572" w:rsidP="000D2572">
      <w:pPr>
        <w:pStyle w:val="paragraph"/>
        <w:shd w:val="clear" w:color="auto" w:fill="FFFFFF"/>
        <w:spacing w:before="0" w:beforeAutospacing="0" w:after="0" w:afterAutospacing="0" w:line="360" w:lineRule="auto"/>
        <w:textAlignment w:val="baseline"/>
        <w:rPr>
          <w:rStyle w:val="eop"/>
          <w:rFonts w:ascii="Arial" w:hAnsi="Arial" w:cs="Arial"/>
        </w:rPr>
      </w:pPr>
      <w:r w:rsidRPr="000D2572">
        <w:rPr>
          <w:rStyle w:val="normaltextrun"/>
          <w:rFonts w:ascii="Arial" w:hAnsi="Arial" w:cs="Arial"/>
          <w:shd w:val="clear" w:color="auto" w:fill="FFFFFF"/>
        </w:rPr>
        <w:lastRenderedPageBreak/>
        <w:t>a complete refresh of our national surface water flood maps using the most up-to-date data on current and future rainfall, improving our flood map products to provide more confident results of where surface water flooding is likely.</w:t>
      </w:r>
      <w:r w:rsidRPr="000D2572">
        <w:rPr>
          <w:rStyle w:val="eop"/>
          <w:rFonts w:ascii="Arial" w:hAnsi="Arial" w:cs="Arial"/>
        </w:rPr>
        <w:t> </w:t>
      </w:r>
    </w:p>
    <w:p w14:paraId="3CF52AB7" w14:textId="77777777" w:rsidR="000323EB" w:rsidRPr="0086375F" w:rsidRDefault="000323EB" w:rsidP="000D2572">
      <w:pPr>
        <w:pStyle w:val="paragraph"/>
        <w:shd w:val="clear" w:color="auto" w:fill="FFFFFF"/>
        <w:spacing w:before="0" w:beforeAutospacing="0" w:after="0" w:afterAutospacing="0" w:line="360" w:lineRule="auto"/>
        <w:textAlignment w:val="baseline"/>
        <w:rPr>
          <w:rFonts w:ascii="Arial" w:hAnsi="Arial" w:cs="Arial"/>
        </w:rPr>
      </w:pPr>
    </w:p>
    <w:p w14:paraId="0B99DC09" w14:textId="5852AC52" w:rsidR="000D2572" w:rsidRPr="000D2572" w:rsidRDefault="000D2572" w:rsidP="000D2572">
      <w:pPr>
        <w:pStyle w:val="paragraph"/>
        <w:shd w:val="clear" w:color="auto" w:fill="FFFFFF"/>
        <w:spacing w:before="0" w:beforeAutospacing="0" w:after="0" w:afterAutospacing="0" w:line="360" w:lineRule="auto"/>
        <w:textAlignment w:val="baseline"/>
        <w:rPr>
          <w:rFonts w:ascii="Segoe UI" w:hAnsi="Segoe UI" w:cs="Segoe UI"/>
        </w:rPr>
      </w:pPr>
      <w:r w:rsidRPr="000D2572">
        <w:rPr>
          <w:rStyle w:val="normaltextrun"/>
          <w:rFonts w:ascii="Arial" w:hAnsi="Arial" w:cs="Arial"/>
        </w:rPr>
        <w:t>Now more than ever</w:t>
      </w:r>
      <w:r w:rsidR="00F660F6">
        <w:rPr>
          <w:rStyle w:val="normaltextrun"/>
          <w:rFonts w:ascii="Arial" w:hAnsi="Arial" w:cs="Arial"/>
        </w:rPr>
        <w:t>,</w:t>
      </w:r>
      <w:r w:rsidRPr="000D2572">
        <w:rPr>
          <w:rStyle w:val="normaltextrun"/>
          <w:rFonts w:ascii="Arial" w:hAnsi="Arial" w:cs="Arial"/>
        </w:rPr>
        <w:t xml:space="preserve"> planning decisions need to avoid putting people at risk by building in places that could flood, both now and in the future. To manage this risk, it is important that everyone has access to the same information to make decisions and we increased the scale at which people can view our flood maps to make it easier for users to identify whether a site or property sits within an area that is at risk of flooding. The maps can now be viewed at roughly a 1 to 2,500 scale </w:t>
      </w:r>
      <w:r w:rsidR="002946A8">
        <w:rPr>
          <w:rStyle w:val="normaltextrun"/>
          <w:rFonts w:ascii="Arial" w:hAnsi="Arial" w:cs="Arial"/>
        </w:rPr>
        <w:t>(</w:t>
      </w:r>
      <w:r w:rsidRPr="000D2572">
        <w:rPr>
          <w:rStyle w:val="normaltextrun"/>
          <w:rFonts w:ascii="Arial" w:hAnsi="Arial" w:cs="Arial"/>
        </w:rPr>
        <w:t>previously the zoom was restricted to 1 to 20,000</w:t>
      </w:r>
      <w:r w:rsidR="002946A8">
        <w:rPr>
          <w:rStyle w:val="normaltextrun"/>
          <w:rFonts w:ascii="Arial" w:hAnsi="Arial" w:cs="Arial"/>
        </w:rPr>
        <w:t>)</w:t>
      </w:r>
      <w:r w:rsidRPr="000D2572">
        <w:rPr>
          <w:rStyle w:val="normaltextrun"/>
          <w:rFonts w:ascii="Arial" w:hAnsi="Arial" w:cs="Arial"/>
        </w:rPr>
        <w:t xml:space="preserve"> and new planning guidance was developed to support this change.</w:t>
      </w:r>
      <w:r w:rsidRPr="000D2572">
        <w:rPr>
          <w:rStyle w:val="eop"/>
          <w:rFonts w:ascii="Arial" w:hAnsi="Arial" w:cs="Arial"/>
        </w:rPr>
        <w:t> </w:t>
      </w:r>
    </w:p>
    <w:p w14:paraId="5A00BB27" w14:textId="77777777" w:rsidR="00E07B5D" w:rsidRDefault="00E07B5D" w:rsidP="00C54FFC">
      <w:pPr>
        <w:spacing w:line="360" w:lineRule="auto"/>
        <w:rPr>
          <w:rFonts w:ascii="Arial" w:hAnsi="Arial" w:cs="Arial"/>
        </w:rPr>
      </w:pPr>
    </w:p>
    <w:p w14:paraId="6D973E1E" w14:textId="4B899EDB" w:rsidR="00C90596" w:rsidRPr="00CF606D" w:rsidRDefault="00C90596" w:rsidP="00802A98">
      <w:pPr>
        <w:pStyle w:val="01bSubheader"/>
        <w:numPr>
          <w:ilvl w:val="2"/>
          <w:numId w:val="34"/>
        </w:numPr>
      </w:pPr>
      <w:bookmarkStart w:id="17" w:name="_Toc119068075"/>
      <w:r w:rsidRPr="00CF606D">
        <w:t>Key issues and risks</w:t>
      </w:r>
      <w:bookmarkEnd w:id="17"/>
      <w:r w:rsidRPr="00CF606D">
        <w:t xml:space="preserve"> </w:t>
      </w:r>
    </w:p>
    <w:p w14:paraId="13A5E5A6" w14:textId="77777777" w:rsidR="00B87A58" w:rsidRPr="00825615" w:rsidRDefault="00B87A58" w:rsidP="00384271">
      <w:pPr>
        <w:spacing w:line="360" w:lineRule="auto"/>
        <w:ind w:right="-425"/>
        <w:rPr>
          <w:rFonts w:ascii="Arial" w:hAnsi="Arial" w:cs="Arial"/>
        </w:rPr>
      </w:pPr>
    </w:p>
    <w:p w14:paraId="71AF7645" w14:textId="41962270" w:rsidR="00825615" w:rsidRPr="006C78D8" w:rsidRDefault="00825615" w:rsidP="00825615">
      <w:pPr>
        <w:pStyle w:val="paragraph"/>
        <w:spacing w:before="0" w:beforeAutospacing="0" w:after="0" w:afterAutospacing="0" w:line="360" w:lineRule="auto"/>
        <w:textAlignment w:val="baseline"/>
        <w:rPr>
          <w:rStyle w:val="normaltextrun"/>
          <w:b/>
        </w:rPr>
      </w:pPr>
      <w:r w:rsidRPr="006C78D8">
        <w:rPr>
          <w:rStyle w:val="normaltextrun"/>
          <w:rFonts w:ascii="Arial" w:hAnsi="Arial" w:cs="Arial"/>
          <w:b/>
        </w:rPr>
        <w:t>Cyber-attack</w:t>
      </w:r>
      <w:r w:rsidRPr="006C78D8">
        <w:rPr>
          <w:rStyle w:val="normaltextrun"/>
          <w:rFonts w:ascii="Arial" w:hAnsi="Arial"/>
          <w:b/>
        </w:rPr>
        <w:t> </w:t>
      </w:r>
    </w:p>
    <w:p w14:paraId="436F932E" w14:textId="029B2481" w:rsidR="0086375F" w:rsidRPr="006C78D8" w:rsidRDefault="00825615" w:rsidP="0086375F">
      <w:pPr>
        <w:pStyle w:val="paragraph"/>
        <w:spacing w:before="0" w:beforeAutospacing="0" w:after="0" w:afterAutospacing="0" w:line="360" w:lineRule="auto"/>
        <w:textAlignment w:val="baseline"/>
        <w:rPr>
          <w:rStyle w:val="normaltextrun"/>
          <w:rFonts w:ascii="Arial" w:hAnsi="Arial" w:cs="Arial"/>
        </w:rPr>
      </w:pPr>
      <w:r w:rsidRPr="006C78D8">
        <w:rPr>
          <w:rStyle w:val="normaltextrun"/>
          <w:rFonts w:ascii="Arial" w:hAnsi="Arial" w:cs="Arial"/>
        </w:rPr>
        <w:t xml:space="preserve">In December 2020, we were subject to a significant cyber-attack which left us without access to our digital systems, information, data, and methods of communication. </w:t>
      </w:r>
      <w:r w:rsidRPr="006C78D8">
        <w:rPr>
          <w:rStyle w:val="eop"/>
          <w:rFonts w:ascii="Arial" w:hAnsi="Arial" w:cs="Arial"/>
        </w:rPr>
        <w:t>Following the attack, w</w:t>
      </w:r>
      <w:r w:rsidRPr="006C78D8">
        <w:rPr>
          <w:rFonts w:ascii="Arial" w:hAnsi="Arial" w:cs="Arial"/>
        </w:rPr>
        <w:t xml:space="preserve">e had to put in place interim systems and processes, which meant that it sometimes took us longer to deliver services. Over the course of </w:t>
      </w:r>
      <w:r w:rsidR="000845C9">
        <w:rPr>
          <w:rFonts w:ascii="Arial" w:hAnsi="Arial" w:cs="Arial"/>
        </w:rPr>
        <w:t>2021/2022</w:t>
      </w:r>
      <w:r w:rsidRPr="006C78D8">
        <w:rPr>
          <w:rFonts w:ascii="Arial" w:hAnsi="Arial" w:cs="Arial"/>
        </w:rPr>
        <w:t>, we focused on rebuilding systems and services, as well as strengthening our interim approaches.</w:t>
      </w:r>
      <w:r w:rsidRPr="006C78D8">
        <w:rPr>
          <w:rStyle w:val="normaltextrun"/>
          <w:rFonts w:ascii="Arial" w:hAnsi="Arial" w:cs="Arial"/>
        </w:rPr>
        <w:t xml:space="preserve"> We issued a weekly service status message on our website to keep our customers updated with our recovery.</w:t>
      </w:r>
    </w:p>
    <w:p w14:paraId="780848B1" w14:textId="77777777" w:rsidR="0086375F" w:rsidRPr="006C78D8" w:rsidRDefault="0086375F" w:rsidP="0086375F">
      <w:pPr>
        <w:pStyle w:val="paragraph"/>
        <w:spacing w:before="0" w:beforeAutospacing="0" w:after="0" w:afterAutospacing="0" w:line="360" w:lineRule="auto"/>
        <w:textAlignment w:val="baseline"/>
        <w:rPr>
          <w:rStyle w:val="eop"/>
          <w:rFonts w:ascii="Arial" w:hAnsi="Arial" w:cs="Arial"/>
        </w:rPr>
      </w:pPr>
    </w:p>
    <w:p w14:paraId="40BC4579" w14:textId="732A1555" w:rsidR="00825615" w:rsidRPr="006C78D8" w:rsidRDefault="00825615" w:rsidP="006C78D8">
      <w:pPr>
        <w:pStyle w:val="NormalWeb"/>
        <w:tabs>
          <w:tab w:val="left" w:pos="6521"/>
        </w:tabs>
        <w:spacing w:before="0" w:beforeAutospacing="0" w:after="0" w:afterAutospacing="0" w:line="360" w:lineRule="auto"/>
        <w:rPr>
          <w:rStyle w:val="eop"/>
          <w:rFonts w:ascii="Arial" w:hAnsi="Arial" w:cs="Arial"/>
        </w:rPr>
      </w:pPr>
      <w:r w:rsidRPr="006C78D8">
        <w:rPr>
          <w:rStyle w:val="normaltextrun"/>
          <w:rFonts w:ascii="Arial" w:hAnsi="Arial" w:cs="Arial"/>
        </w:rPr>
        <w:t xml:space="preserve">Following the attack, we voluntarily commissioned </w:t>
      </w:r>
      <w:hyperlink r:id="rId36" w:history="1">
        <w:r w:rsidRPr="003D3B5B">
          <w:rPr>
            <w:rStyle w:val="Hyperlink"/>
            <w:rFonts w:ascii="Arial" w:hAnsi="Arial" w:cs="Arial"/>
          </w:rPr>
          <w:t>reviews from independent experts</w:t>
        </w:r>
      </w:hyperlink>
      <w:r w:rsidRPr="006C78D8">
        <w:rPr>
          <w:rStyle w:val="normaltextrun"/>
          <w:rFonts w:ascii="Arial" w:hAnsi="Arial" w:cs="Arial"/>
        </w:rPr>
        <w:t xml:space="preserve"> to help us understand how the cyber-attack had happened and to learn lessons about how to better prevent, prepare for</w:t>
      </w:r>
      <w:r w:rsidR="00E373C1" w:rsidRPr="006C78D8">
        <w:rPr>
          <w:rStyle w:val="normaltextrun"/>
          <w:rFonts w:ascii="Arial" w:hAnsi="Arial" w:cs="Arial"/>
        </w:rPr>
        <w:t>,</w:t>
      </w:r>
      <w:r w:rsidRPr="006C78D8">
        <w:rPr>
          <w:rStyle w:val="normaltextrun"/>
          <w:rFonts w:ascii="Arial" w:hAnsi="Arial" w:cs="Arial"/>
        </w:rPr>
        <w:t xml:space="preserve"> and respond to any future attacks. In October</w:t>
      </w:r>
      <w:r w:rsidR="00C371C8">
        <w:rPr>
          <w:rStyle w:val="normaltextrun"/>
          <w:rFonts w:ascii="Arial" w:hAnsi="Arial" w:cs="Arial"/>
        </w:rPr>
        <w:t xml:space="preserve"> 2021</w:t>
      </w:r>
      <w:r w:rsidRPr="006C78D8">
        <w:rPr>
          <w:rStyle w:val="normaltextrun"/>
          <w:rFonts w:ascii="Arial" w:hAnsi="Arial" w:cs="Arial"/>
        </w:rPr>
        <w:t xml:space="preserve"> we published as much information as we could from the reviews, so that other organisations could use our experience to protect themselves from cyber-crime. We also committed to complete 44 actions identified as lessons learned in the reviews. </w:t>
      </w:r>
      <w:r w:rsidRPr="006C78D8">
        <w:rPr>
          <w:rStyle w:val="eop"/>
          <w:rFonts w:ascii="Arial" w:hAnsi="Arial" w:cs="Arial"/>
        </w:rPr>
        <w:t> </w:t>
      </w:r>
    </w:p>
    <w:p w14:paraId="6FA69E22" w14:textId="77777777" w:rsidR="0086375F" w:rsidRPr="006C78D8" w:rsidRDefault="0086375F" w:rsidP="0086375F">
      <w:pPr>
        <w:pStyle w:val="paragraph"/>
        <w:spacing w:before="0" w:beforeAutospacing="0" w:after="0" w:afterAutospacing="0" w:line="360" w:lineRule="auto"/>
        <w:textAlignment w:val="baseline"/>
        <w:rPr>
          <w:rStyle w:val="eop"/>
          <w:rFonts w:ascii="Arial" w:hAnsi="Arial" w:cs="Arial"/>
        </w:rPr>
      </w:pPr>
    </w:p>
    <w:p w14:paraId="11C1F785" w14:textId="64A0ED37" w:rsidR="00825615" w:rsidRPr="006C78D8" w:rsidRDefault="00825615" w:rsidP="006C78D8">
      <w:pPr>
        <w:spacing w:after="200" w:line="360" w:lineRule="auto"/>
        <w:rPr>
          <w:rFonts w:ascii="Arial" w:hAnsi="Arial" w:cs="Arial"/>
          <w:color w:val="333333"/>
        </w:rPr>
      </w:pPr>
      <w:r w:rsidRPr="006C78D8">
        <w:rPr>
          <w:rFonts w:ascii="Arial" w:hAnsi="Arial" w:cs="Arial"/>
          <w:color w:val="333333"/>
        </w:rPr>
        <w:t xml:space="preserve">After the cyber-attack, we were not able to access our financial systems and a significant amount of our financial data. We put temporary financial systems in place as we rebuilt our systems. We published our Annual Report and Accounts for </w:t>
      </w:r>
      <w:r w:rsidR="007E23A2">
        <w:rPr>
          <w:rFonts w:ascii="Arial" w:hAnsi="Arial" w:cs="Arial"/>
          <w:color w:val="333333"/>
        </w:rPr>
        <w:t>2020/2021</w:t>
      </w:r>
      <w:r w:rsidRPr="006C78D8">
        <w:rPr>
          <w:rFonts w:ascii="Arial" w:hAnsi="Arial" w:cs="Arial"/>
          <w:color w:val="333333"/>
        </w:rPr>
        <w:t xml:space="preserve"> in January 2022. The auditors issued a disclaimer of audit opinion on our Annual Report and Accounts as they were unable to verify the completeness and accuracy of income and deferred income because of the cyber-attack and resultant loss of accounting records. </w:t>
      </w:r>
    </w:p>
    <w:p w14:paraId="59416482" w14:textId="36CBBF25" w:rsidR="00825615" w:rsidRPr="006C78D8" w:rsidRDefault="00825615" w:rsidP="006C78D8">
      <w:pPr>
        <w:spacing w:line="360" w:lineRule="auto"/>
        <w:rPr>
          <w:rFonts w:ascii="Arial" w:hAnsi="Arial" w:cs="Arial"/>
          <w:color w:val="333333"/>
        </w:rPr>
      </w:pPr>
      <w:r w:rsidRPr="006C78D8">
        <w:rPr>
          <w:rFonts w:ascii="Arial" w:hAnsi="Arial" w:cs="Arial"/>
          <w:color w:val="333333"/>
        </w:rPr>
        <w:lastRenderedPageBreak/>
        <w:t>The Auditor General prepared a report under Section 22 of the Public Finance and Accountability (Scotland) Act 2000 on the impact of the cyber-attack on SEPA. In line with our independent audits, published in October 2021, the Auditor General noted three themes in the report:</w:t>
      </w:r>
    </w:p>
    <w:p w14:paraId="4170C85B" w14:textId="77777777" w:rsidR="00577C98" w:rsidRPr="006C78D8" w:rsidRDefault="00577C98" w:rsidP="00577C98">
      <w:pPr>
        <w:pStyle w:val="paragraph"/>
        <w:spacing w:before="0" w:beforeAutospacing="0" w:after="0" w:afterAutospacing="0" w:line="360" w:lineRule="auto"/>
        <w:textAlignment w:val="baseline"/>
        <w:rPr>
          <w:rStyle w:val="eop"/>
          <w:rFonts w:ascii="Arial" w:hAnsi="Arial" w:cs="Arial"/>
        </w:rPr>
      </w:pPr>
    </w:p>
    <w:p w14:paraId="3CB9BC19" w14:textId="77777777" w:rsidR="00825615" w:rsidRPr="006C78D8" w:rsidRDefault="00825615" w:rsidP="00802A98">
      <w:pPr>
        <w:pStyle w:val="ListParagraph"/>
        <w:numPr>
          <w:ilvl w:val="0"/>
          <w:numId w:val="40"/>
        </w:numPr>
        <w:spacing w:line="360" w:lineRule="auto"/>
        <w:rPr>
          <w:rFonts w:ascii="Arial" w:hAnsi="Arial" w:cs="Arial"/>
        </w:rPr>
      </w:pPr>
      <w:r w:rsidRPr="006C78D8">
        <w:rPr>
          <w:rFonts w:ascii="Arial" w:hAnsi="Arial" w:cs="Arial"/>
        </w:rPr>
        <w:t>SEPA’s cyber maturity assessment was high, and sophisticated defence and detection mechanisms were implemented and operating correctly prior to the incident.</w:t>
      </w:r>
    </w:p>
    <w:p w14:paraId="3C71E200" w14:textId="77777777" w:rsidR="00825615" w:rsidRPr="006C78D8" w:rsidRDefault="00825615" w:rsidP="00802A98">
      <w:pPr>
        <w:pStyle w:val="ListParagraph"/>
        <w:numPr>
          <w:ilvl w:val="0"/>
          <w:numId w:val="40"/>
        </w:numPr>
        <w:spacing w:line="360" w:lineRule="auto"/>
        <w:rPr>
          <w:rFonts w:ascii="Arial" w:hAnsi="Arial" w:cs="Arial"/>
        </w:rPr>
      </w:pPr>
      <w:r w:rsidRPr="006C78D8">
        <w:rPr>
          <w:rFonts w:ascii="Arial" w:hAnsi="Arial" w:cs="Arial"/>
        </w:rPr>
        <w:t>The incident highlighted how no organisation can fully defend itself against the threat of today's sophisticated cyber-attacks.</w:t>
      </w:r>
    </w:p>
    <w:p w14:paraId="77F7E872" w14:textId="179BBD85" w:rsidR="00825615" w:rsidRPr="006C78D8" w:rsidRDefault="00825615" w:rsidP="00802A98">
      <w:pPr>
        <w:pStyle w:val="ListParagraph"/>
        <w:numPr>
          <w:ilvl w:val="0"/>
          <w:numId w:val="40"/>
        </w:numPr>
        <w:spacing w:line="360" w:lineRule="auto"/>
        <w:rPr>
          <w:rFonts w:ascii="Arial" w:hAnsi="Arial" w:cs="Arial"/>
        </w:rPr>
      </w:pPr>
      <w:r w:rsidRPr="006C78D8">
        <w:rPr>
          <w:rFonts w:ascii="Arial" w:hAnsi="Arial" w:cs="Arial"/>
        </w:rPr>
        <w:t>SEPA was in a solid starting position, but it will continue to feel the consequences of this attack for a while to come.</w:t>
      </w:r>
    </w:p>
    <w:p w14:paraId="4CC25009" w14:textId="77777777" w:rsidR="00577C98" w:rsidRPr="006C78D8" w:rsidRDefault="00577C98" w:rsidP="00C633F5">
      <w:pPr>
        <w:pStyle w:val="ListParagraph"/>
        <w:spacing w:line="360" w:lineRule="auto"/>
        <w:rPr>
          <w:rFonts w:ascii="Arial" w:hAnsi="Arial" w:cs="Arial"/>
        </w:rPr>
      </w:pPr>
    </w:p>
    <w:p w14:paraId="7C9D646E" w14:textId="79181CB4" w:rsidR="00825615" w:rsidRDefault="00825615" w:rsidP="006C78D8">
      <w:pPr>
        <w:spacing w:line="360" w:lineRule="auto"/>
        <w:rPr>
          <w:rFonts w:ascii="Arial" w:hAnsi="Arial" w:cs="Arial"/>
          <w:color w:val="333333"/>
        </w:rPr>
      </w:pPr>
      <w:r w:rsidRPr="006C78D8">
        <w:rPr>
          <w:rFonts w:ascii="Arial" w:hAnsi="Arial" w:cs="Arial"/>
          <w:color w:val="333333"/>
        </w:rPr>
        <w:t>The Scottish Parliament’s Public Audit Committee considered this report on 10 February and 17 March 2022</w:t>
      </w:r>
      <w:r w:rsidR="00BF4A6C">
        <w:rPr>
          <w:rFonts w:ascii="Arial" w:hAnsi="Arial" w:cs="Arial"/>
          <w:color w:val="333333"/>
        </w:rPr>
        <w:t xml:space="preserve"> </w:t>
      </w:r>
      <w:r w:rsidR="00BF4A6C" w:rsidRPr="006C78D8">
        <w:rPr>
          <w:rFonts w:ascii="Arial" w:hAnsi="Arial" w:cs="Arial"/>
          <w:color w:val="333333"/>
        </w:rPr>
        <w:t xml:space="preserve">and have since </w:t>
      </w:r>
      <w:r w:rsidR="00A46496" w:rsidRPr="006C78D8">
        <w:rPr>
          <w:rFonts w:ascii="Arial" w:hAnsi="Arial" w:cs="Arial"/>
          <w:color w:val="333333"/>
        </w:rPr>
        <w:t>confirmed that they are closing off any further investigation</w:t>
      </w:r>
      <w:r w:rsidR="00AC550D" w:rsidRPr="006C78D8">
        <w:rPr>
          <w:rFonts w:ascii="Arial" w:hAnsi="Arial" w:cs="Arial"/>
          <w:color w:val="333333"/>
        </w:rPr>
        <w:t xml:space="preserve">s into </w:t>
      </w:r>
      <w:r w:rsidR="00AC550D" w:rsidRPr="00D25D6E">
        <w:rPr>
          <w:rFonts w:ascii="Arial" w:hAnsi="Arial" w:cs="Arial"/>
          <w:color w:val="333333"/>
        </w:rPr>
        <w:t>SEPA’s 20</w:t>
      </w:r>
      <w:r w:rsidR="00D25D6E" w:rsidRPr="00D25D6E">
        <w:rPr>
          <w:rFonts w:ascii="Arial" w:hAnsi="Arial" w:cs="Arial"/>
          <w:color w:val="333333"/>
        </w:rPr>
        <w:t>20</w:t>
      </w:r>
      <w:r w:rsidR="006C78D8" w:rsidRPr="00D25D6E">
        <w:rPr>
          <w:rFonts w:ascii="Arial" w:hAnsi="Arial" w:cs="Arial"/>
          <w:color w:val="333333"/>
        </w:rPr>
        <w:t>-</w:t>
      </w:r>
      <w:r w:rsidR="00AC550D" w:rsidRPr="00D25D6E">
        <w:rPr>
          <w:rFonts w:ascii="Arial" w:hAnsi="Arial" w:cs="Arial"/>
          <w:color w:val="333333"/>
        </w:rPr>
        <w:t>2</w:t>
      </w:r>
      <w:r w:rsidR="00D25D6E" w:rsidRPr="00D25D6E">
        <w:rPr>
          <w:rFonts w:ascii="Arial" w:hAnsi="Arial" w:cs="Arial"/>
          <w:color w:val="333333"/>
        </w:rPr>
        <w:t>1</w:t>
      </w:r>
      <w:r w:rsidR="00AC550D" w:rsidRPr="00D25D6E">
        <w:rPr>
          <w:rFonts w:ascii="Arial" w:hAnsi="Arial" w:cs="Arial"/>
          <w:color w:val="333333"/>
        </w:rPr>
        <w:t xml:space="preserve"> accounts.</w:t>
      </w:r>
      <w:r w:rsidRPr="0086375F">
        <w:rPr>
          <w:rFonts w:ascii="Arial" w:hAnsi="Arial" w:cs="Arial"/>
          <w:color w:val="333333"/>
        </w:rPr>
        <w:t xml:space="preserve"> </w:t>
      </w:r>
    </w:p>
    <w:p w14:paraId="5358E7D8" w14:textId="77777777" w:rsidR="00C633F5" w:rsidRPr="00C633F5" w:rsidRDefault="00C633F5" w:rsidP="00C633F5">
      <w:pPr>
        <w:pStyle w:val="paragraph"/>
        <w:spacing w:before="0" w:beforeAutospacing="0" w:after="0" w:afterAutospacing="0" w:line="360" w:lineRule="auto"/>
        <w:textAlignment w:val="baseline"/>
        <w:rPr>
          <w:rStyle w:val="eop"/>
          <w:rFonts w:ascii="Arial" w:hAnsi="Arial" w:cs="Arial"/>
        </w:rPr>
      </w:pPr>
    </w:p>
    <w:p w14:paraId="3D22DC74" w14:textId="0CB76520" w:rsidR="00825615" w:rsidRPr="00661EC5" w:rsidRDefault="00825615" w:rsidP="00661EC5">
      <w:pPr>
        <w:pStyle w:val="paragraph"/>
        <w:spacing w:before="0" w:beforeAutospacing="0" w:after="0" w:afterAutospacing="0" w:line="360" w:lineRule="auto"/>
        <w:textAlignment w:val="baseline"/>
        <w:rPr>
          <w:rStyle w:val="normaltextrun"/>
          <w:b/>
          <w:bCs/>
        </w:rPr>
      </w:pPr>
      <w:r>
        <w:rPr>
          <w:rStyle w:val="normaltextrun"/>
          <w:rFonts w:ascii="Arial" w:hAnsi="Arial" w:cs="Arial"/>
          <w:b/>
          <w:bCs/>
        </w:rPr>
        <w:t>COVID</w:t>
      </w:r>
      <w:r w:rsidR="00C633F5">
        <w:rPr>
          <w:rStyle w:val="normaltextrun"/>
          <w:rFonts w:ascii="Arial" w:hAnsi="Arial" w:cs="Arial"/>
          <w:b/>
          <w:bCs/>
        </w:rPr>
        <w:t>-19</w:t>
      </w:r>
    </w:p>
    <w:p w14:paraId="7D7017CB" w14:textId="48A5E406" w:rsidR="00825615" w:rsidRDefault="00825615" w:rsidP="00661EC5">
      <w:pPr>
        <w:pStyle w:val="xmsonormal"/>
        <w:spacing w:line="360" w:lineRule="auto"/>
        <w:rPr>
          <w:rStyle w:val="normaltextrun"/>
          <w:rFonts w:ascii="Arial" w:hAnsi="Arial" w:cs="Arial"/>
          <w:sz w:val="24"/>
          <w:szCs w:val="24"/>
        </w:rPr>
      </w:pPr>
      <w:r w:rsidRPr="004F2BDA">
        <w:rPr>
          <w:rStyle w:val="normaltextrun"/>
          <w:rFonts w:ascii="Arial" w:hAnsi="Arial" w:cs="Arial"/>
          <w:sz w:val="24"/>
          <w:szCs w:val="24"/>
        </w:rPr>
        <w:t>This year</w:t>
      </w:r>
      <w:r>
        <w:rPr>
          <w:rStyle w:val="normaltextrun"/>
          <w:rFonts w:ascii="Arial" w:hAnsi="Arial" w:cs="Arial"/>
          <w:sz w:val="24"/>
          <w:szCs w:val="24"/>
        </w:rPr>
        <w:t>,</w:t>
      </w:r>
      <w:r w:rsidRPr="004F2BDA">
        <w:rPr>
          <w:rStyle w:val="normaltextrun"/>
          <w:rFonts w:ascii="Arial" w:hAnsi="Arial" w:cs="Arial"/>
          <w:sz w:val="24"/>
          <w:szCs w:val="24"/>
        </w:rPr>
        <w:t xml:space="preserve"> COVID</w:t>
      </w:r>
      <w:r w:rsidR="00C75723">
        <w:rPr>
          <w:rStyle w:val="normaltextrun"/>
          <w:rFonts w:ascii="Arial" w:hAnsi="Arial" w:cs="Arial"/>
          <w:sz w:val="24"/>
          <w:szCs w:val="24"/>
        </w:rPr>
        <w:t xml:space="preserve">-19 </w:t>
      </w:r>
      <w:r w:rsidRPr="004F2BDA">
        <w:rPr>
          <w:rStyle w:val="normaltextrun"/>
          <w:rFonts w:ascii="Arial" w:hAnsi="Arial" w:cs="Arial"/>
          <w:sz w:val="24"/>
          <w:szCs w:val="24"/>
        </w:rPr>
        <w:t>continued to impact our staff and services. Ou</w:t>
      </w:r>
      <w:r w:rsidRPr="00517BD0">
        <w:rPr>
          <w:rStyle w:val="normaltextrun"/>
          <w:rFonts w:ascii="Arial" w:hAnsi="Arial" w:cs="Arial"/>
          <w:sz w:val="24"/>
          <w:szCs w:val="24"/>
        </w:rPr>
        <w:t xml:space="preserve">r priority </w:t>
      </w:r>
      <w:r w:rsidRPr="004E7E9E">
        <w:rPr>
          <w:rStyle w:val="normaltextrun"/>
          <w:rFonts w:ascii="Arial" w:hAnsi="Arial" w:cs="Arial"/>
          <w:sz w:val="24"/>
          <w:szCs w:val="24"/>
        </w:rPr>
        <w:t>has always been keeping our people safe. </w:t>
      </w:r>
      <w:r w:rsidRPr="00517BD0">
        <w:rPr>
          <w:rStyle w:val="normaltextrun"/>
          <w:rFonts w:ascii="Arial" w:hAnsi="Arial" w:cs="Arial"/>
          <w:sz w:val="24"/>
          <w:szCs w:val="24"/>
        </w:rPr>
        <w:t>We put in place a decision-making framework</w:t>
      </w:r>
      <w:r>
        <w:rPr>
          <w:rStyle w:val="normaltextrun"/>
          <w:rFonts w:ascii="Arial" w:hAnsi="Arial" w:cs="Arial"/>
          <w:sz w:val="24"/>
          <w:szCs w:val="24"/>
        </w:rPr>
        <w:t xml:space="preserve"> which set out how staff</w:t>
      </w:r>
      <w:r w:rsidRPr="00517BD0">
        <w:rPr>
          <w:rStyle w:val="normaltextrun"/>
          <w:rFonts w:ascii="Arial" w:hAnsi="Arial" w:cs="Arial"/>
          <w:sz w:val="24"/>
          <w:szCs w:val="24"/>
        </w:rPr>
        <w:t xml:space="preserve"> could deliver business priorities safely</w:t>
      </w:r>
      <w:r>
        <w:rPr>
          <w:rStyle w:val="normaltextrun"/>
          <w:rFonts w:ascii="Arial" w:hAnsi="Arial" w:cs="Arial"/>
          <w:sz w:val="24"/>
          <w:szCs w:val="24"/>
        </w:rPr>
        <w:t>, while following</w:t>
      </w:r>
      <w:r w:rsidRPr="00517BD0">
        <w:rPr>
          <w:rStyle w:val="normaltextrun"/>
          <w:rFonts w:ascii="Arial" w:hAnsi="Arial" w:cs="Arial"/>
          <w:sz w:val="24"/>
          <w:szCs w:val="24"/>
        </w:rPr>
        <w:t xml:space="preserve"> </w:t>
      </w:r>
      <w:r>
        <w:rPr>
          <w:rStyle w:val="normaltextrun"/>
          <w:rFonts w:ascii="Arial" w:hAnsi="Arial" w:cs="Arial"/>
          <w:sz w:val="24"/>
          <w:szCs w:val="24"/>
        </w:rPr>
        <w:t xml:space="preserve">the </w:t>
      </w:r>
      <w:r w:rsidRPr="00517BD0">
        <w:rPr>
          <w:rStyle w:val="normaltextrun"/>
          <w:rFonts w:ascii="Arial" w:hAnsi="Arial" w:cs="Arial"/>
          <w:sz w:val="24"/>
          <w:szCs w:val="24"/>
        </w:rPr>
        <w:t>Scottish Government</w:t>
      </w:r>
      <w:r>
        <w:rPr>
          <w:rStyle w:val="normaltextrun"/>
          <w:rFonts w:ascii="Arial" w:hAnsi="Arial" w:cs="Arial"/>
          <w:sz w:val="24"/>
          <w:szCs w:val="24"/>
        </w:rPr>
        <w:t>’s</w:t>
      </w:r>
      <w:r w:rsidRPr="00517BD0">
        <w:rPr>
          <w:rStyle w:val="normaltextrun"/>
          <w:rFonts w:ascii="Arial" w:hAnsi="Arial" w:cs="Arial"/>
          <w:sz w:val="24"/>
          <w:szCs w:val="24"/>
        </w:rPr>
        <w:t xml:space="preserve"> </w:t>
      </w:r>
      <w:r w:rsidRPr="004F2BDA">
        <w:rPr>
          <w:rStyle w:val="normaltextrun"/>
          <w:rFonts w:ascii="Arial" w:hAnsi="Arial" w:cs="Arial"/>
          <w:sz w:val="24"/>
          <w:szCs w:val="24"/>
        </w:rPr>
        <w:t>COVID</w:t>
      </w:r>
      <w:r w:rsidR="00C677AE">
        <w:rPr>
          <w:rStyle w:val="normaltextrun"/>
          <w:rFonts w:ascii="Arial" w:hAnsi="Arial" w:cs="Arial"/>
          <w:sz w:val="24"/>
          <w:szCs w:val="24"/>
        </w:rPr>
        <w:t>-19</w:t>
      </w:r>
      <w:r w:rsidDel="00666D7D">
        <w:rPr>
          <w:rStyle w:val="normaltextrun"/>
          <w:rFonts w:ascii="Arial" w:hAnsi="Arial" w:cs="Arial"/>
          <w:sz w:val="24"/>
          <w:szCs w:val="24"/>
        </w:rPr>
        <w:t xml:space="preserve"> </w:t>
      </w:r>
      <w:r w:rsidRPr="00517BD0">
        <w:rPr>
          <w:rStyle w:val="normaltextrun"/>
          <w:rFonts w:ascii="Arial" w:hAnsi="Arial" w:cs="Arial"/>
          <w:sz w:val="24"/>
          <w:szCs w:val="24"/>
        </w:rPr>
        <w:t xml:space="preserve">guidance. </w:t>
      </w:r>
    </w:p>
    <w:p w14:paraId="726FA95D" w14:textId="77777777" w:rsidR="00661EC5" w:rsidRPr="00661EC5" w:rsidRDefault="00661EC5" w:rsidP="00661EC5">
      <w:pPr>
        <w:pStyle w:val="paragraph"/>
        <w:spacing w:before="0" w:beforeAutospacing="0" w:after="0" w:afterAutospacing="0" w:line="360" w:lineRule="auto"/>
        <w:textAlignment w:val="baseline"/>
        <w:rPr>
          <w:rStyle w:val="eop"/>
          <w:rFonts w:ascii="Arial" w:hAnsi="Arial" w:cs="Arial"/>
        </w:rPr>
      </w:pPr>
    </w:p>
    <w:p w14:paraId="504DB5CA" w14:textId="566F7554" w:rsidR="00825615" w:rsidRDefault="00825615" w:rsidP="00661EC5">
      <w:pPr>
        <w:pStyle w:val="xmsonormal"/>
        <w:spacing w:line="360" w:lineRule="auto"/>
        <w:rPr>
          <w:rStyle w:val="normaltextrun"/>
          <w:rFonts w:ascii="Arial" w:hAnsi="Arial" w:cs="Arial"/>
          <w:sz w:val="24"/>
          <w:szCs w:val="24"/>
        </w:rPr>
      </w:pPr>
      <w:r w:rsidRPr="004B7A4E">
        <w:rPr>
          <w:rStyle w:val="normaltextrun"/>
          <w:rFonts w:ascii="Arial" w:hAnsi="Arial" w:cs="Arial"/>
          <w:sz w:val="24"/>
          <w:szCs w:val="24"/>
        </w:rPr>
        <w:t xml:space="preserve">By the end of the year, we had two of our 26 offices open at a reduced capacity and were working towards a </w:t>
      </w:r>
      <w:r w:rsidR="009C5FA8">
        <w:rPr>
          <w:rStyle w:val="normaltextrun"/>
          <w:rFonts w:ascii="Arial" w:hAnsi="Arial" w:cs="Arial"/>
          <w:sz w:val="24"/>
          <w:szCs w:val="24"/>
        </w:rPr>
        <w:t>phased</w:t>
      </w:r>
      <w:r w:rsidRPr="004B7A4E">
        <w:rPr>
          <w:rStyle w:val="normaltextrun"/>
          <w:rFonts w:ascii="Arial" w:hAnsi="Arial" w:cs="Arial"/>
          <w:sz w:val="24"/>
          <w:szCs w:val="24"/>
        </w:rPr>
        <w:t xml:space="preserve"> re-opening of the remaining offices. We also had COVID secure Science Support Centres, Regulatory Incident Hubs, and stores at different locations around the country. Re-opening our offices has been impacted by the cyber-attack, and the need to upgrade our IS infrastructure, as well as by COVID</w:t>
      </w:r>
      <w:r w:rsidR="00C83234" w:rsidRPr="004B7A4E">
        <w:rPr>
          <w:rStyle w:val="normaltextrun"/>
          <w:rFonts w:ascii="Arial" w:hAnsi="Arial" w:cs="Arial"/>
          <w:sz w:val="24"/>
          <w:szCs w:val="24"/>
        </w:rPr>
        <w:t>-19</w:t>
      </w:r>
      <w:r w:rsidRPr="004B7A4E">
        <w:rPr>
          <w:rStyle w:val="normaltextrun"/>
          <w:rFonts w:ascii="Arial" w:hAnsi="Arial" w:cs="Arial"/>
          <w:sz w:val="24"/>
          <w:szCs w:val="24"/>
        </w:rPr>
        <w:t>.</w:t>
      </w:r>
      <w:r>
        <w:rPr>
          <w:rStyle w:val="normaltextrun"/>
          <w:rFonts w:ascii="Arial" w:hAnsi="Arial" w:cs="Arial"/>
          <w:sz w:val="24"/>
          <w:szCs w:val="24"/>
        </w:rPr>
        <w:t xml:space="preserve"> </w:t>
      </w:r>
    </w:p>
    <w:p w14:paraId="548FD81A" w14:textId="77777777" w:rsidR="00661EC5" w:rsidRDefault="00661EC5" w:rsidP="00661EC5">
      <w:pPr>
        <w:pStyle w:val="xmsonormal"/>
        <w:spacing w:line="360" w:lineRule="auto"/>
        <w:rPr>
          <w:rStyle w:val="normaltextrun"/>
          <w:rFonts w:ascii="Arial" w:hAnsi="Arial" w:cs="Arial"/>
          <w:sz w:val="24"/>
          <w:szCs w:val="24"/>
        </w:rPr>
      </w:pPr>
    </w:p>
    <w:p w14:paraId="5043E7B7" w14:textId="4D1A0BC4" w:rsidR="00825615" w:rsidRPr="00661EC5" w:rsidRDefault="00825615" w:rsidP="00661EC5">
      <w:pPr>
        <w:pStyle w:val="xmsonormal"/>
        <w:spacing w:line="360" w:lineRule="auto"/>
        <w:rPr>
          <w:rStyle w:val="normaltextrun"/>
          <w:rFonts w:ascii="Arial" w:hAnsi="Arial" w:cs="Arial"/>
          <w:sz w:val="24"/>
          <w:szCs w:val="24"/>
        </w:rPr>
      </w:pPr>
      <w:r>
        <w:rPr>
          <w:rStyle w:val="normaltextrun"/>
          <w:rFonts w:ascii="Arial" w:hAnsi="Arial" w:cs="Arial"/>
          <w:sz w:val="24"/>
          <w:szCs w:val="24"/>
        </w:rPr>
        <w:t>Some staff found</w:t>
      </w:r>
      <w:r w:rsidRPr="00DC3026">
        <w:rPr>
          <w:rStyle w:val="normaltextrun"/>
          <w:rFonts w:ascii="Arial" w:hAnsi="Arial" w:cs="Arial"/>
          <w:sz w:val="24"/>
          <w:szCs w:val="24"/>
        </w:rPr>
        <w:t xml:space="preserve"> it difficult to work from home</w:t>
      </w:r>
      <w:r>
        <w:rPr>
          <w:rStyle w:val="normaltextrun"/>
          <w:rFonts w:ascii="Arial" w:hAnsi="Arial" w:cs="Arial"/>
          <w:sz w:val="24"/>
          <w:szCs w:val="24"/>
        </w:rPr>
        <w:t xml:space="preserve">. We supported them, where we could, </w:t>
      </w:r>
      <w:r w:rsidRPr="00DC3026">
        <w:rPr>
          <w:rStyle w:val="normaltextrun"/>
          <w:rFonts w:ascii="Arial" w:hAnsi="Arial" w:cs="Arial"/>
          <w:sz w:val="24"/>
          <w:szCs w:val="24"/>
        </w:rPr>
        <w:t>by providing access to our COVID</w:t>
      </w:r>
      <w:r w:rsidR="00C83234">
        <w:rPr>
          <w:rStyle w:val="normaltextrun"/>
          <w:rFonts w:ascii="Arial" w:hAnsi="Arial" w:cs="Arial"/>
          <w:sz w:val="24"/>
          <w:szCs w:val="24"/>
        </w:rPr>
        <w:t>-19</w:t>
      </w:r>
      <w:r>
        <w:rPr>
          <w:rStyle w:val="normaltextrun"/>
          <w:rFonts w:ascii="Arial" w:hAnsi="Arial" w:cs="Arial"/>
          <w:sz w:val="24"/>
          <w:szCs w:val="24"/>
        </w:rPr>
        <w:t xml:space="preserve"> </w:t>
      </w:r>
      <w:r w:rsidRPr="00DC3026">
        <w:rPr>
          <w:rStyle w:val="normaltextrun"/>
          <w:rFonts w:ascii="Arial" w:hAnsi="Arial" w:cs="Arial"/>
          <w:sz w:val="24"/>
          <w:szCs w:val="24"/>
        </w:rPr>
        <w:t>secure buildings</w:t>
      </w:r>
      <w:r>
        <w:rPr>
          <w:rStyle w:val="normaltextrun"/>
          <w:rFonts w:ascii="Arial" w:hAnsi="Arial" w:cs="Arial"/>
          <w:sz w:val="24"/>
          <w:szCs w:val="24"/>
        </w:rPr>
        <w:t xml:space="preserve"> or </w:t>
      </w:r>
      <w:r w:rsidRPr="00DC3026">
        <w:rPr>
          <w:rStyle w:val="normaltextrun"/>
          <w:rFonts w:ascii="Arial" w:hAnsi="Arial" w:cs="Arial"/>
          <w:sz w:val="24"/>
          <w:szCs w:val="24"/>
        </w:rPr>
        <w:t>arrang</w:t>
      </w:r>
      <w:r>
        <w:rPr>
          <w:rStyle w:val="normaltextrun"/>
          <w:rFonts w:ascii="Arial" w:hAnsi="Arial" w:cs="Arial"/>
          <w:sz w:val="24"/>
          <w:szCs w:val="24"/>
        </w:rPr>
        <w:t>ing</w:t>
      </w:r>
      <w:r w:rsidRPr="00DC3026">
        <w:rPr>
          <w:rStyle w:val="normaltextrun"/>
          <w:rFonts w:ascii="Arial" w:hAnsi="Arial" w:cs="Arial"/>
          <w:sz w:val="24"/>
          <w:szCs w:val="24"/>
        </w:rPr>
        <w:t xml:space="preserve"> </w:t>
      </w:r>
      <w:r>
        <w:rPr>
          <w:rStyle w:val="normaltextrun"/>
          <w:rFonts w:ascii="Arial" w:hAnsi="Arial" w:cs="Arial"/>
          <w:sz w:val="24"/>
          <w:szCs w:val="24"/>
        </w:rPr>
        <w:t>for them</w:t>
      </w:r>
      <w:r w:rsidRPr="00DC3026">
        <w:rPr>
          <w:rStyle w:val="normaltextrun"/>
          <w:rFonts w:ascii="Arial" w:hAnsi="Arial" w:cs="Arial"/>
          <w:sz w:val="24"/>
          <w:szCs w:val="24"/>
        </w:rPr>
        <w:t xml:space="preserve"> to access our public sector partners buildings</w:t>
      </w:r>
      <w:r w:rsidRPr="00661EC5">
        <w:rPr>
          <w:rStyle w:val="normaltextrun"/>
          <w:rFonts w:ascii="Arial" w:hAnsi="Arial" w:cs="Arial"/>
          <w:sz w:val="24"/>
          <w:szCs w:val="24"/>
        </w:rPr>
        <w:t xml:space="preserve">. </w:t>
      </w:r>
    </w:p>
    <w:p w14:paraId="55952645" w14:textId="1C6ECC11" w:rsidR="00661EC5" w:rsidRPr="00661EC5" w:rsidRDefault="001A1FD9" w:rsidP="00661EC5">
      <w:pPr>
        <w:pStyle w:val="xmsonormal"/>
        <w:spacing w:line="360" w:lineRule="auto"/>
        <w:rPr>
          <w:rStyle w:val="normaltextrun"/>
          <w:rFonts w:ascii="Arial" w:hAnsi="Arial" w:cs="Arial"/>
          <w:sz w:val="24"/>
          <w:szCs w:val="24"/>
        </w:rPr>
      </w:pPr>
      <w:r>
        <w:rPr>
          <w:rStyle w:val="normaltextrun"/>
          <w:rFonts w:ascii="Arial" w:hAnsi="Arial" w:cs="Arial"/>
          <w:sz w:val="24"/>
          <w:szCs w:val="24"/>
        </w:rPr>
        <w:br w:type="page"/>
      </w:r>
    </w:p>
    <w:p w14:paraId="581D2F72" w14:textId="225950EA" w:rsidR="00825615" w:rsidRPr="00661EC5" w:rsidRDefault="00825615" w:rsidP="00661EC5">
      <w:pPr>
        <w:pStyle w:val="paragraph"/>
        <w:spacing w:before="0" w:beforeAutospacing="0" w:after="0" w:afterAutospacing="0" w:line="360" w:lineRule="auto"/>
        <w:textAlignment w:val="baseline"/>
        <w:rPr>
          <w:rStyle w:val="normaltextrun"/>
          <w:rFonts w:ascii="Arial" w:hAnsi="Arial" w:cs="Arial"/>
          <w:b/>
          <w:bCs/>
        </w:rPr>
      </w:pPr>
      <w:r>
        <w:rPr>
          <w:rStyle w:val="normaltextrun"/>
          <w:rFonts w:ascii="Arial" w:hAnsi="Arial" w:cs="Arial"/>
          <w:b/>
          <w:bCs/>
        </w:rPr>
        <w:lastRenderedPageBreak/>
        <w:t>CEO resignation </w:t>
      </w:r>
      <w:r w:rsidRPr="00661EC5">
        <w:rPr>
          <w:rStyle w:val="normaltextrun"/>
          <w:rFonts w:ascii="Arial" w:hAnsi="Arial" w:cs="Arial"/>
          <w:b/>
          <w:bCs/>
        </w:rPr>
        <w:t> </w:t>
      </w:r>
    </w:p>
    <w:p w14:paraId="72B20BB1" w14:textId="66CA2006" w:rsidR="00825615" w:rsidRDefault="00825615" w:rsidP="001A1FD9">
      <w:pPr>
        <w:pStyle w:val="xmsonormal"/>
        <w:spacing w:line="360" w:lineRule="auto"/>
        <w:rPr>
          <w:rStyle w:val="normaltextrun"/>
          <w:rFonts w:ascii="Arial" w:hAnsi="Arial" w:cs="Arial"/>
          <w:sz w:val="24"/>
          <w:szCs w:val="24"/>
        </w:rPr>
      </w:pPr>
      <w:r w:rsidRPr="00661EC5">
        <w:rPr>
          <w:rStyle w:val="normaltextrun"/>
          <w:rFonts w:ascii="Arial" w:hAnsi="Arial" w:cs="Arial"/>
          <w:sz w:val="24"/>
          <w:szCs w:val="24"/>
        </w:rPr>
        <w:t xml:space="preserve">On 19 January </w:t>
      </w:r>
      <w:r w:rsidR="00135322">
        <w:rPr>
          <w:rStyle w:val="normaltextrun"/>
          <w:rFonts w:ascii="Arial" w:hAnsi="Arial" w:cs="Arial"/>
          <w:sz w:val="24"/>
          <w:szCs w:val="24"/>
        </w:rPr>
        <w:t xml:space="preserve">2022, </w:t>
      </w:r>
      <w:r w:rsidRPr="00661EC5">
        <w:rPr>
          <w:rStyle w:val="normaltextrun"/>
          <w:rFonts w:ascii="Arial" w:hAnsi="Arial" w:cs="Arial"/>
          <w:sz w:val="24"/>
          <w:szCs w:val="24"/>
        </w:rPr>
        <w:t xml:space="preserve">our Chief Executive Officer, T </w:t>
      </w:r>
      <w:proofErr w:type="spellStart"/>
      <w:r w:rsidRPr="00661EC5">
        <w:rPr>
          <w:rStyle w:val="normaltextrun"/>
          <w:rFonts w:ascii="Arial" w:hAnsi="Arial" w:cs="Arial"/>
          <w:sz w:val="24"/>
          <w:szCs w:val="24"/>
        </w:rPr>
        <w:t>A’Hearn</w:t>
      </w:r>
      <w:proofErr w:type="spellEnd"/>
      <w:r w:rsidRPr="00661EC5">
        <w:rPr>
          <w:rStyle w:val="normaltextrun"/>
          <w:rFonts w:ascii="Arial" w:hAnsi="Arial" w:cs="Arial"/>
          <w:sz w:val="24"/>
          <w:szCs w:val="24"/>
        </w:rPr>
        <w:t>, stepped down and left his position</w:t>
      </w:r>
      <w:r w:rsidRPr="00661EC5" w:rsidDel="000E32F5">
        <w:rPr>
          <w:rStyle w:val="normaltextrun"/>
          <w:rFonts w:ascii="Arial" w:hAnsi="Arial" w:cs="Arial"/>
          <w:sz w:val="24"/>
          <w:szCs w:val="24"/>
        </w:rPr>
        <w:t xml:space="preserve"> </w:t>
      </w:r>
      <w:r w:rsidRPr="00661EC5">
        <w:rPr>
          <w:rStyle w:val="normaltextrun"/>
          <w:rFonts w:ascii="Arial" w:hAnsi="Arial" w:cs="Arial"/>
          <w:sz w:val="24"/>
          <w:szCs w:val="24"/>
        </w:rPr>
        <w:t xml:space="preserve">following conduct allegations. We have a clear code of conduct and take conduct allegations very seriously. </w:t>
      </w:r>
    </w:p>
    <w:p w14:paraId="264289F9" w14:textId="77777777" w:rsidR="00661EC5" w:rsidRPr="00661EC5" w:rsidRDefault="00661EC5" w:rsidP="001A1FD9">
      <w:pPr>
        <w:pStyle w:val="xmsonormal"/>
        <w:spacing w:line="360" w:lineRule="auto"/>
        <w:rPr>
          <w:rStyle w:val="normaltextrun"/>
          <w:rFonts w:ascii="Arial" w:hAnsi="Arial" w:cs="Arial"/>
          <w:sz w:val="24"/>
          <w:szCs w:val="24"/>
        </w:rPr>
      </w:pPr>
    </w:p>
    <w:p w14:paraId="337778FE" w14:textId="77890F2D" w:rsidR="00825615" w:rsidRDefault="00825615" w:rsidP="001A1FD9">
      <w:pPr>
        <w:pStyle w:val="paragraph"/>
        <w:spacing w:before="0" w:beforeAutospacing="0" w:after="0" w:afterAutospacing="0" w:line="360" w:lineRule="auto"/>
        <w:textAlignment w:val="baseline"/>
        <w:rPr>
          <w:rStyle w:val="normaltextrun"/>
          <w:rFonts w:ascii="Arial" w:eastAsiaTheme="minorEastAsia" w:hAnsi="Arial" w:cs="Arial"/>
        </w:rPr>
      </w:pPr>
      <w:r w:rsidRPr="63EDEB16">
        <w:rPr>
          <w:rStyle w:val="normaltextrun"/>
          <w:rFonts w:ascii="Arial" w:eastAsiaTheme="minorEastAsia" w:hAnsi="Arial" w:cs="Arial"/>
        </w:rPr>
        <w:t xml:space="preserve">Chief Officer, J Green, became </w:t>
      </w:r>
      <w:r w:rsidR="00BB7C99">
        <w:rPr>
          <w:rStyle w:val="normaltextrun"/>
          <w:rFonts w:ascii="Arial" w:eastAsiaTheme="minorEastAsia" w:hAnsi="Arial" w:cs="Arial"/>
        </w:rPr>
        <w:t>Acting</w:t>
      </w:r>
      <w:r w:rsidRPr="63EDEB16">
        <w:rPr>
          <w:rStyle w:val="normaltextrun"/>
          <w:rFonts w:ascii="Arial" w:eastAsiaTheme="minorEastAsia" w:hAnsi="Arial" w:cs="Arial"/>
        </w:rPr>
        <w:t xml:space="preserve"> Chief Executive Officer, and recruitment began for a new Chief Executive Officer. </w:t>
      </w:r>
      <w:r w:rsidR="005F4310">
        <w:rPr>
          <w:rStyle w:val="normaltextrun"/>
          <w:rFonts w:ascii="Arial" w:eastAsiaTheme="minorEastAsia" w:hAnsi="Arial" w:cs="Arial"/>
        </w:rPr>
        <w:t xml:space="preserve"> In October 2022, </w:t>
      </w:r>
      <w:r w:rsidR="00B97AE4">
        <w:rPr>
          <w:rStyle w:val="normaltextrun"/>
          <w:rFonts w:ascii="Arial" w:eastAsiaTheme="minorEastAsia" w:hAnsi="Arial" w:cs="Arial"/>
        </w:rPr>
        <w:t xml:space="preserve">N Paterson </w:t>
      </w:r>
      <w:r w:rsidR="005E0421">
        <w:rPr>
          <w:rStyle w:val="normaltextrun"/>
          <w:rFonts w:ascii="Arial" w:eastAsiaTheme="minorEastAsia" w:hAnsi="Arial" w:cs="Arial"/>
        </w:rPr>
        <w:t xml:space="preserve">took over </w:t>
      </w:r>
      <w:r w:rsidR="00102F98">
        <w:rPr>
          <w:rStyle w:val="normaltextrun"/>
          <w:rFonts w:ascii="Arial" w:eastAsiaTheme="minorEastAsia" w:hAnsi="Arial" w:cs="Arial"/>
        </w:rPr>
        <w:t>the role of Chief Executive Officer</w:t>
      </w:r>
      <w:r w:rsidR="00980A63">
        <w:rPr>
          <w:rStyle w:val="normaltextrun"/>
          <w:rFonts w:ascii="Arial" w:eastAsiaTheme="minorEastAsia" w:hAnsi="Arial" w:cs="Arial"/>
        </w:rPr>
        <w:t xml:space="preserve"> and will </w:t>
      </w:r>
      <w:r w:rsidR="00727B24">
        <w:rPr>
          <w:rStyle w:val="normaltextrun"/>
          <w:rFonts w:ascii="Arial" w:eastAsiaTheme="minorEastAsia" w:hAnsi="Arial" w:cs="Arial"/>
        </w:rPr>
        <w:t>therefore take over the role of Accountable Officer and signatory of this document.</w:t>
      </w:r>
    </w:p>
    <w:p w14:paraId="49448098" w14:textId="77777777" w:rsidR="00661EC5" w:rsidRPr="00661EC5" w:rsidRDefault="00661EC5" w:rsidP="001A1FD9">
      <w:pPr>
        <w:pStyle w:val="xmsonormal"/>
        <w:spacing w:line="360" w:lineRule="auto"/>
        <w:rPr>
          <w:rStyle w:val="normaltextrun"/>
          <w:rFonts w:ascii="Arial" w:hAnsi="Arial" w:cs="Arial"/>
          <w:sz w:val="24"/>
          <w:szCs w:val="24"/>
        </w:rPr>
      </w:pPr>
    </w:p>
    <w:p w14:paraId="09696D23" w14:textId="4E27CC58" w:rsidR="00825615" w:rsidRPr="00661EC5" w:rsidRDefault="00825615" w:rsidP="00661EC5">
      <w:pPr>
        <w:pStyle w:val="paragraph"/>
        <w:spacing w:before="0" w:beforeAutospacing="0" w:after="0" w:afterAutospacing="0" w:line="360" w:lineRule="auto"/>
        <w:textAlignment w:val="baseline"/>
        <w:rPr>
          <w:rStyle w:val="normaltextrun"/>
          <w:b/>
          <w:bCs/>
        </w:rPr>
      </w:pPr>
      <w:r>
        <w:rPr>
          <w:rStyle w:val="normaltextrun"/>
          <w:rFonts w:ascii="Arial" w:hAnsi="Arial" w:cs="Arial"/>
          <w:b/>
          <w:bCs/>
        </w:rPr>
        <w:t>Supply chain </w:t>
      </w:r>
      <w:r w:rsidRPr="00661EC5">
        <w:rPr>
          <w:rStyle w:val="normaltextrun"/>
          <w:rFonts w:ascii="Arial" w:hAnsi="Arial"/>
          <w:b/>
          <w:bCs/>
        </w:rPr>
        <w:t> </w:t>
      </w:r>
    </w:p>
    <w:p w14:paraId="2C8C886B" w14:textId="03B68E60" w:rsidR="00825615" w:rsidRPr="00661EC5" w:rsidRDefault="00825615" w:rsidP="00661EC5">
      <w:pPr>
        <w:pStyle w:val="paragraph"/>
        <w:spacing w:before="0" w:beforeAutospacing="0" w:after="0" w:afterAutospacing="0" w:line="360" w:lineRule="auto"/>
        <w:textAlignment w:val="baseline"/>
        <w:rPr>
          <w:rStyle w:val="normaltextrun"/>
          <w:rFonts w:ascii="Arial" w:eastAsiaTheme="minorEastAsia" w:hAnsi="Arial" w:cs="Arial"/>
        </w:rPr>
      </w:pPr>
      <w:r>
        <w:rPr>
          <w:rFonts w:ascii="Arial" w:hAnsi="Arial" w:cs="Arial"/>
          <w:szCs w:val="22"/>
        </w:rPr>
        <w:t xml:space="preserve">Our </w:t>
      </w:r>
      <w:r w:rsidRPr="009A14BA">
        <w:rPr>
          <w:rFonts w:ascii="Arial" w:hAnsi="Arial" w:cs="Arial"/>
          <w:szCs w:val="22"/>
        </w:rPr>
        <w:t xml:space="preserve">supply chain has faced </w:t>
      </w:r>
      <w:r>
        <w:rPr>
          <w:rFonts w:ascii="Arial" w:hAnsi="Arial" w:cs="Arial"/>
          <w:szCs w:val="22"/>
        </w:rPr>
        <w:t xml:space="preserve">unprecedented </w:t>
      </w:r>
      <w:r w:rsidRPr="009A14BA">
        <w:rPr>
          <w:rFonts w:ascii="Arial" w:hAnsi="Arial" w:cs="Arial"/>
          <w:szCs w:val="22"/>
        </w:rPr>
        <w:t>economic conditions</w:t>
      </w:r>
      <w:r>
        <w:rPr>
          <w:rFonts w:ascii="Arial" w:hAnsi="Arial" w:cs="Arial"/>
          <w:szCs w:val="22"/>
        </w:rPr>
        <w:t xml:space="preserve"> over the past two years</w:t>
      </w:r>
      <w:r w:rsidRPr="009A14BA">
        <w:rPr>
          <w:rFonts w:ascii="Arial" w:hAnsi="Arial" w:cs="Arial"/>
          <w:szCs w:val="22"/>
        </w:rPr>
        <w:t xml:space="preserve">. </w:t>
      </w:r>
      <w:r>
        <w:rPr>
          <w:rFonts w:ascii="Arial" w:hAnsi="Arial" w:cs="Arial"/>
          <w:szCs w:val="22"/>
        </w:rPr>
        <w:t xml:space="preserve">This is due to a variety of factors </w:t>
      </w:r>
      <w:r w:rsidRPr="00394389">
        <w:rPr>
          <w:rStyle w:val="normaltextrun"/>
          <w:rFonts w:ascii="Arial" w:hAnsi="Arial" w:cs="Arial"/>
        </w:rPr>
        <w:t>includ</w:t>
      </w:r>
      <w:r>
        <w:rPr>
          <w:rStyle w:val="normaltextrun"/>
          <w:rFonts w:ascii="Arial" w:hAnsi="Arial" w:cs="Arial"/>
        </w:rPr>
        <w:t>ing</w:t>
      </w:r>
      <w:r w:rsidRPr="00394389">
        <w:rPr>
          <w:rStyle w:val="normaltextrun"/>
          <w:rFonts w:ascii="Arial" w:hAnsi="Arial" w:cs="Arial"/>
        </w:rPr>
        <w:t xml:space="preserve"> the impact of COVID</w:t>
      </w:r>
      <w:r w:rsidR="00304E76">
        <w:rPr>
          <w:rStyle w:val="normaltextrun"/>
          <w:rFonts w:ascii="Arial" w:hAnsi="Arial" w:cs="Arial"/>
        </w:rPr>
        <w:t>-19</w:t>
      </w:r>
      <w:r w:rsidRPr="00394389">
        <w:rPr>
          <w:rStyle w:val="normaltextrun"/>
          <w:rFonts w:ascii="Arial" w:hAnsi="Arial" w:cs="Arial"/>
        </w:rPr>
        <w:t>, inflation, international shipping and logistics, staffing and workforce shortages, natural disasters, and climate change. We have experienced long lead times, increased prices, and shortages of supplies. This has affected electronics, comput</w:t>
      </w:r>
      <w:r>
        <w:rPr>
          <w:rStyle w:val="normaltextrun"/>
          <w:rFonts w:ascii="Arial" w:hAnsi="Arial" w:cs="Arial"/>
        </w:rPr>
        <w:t xml:space="preserve">er equipment like </w:t>
      </w:r>
      <w:r w:rsidRPr="00394389">
        <w:rPr>
          <w:rStyle w:val="normaltextrun"/>
          <w:rFonts w:ascii="Arial" w:hAnsi="Arial" w:cs="Arial"/>
        </w:rPr>
        <w:t>LCD panels, plastics, lab</w:t>
      </w:r>
      <w:r>
        <w:rPr>
          <w:rStyle w:val="normaltextrun"/>
          <w:rFonts w:ascii="Arial" w:hAnsi="Arial" w:cs="Arial"/>
        </w:rPr>
        <w:t>oratory</w:t>
      </w:r>
      <w:r w:rsidRPr="00394389">
        <w:rPr>
          <w:rStyle w:val="normaltextrun"/>
          <w:rFonts w:ascii="Arial" w:hAnsi="Arial" w:cs="Arial"/>
        </w:rPr>
        <w:t xml:space="preserve"> </w:t>
      </w:r>
      <w:r w:rsidRPr="00661EC5">
        <w:rPr>
          <w:rStyle w:val="normaltextrun"/>
          <w:rFonts w:ascii="Arial" w:eastAsiaTheme="minorEastAsia" w:hAnsi="Arial" w:cs="Arial"/>
        </w:rPr>
        <w:t>consumables, vehicles, and personal protective equipment. </w:t>
      </w:r>
    </w:p>
    <w:p w14:paraId="7F230CA9"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265A4D42" w14:textId="0A786AD5" w:rsidR="00825615" w:rsidRPr="00661EC5" w:rsidRDefault="00825615" w:rsidP="00661EC5">
      <w:pPr>
        <w:pStyle w:val="paragraph"/>
        <w:spacing w:before="0" w:beforeAutospacing="0" w:after="0" w:afterAutospacing="0" w:line="360" w:lineRule="auto"/>
        <w:textAlignment w:val="baseline"/>
        <w:rPr>
          <w:rStyle w:val="normaltextrun"/>
          <w:rFonts w:ascii="Arial" w:hAnsi="Arial" w:cs="Arial"/>
          <w:b/>
          <w:bCs/>
        </w:rPr>
      </w:pPr>
      <w:r w:rsidRPr="00661EC5">
        <w:rPr>
          <w:rStyle w:val="normaltextrun"/>
          <w:rFonts w:ascii="Arial" w:hAnsi="Arial" w:cs="Arial"/>
          <w:b/>
          <w:bCs/>
        </w:rPr>
        <w:t>Abandonment of landfill sites</w:t>
      </w:r>
    </w:p>
    <w:p w14:paraId="7152B564" w14:textId="48A72F2A" w:rsidR="00825615" w:rsidRPr="00661EC5" w:rsidRDefault="00825615" w:rsidP="00661EC5">
      <w:pPr>
        <w:pStyle w:val="paragraph"/>
        <w:spacing w:before="0" w:beforeAutospacing="0" w:after="0" w:afterAutospacing="0" w:line="360" w:lineRule="auto"/>
        <w:textAlignment w:val="baseline"/>
        <w:rPr>
          <w:rStyle w:val="normaltextrun"/>
          <w:rFonts w:ascii="Arial" w:eastAsiaTheme="minorEastAsia" w:hAnsi="Arial" w:cs="Arial"/>
        </w:rPr>
      </w:pPr>
      <w:r>
        <w:rPr>
          <w:rStyle w:val="normaltextrun"/>
          <w:rFonts w:ascii="Arial" w:hAnsi="Arial" w:cs="Arial"/>
        </w:rPr>
        <w:t>T</w:t>
      </w:r>
      <w:r w:rsidRPr="006A3ACB">
        <w:rPr>
          <w:rStyle w:val="normaltextrun"/>
          <w:rFonts w:ascii="Arial" w:hAnsi="Arial" w:cs="Arial"/>
        </w:rPr>
        <w:t xml:space="preserve">he amount of waste </w:t>
      </w:r>
      <w:r>
        <w:rPr>
          <w:rStyle w:val="normaltextrun"/>
          <w:rFonts w:ascii="Arial" w:hAnsi="Arial" w:cs="Arial"/>
        </w:rPr>
        <w:t xml:space="preserve">being </w:t>
      </w:r>
      <w:r w:rsidRPr="006A3ACB">
        <w:rPr>
          <w:rStyle w:val="normaltextrun"/>
          <w:rFonts w:ascii="Arial" w:hAnsi="Arial" w:cs="Arial"/>
        </w:rPr>
        <w:t>sent to landfill sites</w:t>
      </w:r>
      <w:r>
        <w:rPr>
          <w:rStyle w:val="normaltextrun"/>
          <w:rFonts w:ascii="Arial" w:hAnsi="Arial" w:cs="Arial"/>
        </w:rPr>
        <w:t xml:space="preserve"> continues to reduce</w:t>
      </w:r>
      <w:r w:rsidRPr="006A3ACB">
        <w:rPr>
          <w:rStyle w:val="normaltextrun"/>
          <w:rFonts w:ascii="Arial" w:hAnsi="Arial" w:cs="Arial"/>
        </w:rPr>
        <w:t>.</w:t>
      </w:r>
      <w:r>
        <w:rPr>
          <w:rStyle w:val="normaltextrun"/>
          <w:rFonts w:ascii="Arial" w:hAnsi="Arial" w:cs="Arial"/>
        </w:rPr>
        <w:t xml:space="preserve"> </w:t>
      </w:r>
      <w:r w:rsidRPr="006A3ACB">
        <w:rPr>
          <w:rStyle w:val="normaltextrun"/>
          <w:rFonts w:ascii="Arial" w:hAnsi="Arial" w:cs="Arial"/>
        </w:rPr>
        <w:t>This is a positive step for the protection of the environment. The reduction could</w:t>
      </w:r>
      <w:r>
        <w:rPr>
          <w:rStyle w:val="normaltextrun"/>
          <w:rFonts w:ascii="Arial" w:hAnsi="Arial" w:cs="Arial"/>
        </w:rPr>
        <w:t xml:space="preserve">, however, </w:t>
      </w:r>
      <w:r w:rsidRPr="006A3ACB">
        <w:rPr>
          <w:rStyle w:val="normaltextrun"/>
          <w:rFonts w:ascii="Arial" w:hAnsi="Arial" w:cs="Arial"/>
        </w:rPr>
        <w:t xml:space="preserve">create financial </w:t>
      </w:r>
      <w:r w:rsidRPr="00661EC5">
        <w:rPr>
          <w:rStyle w:val="normaltextrun"/>
          <w:rFonts w:ascii="Arial" w:eastAsiaTheme="minorEastAsia" w:hAnsi="Arial" w:cs="Arial"/>
        </w:rPr>
        <w:t xml:space="preserve">pressures for landfill operators, which might result in some landfill sites being abandoned. </w:t>
      </w:r>
    </w:p>
    <w:p w14:paraId="50C94A87"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0D05A40F" w14:textId="171BAD98" w:rsidR="00825615" w:rsidRPr="00661EC5" w:rsidRDefault="00825615" w:rsidP="00661EC5">
      <w:pPr>
        <w:pStyle w:val="paragraph"/>
        <w:spacing w:before="0" w:beforeAutospacing="0" w:after="0" w:afterAutospacing="0" w:line="360" w:lineRule="auto"/>
        <w:textAlignment w:val="baseline"/>
        <w:rPr>
          <w:rStyle w:val="normaltextrun"/>
          <w:rFonts w:ascii="Arial" w:eastAsiaTheme="minorEastAsia" w:hAnsi="Arial" w:cs="Arial"/>
        </w:rPr>
      </w:pPr>
      <w:r w:rsidRPr="006A3ACB">
        <w:rPr>
          <w:rStyle w:val="normaltextrun"/>
          <w:rFonts w:ascii="Arial" w:hAnsi="Arial" w:cs="Arial"/>
        </w:rPr>
        <w:t>Abandoned sites are expensive to remed</w:t>
      </w:r>
      <w:r w:rsidR="009A2010">
        <w:rPr>
          <w:rStyle w:val="normaltextrun"/>
          <w:rFonts w:ascii="Arial" w:hAnsi="Arial" w:cs="Arial"/>
        </w:rPr>
        <w:t>y and t</w:t>
      </w:r>
      <w:r w:rsidRPr="006A3ACB">
        <w:rPr>
          <w:rStyle w:val="normaltextrun"/>
          <w:rFonts w:ascii="Arial" w:hAnsi="Arial" w:cs="Arial"/>
        </w:rPr>
        <w:t>hey can also have a significant impact on the local community</w:t>
      </w:r>
      <w:r>
        <w:rPr>
          <w:rStyle w:val="normaltextrun"/>
          <w:rFonts w:ascii="Arial" w:hAnsi="Arial" w:cs="Arial"/>
        </w:rPr>
        <w:t xml:space="preserve"> and</w:t>
      </w:r>
      <w:r w:rsidRPr="006A3ACB">
        <w:rPr>
          <w:rStyle w:val="normaltextrun"/>
          <w:rFonts w:ascii="Arial" w:hAnsi="Arial" w:cs="Arial"/>
        </w:rPr>
        <w:t xml:space="preserve"> the environment. We are assessing landfill sites to determine where the greatest risk</w:t>
      </w:r>
      <w:r>
        <w:rPr>
          <w:rStyle w:val="normaltextrun"/>
          <w:rFonts w:ascii="Arial" w:hAnsi="Arial" w:cs="Arial"/>
        </w:rPr>
        <w:t>s</w:t>
      </w:r>
      <w:r w:rsidRPr="006A3ACB">
        <w:rPr>
          <w:rStyle w:val="normaltextrun"/>
          <w:rFonts w:ascii="Arial" w:hAnsi="Arial" w:cs="Arial"/>
        </w:rPr>
        <w:t xml:space="preserve"> </w:t>
      </w:r>
      <w:r>
        <w:rPr>
          <w:rStyle w:val="normaltextrun"/>
          <w:rFonts w:ascii="Arial" w:hAnsi="Arial" w:cs="Arial"/>
        </w:rPr>
        <w:t>are</w:t>
      </w:r>
      <w:r w:rsidRPr="006A3ACB">
        <w:rPr>
          <w:rStyle w:val="normaltextrun"/>
          <w:rFonts w:ascii="Arial" w:hAnsi="Arial" w:cs="Arial"/>
        </w:rPr>
        <w:t xml:space="preserve">. This will help operators understand the actions they need to take to </w:t>
      </w:r>
      <w:r w:rsidRPr="00661EC5">
        <w:rPr>
          <w:rStyle w:val="normaltextrun"/>
          <w:rFonts w:ascii="Arial" w:eastAsiaTheme="minorEastAsia" w:hAnsi="Arial" w:cs="Arial"/>
        </w:rPr>
        <w:t>mitigate the risks.</w:t>
      </w:r>
    </w:p>
    <w:p w14:paraId="218CCE9C"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2C738820" w14:textId="3C31B099" w:rsidR="00825615" w:rsidRPr="00661EC5" w:rsidRDefault="00825615" w:rsidP="00661EC5">
      <w:pPr>
        <w:pStyle w:val="paragraph"/>
        <w:spacing w:before="0" w:beforeAutospacing="0" w:after="0" w:afterAutospacing="0" w:line="360" w:lineRule="auto"/>
        <w:textAlignment w:val="baseline"/>
        <w:rPr>
          <w:rStyle w:val="normaltextrun"/>
          <w:rFonts w:ascii="Arial" w:hAnsi="Arial" w:cs="Arial"/>
          <w:b/>
          <w:bCs/>
        </w:rPr>
      </w:pPr>
      <w:r w:rsidRPr="00661EC5">
        <w:rPr>
          <w:rStyle w:val="normaltextrun"/>
          <w:rFonts w:ascii="Arial" w:hAnsi="Arial" w:cs="Arial"/>
          <w:b/>
          <w:bCs/>
        </w:rPr>
        <w:t xml:space="preserve">Information </w:t>
      </w:r>
    </w:p>
    <w:p w14:paraId="673A01B3" w14:textId="137CD44B" w:rsidR="00825615" w:rsidRPr="00661EC5" w:rsidRDefault="00825615" w:rsidP="00661EC5">
      <w:pPr>
        <w:pStyle w:val="paragraph"/>
        <w:spacing w:before="0" w:beforeAutospacing="0" w:after="0" w:afterAutospacing="0" w:line="360" w:lineRule="auto"/>
        <w:textAlignment w:val="baseline"/>
        <w:rPr>
          <w:rStyle w:val="normaltextrun"/>
          <w:rFonts w:ascii="Arial" w:eastAsiaTheme="minorEastAsia" w:hAnsi="Arial" w:cs="Arial"/>
        </w:rPr>
      </w:pPr>
      <w:r w:rsidRPr="00661EC5">
        <w:rPr>
          <w:rFonts w:ascii="Arial" w:hAnsi="Arial" w:cs="Arial"/>
        </w:rPr>
        <w:t xml:space="preserve">One of the biggest risks to any organisation is the inadvertent disclosure of sensitive data. </w:t>
      </w:r>
      <w:r w:rsidRPr="00661EC5">
        <w:rPr>
          <w:rStyle w:val="normaltextrun"/>
          <w:rFonts w:ascii="Arial" w:eastAsiaTheme="minorEastAsia" w:hAnsi="Arial" w:cs="Arial"/>
        </w:rPr>
        <w:t xml:space="preserve">The loss of control of sensitive data not only affects the organisation but also has an impact on the individuals involved. </w:t>
      </w:r>
    </w:p>
    <w:p w14:paraId="36E90B80"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37601435" w14:textId="256B0791" w:rsidR="00825615" w:rsidRPr="00661EC5" w:rsidRDefault="00825615" w:rsidP="00661EC5">
      <w:pPr>
        <w:pStyle w:val="paragraph"/>
        <w:spacing w:before="0" w:beforeAutospacing="0" w:after="0" w:afterAutospacing="0" w:line="360" w:lineRule="auto"/>
        <w:textAlignment w:val="baseline"/>
        <w:rPr>
          <w:rStyle w:val="normaltextrun"/>
          <w:rFonts w:ascii="Arial" w:eastAsiaTheme="minorEastAsia" w:hAnsi="Arial" w:cs="Arial"/>
        </w:rPr>
      </w:pPr>
      <w:r w:rsidRPr="00661EC5">
        <w:rPr>
          <w:rFonts w:ascii="Arial" w:hAnsi="Arial" w:cs="Arial"/>
        </w:rPr>
        <w:t xml:space="preserve">We classify the information that we hold according to sensitivity. We have put different levels of control in place according to sensitivity to ensure that our most sensitive </w:t>
      </w:r>
      <w:r w:rsidRPr="00661EC5">
        <w:rPr>
          <w:rStyle w:val="normaltextrun"/>
          <w:rFonts w:ascii="Arial" w:eastAsiaTheme="minorEastAsia" w:hAnsi="Arial" w:cs="Arial"/>
        </w:rPr>
        <w:t xml:space="preserve">information is protected. </w:t>
      </w:r>
    </w:p>
    <w:p w14:paraId="160E05E4"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7BF40978" w14:textId="3304C8DB" w:rsidR="00825615" w:rsidRPr="00661EC5" w:rsidRDefault="00825615" w:rsidP="00661EC5">
      <w:pPr>
        <w:pStyle w:val="paragraph"/>
        <w:spacing w:before="0" w:beforeAutospacing="0" w:after="0" w:afterAutospacing="0" w:line="360" w:lineRule="auto"/>
        <w:textAlignment w:val="baseline"/>
        <w:rPr>
          <w:rFonts w:ascii="Arial" w:hAnsi="Arial" w:cs="Arial"/>
        </w:rPr>
      </w:pPr>
      <w:r w:rsidRPr="00661EC5">
        <w:rPr>
          <w:rStyle w:val="normaltextrun"/>
          <w:rFonts w:ascii="Arial" w:eastAsiaTheme="minorEastAsia" w:hAnsi="Arial" w:cs="Arial"/>
        </w:rPr>
        <w:t>We are working to modernise our approach to information management. We have solved</w:t>
      </w:r>
      <w:r w:rsidRPr="00661EC5">
        <w:rPr>
          <w:rFonts w:ascii="Arial" w:hAnsi="Arial" w:cs="Arial"/>
        </w:rPr>
        <w:t xml:space="preserve"> some long-standing information challenges and developed guidance and training to help staff manage information securely. </w:t>
      </w:r>
    </w:p>
    <w:p w14:paraId="697F5940" w14:textId="77777777" w:rsidR="00661EC5" w:rsidRPr="00661EC5" w:rsidRDefault="00661EC5" w:rsidP="00661EC5">
      <w:pPr>
        <w:pStyle w:val="paragraph"/>
        <w:spacing w:before="0" w:beforeAutospacing="0" w:after="0" w:afterAutospacing="0" w:line="360" w:lineRule="auto"/>
        <w:textAlignment w:val="baseline"/>
        <w:rPr>
          <w:rStyle w:val="normaltextrun"/>
          <w:rFonts w:ascii="Arial" w:eastAsiaTheme="minorEastAsia" w:hAnsi="Arial" w:cs="Arial"/>
        </w:rPr>
      </w:pPr>
    </w:p>
    <w:p w14:paraId="5C1C4717" w14:textId="4E2DF1B6" w:rsidR="00825615" w:rsidRPr="00661EC5" w:rsidRDefault="00825615" w:rsidP="00661EC5">
      <w:pPr>
        <w:pStyle w:val="paragraph"/>
        <w:spacing w:before="0" w:beforeAutospacing="0" w:after="0" w:afterAutospacing="0" w:line="360" w:lineRule="auto"/>
        <w:textAlignment w:val="baseline"/>
        <w:rPr>
          <w:rStyle w:val="normaltextrun"/>
          <w:rFonts w:ascii="Arial" w:hAnsi="Arial" w:cs="Arial"/>
          <w:b/>
          <w:bCs/>
        </w:rPr>
      </w:pPr>
      <w:r w:rsidRPr="00661EC5">
        <w:rPr>
          <w:rStyle w:val="normaltextrun"/>
          <w:rFonts w:ascii="Arial" w:hAnsi="Arial" w:cs="Arial"/>
          <w:b/>
          <w:bCs/>
        </w:rPr>
        <w:t>Gauging stations</w:t>
      </w:r>
    </w:p>
    <w:p w14:paraId="43E018FE" w14:textId="15F504BF" w:rsidR="00825615" w:rsidRDefault="00825615" w:rsidP="00661EC5">
      <w:pPr>
        <w:spacing w:line="360" w:lineRule="auto"/>
        <w:rPr>
          <w:rFonts w:ascii="Arial" w:hAnsi="Arial" w:cs="Arial"/>
        </w:rPr>
      </w:pPr>
      <w:r w:rsidRPr="00A75370">
        <w:rPr>
          <w:rFonts w:ascii="Arial" w:hAnsi="Arial" w:cs="Arial"/>
        </w:rPr>
        <w:t xml:space="preserve">We rely on information from 345 essential gauging stations and rain gauges for our flood warning services. We have an annual maintenance programme to ensure that they are all functioning when we need them. </w:t>
      </w:r>
      <w:r>
        <w:rPr>
          <w:rFonts w:ascii="Arial" w:hAnsi="Arial" w:cs="Arial"/>
        </w:rPr>
        <w:t>W</w:t>
      </w:r>
      <w:r w:rsidRPr="00A75370">
        <w:rPr>
          <w:rFonts w:ascii="Arial" w:hAnsi="Arial" w:cs="Arial"/>
        </w:rPr>
        <w:t>e d</w:t>
      </w:r>
      <w:r>
        <w:rPr>
          <w:rFonts w:ascii="Arial" w:hAnsi="Arial" w:cs="Arial"/>
        </w:rPr>
        <w:t>o</w:t>
      </w:r>
      <w:r w:rsidRPr="00A75370">
        <w:rPr>
          <w:rFonts w:ascii="Arial" w:hAnsi="Arial" w:cs="Arial"/>
        </w:rPr>
        <w:t xml:space="preserve"> not </w:t>
      </w:r>
      <w:r>
        <w:rPr>
          <w:rFonts w:ascii="Arial" w:hAnsi="Arial" w:cs="Arial"/>
        </w:rPr>
        <w:t xml:space="preserve">currently have </w:t>
      </w:r>
      <w:r w:rsidRPr="00A75370">
        <w:rPr>
          <w:rFonts w:ascii="Arial" w:hAnsi="Arial" w:cs="Arial"/>
        </w:rPr>
        <w:t xml:space="preserve">formal agreements </w:t>
      </w:r>
      <w:r>
        <w:rPr>
          <w:rFonts w:ascii="Arial" w:hAnsi="Arial" w:cs="Arial"/>
        </w:rPr>
        <w:t>in place for all</w:t>
      </w:r>
      <w:r w:rsidRPr="00A75370">
        <w:rPr>
          <w:rFonts w:ascii="Arial" w:hAnsi="Arial" w:cs="Arial"/>
        </w:rPr>
        <w:t xml:space="preserve"> sites, which </w:t>
      </w:r>
      <w:r>
        <w:rPr>
          <w:rFonts w:ascii="Arial" w:hAnsi="Arial" w:cs="Arial"/>
        </w:rPr>
        <w:t xml:space="preserve">means there could be </w:t>
      </w:r>
      <w:r w:rsidRPr="00A75370">
        <w:rPr>
          <w:rFonts w:ascii="Arial" w:hAnsi="Arial" w:cs="Arial"/>
        </w:rPr>
        <w:t>difficulties gaining access to maintain them.</w:t>
      </w:r>
    </w:p>
    <w:p w14:paraId="73C3D5D8" w14:textId="77777777" w:rsidR="00661EC5" w:rsidRPr="00A75370" w:rsidRDefault="00661EC5" w:rsidP="00661EC5">
      <w:pPr>
        <w:spacing w:line="360" w:lineRule="auto"/>
        <w:rPr>
          <w:rFonts w:ascii="Arial" w:hAnsi="Arial" w:cs="Arial"/>
        </w:rPr>
      </w:pPr>
    </w:p>
    <w:p w14:paraId="072BA7BC" w14:textId="77777777" w:rsidR="00825615" w:rsidRPr="00A75370" w:rsidRDefault="00825615" w:rsidP="00661EC5">
      <w:pPr>
        <w:spacing w:line="360" w:lineRule="auto"/>
        <w:rPr>
          <w:rFonts w:ascii="Arial" w:hAnsi="Arial" w:cs="Arial"/>
        </w:rPr>
      </w:pPr>
      <w:r>
        <w:rPr>
          <w:rFonts w:ascii="Arial" w:hAnsi="Arial" w:cs="Arial"/>
        </w:rPr>
        <w:t>Over the last</w:t>
      </w:r>
      <w:r w:rsidRPr="00A75370">
        <w:rPr>
          <w:rFonts w:ascii="Arial" w:hAnsi="Arial" w:cs="Arial"/>
        </w:rPr>
        <w:t xml:space="preserve"> year, we have continued</w:t>
      </w:r>
      <w:r>
        <w:rPr>
          <w:rFonts w:ascii="Arial" w:hAnsi="Arial" w:cs="Arial"/>
        </w:rPr>
        <w:t xml:space="preserve"> to </w:t>
      </w:r>
      <w:r w:rsidRPr="00A75370">
        <w:rPr>
          <w:rFonts w:ascii="Arial" w:hAnsi="Arial" w:cs="Arial"/>
        </w:rPr>
        <w:t>put in place robust and consistent lease agreements for new and existing sites. We are also in</w:t>
      </w:r>
      <w:r>
        <w:rPr>
          <w:rFonts w:ascii="Arial" w:hAnsi="Arial" w:cs="Arial"/>
        </w:rPr>
        <w:t xml:space="preserve"> the</w:t>
      </w:r>
      <w:r w:rsidRPr="00A75370">
        <w:rPr>
          <w:rFonts w:ascii="Arial" w:hAnsi="Arial" w:cs="Arial"/>
        </w:rPr>
        <w:t xml:space="preserve"> late stages of developing processes to allow us to use our powers under the Flood Risk Management (Scotland) Act 2009</w:t>
      </w:r>
      <w:r>
        <w:rPr>
          <w:rFonts w:ascii="Arial" w:hAnsi="Arial" w:cs="Arial"/>
        </w:rPr>
        <w:t>. This</w:t>
      </w:r>
      <w:r w:rsidRPr="00A75370">
        <w:rPr>
          <w:rFonts w:ascii="Arial" w:hAnsi="Arial" w:cs="Arial"/>
        </w:rPr>
        <w:t xml:space="preserve"> will allow us to access any gauging station site for emergency repairs and maintenance. </w:t>
      </w:r>
    </w:p>
    <w:p w14:paraId="452E6979" w14:textId="77777777" w:rsidR="00731E43" w:rsidRPr="00982D91" w:rsidRDefault="00731E43" w:rsidP="00661EC5">
      <w:pPr>
        <w:tabs>
          <w:tab w:val="left" w:pos="1418"/>
        </w:tabs>
        <w:autoSpaceDE w:val="0"/>
        <w:autoSpaceDN w:val="0"/>
        <w:adjustRightInd w:val="0"/>
        <w:spacing w:line="360" w:lineRule="auto"/>
        <w:ind w:right="-425"/>
        <w:rPr>
          <w:rFonts w:ascii="Arial" w:hAnsi="Arial" w:cs="Arial"/>
        </w:rPr>
      </w:pPr>
    </w:p>
    <w:p w14:paraId="098D95BC" w14:textId="2AC2CFCA" w:rsidR="0081542E" w:rsidRPr="00CF606D" w:rsidRDefault="00E342DF" w:rsidP="001D6E42">
      <w:pPr>
        <w:pStyle w:val="01bSubheader"/>
        <w:numPr>
          <w:ilvl w:val="2"/>
          <w:numId w:val="34"/>
        </w:numPr>
        <w:ind w:left="567" w:hanging="567"/>
      </w:pPr>
      <w:bookmarkStart w:id="18" w:name="_Toc119068076"/>
      <w:r w:rsidRPr="00CF606D">
        <w:t>Performance scorecard</w:t>
      </w:r>
      <w:bookmarkEnd w:id="18"/>
    </w:p>
    <w:p w14:paraId="03AAB479" w14:textId="77777777" w:rsidR="005E3BF6" w:rsidRDefault="005E3BF6" w:rsidP="003E2F25">
      <w:pPr>
        <w:pStyle w:val="ListParagraph"/>
        <w:spacing w:line="360" w:lineRule="auto"/>
        <w:ind w:left="360"/>
        <w:jc w:val="both"/>
        <w:rPr>
          <w:rFonts w:ascii="Arial" w:hAnsi="Arial" w:cs="Arial"/>
        </w:rPr>
      </w:pPr>
    </w:p>
    <w:p w14:paraId="4A05FC85" w14:textId="2952BBA4" w:rsidR="002E40B5" w:rsidRDefault="002E40B5" w:rsidP="002E40B5">
      <w:pPr>
        <w:spacing w:line="360" w:lineRule="auto"/>
        <w:rPr>
          <w:rFonts w:ascii="Arial" w:eastAsiaTheme="majorEastAsia" w:hAnsi="Arial" w:cs="Arial"/>
          <w:bCs/>
          <w:color w:val="000000" w:themeColor="text1"/>
        </w:rPr>
      </w:pPr>
      <w:r w:rsidRPr="000B4D25">
        <w:rPr>
          <w:rFonts w:ascii="Arial" w:hAnsi="Arial" w:cs="Arial"/>
        </w:rPr>
        <w:t>In July 202</w:t>
      </w:r>
      <w:r>
        <w:rPr>
          <w:rFonts w:ascii="Arial" w:hAnsi="Arial" w:cs="Arial"/>
        </w:rPr>
        <w:t>1,</w:t>
      </w:r>
      <w:r w:rsidRPr="000B4D25">
        <w:rPr>
          <w:rFonts w:ascii="Arial" w:hAnsi="Arial" w:cs="Arial"/>
        </w:rPr>
        <w:t xml:space="preserve"> </w:t>
      </w:r>
      <w:r>
        <w:rPr>
          <w:rFonts w:ascii="Arial" w:hAnsi="Arial" w:cs="Arial"/>
        </w:rPr>
        <w:t xml:space="preserve">the </w:t>
      </w:r>
      <w:r w:rsidRPr="000B4D25">
        <w:rPr>
          <w:rFonts w:ascii="Arial" w:hAnsi="Arial" w:cs="Arial"/>
        </w:rPr>
        <w:t xml:space="preserve">Board approved </w:t>
      </w:r>
      <w:r>
        <w:rPr>
          <w:rFonts w:ascii="Arial" w:hAnsi="Arial" w:cs="Arial"/>
        </w:rPr>
        <w:t>our Annu</w:t>
      </w:r>
      <w:r w:rsidRPr="000B4D25">
        <w:rPr>
          <w:rFonts w:ascii="Arial" w:hAnsi="Arial" w:cs="Arial"/>
        </w:rPr>
        <w:t>a</w:t>
      </w:r>
      <w:r>
        <w:rPr>
          <w:rFonts w:ascii="Arial" w:hAnsi="Arial" w:cs="Arial"/>
        </w:rPr>
        <w:t xml:space="preserve">l Operating Plan for </w:t>
      </w:r>
      <w:r w:rsidR="000845C9">
        <w:rPr>
          <w:rFonts w:ascii="Arial" w:hAnsi="Arial" w:cs="Arial"/>
        </w:rPr>
        <w:t>2021/2022</w:t>
      </w:r>
      <w:r>
        <w:rPr>
          <w:rFonts w:ascii="Arial" w:hAnsi="Arial" w:cs="Arial"/>
        </w:rPr>
        <w:t xml:space="preserve">. The plan was organised around our two external services which are </w:t>
      </w:r>
      <w:r w:rsidRPr="00946091">
        <w:rPr>
          <w:rFonts w:ascii="Arial" w:eastAsiaTheme="majorEastAsia" w:hAnsi="Arial" w:cs="Arial"/>
          <w:bCs/>
          <w:color w:val="000000" w:themeColor="text1"/>
        </w:rPr>
        <w:t>Regulation</w:t>
      </w:r>
      <w:r>
        <w:rPr>
          <w:rFonts w:ascii="Arial" w:eastAsiaTheme="majorEastAsia" w:hAnsi="Arial" w:cs="Arial"/>
          <w:bCs/>
          <w:color w:val="000000" w:themeColor="text1"/>
        </w:rPr>
        <w:t xml:space="preserve"> and </w:t>
      </w:r>
      <w:r w:rsidRPr="00946091">
        <w:rPr>
          <w:rFonts w:ascii="Arial" w:eastAsiaTheme="majorEastAsia" w:hAnsi="Arial" w:cs="Arial"/>
          <w:bCs/>
          <w:color w:val="000000" w:themeColor="text1"/>
        </w:rPr>
        <w:t>Flooding</w:t>
      </w:r>
      <w:r>
        <w:rPr>
          <w:rFonts w:ascii="Arial" w:eastAsiaTheme="majorEastAsia" w:hAnsi="Arial" w:cs="Arial"/>
          <w:bCs/>
          <w:color w:val="000000" w:themeColor="text1"/>
        </w:rPr>
        <w:t>, with a third section to cover our C</w:t>
      </w:r>
      <w:r w:rsidRPr="00946091">
        <w:rPr>
          <w:rFonts w:ascii="Arial" w:eastAsiaTheme="majorEastAsia" w:hAnsi="Arial" w:cs="Arial"/>
          <w:bCs/>
          <w:color w:val="000000" w:themeColor="text1"/>
        </w:rPr>
        <w:t>orporate</w:t>
      </w:r>
      <w:r>
        <w:rPr>
          <w:rFonts w:ascii="Arial" w:eastAsiaTheme="majorEastAsia" w:hAnsi="Arial" w:cs="Arial"/>
          <w:bCs/>
          <w:color w:val="000000" w:themeColor="text1"/>
        </w:rPr>
        <w:t xml:space="preserve"> services</w:t>
      </w:r>
      <w:r w:rsidRPr="00946091">
        <w:rPr>
          <w:rFonts w:ascii="Arial" w:eastAsiaTheme="majorEastAsia" w:hAnsi="Arial" w:cs="Arial"/>
          <w:bCs/>
          <w:color w:val="000000" w:themeColor="text1"/>
        </w:rPr>
        <w:t xml:space="preserve">. In each section we </w:t>
      </w:r>
      <w:r>
        <w:rPr>
          <w:rFonts w:ascii="Arial" w:eastAsiaTheme="majorEastAsia" w:hAnsi="Arial" w:cs="Arial"/>
          <w:bCs/>
          <w:color w:val="000000" w:themeColor="text1"/>
        </w:rPr>
        <w:t>noted</w:t>
      </w:r>
      <w:r w:rsidRPr="00946091">
        <w:rPr>
          <w:rFonts w:ascii="Arial" w:eastAsiaTheme="majorEastAsia" w:hAnsi="Arial" w:cs="Arial"/>
          <w:bCs/>
          <w:color w:val="000000" w:themeColor="text1"/>
        </w:rPr>
        <w:t xml:space="preserve"> the priorities for t</w:t>
      </w:r>
      <w:r>
        <w:rPr>
          <w:rFonts w:ascii="Arial" w:eastAsiaTheme="majorEastAsia" w:hAnsi="Arial" w:cs="Arial"/>
          <w:bCs/>
          <w:color w:val="000000" w:themeColor="text1"/>
        </w:rPr>
        <w:t>he</w:t>
      </w:r>
      <w:r w:rsidRPr="00946091">
        <w:rPr>
          <w:rFonts w:ascii="Arial" w:eastAsiaTheme="majorEastAsia" w:hAnsi="Arial" w:cs="Arial"/>
          <w:bCs/>
          <w:color w:val="000000" w:themeColor="text1"/>
        </w:rPr>
        <w:t xml:space="preserve"> year, the key activities and the measures and targets that we </w:t>
      </w:r>
      <w:r>
        <w:rPr>
          <w:rFonts w:ascii="Arial" w:eastAsiaTheme="majorEastAsia" w:hAnsi="Arial" w:cs="Arial"/>
          <w:bCs/>
          <w:color w:val="000000" w:themeColor="text1"/>
        </w:rPr>
        <w:t xml:space="preserve">would </w:t>
      </w:r>
      <w:r w:rsidRPr="00946091">
        <w:rPr>
          <w:rFonts w:ascii="Arial" w:eastAsiaTheme="majorEastAsia" w:hAnsi="Arial" w:cs="Arial"/>
          <w:bCs/>
          <w:color w:val="000000" w:themeColor="text1"/>
        </w:rPr>
        <w:t>use to help us stay on track.</w:t>
      </w:r>
      <w:r>
        <w:rPr>
          <w:rFonts w:ascii="Arial" w:eastAsiaTheme="majorEastAsia" w:hAnsi="Arial" w:cs="Arial"/>
          <w:bCs/>
          <w:color w:val="000000" w:themeColor="text1"/>
        </w:rPr>
        <w:t xml:space="preserve"> The plan also included a set of corporate performance measures.</w:t>
      </w:r>
    </w:p>
    <w:p w14:paraId="5E16D296" w14:textId="77777777" w:rsidR="002E40B5" w:rsidRDefault="002E40B5" w:rsidP="002E40B5">
      <w:pPr>
        <w:spacing w:line="360" w:lineRule="auto"/>
        <w:rPr>
          <w:rFonts w:ascii="Arial" w:eastAsiaTheme="majorEastAsia" w:hAnsi="Arial" w:cs="Arial"/>
          <w:bCs/>
          <w:color w:val="000000" w:themeColor="text1"/>
        </w:rPr>
      </w:pPr>
    </w:p>
    <w:p w14:paraId="62B55341" w14:textId="2C99B88F" w:rsidR="002E40B5" w:rsidRDefault="002E40B5" w:rsidP="002E40B5">
      <w:pPr>
        <w:spacing w:line="360" w:lineRule="auto"/>
        <w:rPr>
          <w:rFonts w:ascii="Arial" w:eastAsiaTheme="majorEastAsia" w:hAnsi="Arial" w:cs="Arial"/>
          <w:bCs/>
          <w:color w:val="000000" w:themeColor="text1"/>
        </w:rPr>
      </w:pPr>
      <w:r>
        <w:rPr>
          <w:rFonts w:ascii="Arial" w:eastAsiaTheme="majorEastAsia" w:hAnsi="Arial" w:cs="Arial"/>
          <w:bCs/>
          <w:color w:val="000000" w:themeColor="text1"/>
        </w:rPr>
        <w:t>To help provide reassurance that our recovery from the cyber-attack was on track, we initially produced monthly performance reports. At the start of 2022 we reverted to quarterly reporting.</w:t>
      </w:r>
    </w:p>
    <w:p w14:paraId="204A074A" w14:textId="77777777" w:rsidR="002E40B5" w:rsidRDefault="002E40B5" w:rsidP="002E40B5">
      <w:pPr>
        <w:spacing w:line="360" w:lineRule="auto"/>
        <w:rPr>
          <w:rFonts w:ascii="Arial" w:eastAsiaTheme="majorEastAsia" w:hAnsi="Arial" w:cs="Arial"/>
          <w:bCs/>
          <w:color w:val="000000" w:themeColor="text1"/>
        </w:rPr>
      </w:pPr>
    </w:p>
    <w:p w14:paraId="6147D5C1" w14:textId="22348553" w:rsidR="002E40B5" w:rsidRDefault="002E40B5" w:rsidP="002E40B5">
      <w:pPr>
        <w:spacing w:line="360" w:lineRule="auto"/>
        <w:rPr>
          <w:rFonts w:ascii="Arial" w:hAnsi="Arial" w:cs="Arial"/>
          <w:color w:val="000000" w:themeColor="text1"/>
        </w:rPr>
      </w:pPr>
      <w:r>
        <w:rPr>
          <w:rFonts w:ascii="Arial" w:eastAsiaTheme="majorEastAsia" w:hAnsi="Arial" w:cs="Arial"/>
          <w:bCs/>
          <w:color w:val="000000" w:themeColor="text1"/>
        </w:rPr>
        <w:t xml:space="preserve">The dashboard </w:t>
      </w:r>
      <w:r w:rsidR="006E5E7A">
        <w:rPr>
          <w:rFonts w:ascii="Arial" w:eastAsiaTheme="majorEastAsia" w:hAnsi="Arial" w:cs="Arial"/>
          <w:bCs/>
          <w:color w:val="000000" w:themeColor="text1"/>
        </w:rPr>
        <w:t>below</w:t>
      </w:r>
      <w:r>
        <w:rPr>
          <w:rFonts w:ascii="Arial" w:eastAsiaTheme="majorEastAsia" w:hAnsi="Arial" w:cs="Arial"/>
          <w:bCs/>
          <w:color w:val="000000" w:themeColor="text1"/>
        </w:rPr>
        <w:t xml:space="preserve"> shows a summary of our performance over the year and the </w:t>
      </w:r>
      <w:r w:rsidRPr="00946091">
        <w:rPr>
          <w:rFonts w:ascii="Arial" w:hAnsi="Arial" w:cs="Arial"/>
          <w:color w:val="000000" w:themeColor="text1"/>
        </w:rPr>
        <w:t xml:space="preserve">Performance Analysis section </w:t>
      </w:r>
      <w:r>
        <w:rPr>
          <w:rFonts w:ascii="Arial" w:hAnsi="Arial" w:cs="Arial"/>
          <w:color w:val="000000" w:themeColor="text1"/>
        </w:rPr>
        <w:t>that follows provides</w:t>
      </w:r>
      <w:r w:rsidRPr="00946091">
        <w:rPr>
          <w:rFonts w:ascii="Arial" w:hAnsi="Arial" w:cs="Arial"/>
          <w:color w:val="000000" w:themeColor="text1"/>
        </w:rPr>
        <w:t xml:space="preserve"> </w:t>
      </w:r>
      <w:r>
        <w:rPr>
          <w:rFonts w:ascii="Arial" w:hAnsi="Arial" w:cs="Arial"/>
          <w:color w:val="000000" w:themeColor="text1"/>
        </w:rPr>
        <w:t>more information about our progress with each performance measure.</w:t>
      </w:r>
    </w:p>
    <w:p w14:paraId="4DA34174" w14:textId="6393C3A8" w:rsidR="00DF4CD8" w:rsidRDefault="00DF4CD8" w:rsidP="002E40B5">
      <w:pPr>
        <w:spacing w:line="360" w:lineRule="auto"/>
        <w:rPr>
          <w:rFonts w:ascii="Arial" w:hAnsi="Arial" w:cs="Arial"/>
          <w:color w:val="000000" w:themeColor="text1"/>
        </w:rPr>
      </w:pPr>
      <w:r>
        <w:rPr>
          <w:rFonts w:ascii="Arial" w:hAnsi="Arial" w:cs="Arial"/>
          <w:color w:val="000000" w:themeColor="text1"/>
        </w:rPr>
        <w:br w:type="page"/>
      </w:r>
    </w:p>
    <w:p w14:paraId="15A0A3C2" w14:textId="22594433" w:rsidR="00DF4CD8" w:rsidRPr="00DF4CD8" w:rsidRDefault="00DF4CD8" w:rsidP="00DF4CD8">
      <w:pPr>
        <w:pStyle w:val="paragraph"/>
        <w:spacing w:before="0" w:beforeAutospacing="0" w:after="0" w:afterAutospacing="0" w:line="360" w:lineRule="auto"/>
        <w:textAlignment w:val="baseline"/>
        <w:rPr>
          <w:rStyle w:val="normaltextrun"/>
          <w:b/>
          <w:bCs/>
        </w:rPr>
      </w:pPr>
      <w:r w:rsidRPr="00DF4CD8">
        <w:rPr>
          <w:rStyle w:val="normaltextrun"/>
          <w:rFonts w:ascii="Arial" w:hAnsi="Arial" w:cs="Arial"/>
          <w:b/>
          <w:bCs/>
        </w:rPr>
        <w:lastRenderedPageBreak/>
        <w:t>Performance dashboard</w:t>
      </w:r>
    </w:p>
    <w:tbl>
      <w:tblPr>
        <w:tblW w:w="5122" w:type="pct"/>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485"/>
        <w:gridCol w:w="7702"/>
        <w:gridCol w:w="1771"/>
      </w:tblGrid>
      <w:tr w:rsidR="00DF4CD8" w:rsidRPr="00A81B0C" w14:paraId="6471CCDF" w14:textId="77777777" w:rsidTr="00A5243D">
        <w:trPr>
          <w:trHeight w:val="825"/>
          <w:tblHeader/>
        </w:trPr>
        <w:tc>
          <w:tcPr>
            <w:tcW w:w="4111" w:type="pct"/>
            <w:gridSpan w:val="2"/>
            <w:tcBorders>
              <w:top w:val="single" w:sz="24" w:space="0" w:color="00526F"/>
              <w:left w:val="single" w:sz="24" w:space="0" w:color="00526F"/>
              <w:bottom w:val="single" w:sz="24" w:space="0" w:color="00526F"/>
              <w:right w:val="single" w:sz="24" w:space="0" w:color="00526F"/>
            </w:tcBorders>
          </w:tcPr>
          <w:p w14:paraId="0D9B4A71" w14:textId="77777777" w:rsidR="00DF4CD8" w:rsidRPr="00DF4CD8" w:rsidRDefault="00DF4CD8" w:rsidP="00CF1904">
            <w:pPr>
              <w:spacing w:line="360" w:lineRule="auto"/>
              <w:textAlignment w:val="baseline"/>
              <w:rPr>
                <w:rFonts w:ascii="Arial" w:hAnsi="Arial" w:cs="Arial"/>
                <w:b/>
                <w:bCs/>
                <w:color w:val="000000"/>
              </w:rPr>
            </w:pPr>
            <w:r w:rsidRPr="00DF4CD8">
              <w:rPr>
                <w:rFonts w:ascii="Arial" w:hAnsi="Arial" w:cs="Arial"/>
                <w:b/>
                <w:bCs/>
                <w:color w:val="000000"/>
              </w:rPr>
              <w:t>Performance measure</w:t>
            </w:r>
          </w:p>
        </w:tc>
        <w:tc>
          <w:tcPr>
            <w:tcW w:w="889" w:type="pct"/>
            <w:tcBorders>
              <w:top w:val="single" w:sz="24" w:space="0" w:color="00526F"/>
              <w:left w:val="single" w:sz="6" w:space="0" w:color="00526F"/>
              <w:bottom w:val="single" w:sz="24" w:space="0" w:color="00526F"/>
              <w:right w:val="single" w:sz="24" w:space="0" w:color="00526F"/>
            </w:tcBorders>
            <w:vAlign w:val="center"/>
          </w:tcPr>
          <w:p w14:paraId="19837D7C" w14:textId="77777777" w:rsidR="00DF4CD8" w:rsidRPr="00DF4CD8" w:rsidRDefault="00DF4CD8" w:rsidP="00CF1904">
            <w:pPr>
              <w:spacing w:line="360" w:lineRule="auto"/>
              <w:jc w:val="center"/>
              <w:textAlignment w:val="baseline"/>
              <w:rPr>
                <w:rFonts w:ascii="Arial" w:hAnsi="Arial" w:cs="Arial"/>
                <w:b/>
                <w:bCs/>
                <w:color w:val="000000"/>
              </w:rPr>
            </w:pPr>
            <w:r w:rsidRPr="00DF4CD8">
              <w:rPr>
                <w:rFonts w:ascii="Arial" w:hAnsi="Arial" w:cs="Arial"/>
                <w:b/>
                <w:bCs/>
                <w:color w:val="000000"/>
              </w:rPr>
              <w:t>Achieved/Not Achieved</w:t>
            </w:r>
          </w:p>
        </w:tc>
      </w:tr>
      <w:tr w:rsidR="00F5418E" w:rsidRPr="00A81B0C" w14:paraId="6E87D72D" w14:textId="77777777" w:rsidTr="00A5243D">
        <w:trPr>
          <w:trHeight w:val="412"/>
        </w:trPr>
        <w:tc>
          <w:tcPr>
            <w:tcW w:w="5000" w:type="pct"/>
            <w:gridSpan w:val="3"/>
            <w:tcBorders>
              <w:top w:val="single" w:sz="24" w:space="0" w:color="00526F"/>
              <w:left w:val="single" w:sz="24" w:space="0" w:color="00526F"/>
              <w:bottom w:val="single" w:sz="24" w:space="0" w:color="00526F"/>
              <w:right w:val="single" w:sz="24" w:space="0" w:color="00526F"/>
            </w:tcBorders>
            <w:shd w:val="clear" w:color="auto" w:fill="EAF1DD"/>
          </w:tcPr>
          <w:p w14:paraId="7CCD6425" w14:textId="77777777" w:rsidR="00F5418E" w:rsidRPr="00F86C07" w:rsidRDefault="00F5418E" w:rsidP="00CF1904">
            <w:pPr>
              <w:spacing w:line="360" w:lineRule="auto"/>
              <w:textAlignment w:val="baseline"/>
              <w:rPr>
                <w:rFonts w:ascii="Arial" w:hAnsi="Arial" w:cs="Arial"/>
                <w:color w:val="000000"/>
              </w:rPr>
            </w:pPr>
            <w:r w:rsidRPr="00F86C07">
              <w:rPr>
                <w:rFonts w:ascii="Arial" w:hAnsi="Arial" w:cs="Arial"/>
                <w:color w:val="000000"/>
              </w:rPr>
              <w:t>Regulation</w:t>
            </w:r>
          </w:p>
        </w:tc>
      </w:tr>
      <w:tr w:rsidR="00F5418E" w:rsidRPr="00BC10A1" w14:paraId="4F4020E0" w14:textId="77777777" w:rsidTr="004E4B71">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6C56BD60"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1 </w:t>
            </w:r>
          </w:p>
        </w:tc>
        <w:tc>
          <w:tcPr>
            <w:tcW w:w="3867" w:type="pct"/>
            <w:tcBorders>
              <w:top w:val="single" w:sz="24" w:space="0" w:color="00526F"/>
              <w:left w:val="single" w:sz="24" w:space="0" w:color="00526F"/>
              <w:bottom w:val="single" w:sz="24" w:space="0" w:color="00526F"/>
              <w:right w:val="single" w:sz="24" w:space="0" w:color="00526F"/>
            </w:tcBorders>
            <w:hideMark/>
          </w:tcPr>
          <w:p w14:paraId="56ABF898" w14:textId="33FEEBE9"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All permitting determinations completed within statutory timelines by March 2022</w:t>
            </w:r>
            <w:r w:rsidR="00705798">
              <w:rPr>
                <w:rFonts w:ascii="Arial" w:hAnsi="Arial" w:cs="Arial"/>
                <w:color w:val="000000"/>
              </w:rPr>
              <w:t>.</w:t>
            </w:r>
            <w:r w:rsidRPr="00201CAE">
              <w:rPr>
                <w:rFonts w:ascii="Arial" w:hAnsi="Arial" w:cs="Arial"/>
                <w:color w:val="000000"/>
              </w:rPr>
              <w:t>  </w:t>
            </w:r>
          </w:p>
        </w:tc>
        <w:tc>
          <w:tcPr>
            <w:tcW w:w="889" w:type="pct"/>
            <w:tcBorders>
              <w:top w:val="single" w:sz="24" w:space="0" w:color="00526F"/>
              <w:bottom w:val="single" w:sz="24" w:space="0" w:color="00526F"/>
              <w:right w:val="single" w:sz="24" w:space="0" w:color="00526F"/>
            </w:tcBorders>
            <w:shd w:val="clear" w:color="auto" w:fill="DB4325"/>
            <w:vAlign w:val="center"/>
          </w:tcPr>
          <w:p w14:paraId="1E6CCEA4" w14:textId="77777777" w:rsidR="00F5418E" w:rsidRPr="00BC10A1" w:rsidRDefault="00F5418E" w:rsidP="00CF1904">
            <w:pPr>
              <w:spacing w:line="360" w:lineRule="auto"/>
              <w:jc w:val="center"/>
              <w:textAlignment w:val="baseline"/>
              <w:rPr>
                <w:rFonts w:ascii="Arial" w:hAnsi="Arial" w:cs="Arial"/>
                <w:highlight w:val="yellow"/>
              </w:rPr>
            </w:pPr>
            <w:r>
              <w:rPr>
                <w:rFonts w:ascii="Arial" w:hAnsi="Arial" w:cs="Arial"/>
              </w:rPr>
              <w:t>Near miss</w:t>
            </w:r>
          </w:p>
        </w:tc>
      </w:tr>
      <w:tr w:rsidR="00F5418E" w:rsidRPr="00BC10A1" w14:paraId="6A2790F2" w14:textId="77777777" w:rsidTr="0035675F">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6A3A0D29"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2 </w:t>
            </w:r>
          </w:p>
        </w:tc>
        <w:tc>
          <w:tcPr>
            <w:tcW w:w="3867" w:type="pct"/>
            <w:tcBorders>
              <w:top w:val="single" w:sz="24" w:space="0" w:color="00526F"/>
              <w:left w:val="single" w:sz="24" w:space="0" w:color="00526F"/>
              <w:bottom w:val="single" w:sz="24" w:space="0" w:color="00526F"/>
              <w:right w:val="single" w:sz="24" w:space="0" w:color="00526F"/>
            </w:tcBorders>
            <w:hideMark/>
          </w:tcPr>
          <w:p w14:paraId="5017CB4A" w14:textId="55AD0DD4"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Establish regular liaison with all planning authorities and consulting bodies by September 2021</w:t>
            </w:r>
            <w:r w:rsidR="00705798">
              <w:rPr>
                <w:rFonts w:ascii="Arial" w:hAnsi="Arial" w:cs="Arial"/>
                <w:color w:val="000000"/>
              </w:rPr>
              <w:t>.</w:t>
            </w:r>
            <w:r w:rsidRPr="00201CAE">
              <w:rPr>
                <w:rFonts w:ascii="Arial" w:hAnsi="Arial" w:cs="Arial"/>
                <w:color w:val="000000"/>
              </w:rPr>
              <w:t> </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3BDEB737" w14:textId="77777777" w:rsidR="00F5418E" w:rsidRPr="00BC10A1" w:rsidRDefault="00F5418E" w:rsidP="00CF1904">
            <w:pPr>
              <w:spacing w:line="360" w:lineRule="auto"/>
              <w:jc w:val="center"/>
              <w:textAlignment w:val="baseline"/>
              <w:rPr>
                <w:rFonts w:ascii="Arial" w:hAnsi="Arial" w:cs="Arial"/>
                <w:highlight w:val="yellow"/>
              </w:rPr>
            </w:pPr>
            <w:r w:rsidRPr="00A81B0C">
              <w:rPr>
                <w:rFonts w:ascii="Arial" w:hAnsi="Arial" w:cs="Arial"/>
              </w:rPr>
              <w:t>Achieved</w:t>
            </w:r>
          </w:p>
        </w:tc>
      </w:tr>
      <w:tr w:rsidR="00F5418E" w:rsidRPr="00BC10A1" w14:paraId="0440A1EC"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0AF07733"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3 </w:t>
            </w:r>
          </w:p>
        </w:tc>
        <w:tc>
          <w:tcPr>
            <w:tcW w:w="3867" w:type="pct"/>
            <w:tcBorders>
              <w:top w:val="single" w:sz="24" w:space="0" w:color="00526F"/>
              <w:left w:val="single" w:sz="24" w:space="0" w:color="00526F"/>
              <w:bottom w:val="single" w:sz="24" w:space="0" w:color="00526F"/>
              <w:right w:val="single" w:sz="24" w:space="0" w:color="00526F"/>
            </w:tcBorders>
            <w:hideMark/>
          </w:tcPr>
          <w:p w14:paraId="4619867D" w14:textId="6AF86317"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All Category 1 and 2 environmental events responded to</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5C4954A2" w14:textId="77777777" w:rsidR="00F5418E" w:rsidRPr="00610DE9" w:rsidRDefault="00F5418E" w:rsidP="00CF1904">
            <w:pPr>
              <w:spacing w:line="360" w:lineRule="auto"/>
              <w:jc w:val="center"/>
              <w:textAlignment w:val="baseline"/>
              <w:rPr>
                <w:rFonts w:ascii="Arial" w:hAnsi="Arial" w:cs="Arial"/>
              </w:rPr>
            </w:pPr>
            <w:r w:rsidRPr="00790CBB">
              <w:rPr>
                <w:rFonts w:ascii="Arial" w:hAnsi="Arial" w:cs="Arial"/>
              </w:rPr>
              <w:t>A</w:t>
            </w:r>
            <w:r w:rsidRPr="00610DE9">
              <w:rPr>
                <w:rFonts w:ascii="Arial" w:hAnsi="Arial" w:cs="Arial"/>
              </w:rPr>
              <w:t>chieved</w:t>
            </w:r>
          </w:p>
        </w:tc>
      </w:tr>
      <w:tr w:rsidR="00F5418E" w:rsidRPr="00BC10A1" w14:paraId="2CBED98D" w14:textId="77777777" w:rsidTr="004E4B71">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3E9090C2"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4 </w:t>
            </w:r>
          </w:p>
        </w:tc>
        <w:tc>
          <w:tcPr>
            <w:tcW w:w="3867" w:type="pct"/>
            <w:tcBorders>
              <w:top w:val="single" w:sz="24" w:space="0" w:color="00526F"/>
              <w:left w:val="single" w:sz="24" w:space="0" w:color="00526F"/>
              <w:bottom w:val="single" w:sz="24" w:space="0" w:color="00526F"/>
              <w:right w:val="single" w:sz="24" w:space="0" w:color="00526F"/>
            </w:tcBorders>
            <w:hideMark/>
          </w:tcPr>
          <w:p w14:paraId="4B0E3AE4" w14:textId="55FE6AD5"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Compliance verification plan delivered by March 2022</w:t>
            </w:r>
            <w:r w:rsidR="00705798">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DB4325"/>
            <w:vAlign w:val="center"/>
          </w:tcPr>
          <w:p w14:paraId="7BF6238D" w14:textId="77777777" w:rsidR="00F5418E" w:rsidRPr="00BC10A1" w:rsidRDefault="00F5418E" w:rsidP="00CF1904">
            <w:pPr>
              <w:spacing w:line="360" w:lineRule="auto"/>
              <w:jc w:val="center"/>
              <w:textAlignment w:val="baseline"/>
              <w:rPr>
                <w:rFonts w:ascii="Arial" w:hAnsi="Arial" w:cs="Arial"/>
                <w:highlight w:val="yellow"/>
              </w:rPr>
            </w:pPr>
            <w:r>
              <w:rPr>
                <w:rFonts w:ascii="Arial" w:hAnsi="Arial" w:cs="Arial"/>
              </w:rPr>
              <w:t xml:space="preserve">Not </w:t>
            </w:r>
            <w:r w:rsidRPr="00376E92">
              <w:rPr>
                <w:rFonts w:ascii="Arial" w:hAnsi="Arial" w:cs="Arial"/>
              </w:rPr>
              <w:t>Achieved</w:t>
            </w:r>
          </w:p>
        </w:tc>
      </w:tr>
      <w:tr w:rsidR="00F5418E" w:rsidRPr="00BC10A1" w14:paraId="575C19B3"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30ACBD7B"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5 </w:t>
            </w:r>
          </w:p>
        </w:tc>
        <w:tc>
          <w:tcPr>
            <w:tcW w:w="3867" w:type="pct"/>
            <w:tcBorders>
              <w:top w:val="single" w:sz="24" w:space="0" w:color="00526F"/>
              <w:left w:val="single" w:sz="24" w:space="0" w:color="00526F"/>
              <w:bottom w:val="single" w:sz="24" w:space="0" w:color="00526F"/>
              <w:right w:val="single" w:sz="24" w:space="0" w:color="00526F"/>
            </w:tcBorders>
            <w:hideMark/>
          </w:tcPr>
          <w:p w14:paraId="6DEDE78E" w14:textId="1C55426D"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Action plans in place and being delivered for all priority sites</w:t>
            </w:r>
            <w:r w:rsidR="00705798">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57C4AD"/>
            <w:vAlign w:val="center"/>
          </w:tcPr>
          <w:p w14:paraId="5AD9248D" w14:textId="77777777" w:rsidR="00F5418E" w:rsidRPr="00BC10A1" w:rsidRDefault="00F5418E" w:rsidP="00CF1904">
            <w:pPr>
              <w:spacing w:line="360" w:lineRule="auto"/>
              <w:jc w:val="center"/>
              <w:textAlignment w:val="baseline"/>
              <w:rPr>
                <w:rFonts w:ascii="Arial" w:hAnsi="Arial" w:cs="Arial"/>
                <w:highlight w:val="yellow"/>
              </w:rPr>
            </w:pPr>
            <w:r w:rsidRPr="00790CBB">
              <w:rPr>
                <w:rFonts w:ascii="Arial" w:hAnsi="Arial" w:cs="Arial"/>
              </w:rPr>
              <w:t>Achieved</w:t>
            </w:r>
          </w:p>
        </w:tc>
      </w:tr>
      <w:tr w:rsidR="00F5418E" w:rsidRPr="00EC1D9F" w14:paraId="1C39ECEA" w14:textId="77777777" w:rsidTr="00A5243D">
        <w:trPr>
          <w:trHeight w:val="424"/>
        </w:trPr>
        <w:tc>
          <w:tcPr>
            <w:tcW w:w="5000" w:type="pct"/>
            <w:gridSpan w:val="3"/>
            <w:tcBorders>
              <w:top w:val="single" w:sz="24" w:space="0" w:color="00526F"/>
              <w:left w:val="single" w:sz="24" w:space="0" w:color="00526F"/>
              <w:bottom w:val="single" w:sz="24" w:space="0" w:color="00526F"/>
              <w:right w:val="single" w:sz="24" w:space="0" w:color="00526F"/>
            </w:tcBorders>
            <w:shd w:val="clear" w:color="auto" w:fill="EAF1DD"/>
          </w:tcPr>
          <w:p w14:paraId="0352D820" w14:textId="77777777" w:rsidR="00F5418E" w:rsidRPr="00F86C07" w:rsidRDefault="00F5418E" w:rsidP="00CF1904">
            <w:pPr>
              <w:spacing w:line="360" w:lineRule="auto"/>
              <w:textAlignment w:val="baseline"/>
              <w:rPr>
                <w:rFonts w:ascii="Arial" w:hAnsi="Arial" w:cs="Arial"/>
                <w:highlight w:val="yellow"/>
              </w:rPr>
            </w:pPr>
            <w:r w:rsidRPr="00F86C07">
              <w:rPr>
                <w:rFonts w:ascii="Arial" w:hAnsi="Arial" w:cs="Arial"/>
                <w:color w:val="000000"/>
              </w:rPr>
              <w:t>Flooding</w:t>
            </w:r>
          </w:p>
        </w:tc>
      </w:tr>
      <w:tr w:rsidR="00F5418E" w:rsidRPr="00BC10A1" w14:paraId="1751132D" w14:textId="77777777" w:rsidTr="00600F56">
        <w:trPr>
          <w:trHeight w:val="825"/>
        </w:trPr>
        <w:tc>
          <w:tcPr>
            <w:tcW w:w="244" w:type="pct"/>
            <w:tcBorders>
              <w:top w:val="single" w:sz="24" w:space="0" w:color="00526F"/>
              <w:left w:val="single" w:sz="24" w:space="0" w:color="00526F"/>
              <w:bottom w:val="single" w:sz="24" w:space="0" w:color="00526F"/>
              <w:right w:val="single" w:sz="24" w:space="0" w:color="00526F"/>
            </w:tcBorders>
            <w:hideMark/>
          </w:tcPr>
          <w:p w14:paraId="754283B4"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6 </w:t>
            </w:r>
          </w:p>
        </w:tc>
        <w:tc>
          <w:tcPr>
            <w:tcW w:w="3867" w:type="pct"/>
            <w:tcBorders>
              <w:top w:val="single" w:sz="24" w:space="0" w:color="00526F"/>
              <w:left w:val="single" w:sz="24" w:space="0" w:color="00526F"/>
              <w:bottom w:val="single" w:sz="24" w:space="0" w:color="00526F"/>
              <w:right w:val="single" w:sz="24" w:space="0" w:color="00526F"/>
            </w:tcBorders>
            <w:hideMark/>
          </w:tcPr>
          <w:p w14:paraId="13C3982A" w14:textId="0DE2094C"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Complete phase 2 of the transformation of the land-use planning service, focussing on best use of readily available flood risk information, input to government policy change and updated climate change allowances for industry</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51B13BD4" w14:textId="77777777" w:rsidR="00F5418E" w:rsidRPr="00BC10A1" w:rsidRDefault="00F5418E" w:rsidP="00CF1904">
            <w:pPr>
              <w:spacing w:line="360" w:lineRule="auto"/>
              <w:jc w:val="center"/>
              <w:textAlignment w:val="baseline"/>
              <w:rPr>
                <w:rFonts w:ascii="Arial" w:hAnsi="Arial" w:cs="Arial"/>
                <w:highlight w:val="yellow"/>
              </w:rPr>
            </w:pPr>
            <w:r w:rsidRPr="00A81B0C">
              <w:rPr>
                <w:rFonts w:ascii="Arial" w:hAnsi="Arial" w:cs="Arial"/>
              </w:rPr>
              <w:t>Achieved</w:t>
            </w:r>
          </w:p>
        </w:tc>
      </w:tr>
      <w:tr w:rsidR="00F5418E" w:rsidRPr="00BC10A1" w14:paraId="4D8F76B0"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1C59730D"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7 </w:t>
            </w:r>
          </w:p>
        </w:tc>
        <w:tc>
          <w:tcPr>
            <w:tcW w:w="3867" w:type="pct"/>
            <w:tcBorders>
              <w:top w:val="single" w:sz="24" w:space="0" w:color="00526F"/>
              <w:left w:val="single" w:sz="24" w:space="0" w:color="00526F"/>
              <w:bottom w:val="single" w:sz="24" w:space="0" w:color="00526F"/>
              <w:right w:val="single" w:sz="24" w:space="0" w:color="00526F"/>
            </w:tcBorders>
            <w:hideMark/>
          </w:tcPr>
          <w:p w14:paraId="2E9F7B10" w14:textId="338B56D7"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Deliver 14 flood risk management plans in accordance with the revised deadlines</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3740D746" w14:textId="77777777" w:rsidR="00F5418E" w:rsidRPr="00BC10A1" w:rsidRDefault="00F5418E" w:rsidP="00CF1904">
            <w:pPr>
              <w:spacing w:line="360" w:lineRule="auto"/>
              <w:jc w:val="center"/>
              <w:textAlignment w:val="baseline"/>
              <w:rPr>
                <w:rFonts w:ascii="Arial" w:hAnsi="Arial" w:cs="Arial"/>
                <w:highlight w:val="yellow"/>
              </w:rPr>
            </w:pPr>
            <w:r w:rsidRPr="00E3185F">
              <w:rPr>
                <w:rFonts w:ascii="Arial" w:hAnsi="Arial" w:cs="Arial"/>
              </w:rPr>
              <w:t>Achieved</w:t>
            </w:r>
          </w:p>
        </w:tc>
      </w:tr>
      <w:tr w:rsidR="00F5418E" w:rsidRPr="00BC10A1" w14:paraId="139BFECE" w14:textId="77777777" w:rsidTr="004E4B71">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13C92B1C"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8 </w:t>
            </w:r>
          </w:p>
        </w:tc>
        <w:tc>
          <w:tcPr>
            <w:tcW w:w="3867" w:type="pct"/>
            <w:tcBorders>
              <w:top w:val="single" w:sz="24" w:space="0" w:color="00526F"/>
              <w:left w:val="single" w:sz="24" w:space="0" w:color="00526F"/>
              <w:bottom w:val="single" w:sz="24" w:space="0" w:color="00526F"/>
              <w:right w:val="single" w:sz="24" w:space="0" w:color="00526F"/>
            </w:tcBorders>
            <w:hideMark/>
          </w:tcPr>
          <w:p w14:paraId="27879D9A" w14:textId="72BD175B"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 xml:space="preserve">Publish our </w:t>
            </w:r>
            <w:r w:rsidR="00E00D37">
              <w:rPr>
                <w:rFonts w:ascii="Arial" w:hAnsi="Arial" w:cs="Arial"/>
                <w:color w:val="000000"/>
              </w:rPr>
              <w:t>F</w:t>
            </w:r>
            <w:r w:rsidRPr="00201CAE">
              <w:rPr>
                <w:rFonts w:ascii="Arial" w:hAnsi="Arial" w:cs="Arial"/>
                <w:color w:val="000000"/>
              </w:rPr>
              <w:t xml:space="preserve">looding </w:t>
            </w:r>
            <w:r w:rsidR="00E00D37">
              <w:rPr>
                <w:rFonts w:ascii="Arial" w:hAnsi="Arial" w:cs="Arial"/>
                <w:color w:val="000000"/>
              </w:rPr>
              <w:t>S</w:t>
            </w:r>
            <w:r w:rsidRPr="00201CAE">
              <w:rPr>
                <w:rFonts w:ascii="Arial" w:hAnsi="Arial" w:cs="Arial"/>
                <w:color w:val="000000"/>
              </w:rPr>
              <w:t>trategy, 10-year roadmap</w:t>
            </w:r>
            <w:r w:rsidR="00705798">
              <w:rPr>
                <w:rFonts w:ascii="Arial" w:hAnsi="Arial" w:cs="Arial"/>
                <w:color w:val="000000"/>
              </w:rPr>
              <w:t>,</w:t>
            </w:r>
            <w:r w:rsidRPr="00201CAE">
              <w:rPr>
                <w:rFonts w:ascii="Arial" w:hAnsi="Arial" w:cs="Arial"/>
                <w:color w:val="000000"/>
              </w:rPr>
              <w:t xml:space="preserve"> and associated metrics of success</w:t>
            </w:r>
            <w:r w:rsidR="00705798">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DB4325"/>
            <w:vAlign w:val="center"/>
          </w:tcPr>
          <w:p w14:paraId="18B5DAEA" w14:textId="77777777" w:rsidR="00F5418E" w:rsidRPr="00BC10A1" w:rsidRDefault="00F5418E" w:rsidP="00CF1904">
            <w:pPr>
              <w:spacing w:line="360" w:lineRule="auto"/>
              <w:jc w:val="center"/>
              <w:textAlignment w:val="baseline"/>
              <w:rPr>
                <w:rFonts w:ascii="Arial" w:hAnsi="Arial" w:cs="Arial"/>
                <w:highlight w:val="yellow"/>
              </w:rPr>
            </w:pPr>
            <w:r w:rsidRPr="00E3185F">
              <w:rPr>
                <w:rFonts w:ascii="Arial" w:hAnsi="Arial" w:cs="Arial"/>
              </w:rPr>
              <w:t>Not Achieved</w:t>
            </w:r>
          </w:p>
        </w:tc>
      </w:tr>
      <w:tr w:rsidR="00F5418E" w:rsidRPr="00BC10A1" w14:paraId="7011CFE4" w14:textId="77777777" w:rsidTr="00600F56">
        <w:trPr>
          <w:trHeight w:val="1250"/>
        </w:trPr>
        <w:tc>
          <w:tcPr>
            <w:tcW w:w="244" w:type="pct"/>
            <w:tcBorders>
              <w:top w:val="single" w:sz="24" w:space="0" w:color="00526F"/>
              <w:left w:val="single" w:sz="24" w:space="0" w:color="00526F"/>
              <w:bottom w:val="single" w:sz="24" w:space="0" w:color="00526F"/>
              <w:right w:val="single" w:sz="24" w:space="0" w:color="00526F"/>
            </w:tcBorders>
            <w:hideMark/>
          </w:tcPr>
          <w:p w14:paraId="628AD65D"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9 </w:t>
            </w:r>
          </w:p>
        </w:tc>
        <w:tc>
          <w:tcPr>
            <w:tcW w:w="3867" w:type="pct"/>
            <w:tcBorders>
              <w:top w:val="single" w:sz="24" w:space="0" w:color="00526F"/>
              <w:left w:val="single" w:sz="24" w:space="0" w:color="00526F"/>
              <w:bottom w:val="single" w:sz="24" w:space="0" w:color="00526F"/>
              <w:right w:val="single" w:sz="24" w:space="0" w:color="00526F"/>
            </w:tcBorders>
            <w:hideMark/>
          </w:tcPr>
          <w:p w14:paraId="034E8A1A" w14:textId="4DFE11EC"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Continued operation of the flood warning service 24/7, 365 days a year. Warnings and alerts issued for all significant flooding events. The hydrometric network and associated data feeds are maintained and operational. The forecast models and data feeds from the Met Office are maintained and operational</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7714B287" w14:textId="77777777" w:rsidR="00F5418E" w:rsidRPr="00BC10A1" w:rsidRDefault="00F5418E" w:rsidP="00CF1904">
            <w:pPr>
              <w:spacing w:line="360" w:lineRule="auto"/>
              <w:jc w:val="center"/>
              <w:textAlignment w:val="baseline"/>
              <w:rPr>
                <w:rFonts w:ascii="Arial" w:hAnsi="Arial" w:cs="Arial"/>
                <w:highlight w:val="yellow"/>
              </w:rPr>
            </w:pPr>
            <w:r w:rsidRPr="00E3185F">
              <w:rPr>
                <w:rFonts w:ascii="Arial" w:hAnsi="Arial" w:cs="Arial"/>
              </w:rPr>
              <w:t>Achieved</w:t>
            </w:r>
          </w:p>
        </w:tc>
      </w:tr>
      <w:tr w:rsidR="00F5418E" w:rsidRPr="00BC10A1" w14:paraId="0696D42F" w14:textId="77777777" w:rsidTr="004E4B71">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76614F7E"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10 </w:t>
            </w:r>
          </w:p>
        </w:tc>
        <w:tc>
          <w:tcPr>
            <w:tcW w:w="3867" w:type="pct"/>
            <w:tcBorders>
              <w:top w:val="single" w:sz="24" w:space="0" w:color="00526F"/>
              <w:left w:val="single" w:sz="24" w:space="0" w:color="00526F"/>
              <w:bottom w:val="single" w:sz="24" w:space="0" w:color="00526F"/>
              <w:right w:val="single" w:sz="24" w:space="0" w:color="00526F"/>
            </w:tcBorders>
            <w:hideMark/>
          </w:tcPr>
          <w:p w14:paraId="0E3383BF" w14:textId="27025B95"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Agree and implement long-term future flood incident messaging systems and telemetry solutions</w:t>
            </w:r>
            <w:r w:rsidR="00705798">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DB4325"/>
            <w:vAlign w:val="center"/>
          </w:tcPr>
          <w:p w14:paraId="6951EA4F" w14:textId="77777777" w:rsidR="00F5418E" w:rsidRPr="00BC10A1" w:rsidRDefault="00F5418E" w:rsidP="00CF1904">
            <w:pPr>
              <w:spacing w:line="360" w:lineRule="auto"/>
              <w:jc w:val="center"/>
              <w:textAlignment w:val="baseline"/>
              <w:rPr>
                <w:rFonts w:ascii="Arial" w:hAnsi="Arial" w:cs="Arial"/>
                <w:highlight w:val="yellow"/>
              </w:rPr>
            </w:pPr>
            <w:r w:rsidRPr="00634187">
              <w:rPr>
                <w:rFonts w:ascii="Arial" w:hAnsi="Arial" w:cs="Arial"/>
              </w:rPr>
              <w:t>Not Achieved</w:t>
            </w:r>
          </w:p>
        </w:tc>
      </w:tr>
      <w:tr w:rsidR="00F5418E" w:rsidRPr="00EC1D9F" w14:paraId="146C5623" w14:textId="77777777" w:rsidTr="00A5243D">
        <w:trPr>
          <w:trHeight w:val="412"/>
        </w:trPr>
        <w:tc>
          <w:tcPr>
            <w:tcW w:w="5000" w:type="pct"/>
            <w:gridSpan w:val="3"/>
            <w:tcBorders>
              <w:top w:val="single" w:sz="24" w:space="0" w:color="00526F"/>
              <w:left w:val="single" w:sz="24" w:space="0" w:color="00526F"/>
              <w:bottom w:val="single" w:sz="24" w:space="0" w:color="00526F"/>
              <w:right w:val="single" w:sz="24" w:space="0" w:color="00526F"/>
            </w:tcBorders>
            <w:shd w:val="clear" w:color="auto" w:fill="EAF1DD" w:themeFill="accent3" w:themeFillTint="33"/>
          </w:tcPr>
          <w:p w14:paraId="6356CFBC" w14:textId="77777777" w:rsidR="00F5418E" w:rsidRPr="00F86C07" w:rsidRDefault="00F5418E" w:rsidP="00CF1904">
            <w:pPr>
              <w:spacing w:line="360" w:lineRule="auto"/>
              <w:textAlignment w:val="baseline"/>
              <w:rPr>
                <w:rFonts w:ascii="Arial" w:hAnsi="Arial" w:cs="Arial"/>
                <w:highlight w:val="yellow"/>
              </w:rPr>
            </w:pPr>
            <w:r w:rsidRPr="00F86C07">
              <w:rPr>
                <w:rFonts w:ascii="Arial" w:hAnsi="Arial" w:cs="Arial"/>
                <w:color w:val="000000"/>
              </w:rPr>
              <w:t>Corporate</w:t>
            </w:r>
          </w:p>
        </w:tc>
      </w:tr>
      <w:tr w:rsidR="00F5418E" w:rsidRPr="00A81B0C" w14:paraId="5AB19D12"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1B313357"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11 </w:t>
            </w:r>
          </w:p>
        </w:tc>
        <w:tc>
          <w:tcPr>
            <w:tcW w:w="3867" w:type="pct"/>
            <w:tcBorders>
              <w:top w:val="single" w:sz="24" w:space="0" w:color="00526F"/>
              <w:left w:val="single" w:sz="24" w:space="0" w:color="00526F"/>
              <w:bottom w:val="single" w:sz="24" w:space="0" w:color="00526F"/>
              <w:right w:val="single" w:sz="24" w:space="0" w:color="00526F"/>
            </w:tcBorders>
            <w:hideMark/>
          </w:tcPr>
          <w:p w14:paraId="498B540A" w14:textId="20803C98"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100% of managers have been offered group coaching sessions</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hideMark/>
          </w:tcPr>
          <w:p w14:paraId="0123EFC2" w14:textId="77777777" w:rsidR="00F5418E" w:rsidRPr="00A81B0C" w:rsidRDefault="00F5418E" w:rsidP="00CF1904">
            <w:pPr>
              <w:spacing w:line="360" w:lineRule="auto"/>
              <w:jc w:val="center"/>
              <w:textAlignment w:val="baseline"/>
              <w:rPr>
                <w:rFonts w:ascii="Arial" w:hAnsi="Arial" w:cs="Arial"/>
              </w:rPr>
            </w:pPr>
            <w:r w:rsidRPr="00A81B0C">
              <w:rPr>
                <w:rFonts w:ascii="Arial" w:hAnsi="Arial" w:cs="Arial"/>
              </w:rPr>
              <w:t>Achieved</w:t>
            </w:r>
          </w:p>
        </w:tc>
      </w:tr>
      <w:tr w:rsidR="00F5418E" w:rsidRPr="00A81B0C" w14:paraId="6D02C856"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6AE3B333"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lastRenderedPageBreak/>
              <w:t>12 </w:t>
            </w:r>
          </w:p>
        </w:tc>
        <w:tc>
          <w:tcPr>
            <w:tcW w:w="3867" w:type="pct"/>
            <w:tcBorders>
              <w:top w:val="single" w:sz="24" w:space="0" w:color="00526F"/>
              <w:left w:val="single" w:sz="24" w:space="0" w:color="00526F"/>
              <w:bottom w:val="single" w:sz="24" w:space="0" w:color="00526F"/>
              <w:right w:val="single" w:sz="24" w:space="0" w:color="00526F"/>
            </w:tcBorders>
            <w:hideMark/>
          </w:tcPr>
          <w:p w14:paraId="3C5E93E7" w14:textId="72A16869"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We have run management development sessions on four topics by 31 March 2022</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135CDFCF" w14:textId="77777777" w:rsidR="00F5418E" w:rsidRPr="00A81B0C" w:rsidRDefault="00F5418E" w:rsidP="00CF1904">
            <w:pPr>
              <w:spacing w:line="360" w:lineRule="auto"/>
              <w:jc w:val="center"/>
              <w:textAlignment w:val="baseline"/>
              <w:rPr>
                <w:rFonts w:ascii="Arial" w:hAnsi="Arial" w:cs="Arial"/>
              </w:rPr>
            </w:pPr>
            <w:r>
              <w:rPr>
                <w:rFonts w:ascii="Arial" w:hAnsi="Arial" w:cs="Arial"/>
              </w:rPr>
              <w:t>Achieved</w:t>
            </w:r>
          </w:p>
        </w:tc>
      </w:tr>
      <w:tr w:rsidR="00F5418E" w:rsidRPr="00A81B0C" w14:paraId="0BA6B931"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1ECC77AA"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13 </w:t>
            </w:r>
          </w:p>
        </w:tc>
        <w:tc>
          <w:tcPr>
            <w:tcW w:w="3867" w:type="pct"/>
            <w:tcBorders>
              <w:top w:val="single" w:sz="24" w:space="0" w:color="00526F"/>
              <w:left w:val="single" w:sz="24" w:space="0" w:color="00526F"/>
              <w:bottom w:val="single" w:sz="24" w:space="0" w:color="00526F"/>
              <w:right w:val="single" w:sz="24" w:space="0" w:color="00526F"/>
            </w:tcBorders>
            <w:hideMark/>
          </w:tcPr>
          <w:p w14:paraId="2517884E" w14:textId="3AF1132A"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 xml:space="preserve">Staff </w:t>
            </w:r>
            <w:r w:rsidR="000845C9">
              <w:rPr>
                <w:rFonts w:ascii="Arial" w:hAnsi="Arial" w:cs="Arial"/>
                <w:color w:val="000000"/>
              </w:rPr>
              <w:t>2021/2022</w:t>
            </w:r>
            <w:r w:rsidRPr="00201CAE">
              <w:rPr>
                <w:rFonts w:ascii="Arial" w:hAnsi="Arial" w:cs="Arial"/>
                <w:color w:val="000000"/>
              </w:rPr>
              <w:t xml:space="preserve"> data and the </w:t>
            </w:r>
            <w:r w:rsidR="007E23A2">
              <w:rPr>
                <w:rFonts w:ascii="Arial" w:hAnsi="Arial" w:cs="Arial"/>
                <w:color w:val="000000"/>
              </w:rPr>
              <w:t>2020/2021</w:t>
            </w:r>
            <w:r w:rsidRPr="00201CAE">
              <w:rPr>
                <w:rFonts w:ascii="Arial" w:hAnsi="Arial" w:cs="Arial"/>
                <w:color w:val="000000"/>
              </w:rPr>
              <w:t xml:space="preserve"> closing balance sheet are complete in Agresso by November 2021</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hideMark/>
          </w:tcPr>
          <w:p w14:paraId="12D4E01F" w14:textId="77777777" w:rsidR="00F5418E" w:rsidRPr="00A81B0C" w:rsidRDefault="00F5418E" w:rsidP="00CF1904">
            <w:pPr>
              <w:spacing w:line="360" w:lineRule="auto"/>
              <w:jc w:val="center"/>
              <w:textAlignment w:val="baseline"/>
              <w:rPr>
                <w:rFonts w:ascii="Arial" w:hAnsi="Arial" w:cs="Arial"/>
              </w:rPr>
            </w:pPr>
            <w:r w:rsidRPr="00A81B0C">
              <w:rPr>
                <w:rFonts w:ascii="Arial" w:hAnsi="Arial" w:cs="Arial"/>
              </w:rPr>
              <w:t>A</w:t>
            </w:r>
            <w:r w:rsidRPr="00A81B0C">
              <w:rPr>
                <w:rFonts w:ascii="Arial" w:hAnsi="Arial"/>
              </w:rPr>
              <w:t>chieved</w:t>
            </w:r>
          </w:p>
        </w:tc>
      </w:tr>
      <w:tr w:rsidR="00F5418E" w:rsidRPr="00A81B0C" w14:paraId="0DAA3837" w14:textId="77777777" w:rsidTr="004E4B71">
        <w:trPr>
          <w:trHeight w:val="837"/>
        </w:trPr>
        <w:tc>
          <w:tcPr>
            <w:tcW w:w="244" w:type="pct"/>
            <w:tcBorders>
              <w:top w:val="single" w:sz="24" w:space="0" w:color="00526F"/>
              <w:left w:val="single" w:sz="24" w:space="0" w:color="00526F"/>
              <w:bottom w:val="single" w:sz="24" w:space="0" w:color="00526F"/>
              <w:right w:val="single" w:sz="24" w:space="0" w:color="00526F"/>
            </w:tcBorders>
            <w:hideMark/>
          </w:tcPr>
          <w:p w14:paraId="161B3B8F"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14 </w:t>
            </w:r>
          </w:p>
        </w:tc>
        <w:tc>
          <w:tcPr>
            <w:tcW w:w="3867" w:type="pct"/>
            <w:tcBorders>
              <w:top w:val="single" w:sz="24" w:space="0" w:color="00526F"/>
              <w:left w:val="single" w:sz="24" w:space="0" w:color="00526F"/>
              <w:bottom w:val="single" w:sz="24" w:space="0" w:color="00526F"/>
              <w:right w:val="single" w:sz="24" w:space="0" w:color="00526F"/>
            </w:tcBorders>
            <w:hideMark/>
          </w:tcPr>
          <w:p w14:paraId="2DC89D9D" w14:textId="6F587B81"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Invoices are issued by 30 September 2021 and the debt level is returned within year to pre-COVID</w:t>
            </w:r>
            <w:r w:rsidR="00705798">
              <w:rPr>
                <w:rFonts w:ascii="Arial" w:hAnsi="Arial" w:cs="Arial"/>
                <w:color w:val="000000"/>
              </w:rPr>
              <w:t>-19</w:t>
            </w:r>
            <w:r w:rsidRPr="00201CAE">
              <w:rPr>
                <w:rFonts w:ascii="Arial" w:hAnsi="Arial" w:cs="Arial"/>
                <w:color w:val="000000"/>
              </w:rPr>
              <w:t> and cyber levels by March 2022</w:t>
            </w:r>
            <w:r w:rsidR="00705798">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DB4325"/>
            <w:vAlign w:val="center"/>
            <w:hideMark/>
          </w:tcPr>
          <w:p w14:paraId="04536083" w14:textId="77777777" w:rsidR="00F5418E" w:rsidRPr="00A81B0C" w:rsidRDefault="00F5418E" w:rsidP="00CF1904">
            <w:pPr>
              <w:spacing w:line="360" w:lineRule="auto"/>
              <w:jc w:val="center"/>
              <w:textAlignment w:val="baseline"/>
              <w:rPr>
                <w:rFonts w:ascii="Arial" w:hAnsi="Arial" w:cs="Arial"/>
              </w:rPr>
            </w:pPr>
            <w:r>
              <w:rPr>
                <w:rFonts w:ascii="Arial" w:hAnsi="Arial" w:cs="Arial"/>
              </w:rPr>
              <w:t>Not achieved</w:t>
            </w:r>
          </w:p>
        </w:tc>
      </w:tr>
      <w:tr w:rsidR="00F5418E" w:rsidRPr="00A81B0C" w14:paraId="1CA6CE14" w14:textId="77777777" w:rsidTr="004E4B71">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563B596A"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15 </w:t>
            </w:r>
          </w:p>
        </w:tc>
        <w:tc>
          <w:tcPr>
            <w:tcW w:w="3867" w:type="pct"/>
            <w:tcBorders>
              <w:top w:val="single" w:sz="24" w:space="0" w:color="00526F"/>
              <w:left w:val="single" w:sz="24" w:space="0" w:color="00526F"/>
              <w:bottom w:val="single" w:sz="24" w:space="0" w:color="00526F"/>
              <w:right w:val="single" w:sz="24" w:space="0" w:color="00526F"/>
            </w:tcBorders>
            <w:hideMark/>
          </w:tcPr>
          <w:p w14:paraId="3DE223A1" w14:textId="20BFB03F"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 xml:space="preserve">Our </w:t>
            </w:r>
            <w:r w:rsidR="00035255">
              <w:rPr>
                <w:rFonts w:ascii="Arial" w:hAnsi="Arial" w:cs="Arial"/>
                <w:color w:val="000000"/>
              </w:rPr>
              <w:t>P</w:t>
            </w:r>
            <w:r w:rsidRPr="00201CAE">
              <w:rPr>
                <w:rFonts w:ascii="Arial" w:hAnsi="Arial" w:cs="Arial"/>
                <w:color w:val="000000"/>
              </w:rPr>
              <w:t xml:space="preserve">rocurement </w:t>
            </w:r>
            <w:r w:rsidR="00035255">
              <w:rPr>
                <w:rFonts w:ascii="Arial" w:hAnsi="Arial" w:cs="Arial"/>
                <w:color w:val="000000"/>
              </w:rPr>
              <w:t>S</w:t>
            </w:r>
            <w:r w:rsidRPr="00201CAE">
              <w:rPr>
                <w:rFonts w:ascii="Arial" w:hAnsi="Arial" w:cs="Arial"/>
                <w:color w:val="000000"/>
              </w:rPr>
              <w:t xml:space="preserve">trategy, </w:t>
            </w:r>
            <w:r w:rsidR="00035255">
              <w:rPr>
                <w:rFonts w:ascii="Arial" w:hAnsi="Arial" w:cs="Arial"/>
                <w:color w:val="000000"/>
              </w:rPr>
              <w:t>A</w:t>
            </w:r>
            <w:r w:rsidRPr="00201CAE">
              <w:rPr>
                <w:rFonts w:ascii="Arial" w:hAnsi="Arial" w:cs="Arial"/>
                <w:color w:val="000000"/>
              </w:rPr>
              <w:t xml:space="preserve">nnual </w:t>
            </w:r>
            <w:r w:rsidR="00035255">
              <w:rPr>
                <w:rFonts w:ascii="Arial" w:hAnsi="Arial" w:cs="Arial"/>
                <w:color w:val="000000"/>
              </w:rPr>
              <w:t>R</w:t>
            </w:r>
            <w:r w:rsidRPr="00201CAE">
              <w:rPr>
                <w:rFonts w:ascii="Arial" w:hAnsi="Arial" w:cs="Arial"/>
                <w:color w:val="000000"/>
              </w:rPr>
              <w:t>eport</w:t>
            </w:r>
            <w:r w:rsidR="00035255">
              <w:rPr>
                <w:rFonts w:ascii="Arial" w:hAnsi="Arial" w:cs="Arial"/>
                <w:color w:val="000000"/>
              </w:rPr>
              <w:t>,</w:t>
            </w:r>
            <w:r w:rsidRPr="00201CAE">
              <w:rPr>
                <w:rFonts w:ascii="Arial" w:hAnsi="Arial" w:cs="Arial"/>
                <w:color w:val="000000"/>
              </w:rPr>
              <w:t xml:space="preserve"> and </w:t>
            </w:r>
            <w:r w:rsidR="00035255">
              <w:rPr>
                <w:rFonts w:ascii="Arial" w:hAnsi="Arial" w:cs="Arial"/>
                <w:color w:val="000000"/>
              </w:rPr>
              <w:t>C</w:t>
            </w:r>
            <w:r w:rsidRPr="00201CAE">
              <w:rPr>
                <w:rFonts w:ascii="Arial" w:hAnsi="Arial" w:cs="Arial"/>
                <w:color w:val="000000"/>
              </w:rPr>
              <w:t xml:space="preserve">ontracts </w:t>
            </w:r>
            <w:r w:rsidR="00035255">
              <w:rPr>
                <w:rFonts w:ascii="Arial" w:hAnsi="Arial" w:cs="Arial"/>
                <w:color w:val="000000"/>
              </w:rPr>
              <w:t>R</w:t>
            </w:r>
            <w:r w:rsidRPr="00201CAE">
              <w:rPr>
                <w:rFonts w:ascii="Arial" w:hAnsi="Arial" w:cs="Arial"/>
                <w:color w:val="000000"/>
              </w:rPr>
              <w:t>egister are in place by September 2021</w:t>
            </w:r>
            <w:r w:rsidR="00035255">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DB4325"/>
            <w:vAlign w:val="center"/>
            <w:hideMark/>
          </w:tcPr>
          <w:p w14:paraId="277DB573" w14:textId="77777777" w:rsidR="00F5418E" w:rsidRPr="00A81B0C" w:rsidRDefault="00F5418E" w:rsidP="00CF1904">
            <w:pPr>
              <w:spacing w:line="360" w:lineRule="auto"/>
              <w:jc w:val="center"/>
              <w:textAlignment w:val="baseline"/>
              <w:rPr>
                <w:rFonts w:ascii="Arial" w:hAnsi="Arial" w:cs="Arial"/>
              </w:rPr>
            </w:pPr>
            <w:r w:rsidRPr="00A81B0C">
              <w:rPr>
                <w:rFonts w:ascii="Arial" w:hAnsi="Arial" w:cs="Arial"/>
              </w:rPr>
              <w:t>Not achieved</w:t>
            </w:r>
          </w:p>
        </w:tc>
      </w:tr>
      <w:tr w:rsidR="00F5418E" w:rsidRPr="00A81B0C" w14:paraId="24032FA0"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463C8BD0"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16 </w:t>
            </w:r>
          </w:p>
        </w:tc>
        <w:tc>
          <w:tcPr>
            <w:tcW w:w="3867" w:type="pct"/>
            <w:tcBorders>
              <w:top w:val="single" w:sz="24" w:space="0" w:color="00526F"/>
              <w:left w:val="single" w:sz="24" w:space="0" w:color="00526F"/>
              <w:bottom w:val="single" w:sz="24" w:space="0" w:color="00526F"/>
              <w:right w:val="single" w:sz="24" w:space="0" w:color="00526F"/>
            </w:tcBorders>
            <w:hideMark/>
          </w:tcPr>
          <w:p w14:paraId="1BCC8D65" w14:textId="24CF3E3C" w:rsidR="00F5418E" w:rsidRPr="00201CAE" w:rsidRDefault="00F5418E" w:rsidP="00CF1904">
            <w:pPr>
              <w:spacing w:line="360" w:lineRule="auto"/>
              <w:textAlignment w:val="baseline"/>
              <w:rPr>
                <w:rFonts w:ascii="Arial" w:hAnsi="Arial" w:cs="Arial"/>
                <w:color w:val="000000" w:themeColor="text1"/>
              </w:rPr>
            </w:pPr>
            <w:r w:rsidRPr="05957252">
              <w:rPr>
                <w:rFonts w:ascii="Arial" w:hAnsi="Arial" w:cs="Arial"/>
                <w:color w:val="000000" w:themeColor="text1"/>
              </w:rPr>
              <w:t xml:space="preserve">Draft Future of Work </w:t>
            </w:r>
            <w:r w:rsidR="00CA7714">
              <w:rPr>
                <w:rFonts w:ascii="Arial" w:hAnsi="Arial" w:cs="Arial"/>
                <w:color w:val="000000" w:themeColor="text1"/>
              </w:rPr>
              <w:t>R</w:t>
            </w:r>
            <w:r w:rsidRPr="05957252">
              <w:rPr>
                <w:rFonts w:ascii="Arial" w:hAnsi="Arial" w:cs="Arial"/>
                <w:color w:val="000000" w:themeColor="text1"/>
              </w:rPr>
              <w:t>oadmap with small set of targeted initial actions by September 2021</w:t>
            </w:r>
            <w:r w:rsidR="00CA7714">
              <w:rPr>
                <w:rFonts w:ascii="Arial" w:hAnsi="Arial" w:cs="Arial"/>
                <w:color w:val="000000" w:themeColor="text1"/>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hideMark/>
          </w:tcPr>
          <w:p w14:paraId="11592593" w14:textId="77777777" w:rsidR="00F5418E" w:rsidRPr="00A81B0C" w:rsidRDefault="00F5418E" w:rsidP="00CF1904">
            <w:pPr>
              <w:spacing w:line="360" w:lineRule="auto"/>
              <w:jc w:val="center"/>
              <w:textAlignment w:val="baseline"/>
              <w:rPr>
                <w:rFonts w:ascii="Arial" w:hAnsi="Arial" w:cs="Arial"/>
              </w:rPr>
            </w:pPr>
            <w:r w:rsidRPr="00A81B0C">
              <w:rPr>
                <w:rFonts w:ascii="Arial" w:hAnsi="Arial" w:cs="Arial"/>
              </w:rPr>
              <w:t>Achieved</w:t>
            </w:r>
          </w:p>
        </w:tc>
      </w:tr>
      <w:tr w:rsidR="00F5418E" w:rsidRPr="00BC10A1" w14:paraId="1D9CB8D7" w14:textId="77777777" w:rsidTr="00600F56">
        <w:trPr>
          <w:trHeight w:val="412"/>
        </w:trPr>
        <w:tc>
          <w:tcPr>
            <w:tcW w:w="244" w:type="pct"/>
            <w:tcBorders>
              <w:top w:val="single" w:sz="24" w:space="0" w:color="00526F"/>
              <w:left w:val="single" w:sz="24" w:space="0" w:color="00526F"/>
              <w:bottom w:val="single" w:sz="24" w:space="0" w:color="00526F"/>
              <w:right w:val="single" w:sz="24" w:space="0" w:color="00526F"/>
            </w:tcBorders>
            <w:hideMark/>
          </w:tcPr>
          <w:p w14:paraId="2946E1F2"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17 </w:t>
            </w:r>
          </w:p>
        </w:tc>
        <w:tc>
          <w:tcPr>
            <w:tcW w:w="3867" w:type="pct"/>
            <w:tcBorders>
              <w:top w:val="single" w:sz="24" w:space="0" w:color="00526F"/>
              <w:left w:val="single" w:sz="24" w:space="0" w:color="00526F"/>
              <w:bottom w:val="single" w:sz="24" w:space="0" w:color="00526F"/>
              <w:right w:val="single" w:sz="24" w:space="0" w:color="00526F"/>
            </w:tcBorders>
            <w:hideMark/>
          </w:tcPr>
          <w:p w14:paraId="1F56CC12" w14:textId="3D9337B9" w:rsidR="00F5418E" w:rsidRPr="00201CAE" w:rsidRDefault="00F5418E" w:rsidP="00CF1904">
            <w:pPr>
              <w:spacing w:line="360" w:lineRule="auto"/>
              <w:textAlignment w:val="baseline"/>
              <w:rPr>
                <w:rFonts w:ascii="Arial" w:hAnsi="Arial" w:cs="Arial"/>
                <w:color w:val="000000" w:themeColor="text1"/>
              </w:rPr>
            </w:pPr>
            <w:r w:rsidRPr="05957252">
              <w:rPr>
                <w:rFonts w:ascii="Arial" w:hAnsi="Arial" w:cs="Arial"/>
                <w:color w:val="000000" w:themeColor="text1"/>
              </w:rPr>
              <w:t>Solve at least five long-standing information challenges</w:t>
            </w:r>
            <w:r w:rsidR="00CA7714">
              <w:rPr>
                <w:rFonts w:ascii="Arial" w:hAnsi="Arial" w:cs="Arial"/>
                <w:color w:val="000000" w:themeColor="text1"/>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5FDF8922" w14:textId="77777777" w:rsidR="00F5418E" w:rsidRPr="00BC10A1" w:rsidRDefault="00F5418E" w:rsidP="00CF1904">
            <w:pPr>
              <w:spacing w:line="360" w:lineRule="auto"/>
              <w:jc w:val="center"/>
              <w:textAlignment w:val="baseline"/>
              <w:rPr>
                <w:rFonts w:ascii="Arial" w:eastAsia="Arial" w:hAnsi="Arial" w:cs="Arial"/>
                <w:color w:val="000000"/>
                <w:highlight w:val="yellow"/>
              </w:rPr>
            </w:pPr>
            <w:r w:rsidRPr="00155561">
              <w:rPr>
                <w:rFonts w:ascii="Arial" w:eastAsia="Arial" w:hAnsi="Arial" w:cs="Arial"/>
                <w:color w:val="000000"/>
              </w:rPr>
              <w:t>Achieved</w:t>
            </w:r>
          </w:p>
        </w:tc>
      </w:tr>
      <w:tr w:rsidR="00F5418E" w:rsidRPr="00BC10A1" w14:paraId="036D16D3" w14:textId="77777777" w:rsidTr="00600F56">
        <w:trPr>
          <w:trHeight w:val="136"/>
        </w:trPr>
        <w:tc>
          <w:tcPr>
            <w:tcW w:w="244" w:type="pct"/>
            <w:tcBorders>
              <w:top w:val="single" w:sz="24" w:space="0" w:color="00526F"/>
              <w:left w:val="single" w:sz="24" w:space="0" w:color="00526F"/>
              <w:bottom w:val="single" w:sz="24" w:space="0" w:color="00526F"/>
              <w:right w:val="single" w:sz="24" w:space="0" w:color="00526F"/>
            </w:tcBorders>
            <w:hideMark/>
          </w:tcPr>
          <w:p w14:paraId="206BE1A1"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18 </w:t>
            </w:r>
          </w:p>
        </w:tc>
        <w:tc>
          <w:tcPr>
            <w:tcW w:w="3867" w:type="pct"/>
            <w:tcBorders>
              <w:top w:val="single" w:sz="24" w:space="0" w:color="00526F"/>
              <w:left w:val="single" w:sz="24" w:space="0" w:color="00526F"/>
              <w:bottom w:val="single" w:sz="24" w:space="0" w:color="00526F"/>
              <w:right w:val="single" w:sz="24" w:space="0" w:color="00526F"/>
            </w:tcBorders>
            <w:hideMark/>
          </w:tcPr>
          <w:p w14:paraId="65BBA8F0" w14:textId="77777777"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Regenerative SEPA route map prepared and agreed.</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6B4CFC04" w14:textId="77777777" w:rsidR="00F5418E" w:rsidRPr="00BC10A1" w:rsidRDefault="00F5418E" w:rsidP="00CF1904">
            <w:pPr>
              <w:spacing w:line="360" w:lineRule="auto"/>
              <w:jc w:val="center"/>
              <w:textAlignment w:val="baseline"/>
              <w:rPr>
                <w:rFonts w:ascii="Arial" w:hAnsi="Arial" w:cs="Arial"/>
                <w:highlight w:val="yellow"/>
              </w:rPr>
            </w:pPr>
            <w:r w:rsidRPr="00A81B0C">
              <w:rPr>
                <w:rFonts w:ascii="Arial" w:hAnsi="Arial" w:cs="Arial"/>
              </w:rPr>
              <w:t>Achieved</w:t>
            </w:r>
          </w:p>
        </w:tc>
      </w:tr>
      <w:tr w:rsidR="00F5418E" w:rsidRPr="00BC10A1" w14:paraId="027C6200" w14:textId="77777777" w:rsidTr="00600F56">
        <w:trPr>
          <w:trHeight w:val="394"/>
        </w:trPr>
        <w:tc>
          <w:tcPr>
            <w:tcW w:w="244" w:type="pct"/>
            <w:tcBorders>
              <w:top w:val="single" w:sz="24" w:space="0" w:color="00526F"/>
              <w:left w:val="single" w:sz="24" w:space="0" w:color="00526F"/>
              <w:bottom w:val="single" w:sz="24" w:space="0" w:color="00526F"/>
              <w:right w:val="single" w:sz="24" w:space="0" w:color="00526F"/>
            </w:tcBorders>
            <w:hideMark/>
          </w:tcPr>
          <w:p w14:paraId="0B114963"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19 </w:t>
            </w:r>
          </w:p>
        </w:tc>
        <w:tc>
          <w:tcPr>
            <w:tcW w:w="3867" w:type="pct"/>
            <w:tcBorders>
              <w:top w:val="single" w:sz="24" w:space="0" w:color="00526F"/>
              <w:left w:val="single" w:sz="24" w:space="0" w:color="00526F"/>
              <w:bottom w:val="single" w:sz="24" w:space="0" w:color="00526F"/>
              <w:right w:val="single" w:sz="24" w:space="0" w:color="00526F"/>
            </w:tcBorders>
            <w:hideMark/>
          </w:tcPr>
          <w:p w14:paraId="31391F4D" w14:textId="53CD8953"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The software and hardware required to enable staff to safely work from anywhere will be available by the end of March 2022</w:t>
            </w:r>
            <w:r w:rsidR="00CA7714">
              <w:rPr>
                <w:rFonts w:ascii="Arial" w:hAnsi="Arial" w:cs="Arial"/>
                <w:color w:val="000000"/>
              </w:rPr>
              <w:t>.</w:t>
            </w:r>
          </w:p>
        </w:tc>
        <w:tc>
          <w:tcPr>
            <w:tcW w:w="889" w:type="pct"/>
            <w:tcBorders>
              <w:top w:val="single" w:sz="24" w:space="0" w:color="00526F"/>
              <w:left w:val="single" w:sz="6" w:space="0" w:color="00526F"/>
              <w:bottom w:val="single" w:sz="24" w:space="0" w:color="00526F"/>
              <w:right w:val="single" w:sz="24" w:space="0" w:color="00526F"/>
            </w:tcBorders>
            <w:shd w:val="clear" w:color="auto" w:fill="57C4AD"/>
            <w:vAlign w:val="center"/>
          </w:tcPr>
          <w:p w14:paraId="7772999F" w14:textId="77777777" w:rsidR="00F5418E" w:rsidRPr="00BC10A1" w:rsidRDefault="00F5418E" w:rsidP="00CF1904">
            <w:pPr>
              <w:spacing w:line="360" w:lineRule="auto"/>
              <w:jc w:val="center"/>
              <w:textAlignment w:val="baseline"/>
              <w:rPr>
                <w:rFonts w:ascii="Arial" w:hAnsi="Arial" w:cs="Arial"/>
                <w:highlight w:val="yellow"/>
              </w:rPr>
            </w:pPr>
            <w:r w:rsidRPr="00155561">
              <w:rPr>
                <w:rFonts w:ascii="Arial" w:hAnsi="Arial" w:cs="Arial"/>
              </w:rPr>
              <w:t>Achieved</w:t>
            </w:r>
          </w:p>
        </w:tc>
      </w:tr>
      <w:tr w:rsidR="00F5418E" w:rsidRPr="00BC10A1" w14:paraId="1A211C9C" w14:textId="77777777" w:rsidTr="00600F56">
        <w:trPr>
          <w:trHeight w:val="145"/>
        </w:trPr>
        <w:tc>
          <w:tcPr>
            <w:tcW w:w="244" w:type="pct"/>
            <w:tcBorders>
              <w:top w:val="single" w:sz="24" w:space="0" w:color="00526F"/>
              <w:left w:val="single" w:sz="24" w:space="0" w:color="00526F"/>
              <w:bottom w:val="single" w:sz="24" w:space="0" w:color="00526F"/>
              <w:right w:val="single" w:sz="24" w:space="0" w:color="00526F"/>
            </w:tcBorders>
            <w:hideMark/>
          </w:tcPr>
          <w:p w14:paraId="78C84994" w14:textId="77777777" w:rsidR="00F5418E" w:rsidRPr="00201CAE" w:rsidRDefault="00F5418E" w:rsidP="00CF1904">
            <w:pPr>
              <w:spacing w:line="360" w:lineRule="auto"/>
              <w:jc w:val="center"/>
              <w:textAlignment w:val="baseline"/>
              <w:rPr>
                <w:rFonts w:ascii="Arial" w:hAnsi="Arial" w:cs="Arial"/>
              </w:rPr>
            </w:pPr>
            <w:r w:rsidRPr="00201CAE">
              <w:rPr>
                <w:rFonts w:ascii="Arial" w:hAnsi="Arial" w:cs="Arial"/>
                <w:color w:val="000000"/>
              </w:rPr>
              <w:t>20 </w:t>
            </w:r>
          </w:p>
        </w:tc>
        <w:tc>
          <w:tcPr>
            <w:tcW w:w="3867" w:type="pct"/>
            <w:tcBorders>
              <w:top w:val="single" w:sz="24" w:space="0" w:color="00526F"/>
              <w:left w:val="single" w:sz="24" w:space="0" w:color="00526F"/>
              <w:bottom w:val="single" w:sz="24" w:space="0" w:color="00526F"/>
              <w:right w:val="single" w:sz="24" w:space="0" w:color="00526F"/>
            </w:tcBorders>
            <w:hideMark/>
          </w:tcPr>
          <w:p w14:paraId="36BB99B8" w14:textId="0F1A1C2F" w:rsidR="00F5418E" w:rsidRPr="00201CAE" w:rsidRDefault="00F5418E" w:rsidP="00CF1904">
            <w:pPr>
              <w:spacing w:line="360" w:lineRule="auto"/>
              <w:textAlignment w:val="baseline"/>
              <w:rPr>
                <w:rFonts w:ascii="Arial" w:hAnsi="Arial" w:cs="Arial"/>
              </w:rPr>
            </w:pPr>
            <w:r w:rsidRPr="00201CAE">
              <w:rPr>
                <w:rFonts w:ascii="Arial" w:hAnsi="Arial" w:cs="Arial"/>
                <w:color w:val="000000"/>
              </w:rPr>
              <w:t>Launch four online permit application services</w:t>
            </w:r>
            <w:r w:rsidR="00CA7714">
              <w:rPr>
                <w:rFonts w:ascii="Arial" w:hAnsi="Arial" w:cs="Arial"/>
                <w:color w:val="000000"/>
              </w:rPr>
              <w:t>.</w:t>
            </w:r>
          </w:p>
        </w:tc>
        <w:tc>
          <w:tcPr>
            <w:tcW w:w="889" w:type="pct"/>
            <w:tcBorders>
              <w:top w:val="single" w:sz="24" w:space="0" w:color="00526F"/>
              <w:bottom w:val="single" w:sz="24" w:space="0" w:color="00526F"/>
              <w:right w:val="single" w:sz="24" w:space="0" w:color="00526F"/>
            </w:tcBorders>
            <w:shd w:val="clear" w:color="auto" w:fill="57C4AD"/>
            <w:vAlign w:val="center"/>
          </w:tcPr>
          <w:p w14:paraId="5605086D" w14:textId="77777777" w:rsidR="00F5418E" w:rsidRPr="00BC10A1" w:rsidRDefault="00F5418E" w:rsidP="00CF1904">
            <w:pPr>
              <w:spacing w:line="360" w:lineRule="auto"/>
              <w:jc w:val="center"/>
              <w:textAlignment w:val="baseline"/>
              <w:rPr>
                <w:rFonts w:ascii="Arial" w:hAnsi="Arial" w:cs="Arial"/>
                <w:highlight w:val="yellow"/>
              </w:rPr>
            </w:pPr>
            <w:r w:rsidRPr="00A81B0C">
              <w:rPr>
                <w:rFonts w:ascii="Arial" w:hAnsi="Arial" w:cs="Arial"/>
              </w:rPr>
              <w:t>Achieved</w:t>
            </w:r>
          </w:p>
        </w:tc>
      </w:tr>
    </w:tbl>
    <w:p w14:paraId="70018C25" w14:textId="77777777" w:rsidR="00CA77CA" w:rsidRPr="003B4B42" w:rsidRDefault="00CA77CA" w:rsidP="001C7CD2">
      <w:pPr>
        <w:spacing w:line="360" w:lineRule="auto"/>
        <w:ind w:right="-425"/>
        <w:rPr>
          <w:rFonts w:ascii="Arial" w:hAnsi="Arial" w:cs="Arial"/>
        </w:rPr>
      </w:pPr>
    </w:p>
    <w:p w14:paraId="5C65BD82" w14:textId="40AE53E1" w:rsidR="0081542E" w:rsidRPr="00015573" w:rsidRDefault="0081542E" w:rsidP="00802A98">
      <w:pPr>
        <w:pStyle w:val="01aMainHeader"/>
        <w:numPr>
          <w:ilvl w:val="1"/>
          <w:numId w:val="34"/>
        </w:numPr>
        <w:spacing w:before="0" w:after="0"/>
      </w:pPr>
      <w:bookmarkStart w:id="19" w:name="_Toc119068077"/>
      <w:r w:rsidRPr="00015573">
        <w:t>Performance analysis</w:t>
      </w:r>
      <w:bookmarkEnd w:id="19"/>
    </w:p>
    <w:p w14:paraId="7AD4C802" w14:textId="77777777" w:rsidR="00A220BF" w:rsidRPr="00A220BF" w:rsidRDefault="00A220BF" w:rsidP="00A220BF">
      <w:pPr>
        <w:pStyle w:val="01aMainHeader"/>
        <w:spacing w:before="0" w:after="0"/>
        <w:rPr>
          <w:b w:val="0"/>
          <w:bCs/>
          <w:sz w:val="24"/>
          <w:szCs w:val="24"/>
          <w:highlight w:val="yellow"/>
        </w:rPr>
      </w:pPr>
    </w:p>
    <w:p w14:paraId="6FD83B6F" w14:textId="77777777" w:rsidR="00A220BF" w:rsidRDefault="00A220BF" w:rsidP="00A220BF">
      <w:pPr>
        <w:pStyle w:val="01aMainHeader"/>
        <w:spacing w:before="0" w:after="0"/>
        <w:rPr>
          <w:rFonts w:eastAsia="Times New Roman" w:cs="Arial"/>
          <w:b w:val="0"/>
          <w:color w:val="auto"/>
          <w:sz w:val="24"/>
          <w:szCs w:val="24"/>
          <w:lang w:val="en-GB"/>
        </w:rPr>
      </w:pPr>
      <w:bookmarkStart w:id="20" w:name="_Toc119068078"/>
      <w:r w:rsidRPr="00283AE7">
        <w:rPr>
          <w:rFonts w:eastAsia="Times New Roman" w:cs="Arial"/>
          <w:b w:val="0"/>
          <w:color w:val="auto"/>
          <w:sz w:val="24"/>
          <w:szCs w:val="24"/>
          <w:lang w:val="en-GB"/>
        </w:rPr>
        <w:t>The purpose of th</w:t>
      </w:r>
      <w:r>
        <w:rPr>
          <w:rFonts w:eastAsia="Times New Roman" w:cs="Arial"/>
          <w:b w:val="0"/>
          <w:color w:val="auto"/>
          <w:sz w:val="24"/>
          <w:szCs w:val="24"/>
          <w:lang w:val="en-GB"/>
        </w:rPr>
        <w:t>e performance analysis</w:t>
      </w:r>
      <w:r w:rsidRPr="00283AE7">
        <w:rPr>
          <w:rFonts w:eastAsia="Times New Roman" w:cs="Arial"/>
          <w:b w:val="0"/>
          <w:color w:val="auto"/>
          <w:sz w:val="24"/>
          <w:szCs w:val="24"/>
          <w:lang w:val="en-GB"/>
        </w:rPr>
        <w:t xml:space="preserve"> section is to provide a detailed view of our performance. </w:t>
      </w:r>
      <w:r>
        <w:rPr>
          <w:rFonts w:eastAsia="Times New Roman" w:cs="Arial"/>
          <w:b w:val="0"/>
          <w:color w:val="auto"/>
          <w:sz w:val="24"/>
          <w:szCs w:val="24"/>
          <w:lang w:val="en-GB"/>
        </w:rPr>
        <w:t>The section includes:</w:t>
      </w:r>
      <w:bookmarkEnd w:id="20"/>
    </w:p>
    <w:p w14:paraId="556D01B7" w14:textId="77777777" w:rsidR="00A220BF" w:rsidRDefault="00A220BF" w:rsidP="00A220BF">
      <w:pPr>
        <w:pStyle w:val="01aMainHeader"/>
        <w:spacing w:before="0" w:after="0"/>
        <w:rPr>
          <w:rFonts w:eastAsia="Times New Roman" w:cs="Arial"/>
          <w:b w:val="0"/>
          <w:color w:val="auto"/>
          <w:sz w:val="24"/>
          <w:szCs w:val="24"/>
          <w:lang w:val="en-GB"/>
        </w:rPr>
      </w:pPr>
    </w:p>
    <w:p w14:paraId="4117B3F1" w14:textId="262A1DE6" w:rsidR="00A220BF" w:rsidRPr="00CA7714" w:rsidRDefault="00A220BF" w:rsidP="00CA7714">
      <w:pPr>
        <w:pStyle w:val="ListParagraph"/>
        <w:numPr>
          <w:ilvl w:val="0"/>
          <w:numId w:val="40"/>
        </w:numPr>
        <w:spacing w:line="360" w:lineRule="auto"/>
        <w:rPr>
          <w:rFonts w:ascii="Arial" w:hAnsi="Arial" w:cs="Arial"/>
        </w:rPr>
      </w:pPr>
      <w:r w:rsidRPr="00016158">
        <w:rPr>
          <w:rFonts w:ascii="Arial" w:hAnsi="Arial" w:cs="Arial"/>
        </w:rPr>
        <w:t>An introduction providing context to our performance results.</w:t>
      </w:r>
    </w:p>
    <w:p w14:paraId="663B6C0D" w14:textId="2D23C961" w:rsidR="00A220BF" w:rsidRPr="00CA7714" w:rsidRDefault="00A220BF" w:rsidP="00A220BF">
      <w:pPr>
        <w:pStyle w:val="ListParagraph"/>
        <w:numPr>
          <w:ilvl w:val="0"/>
          <w:numId w:val="40"/>
        </w:numPr>
        <w:spacing w:line="360" w:lineRule="auto"/>
        <w:rPr>
          <w:rFonts w:ascii="Arial" w:hAnsi="Arial" w:cs="Arial"/>
        </w:rPr>
      </w:pPr>
      <w:r w:rsidRPr="00016158">
        <w:rPr>
          <w:rFonts w:ascii="Arial" w:hAnsi="Arial" w:cs="Arial"/>
        </w:rPr>
        <w:t xml:space="preserve">A performance report providing detailed information about our delivery of each of the twenty performance measures in our Annual Operating Plan for </w:t>
      </w:r>
      <w:r w:rsidR="000845C9">
        <w:rPr>
          <w:rFonts w:ascii="Arial" w:hAnsi="Arial" w:cs="Arial"/>
        </w:rPr>
        <w:t>2021/2022</w:t>
      </w:r>
      <w:r w:rsidRPr="00016158">
        <w:rPr>
          <w:rFonts w:ascii="Arial" w:hAnsi="Arial" w:cs="Arial"/>
        </w:rPr>
        <w:t>.</w:t>
      </w:r>
    </w:p>
    <w:p w14:paraId="5EC00DD6" w14:textId="7590A0B6" w:rsidR="00A220BF" w:rsidRPr="00CA7714" w:rsidRDefault="00A220BF" w:rsidP="00A220BF">
      <w:pPr>
        <w:pStyle w:val="ListParagraph"/>
        <w:numPr>
          <w:ilvl w:val="0"/>
          <w:numId w:val="40"/>
        </w:numPr>
        <w:spacing w:line="360" w:lineRule="auto"/>
        <w:rPr>
          <w:rFonts w:ascii="Arial" w:hAnsi="Arial" w:cs="Arial"/>
        </w:rPr>
      </w:pPr>
      <w:r w:rsidRPr="00016158">
        <w:rPr>
          <w:rFonts w:ascii="Arial" w:hAnsi="Arial" w:cs="Arial"/>
        </w:rPr>
        <w:t>A section explaining our work to further embed equality and diversity in our working practices and in our services.</w:t>
      </w:r>
    </w:p>
    <w:p w14:paraId="08DFBFB5" w14:textId="77777777" w:rsidR="00A220BF" w:rsidRPr="00016158" w:rsidRDefault="00A220BF" w:rsidP="00802A98">
      <w:pPr>
        <w:pStyle w:val="ListParagraph"/>
        <w:numPr>
          <w:ilvl w:val="0"/>
          <w:numId w:val="40"/>
        </w:numPr>
        <w:spacing w:line="360" w:lineRule="auto"/>
        <w:rPr>
          <w:rFonts w:ascii="Arial" w:hAnsi="Arial" w:cs="Arial"/>
        </w:rPr>
      </w:pPr>
      <w:r w:rsidRPr="00016158">
        <w:rPr>
          <w:rFonts w:ascii="Arial" w:hAnsi="Arial" w:cs="Arial"/>
        </w:rPr>
        <w:t xml:space="preserve">Our sustainability report explaining work we have done to support and promote sustainability in our own work, with businesses, local communities, and overseas. </w:t>
      </w:r>
    </w:p>
    <w:p w14:paraId="19A87D36" w14:textId="79DBAF6B" w:rsidR="002C5353" w:rsidRDefault="002C5353" w:rsidP="00016158">
      <w:pPr>
        <w:pStyle w:val="01bSubheader"/>
        <w:ind w:left="720" w:hanging="720"/>
        <w:rPr>
          <w:b w:val="0"/>
          <w:bCs/>
          <w:sz w:val="24"/>
          <w:szCs w:val="24"/>
          <w:highlight w:val="yellow"/>
        </w:rPr>
      </w:pPr>
      <w:r>
        <w:rPr>
          <w:b w:val="0"/>
          <w:bCs/>
          <w:sz w:val="24"/>
          <w:szCs w:val="24"/>
          <w:highlight w:val="yellow"/>
        </w:rPr>
        <w:br w:type="page"/>
      </w:r>
    </w:p>
    <w:p w14:paraId="46240B07" w14:textId="72A04C57" w:rsidR="0081542E" w:rsidRDefault="00C838E9" w:rsidP="00016158">
      <w:pPr>
        <w:pStyle w:val="01bSubheader"/>
        <w:ind w:left="720" w:hanging="720"/>
      </w:pPr>
      <w:bookmarkStart w:id="21" w:name="_Toc119068079"/>
      <w:r w:rsidRPr="00CF606D">
        <w:lastRenderedPageBreak/>
        <w:t>1.4.1</w:t>
      </w:r>
      <w:r w:rsidRPr="00CF606D">
        <w:tab/>
      </w:r>
      <w:r w:rsidR="003515BC" w:rsidRPr="00CF606D">
        <w:t>Performance i</w:t>
      </w:r>
      <w:r w:rsidR="0081542E" w:rsidRPr="00CF606D">
        <w:t>ntroduction</w:t>
      </w:r>
      <w:bookmarkEnd w:id="21"/>
    </w:p>
    <w:p w14:paraId="0A9D93E7" w14:textId="77777777" w:rsidR="004D2206" w:rsidRPr="004D2206" w:rsidRDefault="004D2206" w:rsidP="004D2206">
      <w:pPr>
        <w:pStyle w:val="01bSubheader"/>
        <w:ind w:left="720" w:hanging="720"/>
        <w:rPr>
          <w:b w:val="0"/>
          <w:bCs/>
          <w:sz w:val="24"/>
          <w:szCs w:val="24"/>
        </w:rPr>
      </w:pPr>
    </w:p>
    <w:p w14:paraId="400402EB" w14:textId="54BA60E6" w:rsidR="004D2206" w:rsidRDefault="004D2206" w:rsidP="004D2206">
      <w:pPr>
        <w:spacing w:line="360" w:lineRule="auto"/>
        <w:textAlignment w:val="baseline"/>
        <w:rPr>
          <w:rFonts w:ascii="Arial" w:hAnsi="Arial" w:cs="Arial"/>
        </w:rPr>
      </w:pPr>
      <w:r w:rsidRPr="00F9015B">
        <w:rPr>
          <w:rFonts w:ascii="Arial" w:hAnsi="Arial" w:cs="Arial"/>
        </w:rPr>
        <w:t xml:space="preserve">Our Annual Operating Plan for </w:t>
      </w:r>
      <w:r w:rsidR="000845C9">
        <w:rPr>
          <w:rFonts w:ascii="Arial" w:hAnsi="Arial" w:cs="Arial"/>
        </w:rPr>
        <w:t>2021/2022</w:t>
      </w:r>
      <w:r>
        <w:rPr>
          <w:rFonts w:ascii="Arial" w:hAnsi="Arial" w:cs="Arial"/>
        </w:rPr>
        <w:t>, which began in July 2021,</w:t>
      </w:r>
      <w:r w:rsidRPr="00F9015B">
        <w:rPr>
          <w:rFonts w:ascii="Arial" w:hAnsi="Arial" w:cs="Arial"/>
        </w:rPr>
        <w:t xml:space="preserve"> set out 20 performance measures</w:t>
      </w:r>
      <w:r>
        <w:rPr>
          <w:rFonts w:ascii="Arial" w:hAnsi="Arial" w:cs="Arial"/>
        </w:rPr>
        <w:t>. W</w:t>
      </w:r>
      <w:r w:rsidRPr="00F9015B">
        <w:rPr>
          <w:rFonts w:ascii="Arial" w:hAnsi="Arial" w:cs="Arial"/>
        </w:rPr>
        <w:t xml:space="preserve">e </w:t>
      </w:r>
      <w:r>
        <w:rPr>
          <w:rFonts w:ascii="Arial" w:hAnsi="Arial" w:cs="Arial"/>
        </w:rPr>
        <w:t>report</w:t>
      </w:r>
      <w:r w:rsidRPr="00F9015B">
        <w:rPr>
          <w:rFonts w:ascii="Arial" w:hAnsi="Arial" w:cs="Arial"/>
        </w:rPr>
        <w:t xml:space="preserve"> progress on these measures </w:t>
      </w:r>
      <w:r>
        <w:rPr>
          <w:rFonts w:ascii="Arial" w:hAnsi="Arial" w:cs="Arial"/>
        </w:rPr>
        <w:t>via corporate performance reports</w:t>
      </w:r>
      <w:r w:rsidRPr="00F9015B">
        <w:rPr>
          <w:rFonts w:ascii="Arial" w:hAnsi="Arial" w:cs="Arial"/>
        </w:rPr>
        <w:t>.</w:t>
      </w:r>
      <w:r>
        <w:rPr>
          <w:rFonts w:ascii="Arial" w:hAnsi="Arial" w:cs="Arial"/>
        </w:rPr>
        <w:t xml:space="preserve"> These reports help the Agency Management Team, Board</w:t>
      </w:r>
      <w:r w:rsidR="00B9700A">
        <w:rPr>
          <w:rFonts w:ascii="Arial" w:hAnsi="Arial" w:cs="Arial"/>
        </w:rPr>
        <w:t>,</w:t>
      </w:r>
      <w:r>
        <w:rPr>
          <w:rFonts w:ascii="Arial" w:hAnsi="Arial" w:cs="Arial"/>
        </w:rPr>
        <w:t xml:space="preserve"> and Scottish Government assess our progress throughout the year. We also publish the reports on our website.</w:t>
      </w:r>
    </w:p>
    <w:p w14:paraId="5EB3A2CB" w14:textId="77777777" w:rsidR="004D2206" w:rsidRDefault="004D2206" w:rsidP="004D2206">
      <w:pPr>
        <w:spacing w:line="360" w:lineRule="auto"/>
        <w:textAlignment w:val="baseline"/>
        <w:rPr>
          <w:rFonts w:ascii="Arial" w:hAnsi="Arial" w:cs="Arial"/>
        </w:rPr>
      </w:pPr>
    </w:p>
    <w:p w14:paraId="55D2FB3A" w14:textId="5B4380A1" w:rsidR="004D2206" w:rsidRDefault="1B05E821" w:rsidP="004D2206">
      <w:pPr>
        <w:spacing w:line="360" w:lineRule="auto"/>
        <w:ind w:right="-425"/>
        <w:rPr>
          <w:rFonts w:ascii="Arial" w:hAnsi="Arial" w:cs="Arial"/>
        </w:rPr>
      </w:pPr>
      <w:r w:rsidRPr="2EC12E4E">
        <w:rPr>
          <w:rFonts w:ascii="Arial" w:hAnsi="Arial" w:cs="Arial"/>
        </w:rPr>
        <w:t>W</w:t>
      </w:r>
      <w:r w:rsidR="004D2206" w:rsidRPr="2EC12E4E">
        <w:rPr>
          <w:rFonts w:ascii="Arial" w:hAnsi="Arial" w:cs="Arial"/>
        </w:rPr>
        <w:t>e achieved 14 of the 20 measures. Five measures have not been achieved and one measure is reported as a near miss.</w:t>
      </w:r>
    </w:p>
    <w:p w14:paraId="77384874" w14:textId="77777777" w:rsidR="004D2206" w:rsidRPr="004D2206" w:rsidRDefault="004D2206" w:rsidP="004D2206">
      <w:pPr>
        <w:spacing w:line="360" w:lineRule="auto"/>
        <w:ind w:right="-425"/>
        <w:rPr>
          <w:rFonts w:ascii="Arial" w:hAnsi="Arial" w:cs="Arial"/>
        </w:rPr>
      </w:pPr>
    </w:p>
    <w:p w14:paraId="07DF713F" w14:textId="243DD825" w:rsidR="002C12CE" w:rsidRPr="00016158" w:rsidRDefault="004D2206" w:rsidP="004D2206">
      <w:pPr>
        <w:pStyle w:val="01bSubheader"/>
        <w:rPr>
          <w:b w:val="0"/>
          <w:bCs/>
          <w:sz w:val="24"/>
          <w:szCs w:val="24"/>
        </w:rPr>
      </w:pPr>
      <w:bookmarkStart w:id="22" w:name="_Toc119068080"/>
      <w:r w:rsidRPr="002F0BFF">
        <w:rPr>
          <w:rFonts w:eastAsiaTheme="majorEastAsia"/>
          <w:b w:val="0"/>
          <w:bCs/>
          <w:color w:val="000000" w:themeColor="text1"/>
          <w:sz w:val="24"/>
          <w:szCs w:val="24"/>
        </w:rPr>
        <w:t>The following pages provide a detailed analysis of our performance. The performance report is broken down into three sections, which reflect the three work streams described in our Annual Operating Plan: Regulation, Flooding</w:t>
      </w:r>
      <w:r w:rsidR="00091111">
        <w:rPr>
          <w:rFonts w:eastAsiaTheme="majorEastAsia"/>
          <w:b w:val="0"/>
          <w:bCs/>
          <w:color w:val="000000" w:themeColor="text1"/>
          <w:sz w:val="24"/>
          <w:szCs w:val="24"/>
        </w:rPr>
        <w:t>,</w:t>
      </w:r>
      <w:r w:rsidRPr="002F0BFF">
        <w:rPr>
          <w:rFonts w:eastAsiaTheme="majorEastAsia"/>
          <w:b w:val="0"/>
          <w:bCs/>
          <w:color w:val="000000" w:themeColor="text1"/>
          <w:sz w:val="24"/>
          <w:szCs w:val="24"/>
        </w:rPr>
        <w:t xml:space="preserve"> and Corporate</w:t>
      </w:r>
      <w:r w:rsidR="003877C5">
        <w:rPr>
          <w:rFonts w:eastAsiaTheme="majorEastAsia"/>
          <w:b w:val="0"/>
          <w:bCs/>
          <w:color w:val="000000" w:themeColor="text1"/>
          <w:sz w:val="24"/>
          <w:szCs w:val="24"/>
        </w:rPr>
        <w:t>.</w:t>
      </w:r>
      <w:bookmarkEnd w:id="22"/>
    </w:p>
    <w:p w14:paraId="2854625E" w14:textId="77777777" w:rsidR="00F469EF" w:rsidRDefault="00F469EF" w:rsidP="003340D9">
      <w:pPr>
        <w:spacing w:line="360" w:lineRule="auto"/>
        <w:ind w:right="-425"/>
        <w:rPr>
          <w:rFonts w:ascii="Arial" w:eastAsia="Calibri" w:hAnsi="Arial" w:cs="Arial"/>
          <w:lang w:eastAsia="en-US"/>
        </w:rPr>
      </w:pPr>
    </w:p>
    <w:p w14:paraId="7EE53B7F" w14:textId="214189D3" w:rsidR="00850026" w:rsidRPr="00015573" w:rsidRDefault="00D01747" w:rsidP="00802A98">
      <w:pPr>
        <w:pStyle w:val="01bSubheader"/>
        <w:numPr>
          <w:ilvl w:val="2"/>
          <w:numId w:val="35"/>
        </w:numPr>
        <w:ind w:left="851" w:hanging="851"/>
      </w:pPr>
      <w:bookmarkStart w:id="23" w:name="_Toc119068081"/>
      <w:r w:rsidRPr="00015573">
        <w:t>Performance report</w:t>
      </w:r>
      <w:bookmarkEnd w:id="23"/>
    </w:p>
    <w:p w14:paraId="2074A6F8" w14:textId="77777777" w:rsidR="00D01747" w:rsidRPr="004D2206" w:rsidRDefault="00D01747" w:rsidP="004D2206">
      <w:pPr>
        <w:spacing w:line="360" w:lineRule="auto"/>
        <w:jc w:val="both"/>
        <w:rPr>
          <w:rFonts w:ascii="Arial" w:eastAsiaTheme="minorHAnsi" w:hAnsi="Arial" w:cs="Arial"/>
          <w:color w:val="73AE57"/>
          <w:lang w:eastAsia="en-US"/>
        </w:rPr>
      </w:pPr>
    </w:p>
    <w:p w14:paraId="7CAC5760" w14:textId="77777777" w:rsidR="003C56EE" w:rsidRPr="00BE0AC1" w:rsidRDefault="003C56EE" w:rsidP="00BE0AC1">
      <w:pPr>
        <w:pStyle w:val="paragraph"/>
        <w:spacing w:before="0" w:beforeAutospacing="0" w:after="0" w:afterAutospacing="0" w:line="360" w:lineRule="auto"/>
        <w:textAlignment w:val="baseline"/>
        <w:rPr>
          <w:rStyle w:val="normaltextrun"/>
          <w:rFonts w:ascii="Arial" w:hAnsi="Arial" w:cs="Arial"/>
          <w:b/>
          <w:bCs/>
        </w:rPr>
      </w:pPr>
      <w:r w:rsidRPr="00BE0AC1">
        <w:rPr>
          <w:rStyle w:val="normaltextrun"/>
          <w:rFonts w:ascii="Arial" w:hAnsi="Arial" w:cs="Arial"/>
          <w:b/>
          <w:bCs/>
        </w:rPr>
        <w:t>Regulation</w:t>
      </w:r>
    </w:p>
    <w:tbl>
      <w:tblPr>
        <w:tblStyle w:val="TableGrid1"/>
        <w:tblW w:w="5000" w:type="pct"/>
        <w:tblBorders>
          <w:top w:val="single" w:sz="24" w:space="0" w:color="215868" w:themeColor="accent5" w:themeShade="80"/>
          <w:left w:val="single" w:sz="24" w:space="0" w:color="215868" w:themeColor="accent5" w:themeShade="80"/>
          <w:bottom w:val="single" w:sz="24" w:space="0" w:color="215868" w:themeColor="accent5" w:themeShade="80"/>
          <w:right w:val="single" w:sz="24" w:space="0" w:color="215868" w:themeColor="accent5" w:themeShade="80"/>
          <w:insideH w:val="single" w:sz="24" w:space="0" w:color="215868" w:themeColor="accent5" w:themeShade="80"/>
          <w:insideV w:val="single" w:sz="24" w:space="0" w:color="215868" w:themeColor="accent5" w:themeShade="80"/>
        </w:tblBorders>
        <w:tblCellMar>
          <w:top w:w="57" w:type="dxa"/>
          <w:bottom w:w="57" w:type="dxa"/>
        </w:tblCellMar>
        <w:tblLook w:val="04A0" w:firstRow="1" w:lastRow="0" w:firstColumn="1" w:lastColumn="0" w:noHBand="0" w:noVBand="1"/>
      </w:tblPr>
      <w:tblGrid>
        <w:gridCol w:w="8160"/>
        <w:gridCol w:w="1561"/>
      </w:tblGrid>
      <w:tr w:rsidR="003C56EE" w14:paraId="0C90BEFB" w14:textId="77777777" w:rsidTr="00F86C07">
        <w:tc>
          <w:tcPr>
            <w:tcW w:w="5000" w:type="pct"/>
            <w:gridSpan w:val="2"/>
            <w:shd w:val="clear" w:color="auto" w:fill="EAF1DD" w:themeFill="accent3" w:themeFillTint="33"/>
            <w:hideMark/>
          </w:tcPr>
          <w:p w14:paraId="7AA0F981"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Regulation</w:t>
            </w:r>
          </w:p>
        </w:tc>
      </w:tr>
      <w:tr w:rsidR="003C56EE" w14:paraId="110981D1" w14:textId="77777777" w:rsidTr="00CF1904">
        <w:trPr>
          <w:trHeight w:val="704"/>
        </w:trPr>
        <w:tc>
          <w:tcPr>
            <w:tcW w:w="4197" w:type="pct"/>
            <w:hideMark/>
          </w:tcPr>
          <w:p w14:paraId="27FB5311" w14:textId="4D30F5AB" w:rsidR="003C56EE" w:rsidRDefault="003C56EE" w:rsidP="003877C5">
            <w:pPr>
              <w:overflowPunct w:val="0"/>
              <w:autoSpaceDE w:val="0"/>
              <w:autoSpaceDN w:val="0"/>
              <w:adjustRightInd w:val="0"/>
              <w:spacing w:line="360" w:lineRule="auto"/>
              <w:textAlignment w:val="baseline"/>
              <w:rPr>
                <w:rFonts w:eastAsia="Arial"/>
                <w:b/>
                <w:bCs/>
              </w:rPr>
            </w:pPr>
            <w:r>
              <w:rPr>
                <w:rFonts w:eastAsia="Arial"/>
                <w:b/>
                <w:bCs/>
              </w:rPr>
              <w:t>Measure 1: All permitting determinations c</w:t>
            </w:r>
            <w:r>
              <w:rPr>
                <w:rFonts w:eastAsia="Arial"/>
                <w:b/>
                <w:bCs/>
                <w:szCs w:val="20"/>
              </w:rPr>
              <w:t xml:space="preserve">ompleted </w:t>
            </w:r>
            <w:r>
              <w:rPr>
                <w:rFonts w:eastAsia="Arial"/>
                <w:b/>
                <w:bCs/>
              </w:rPr>
              <w:t>within statutory timelines by March 2022</w:t>
            </w:r>
            <w:r w:rsidR="00F86C07">
              <w:rPr>
                <w:rFonts w:eastAsia="Arial"/>
                <w:b/>
                <w:bCs/>
              </w:rPr>
              <w:t>.</w:t>
            </w:r>
          </w:p>
        </w:tc>
        <w:tc>
          <w:tcPr>
            <w:tcW w:w="803" w:type="pct"/>
            <w:shd w:val="clear" w:color="auto" w:fill="DB4325"/>
            <w:vAlign w:val="center"/>
            <w:hideMark/>
          </w:tcPr>
          <w:p w14:paraId="6FAE6945" w14:textId="77777777" w:rsidR="003C56EE" w:rsidRDefault="003C56EE" w:rsidP="003877C5">
            <w:pPr>
              <w:overflowPunct w:val="0"/>
              <w:autoSpaceDE w:val="0"/>
              <w:autoSpaceDN w:val="0"/>
              <w:adjustRightInd w:val="0"/>
              <w:spacing w:line="360" w:lineRule="auto"/>
              <w:jc w:val="center"/>
              <w:textAlignment w:val="baseline"/>
              <w:rPr>
                <w:rFonts w:eastAsia="Arial"/>
              </w:rPr>
            </w:pPr>
            <w:r>
              <w:rPr>
                <w:rFonts w:eastAsia="Arial"/>
              </w:rPr>
              <w:t>Near miss</w:t>
            </w:r>
          </w:p>
        </w:tc>
      </w:tr>
    </w:tbl>
    <w:p w14:paraId="34C5EB3E" w14:textId="77777777" w:rsidR="003C56EE" w:rsidRPr="00FC3F00" w:rsidRDefault="003C56EE" w:rsidP="003877C5">
      <w:pPr>
        <w:spacing w:line="360" w:lineRule="auto"/>
        <w:ind w:right="-425"/>
        <w:rPr>
          <w:rFonts w:ascii="Arial" w:hAnsi="Arial" w:cs="Arial"/>
        </w:rPr>
      </w:pPr>
    </w:p>
    <w:p w14:paraId="27DE8BD5" w14:textId="5B796BB2" w:rsidR="003C56EE" w:rsidRDefault="003C56EE" w:rsidP="003877C5">
      <w:pPr>
        <w:spacing w:line="360" w:lineRule="auto"/>
        <w:rPr>
          <w:rFonts w:ascii="Arial" w:hAnsi="Arial" w:cs="Arial"/>
        </w:rPr>
      </w:pPr>
      <w:r>
        <w:rPr>
          <w:rFonts w:ascii="Arial" w:hAnsi="Arial" w:cs="Arial"/>
        </w:rPr>
        <w:t xml:space="preserve">We made huge progress this year determining permits and almost met this target. </w:t>
      </w:r>
    </w:p>
    <w:p w14:paraId="5C256354" w14:textId="77777777" w:rsidR="00FC3F00" w:rsidRDefault="00FC3F00" w:rsidP="003877C5">
      <w:pPr>
        <w:spacing w:line="360" w:lineRule="auto"/>
        <w:rPr>
          <w:rFonts w:ascii="Arial" w:hAnsi="Arial" w:cs="Arial"/>
          <w:lang w:val="en-US"/>
        </w:rPr>
      </w:pPr>
    </w:p>
    <w:p w14:paraId="7CCCCEF8" w14:textId="3B7A10E8" w:rsidR="007970A4" w:rsidRDefault="003C56EE" w:rsidP="003877C5">
      <w:pPr>
        <w:pStyle w:val="paragraph"/>
        <w:spacing w:before="0" w:beforeAutospacing="0" w:after="0" w:afterAutospacing="0" w:line="360" w:lineRule="auto"/>
        <w:textAlignment w:val="baseline"/>
      </w:pPr>
      <w:r>
        <w:rPr>
          <w:rFonts w:ascii="Arial" w:hAnsi="Arial" w:cs="Arial"/>
          <w:color w:val="000000" w:themeColor="text1"/>
        </w:rPr>
        <w:t>Many businesses carry out activities that could cause pollution or pose a risk to the environment. Before they begin, they need to apply to us for an authorisation. Each activity is regulated under different regulations, which set out the timescales for us to determine whether to authorise the activity. We aim to determine all authorisations within the statutory timescale.</w:t>
      </w:r>
    </w:p>
    <w:p w14:paraId="54E77623" w14:textId="77777777" w:rsidR="00A56562" w:rsidRPr="00A56562" w:rsidRDefault="00A56562" w:rsidP="003877C5">
      <w:pPr>
        <w:spacing w:line="360" w:lineRule="auto"/>
        <w:rPr>
          <w:rFonts w:ascii="Arial" w:hAnsi="Arial" w:cs="Arial"/>
        </w:rPr>
      </w:pPr>
    </w:p>
    <w:p w14:paraId="6AFD1789" w14:textId="43F63BD0" w:rsidR="003C56EE" w:rsidRDefault="003C56EE" w:rsidP="003877C5">
      <w:pPr>
        <w:pStyle w:val="paragraph"/>
        <w:spacing w:before="0" w:beforeAutospacing="0" w:after="0" w:afterAutospacing="0" w:line="360" w:lineRule="auto"/>
        <w:textAlignment w:val="baseline"/>
        <w:rPr>
          <w:rFonts w:ascii="Arial" w:eastAsia="Calibri" w:hAnsi="Arial" w:cs="Arial"/>
        </w:rPr>
      </w:pPr>
      <w:r>
        <w:rPr>
          <w:rFonts w:ascii="Arial" w:hAnsi="Arial" w:cs="Arial"/>
          <w:color w:val="000000" w:themeColor="text1"/>
        </w:rPr>
        <w:t>Following the cyber-attack, it was very difficult for us to issue permits as we did not have access to our systems and data. We made tremendous progress this year getting all our permitting services operational and almost meeting our target</w:t>
      </w:r>
      <w:r>
        <w:rPr>
          <w:rFonts w:ascii="Arial" w:hAnsi="Arial" w:cs="Arial"/>
        </w:rPr>
        <w:t xml:space="preserve">. When an application exceeds the statutory timescale, it is often because we have asked the applicant for further information. The time taken for the applicant to respond should not be included in the overall </w:t>
      </w:r>
      <w:r>
        <w:rPr>
          <w:rFonts w:ascii="Arial" w:hAnsi="Arial" w:cs="Arial"/>
        </w:rPr>
        <w:lastRenderedPageBreak/>
        <w:t xml:space="preserve">determination time. However, we are currently unable to exclude this extra time from our data, so our actual </w:t>
      </w:r>
      <w:r>
        <w:rPr>
          <w:rFonts w:ascii="Arial" w:eastAsia="Calibri" w:hAnsi="Arial" w:cs="Arial"/>
        </w:rPr>
        <w:t>performance is likely to be better than the data indicates.</w:t>
      </w:r>
    </w:p>
    <w:p w14:paraId="58617227" w14:textId="77777777" w:rsidR="007970A4" w:rsidRDefault="007970A4" w:rsidP="003877C5">
      <w:pPr>
        <w:pStyle w:val="paragraph"/>
        <w:spacing w:before="0" w:beforeAutospacing="0" w:after="0" w:afterAutospacing="0" w:line="360" w:lineRule="auto"/>
        <w:textAlignment w:val="baseline"/>
        <w:rPr>
          <w:rFonts w:ascii="Arial" w:hAnsi="Arial" w:cs="Arial"/>
        </w:rPr>
      </w:pPr>
    </w:p>
    <w:p w14:paraId="75C92095" w14:textId="2D6528F9" w:rsidR="003C56EE" w:rsidRDefault="003C56EE" w:rsidP="003877C5">
      <w:pPr>
        <w:pStyle w:val="paragraph"/>
        <w:spacing w:before="0" w:beforeAutospacing="0" w:after="0" w:afterAutospacing="0" w:line="360" w:lineRule="auto"/>
        <w:textAlignment w:val="baseline"/>
        <w:rPr>
          <w:rFonts w:ascii="Arial" w:hAnsi="Arial" w:cs="Arial"/>
          <w:color w:val="000000" w:themeColor="text1"/>
        </w:rPr>
      </w:pPr>
      <w:r>
        <w:rPr>
          <w:rFonts w:ascii="Arial" w:hAnsi="Arial" w:cs="Arial"/>
        </w:rPr>
        <w:t>We</w:t>
      </w:r>
      <w:r>
        <w:rPr>
          <w:rFonts w:ascii="Arial" w:hAnsi="Arial" w:cs="Arial"/>
          <w:color w:val="000000" w:themeColor="text1"/>
        </w:rPr>
        <w:t xml:space="preserve"> determined around 2,000 applications for new licences and registrations and another 421 requests by operators to make variations to their licence. The table below shows the improvement in our performance between April 2021 and March 2022.</w:t>
      </w:r>
    </w:p>
    <w:p w14:paraId="1CE19407" w14:textId="77777777" w:rsidR="007970A4" w:rsidRDefault="007970A4" w:rsidP="003877C5">
      <w:pPr>
        <w:pStyle w:val="paragraph"/>
        <w:spacing w:before="0" w:beforeAutospacing="0" w:after="0" w:afterAutospacing="0" w:line="360" w:lineRule="auto"/>
        <w:textAlignment w:val="baseline"/>
        <w:rPr>
          <w:rFonts w:ascii="Arial" w:hAnsi="Arial" w:cs="Arial"/>
          <w:color w:val="000000" w:themeColor="text1"/>
        </w:rPr>
      </w:pPr>
    </w:p>
    <w:p w14:paraId="3FF3F575" w14:textId="77777777" w:rsidR="003C56EE" w:rsidRDefault="003C56EE" w:rsidP="00A56562">
      <w:pPr>
        <w:pStyle w:val="paragraph"/>
        <w:spacing w:before="0" w:beforeAutospacing="0" w:after="0" w:afterAutospacing="0" w:line="360" w:lineRule="auto"/>
        <w:textAlignment w:val="baseline"/>
        <w:rPr>
          <w:rFonts w:ascii="Arial" w:eastAsia="Calibri" w:hAnsi="Arial" w:cs="Arial"/>
          <w:b/>
          <w:bCs/>
        </w:rPr>
      </w:pPr>
      <w:r>
        <w:rPr>
          <w:rFonts w:ascii="Arial" w:eastAsia="Calibri" w:hAnsi="Arial" w:cs="Arial"/>
          <w:b/>
          <w:bCs/>
        </w:rPr>
        <w:t>New licences and registrations determined at start and end of financial year</w:t>
      </w:r>
    </w:p>
    <w:tbl>
      <w:tblPr>
        <w:tblW w:w="5000" w:type="pct"/>
        <w:tblCellMar>
          <w:top w:w="85" w:type="dxa"/>
          <w:bottom w:w="85" w:type="dxa"/>
        </w:tblCellMar>
        <w:tblLook w:val="04A0" w:firstRow="1" w:lastRow="0" w:firstColumn="1" w:lastColumn="0" w:noHBand="0" w:noVBand="1"/>
      </w:tblPr>
      <w:tblGrid>
        <w:gridCol w:w="1692"/>
        <w:gridCol w:w="1577"/>
        <w:gridCol w:w="2488"/>
        <w:gridCol w:w="1577"/>
        <w:gridCol w:w="2442"/>
      </w:tblGrid>
      <w:tr w:rsidR="003C56EE" w14:paraId="062A1815" w14:textId="77777777" w:rsidTr="00F86C07">
        <w:trPr>
          <w:trHeight w:val="380"/>
        </w:trPr>
        <w:tc>
          <w:tcPr>
            <w:tcW w:w="881" w:type="pct"/>
            <w:tcBorders>
              <w:top w:val="nil"/>
              <w:left w:val="nil"/>
              <w:bottom w:val="single" w:sz="4" w:space="0" w:color="auto"/>
              <w:right w:val="single" w:sz="4" w:space="0" w:color="auto"/>
            </w:tcBorders>
            <w:noWrap/>
            <w:vAlign w:val="bottom"/>
            <w:hideMark/>
          </w:tcPr>
          <w:p w14:paraId="0D1C67B1" w14:textId="77777777" w:rsidR="003C56EE" w:rsidRDefault="003C56EE" w:rsidP="00CF1904">
            <w:pPr>
              <w:rPr>
                <w:rFonts w:ascii="Arial" w:eastAsia="Calibri" w:hAnsi="Arial" w:cs="Arial"/>
                <w:b/>
                <w:bCs/>
              </w:rPr>
            </w:pPr>
          </w:p>
        </w:tc>
        <w:tc>
          <w:tcPr>
            <w:tcW w:w="2033"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15C2B125" w14:textId="77777777" w:rsidR="003C56EE" w:rsidRPr="00191043" w:rsidRDefault="003C56EE" w:rsidP="00CF1904">
            <w:pPr>
              <w:spacing w:after="120" w:line="360" w:lineRule="auto"/>
              <w:jc w:val="center"/>
              <w:rPr>
                <w:rFonts w:ascii="Arial" w:hAnsi="Arial" w:cs="Arial"/>
                <w:b/>
                <w:bCs/>
                <w:color w:val="000000"/>
                <w:lang w:val="en-US"/>
              </w:rPr>
            </w:pPr>
            <w:r w:rsidRPr="00191043">
              <w:rPr>
                <w:rFonts w:ascii="Arial" w:hAnsi="Arial" w:cs="Arial"/>
                <w:b/>
                <w:bCs/>
                <w:color w:val="000000"/>
              </w:rPr>
              <w:t>April 2021</w:t>
            </w:r>
          </w:p>
        </w:tc>
        <w:tc>
          <w:tcPr>
            <w:tcW w:w="2086" w:type="pct"/>
            <w:gridSpan w:val="2"/>
            <w:tcBorders>
              <w:top w:val="single" w:sz="4" w:space="0" w:color="auto"/>
              <w:left w:val="nil"/>
              <w:bottom w:val="single" w:sz="4" w:space="0" w:color="auto"/>
              <w:right w:val="single" w:sz="4" w:space="0" w:color="auto"/>
            </w:tcBorders>
            <w:shd w:val="clear" w:color="auto" w:fill="EAF1DD" w:themeFill="accent3" w:themeFillTint="33"/>
            <w:vAlign w:val="bottom"/>
            <w:hideMark/>
          </w:tcPr>
          <w:p w14:paraId="691282A0" w14:textId="77777777" w:rsidR="003C56EE" w:rsidRPr="00191043" w:rsidRDefault="003C56EE" w:rsidP="00CF1904">
            <w:pPr>
              <w:spacing w:after="120" w:line="360" w:lineRule="auto"/>
              <w:jc w:val="center"/>
              <w:rPr>
                <w:rFonts w:ascii="Arial" w:hAnsi="Arial" w:cs="Arial"/>
                <w:b/>
                <w:bCs/>
                <w:color w:val="000000"/>
              </w:rPr>
            </w:pPr>
            <w:r w:rsidRPr="00191043">
              <w:rPr>
                <w:rFonts w:ascii="Arial" w:hAnsi="Arial" w:cs="Arial"/>
                <w:b/>
                <w:bCs/>
                <w:color w:val="000000"/>
              </w:rPr>
              <w:t>March 2022</w:t>
            </w:r>
          </w:p>
        </w:tc>
      </w:tr>
      <w:tr w:rsidR="00191043" w14:paraId="6E8B6A4A" w14:textId="77777777" w:rsidTr="00F86C07">
        <w:trPr>
          <w:trHeight w:val="743"/>
        </w:trPr>
        <w:tc>
          <w:tcPr>
            <w:tcW w:w="881"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7EA9CF2" w14:textId="77777777" w:rsidR="003C56EE" w:rsidRPr="00191043" w:rsidRDefault="003C56EE" w:rsidP="00CF1904">
            <w:pPr>
              <w:spacing w:after="120" w:line="360" w:lineRule="auto"/>
              <w:rPr>
                <w:rFonts w:ascii="Arial" w:hAnsi="Arial" w:cs="Arial"/>
                <w:b/>
                <w:bCs/>
                <w:color w:val="000000"/>
              </w:rPr>
            </w:pPr>
            <w:r w:rsidRPr="00191043">
              <w:rPr>
                <w:rFonts w:ascii="Arial" w:hAnsi="Arial" w:cs="Arial"/>
                <w:b/>
                <w:bCs/>
                <w:color w:val="000000"/>
              </w:rPr>
              <w:t xml:space="preserve">Licence </w:t>
            </w:r>
            <w:r w:rsidRPr="00F86C07">
              <w:rPr>
                <w:rFonts w:ascii="Arial" w:hAnsi="Arial" w:cs="Arial"/>
                <w:b/>
                <w:bCs/>
                <w:color w:val="000000"/>
                <w:shd w:val="clear" w:color="auto" w:fill="EAF1DD" w:themeFill="accent3" w:themeFillTint="33"/>
              </w:rPr>
              <w:t>type    </w:t>
            </w:r>
          </w:p>
        </w:tc>
        <w:tc>
          <w:tcPr>
            <w:tcW w:w="745" w:type="pct"/>
            <w:tcBorders>
              <w:top w:val="single" w:sz="4" w:space="0" w:color="auto"/>
              <w:left w:val="nil"/>
              <w:bottom w:val="single" w:sz="4" w:space="0" w:color="auto"/>
              <w:right w:val="single" w:sz="4" w:space="0" w:color="auto"/>
            </w:tcBorders>
            <w:shd w:val="clear" w:color="auto" w:fill="EAF1DD" w:themeFill="accent3" w:themeFillTint="33"/>
            <w:hideMark/>
          </w:tcPr>
          <w:p w14:paraId="1E93B60D" w14:textId="77777777" w:rsidR="003C56EE" w:rsidRPr="00191043" w:rsidRDefault="003C56EE" w:rsidP="00CF1904">
            <w:pPr>
              <w:spacing w:after="120" w:line="360" w:lineRule="auto"/>
              <w:rPr>
                <w:rFonts w:ascii="Arial" w:hAnsi="Arial" w:cs="Arial"/>
                <w:b/>
                <w:bCs/>
                <w:color w:val="000000"/>
              </w:rPr>
            </w:pPr>
            <w:r w:rsidRPr="00191043">
              <w:rPr>
                <w:rFonts w:ascii="Arial" w:hAnsi="Arial" w:cs="Arial"/>
                <w:b/>
                <w:bCs/>
                <w:color w:val="000000"/>
              </w:rPr>
              <w:t>Number determined </w:t>
            </w:r>
          </w:p>
        </w:tc>
        <w:tc>
          <w:tcPr>
            <w:tcW w:w="1288" w:type="pct"/>
            <w:tcBorders>
              <w:top w:val="single" w:sz="4" w:space="0" w:color="auto"/>
              <w:left w:val="nil"/>
              <w:bottom w:val="single" w:sz="4" w:space="0" w:color="auto"/>
              <w:right w:val="single" w:sz="4" w:space="0" w:color="auto"/>
            </w:tcBorders>
            <w:shd w:val="clear" w:color="auto" w:fill="EAF1DD" w:themeFill="accent3" w:themeFillTint="33"/>
            <w:hideMark/>
          </w:tcPr>
          <w:p w14:paraId="23BBC4CD" w14:textId="77777777" w:rsidR="003C56EE" w:rsidRPr="00191043" w:rsidRDefault="003C56EE" w:rsidP="00CF1904">
            <w:pPr>
              <w:spacing w:line="360" w:lineRule="auto"/>
              <w:rPr>
                <w:rFonts w:ascii="Arial" w:hAnsi="Arial" w:cs="Arial"/>
                <w:b/>
                <w:bCs/>
                <w:color w:val="000000"/>
              </w:rPr>
            </w:pPr>
            <w:r w:rsidRPr="00191043">
              <w:rPr>
                <w:rFonts w:ascii="Arial" w:hAnsi="Arial" w:cs="Arial"/>
                <w:b/>
                <w:bCs/>
                <w:color w:val="000000"/>
              </w:rPr>
              <w:t>Percentage determined within statutory timescales    </w:t>
            </w:r>
          </w:p>
        </w:tc>
        <w:tc>
          <w:tcPr>
            <w:tcW w:w="813" w:type="pct"/>
            <w:tcBorders>
              <w:top w:val="single" w:sz="4" w:space="0" w:color="auto"/>
              <w:left w:val="nil"/>
              <w:bottom w:val="single" w:sz="4" w:space="0" w:color="auto"/>
              <w:right w:val="single" w:sz="4" w:space="0" w:color="auto"/>
            </w:tcBorders>
            <w:shd w:val="clear" w:color="auto" w:fill="EAF1DD" w:themeFill="accent3" w:themeFillTint="33"/>
            <w:hideMark/>
          </w:tcPr>
          <w:p w14:paraId="7579A929" w14:textId="77777777" w:rsidR="003C56EE" w:rsidRPr="00191043" w:rsidRDefault="003C56EE" w:rsidP="00CF1904">
            <w:pPr>
              <w:spacing w:after="120" w:line="360" w:lineRule="auto"/>
              <w:rPr>
                <w:rFonts w:ascii="Arial" w:hAnsi="Arial" w:cs="Arial"/>
                <w:b/>
                <w:bCs/>
                <w:color w:val="000000"/>
              </w:rPr>
            </w:pPr>
            <w:r w:rsidRPr="00191043">
              <w:rPr>
                <w:rFonts w:ascii="Arial" w:hAnsi="Arial" w:cs="Arial"/>
                <w:b/>
                <w:bCs/>
                <w:color w:val="000000"/>
              </w:rPr>
              <w:t>Number determined </w:t>
            </w:r>
          </w:p>
        </w:tc>
        <w:tc>
          <w:tcPr>
            <w:tcW w:w="1273" w:type="pct"/>
            <w:tcBorders>
              <w:top w:val="single" w:sz="4" w:space="0" w:color="auto"/>
              <w:left w:val="nil"/>
              <w:bottom w:val="single" w:sz="4" w:space="0" w:color="auto"/>
              <w:right w:val="single" w:sz="4" w:space="0" w:color="auto"/>
            </w:tcBorders>
            <w:shd w:val="clear" w:color="auto" w:fill="EAF1DD" w:themeFill="accent3" w:themeFillTint="33"/>
            <w:hideMark/>
          </w:tcPr>
          <w:p w14:paraId="575B8F0A" w14:textId="77777777" w:rsidR="003C56EE" w:rsidRPr="00191043" w:rsidRDefault="003C56EE" w:rsidP="00CF1904">
            <w:pPr>
              <w:spacing w:line="360" w:lineRule="auto"/>
              <w:rPr>
                <w:rFonts w:ascii="Arial" w:hAnsi="Arial" w:cs="Arial"/>
                <w:b/>
                <w:bCs/>
                <w:color w:val="000000"/>
              </w:rPr>
            </w:pPr>
            <w:r w:rsidRPr="00191043">
              <w:rPr>
                <w:rFonts w:ascii="Arial" w:hAnsi="Arial" w:cs="Arial"/>
                <w:b/>
                <w:bCs/>
                <w:color w:val="000000"/>
              </w:rPr>
              <w:t>Percentage determined within statutory timescales    </w:t>
            </w:r>
          </w:p>
        </w:tc>
      </w:tr>
      <w:tr w:rsidR="003C56EE" w14:paraId="29FBDDBE" w14:textId="77777777" w:rsidTr="00CF1904">
        <w:trPr>
          <w:trHeight w:val="300"/>
        </w:trPr>
        <w:tc>
          <w:tcPr>
            <w:tcW w:w="881" w:type="pct"/>
            <w:tcBorders>
              <w:top w:val="nil"/>
              <w:left w:val="single" w:sz="4" w:space="0" w:color="auto"/>
              <w:bottom w:val="single" w:sz="4" w:space="0" w:color="auto"/>
              <w:right w:val="single" w:sz="4" w:space="0" w:color="auto"/>
            </w:tcBorders>
            <w:vAlign w:val="center"/>
            <w:hideMark/>
          </w:tcPr>
          <w:p w14:paraId="75799C27" w14:textId="77777777" w:rsidR="003C56EE" w:rsidRDefault="003C56EE" w:rsidP="00CF1904">
            <w:pPr>
              <w:spacing w:line="360" w:lineRule="auto"/>
              <w:rPr>
                <w:rFonts w:ascii="Arial" w:hAnsi="Arial" w:cs="Arial"/>
                <w:color w:val="000000"/>
              </w:rPr>
            </w:pPr>
            <w:r>
              <w:rPr>
                <w:rFonts w:ascii="Arial" w:hAnsi="Arial" w:cs="Arial"/>
                <w:color w:val="000000"/>
              </w:rPr>
              <w:t>Licences</w:t>
            </w:r>
          </w:p>
        </w:tc>
        <w:tc>
          <w:tcPr>
            <w:tcW w:w="745" w:type="pct"/>
            <w:tcBorders>
              <w:top w:val="nil"/>
              <w:left w:val="nil"/>
              <w:bottom w:val="single" w:sz="4" w:space="0" w:color="auto"/>
              <w:right w:val="single" w:sz="4" w:space="0" w:color="auto"/>
            </w:tcBorders>
            <w:vAlign w:val="center"/>
            <w:hideMark/>
          </w:tcPr>
          <w:p w14:paraId="55688D5C" w14:textId="77777777" w:rsidR="003C56EE" w:rsidRDefault="003C56EE" w:rsidP="00CF1904">
            <w:pPr>
              <w:spacing w:line="360" w:lineRule="auto"/>
              <w:jc w:val="right"/>
              <w:rPr>
                <w:rFonts w:ascii="Arial" w:hAnsi="Arial" w:cs="Arial"/>
                <w:color w:val="000000"/>
              </w:rPr>
            </w:pPr>
            <w:r>
              <w:rPr>
                <w:rFonts w:ascii="Arial" w:hAnsi="Arial" w:cs="Arial"/>
                <w:color w:val="000000"/>
              </w:rPr>
              <w:t>24</w:t>
            </w:r>
          </w:p>
        </w:tc>
        <w:tc>
          <w:tcPr>
            <w:tcW w:w="1288" w:type="pct"/>
            <w:tcBorders>
              <w:top w:val="nil"/>
              <w:left w:val="nil"/>
              <w:bottom w:val="single" w:sz="4" w:space="0" w:color="auto"/>
              <w:right w:val="single" w:sz="4" w:space="0" w:color="auto"/>
            </w:tcBorders>
            <w:noWrap/>
            <w:vAlign w:val="bottom"/>
            <w:hideMark/>
          </w:tcPr>
          <w:p w14:paraId="2703F2BE" w14:textId="77777777" w:rsidR="003C56EE" w:rsidRDefault="003C56EE" w:rsidP="00CF1904">
            <w:pPr>
              <w:spacing w:line="360" w:lineRule="auto"/>
              <w:jc w:val="right"/>
              <w:rPr>
                <w:rFonts w:ascii="Arial" w:hAnsi="Arial" w:cs="Arial"/>
                <w:color w:val="000000"/>
              </w:rPr>
            </w:pPr>
            <w:r>
              <w:rPr>
                <w:rFonts w:ascii="Arial" w:hAnsi="Arial" w:cs="Arial"/>
                <w:color w:val="000000"/>
              </w:rPr>
              <w:t>46%</w:t>
            </w:r>
          </w:p>
        </w:tc>
        <w:tc>
          <w:tcPr>
            <w:tcW w:w="813" w:type="pct"/>
            <w:tcBorders>
              <w:top w:val="nil"/>
              <w:left w:val="nil"/>
              <w:bottom w:val="single" w:sz="4" w:space="0" w:color="auto"/>
              <w:right w:val="single" w:sz="4" w:space="0" w:color="auto"/>
            </w:tcBorders>
            <w:noWrap/>
            <w:vAlign w:val="bottom"/>
            <w:hideMark/>
          </w:tcPr>
          <w:p w14:paraId="5D842136" w14:textId="77777777" w:rsidR="003C56EE" w:rsidRDefault="003C56EE" w:rsidP="00CF1904">
            <w:pPr>
              <w:spacing w:line="360" w:lineRule="auto"/>
              <w:jc w:val="right"/>
              <w:rPr>
                <w:rFonts w:ascii="Arial" w:hAnsi="Arial" w:cs="Arial"/>
                <w:color w:val="000000"/>
              </w:rPr>
            </w:pPr>
            <w:r>
              <w:rPr>
                <w:rFonts w:ascii="Arial" w:hAnsi="Arial" w:cs="Arial"/>
                <w:color w:val="000000"/>
              </w:rPr>
              <w:t>40</w:t>
            </w:r>
          </w:p>
        </w:tc>
        <w:tc>
          <w:tcPr>
            <w:tcW w:w="1273" w:type="pct"/>
            <w:tcBorders>
              <w:top w:val="nil"/>
              <w:left w:val="nil"/>
              <w:bottom w:val="single" w:sz="4" w:space="0" w:color="auto"/>
              <w:right w:val="single" w:sz="4" w:space="0" w:color="auto"/>
            </w:tcBorders>
            <w:noWrap/>
            <w:vAlign w:val="bottom"/>
            <w:hideMark/>
          </w:tcPr>
          <w:p w14:paraId="30FB0BAE" w14:textId="77777777" w:rsidR="003C56EE" w:rsidRDefault="003C56EE" w:rsidP="00CF1904">
            <w:pPr>
              <w:spacing w:line="360" w:lineRule="auto"/>
              <w:jc w:val="right"/>
              <w:rPr>
                <w:rFonts w:ascii="Arial" w:hAnsi="Arial" w:cs="Arial"/>
                <w:color w:val="000000"/>
              </w:rPr>
            </w:pPr>
            <w:r>
              <w:rPr>
                <w:rFonts w:ascii="Arial" w:hAnsi="Arial" w:cs="Arial"/>
                <w:color w:val="000000"/>
              </w:rPr>
              <w:t>83%</w:t>
            </w:r>
          </w:p>
        </w:tc>
      </w:tr>
      <w:tr w:rsidR="003C56EE" w14:paraId="1F7D4804" w14:textId="77777777" w:rsidTr="00CF1904">
        <w:trPr>
          <w:trHeight w:val="590"/>
        </w:trPr>
        <w:tc>
          <w:tcPr>
            <w:tcW w:w="881" w:type="pct"/>
            <w:tcBorders>
              <w:top w:val="nil"/>
              <w:left w:val="single" w:sz="4" w:space="0" w:color="auto"/>
              <w:bottom w:val="single" w:sz="4" w:space="0" w:color="auto"/>
              <w:right w:val="single" w:sz="4" w:space="0" w:color="auto"/>
            </w:tcBorders>
            <w:vAlign w:val="center"/>
            <w:hideMark/>
          </w:tcPr>
          <w:p w14:paraId="3E767919" w14:textId="77777777" w:rsidR="003C56EE" w:rsidRDefault="003C56EE" w:rsidP="00CF1904">
            <w:pPr>
              <w:spacing w:line="360" w:lineRule="auto"/>
              <w:rPr>
                <w:rFonts w:ascii="Arial" w:hAnsi="Arial" w:cs="Arial"/>
                <w:color w:val="000000"/>
              </w:rPr>
            </w:pPr>
            <w:r>
              <w:rPr>
                <w:rFonts w:ascii="Arial" w:hAnsi="Arial" w:cs="Arial"/>
                <w:color w:val="000000"/>
              </w:rPr>
              <w:t>Registrations</w:t>
            </w:r>
          </w:p>
        </w:tc>
        <w:tc>
          <w:tcPr>
            <w:tcW w:w="745" w:type="pct"/>
            <w:tcBorders>
              <w:top w:val="nil"/>
              <w:left w:val="nil"/>
              <w:bottom w:val="single" w:sz="4" w:space="0" w:color="auto"/>
              <w:right w:val="single" w:sz="4" w:space="0" w:color="auto"/>
            </w:tcBorders>
            <w:noWrap/>
            <w:vAlign w:val="bottom"/>
            <w:hideMark/>
          </w:tcPr>
          <w:p w14:paraId="62107AF6" w14:textId="77777777" w:rsidR="003C56EE" w:rsidRDefault="003C56EE" w:rsidP="00CF1904">
            <w:pPr>
              <w:spacing w:line="360" w:lineRule="auto"/>
              <w:jc w:val="right"/>
              <w:rPr>
                <w:rFonts w:ascii="Arial" w:hAnsi="Arial" w:cs="Arial"/>
                <w:color w:val="000000"/>
              </w:rPr>
            </w:pPr>
            <w:r>
              <w:rPr>
                <w:rFonts w:ascii="Arial" w:hAnsi="Arial" w:cs="Arial"/>
                <w:color w:val="000000"/>
              </w:rPr>
              <w:t>24</w:t>
            </w:r>
          </w:p>
        </w:tc>
        <w:tc>
          <w:tcPr>
            <w:tcW w:w="1288" w:type="pct"/>
            <w:tcBorders>
              <w:top w:val="nil"/>
              <w:left w:val="nil"/>
              <w:bottom w:val="single" w:sz="4" w:space="0" w:color="auto"/>
              <w:right w:val="single" w:sz="4" w:space="0" w:color="auto"/>
            </w:tcBorders>
            <w:noWrap/>
            <w:vAlign w:val="bottom"/>
            <w:hideMark/>
          </w:tcPr>
          <w:p w14:paraId="2D4A2921" w14:textId="77777777" w:rsidR="003C56EE" w:rsidRDefault="003C56EE" w:rsidP="00CF1904">
            <w:pPr>
              <w:spacing w:line="360" w:lineRule="auto"/>
              <w:jc w:val="right"/>
              <w:rPr>
                <w:rFonts w:ascii="Arial" w:hAnsi="Arial" w:cs="Arial"/>
                <w:color w:val="000000"/>
              </w:rPr>
            </w:pPr>
            <w:r>
              <w:rPr>
                <w:rFonts w:ascii="Arial" w:hAnsi="Arial" w:cs="Arial"/>
                <w:color w:val="000000"/>
              </w:rPr>
              <w:t>75%</w:t>
            </w:r>
          </w:p>
        </w:tc>
        <w:tc>
          <w:tcPr>
            <w:tcW w:w="813" w:type="pct"/>
            <w:tcBorders>
              <w:top w:val="nil"/>
              <w:left w:val="nil"/>
              <w:bottom w:val="single" w:sz="4" w:space="0" w:color="auto"/>
              <w:right w:val="single" w:sz="4" w:space="0" w:color="auto"/>
            </w:tcBorders>
            <w:noWrap/>
            <w:vAlign w:val="bottom"/>
            <w:hideMark/>
          </w:tcPr>
          <w:p w14:paraId="111890D6" w14:textId="77777777" w:rsidR="003C56EE" w:rsidRDefault="003C56EE" w:rsidP="00CF1904">
            <w:pPr>
              <w:spacing w:line="360" w:lineRule="auto"/>
              <w:jc w:val="right"/>
              <w:rPr>
                <w:rFonts w:ascii="Arial" w:hAnsi="Arial" w:cs="Arial"/>
                <w:color w:val="000000"/>
              </w:rPr>
            </w:pPr>
            <w:r>
              <w:rPr>
                <w:rFonts w:ascii="Arial" w:hAnsi="Arial" w:cs="Arial"/>
                <w:color w:val="000000"/>
              </w:rPr>
              <w:t>168</w:t>
            </w:r>
          </w:p>
        </w:tc>
        <w:tc>
          <w:tcPr>
            <w:tcW w:w="1273" w:type="pct"/>
            <w:tcBorders>
              <w:top w:val="nil"/>
              <w:left w:val="nil"/>
              <w:bottom w:val="single" w:sz="4" w:space="0" w:color="auto"/>
              <w:right w:val="single" w:sz="4" w:space="0" w:color="auto"/>
            </w:tcBorders>
            <w:noWrap/>
            <w:vAlign w:val="bottom"/>
            <w:hideMark/>
          </w:tcPr>
          <w:p w14:paraId="76791DE8" w14:textId="77777777" w:rsidR="003C56EE" w:rsidRDefault="003C56EE" w:rsidP="00CF1904">
            <w:pPr>
              <w:spacing w:line="360" w:lineRule="auto"/>
              <w:jc w:val="right"/>
              <w:rPr>
                <w:rFonts w:ascii="Arial" w:hAnsi="Arial" w:cs="Arial"/>
                <w:color w:val="000000"/>
              </w:rPr>
            </w:pPr>
            <w:r>
              <w:rPr>
                <w:rFonts w:ascii="Arial" w:hAnsi="Arial" w:cs="Arial"/>
                <w:color w:val="000000"/>
              </w:rPr>
              <w:t>95%</w:t>
            </w:r>
          </w:p>
        </w:tc>
      </w:tr>
      <w:tr w:rsidR="003C56EE" w14:paraId="175213F8" w14:textId="77777777" w:rsidTr="00CF1904">
        <w:trPr>
          <w:trHeight w:val="300"/>
        </w:trPr>
        <w:tc>
          <w:tcPr>
            <w:tcW w:w="881" w:type="pct"/>
            <w:tcBorders>
              <w:top w:val="nil"/>
              <w:left w:val="single" w:sz="4" w:space="0" w:color="auto"/>
              <w:bottom w:val="single" w:sz="4" w:space="0" w:color="auto"/>
              <w:right w:val="single" w:sz="4" w:space="0" w:color="auto"/>
            </w:tcBorders>
            <w:vAlign w:val="center"/>
            <w:hideMark/>
          </w:tcPr>
          <w:p w14:paraId="24408950" w14:textId="77777777" w:rsidR="003C56EE" w:rsidRPr="000F6E45" w:rsidRDefault="003C56EE" w:rsidP="00CF1904">
            <w:pPr>
              <w:spacing w:line="360" w:lineRule="auto"/>
              <w:rPr>
                <w:rFonts w:ascii="Arial" w:hAnsi="Arial" w:cs="Arial"/>
                <w:b/>
                <w:bCs/>
                <w:color w:val="000000"/>
              </w:rPr>
            </w:pPr>
            <w:r w:rsidRPr="000F6E45">
              <w:rPr>
                <w:rFonts w:ascii="Arial" w:hAnsi="Arial" w:cs="Arial"/>
                <w:b/>
                <w:bCs/>
                <w:color w:val="000000"/>
              </w:rPr>
              <w:t>Total</w:t>
            </w:r>
          </w:p>
        </w:tc>
        <w:tc>
          <w:tcPr>
            <w:tcW w:w="745" w:type="pct"/>
            <w:tcBorders>
              <w:top w:val="nil"/>
              <w:left w:val="nil"/>
              <w:bottom w:val="single" w:sz="4" w:space="0" w:color="auto"/>
              <w:right w:val="single" w:sz="4" w:space="0" w:color="auto"/>
            </w:tcBorders>
            <w:vAlign w:val="center"/>
            <w:hideMark/>
          </w:tcPr>
          <w:p w14:paraId="5AE07CF4" w14:textId="77777777" w:rsidR="003C56EE" w:rsidRPr="000F6E45" w:rsidRDefault="003C56EE" w:rsidP="00CF1904">
            <w:pPr>
              <w:spacing w:line="360" w:lineRule="auto"/>
              <w:jc w:val="right"/>
              <w:rPr>
                <w:rFonts w:ascii="Arial" w:hAnsi="Arial" w:cs="Arial"/>
                <w:b/>
                <w:bCs/>
                <w:color w:val="000000"/>
              </w:rPr>
            </w:pPr>
            <w:r w:rsidRPr="000F6E45">
              <w:rPr>
                <w:rFonts w:ascii="Arial" w:hAnsi="Arial" w:cs="Arial"/>
                <w:b/>
                <w:bCs/>
                <w:color w:val="000000"/>
              </w:rPr>
              <w:t>48</w:t>
            </w:r>
          </w:p>
        </w:tc>
        <w:tc>
          <w:tcPr>
            <w:tcW w:w="1288" w:type="pct"/>
            <w:tcBorders>
              <w:top w:val="nil"/>
              <w:left w:val="nil"/>
              <w:bottom w:val="single" w:sz="4" w:space="0" w:color="auto"/>
              <w:right w:val="single" w:sz="4" w:space="0" w:color="auto"/>
            </w:tcBorders>
            <w:noWrap/>
            <w:vAlign w:val="bottom"/>
            <w:hideMark/>
          </w:tcPr>
          <w:p w14:paraId="71269400" w14:textId="77777777" w:rsidR="003C56EE" w:rsidRPr="000F6E45" w:rsidRDefault="003C56EE" w:rsidP="00CF1904">
            <w:pPr>
              <w:spacing w:line="360" w:lineRule="auto"/>
              <w:jc w:val="right"/>
              <w:rPr>
                <w:rFonts w:ascii="Arial" w:hAnsi="Arial" w:cs="Arial"/>
                <w:b/>
                <w:bCs/>
                <w:color w:val="000000"/>
              </w:rPr>
            </w:pPr>
            <w:r w:rsidRPr="000F6E45">
              <w:rPr>
                <w:rFonts w:ascii="Arial" w:hAnsi="Arial" w:cs="Arial"/>
                <w:b/>
                <w:bCs/>
                <w:color w:val="000000"/>
              </w:rPr>
              <w:t>60%</w:t>
            </w:r>
          </w:p>
        </w:tc>
        <w:tc>
          <w:tcPr>
            <w:tcW w:w="813" w:type="pct"/>
            <w:tcBorders>
              <w:top w:val="nil"/>
              <w:left w:val="nil"/>
              <w:bottom w:val="single" w:sz="4" w:space="0" w:color="auto"/>
              <w:right w:val="single" w:sz="4" w:space="0" w:color="auto"/>
            </w:tcBorders>
            <w:vAlign w:val="center"/>
            <w:hideMark/>
          </w:tcPr>
          <w:p w14:paraId="7008AB66" w14:textId="77777777" w:rsidR="003C56EE" w:rsidRPr="000F6E45" w:rsidRDefault="003C56EE" w:rsidP="00CF1904">
            <w:pPr>
              <w:spacing w:line="360" w:lineRule="auto"/>
              <w:jc w:val="right"/>
              <w:rPr>
                <w:rFonts w:ascii="Arial" w:hAnsi="Arial" w:cs="Arial"/>
                <w:b/>
                <w:bCs/>
                <w:color w:val="000000"/>
              </w:rPr>
            </w:pPr>
            <w:r w:rsidRPr="000F6E45">
              <w:rPr>
                <w:rFonts w:ascii="Arial" w:hAnsi="Arial" w:cs="Arial"/>
                <w:b/>
                <w:bCs/>
                <w:color w:val="000000"/>
              </w:rPr>
              <w:t>208</w:t>
            </w:r>
          </w:p>
        </w:tc>
        <w:tc>
          <w:tcPr>
            <w:tcW w:w="1273" w:type="pct"/>
            <w:tcBorders>
              <w:top w:val="nil"/>
              <w:left w:val="nil"/>
              <w:bottom w:val="single" w:sz="4" w:space="0" w:color="auto"/>
              <w:right w:val="single" w:sz="4" w:space="0" w:color="auto"/>
            </w:tcBorders>
            <w:noWrap/>
            <w:vAlign w:val="bottom"/>
            <w:hideMark/>
          </w:tcPr>
          <w:p w14:paraId="17A45B5F" w14:textId="77777777" w:rsidR="003C56EE" w:rsidRPr="000F6E45" w:rsidRDefault="003C56EE" w:rsidP="00CF1904">
            <w:pPr>
              <w:spacing w:line="360" w:lineRule="auto"/>
              <w:jc w:val="right"/>
              <w:rPr>
                <w:rFonts w:ascii="Arial" w:hAnsi="Arial" w:cs="Arial"/>
                <w:b/>
                <w:bCs/>
                <w:color w:val="000000"/>
              </w:rPr>
            </w:pPr>
            <w:r w:rsidRPr="000F6E45">
              <w:rPr>
                <w:rFonts w:ascii="Arial" w:hAnsi="Arial" w:cs="Arial"/>
                <w:b/>
                <w:bCs/>
                <w:color w:val="000000"/>
              </w:rPr>
              <w:t>93%</w:t>
            </w:r>
          </w:p>
        </w:tc>
      </w:tr>
    </w:tbl>
    <w:p w14:paraId="42D4DD5F" w14:textId="77777777" w:rsidR="003C56EE" w:rsidRDefault="003C56EE" w:rsidP="003C56EE">
      <w:pPr>
        <w:pStyle w:val="paragraph"/>
        <w:spacing w:before="0" w:beforeAutospacing="0" w:after="0" w:afterAutospacing="0"/>
        <w:textAlignment w:val="baseline"/>
        <w:rPr>
          <w:rFonts w:ascii="Arial" w:eastAsia="Calibri" w:hAnsi="Arial" w:cs="Arial"/>
        </w:rPr>
      </w:pPr>
    </w:p>
    <w:p w14:paraId="7B3D5BE7" w14:textId="1AD476DF" w:rsidR="003C56EE" w:rsidRDefault="003C56EE" w:rsidP="00191043">
      <w:pPr>
        <w:pStyle w:val="paragraph"/>
        <w:spacing w:before="0" w:beforeAutospacing="0" w:after="0" w:afterAutospacing="0" w:line="360" w:lineRule="auto"/>
        <w:textAlignment w:val="baseline"/>
        <w:rPr>
          <w:rFonts w:ascii="Arial" w:eastAsia="Calibri" w:hAnsi="Arial" w:cs="Arial"/>
        </w:rPr>
      </w:pPr>
      <w:r>
        <w:rPr>
          <w:rFonts w:ascii="Arial" w:eastAsia="Calibri" w:hAnsi="Arial" w:cs="Arial"/>
        </w:rPr>
        <w:t>Where</w:t>
      </w:r>
      <w:r>
        <w:rPr>
          <w:rFonts w:ascii="Arial" w:hAnsi="Arial" w:cs="Arial"/>
        </w:rPr>
        <w:t xml:space="preserve"> we exceeded the statutory determination time for registrations it was due to applicants not responding with information needed, not paying the correct fee, or supplying incorrect details. </w:t>
      </w:r>
      <w:r>
        <w:rPr>
          <w:rFonts w:ascii="Arial" w:eastAsia="Calibri" w:hAnsi="Arial" w:cs="Arial"/>
        </w:rPr>
        <w:t xml:space="preserve">Where there were delays, we communicated with applicants to ensure it did not affect their plans. </w:t>
      </w:r>
    </w:p>
    <w:p w14:paraId="63E0F884" w14:textId="77777777" w:rsidR="00191043" w:rsidRDefault="00191043" w:rsidP="00191043">
      <w:pPr>
        <w:pStyle w:val="paragraph"/>
        <w:spacing w:before="0" w:beforeAutospacing="0" w:after="0" w:afterAutospacing="0" w:line="360" w:lineRule="auto"/>
        <w:textAlignment w:val="baseline"/>
        <w:rPr>
          <w:rFonts w:ascii="Arial" w:eastAsia="Calibri" w:hAnsi="Arial" w:cs="Arial"/>
        </w:rPr>
      </w:pPr>
    </w:p>
    <w:p w14:paraId="7BFB9750" w14:textId="13972048" w:rsidR="003C56EE" w:rsidRDefault="003C56EE" w:rsidP="00191043">
      <w:pPr>
        <w:pStyle w:val="paragraph"/>
        <w:spacing w:before="0" w:beforeAutospacing="0" w:after="0" w:afterAutospacing="0" w:line="360" w:lineRule="auto"/>
        <w:textAlignment w:val="baseline"/>
        <w:rPr>
          <w:rStyle w:val="eop"/>
          <w:rFonts w:eastAsia="MS Gothic" w:cs="Arial"/>
          <w:color w:val="000000"/>
          <w:sz w:val="22"/>
          <w:szCs w:val="22"/>
        </w:rPr>
      </w:pPr>
      <w:r>
        <w:rPr>
          <w:rFonts w:ascii="Arial" w:eastAsia="Calibri" w:hAnsi="Arial" w:cs="Arial"/>
        </w:rPr>
        <w:t>Where we exceeded the statutory determination times for licences, the main reasons were</w:t>
      </w:r>
      <w:r w:rsidR="00D606D4">
        <w:rPr>
          <w:rFonts w:ascii="Arial" w:eastAsia="Calibri" w:hAnsi="Arial" w:cs="Arial"/>
        </w:rPr>
        <w:t>:</w:t>
      </w:r>
      <w:r>
        <w:rPr>
          <w:rFonts w:ascii="Arial" w:eastAsia="Calibri" w:hAnsi="Arial" w:cs="Arial"/>
        </w:rPr>
        <w:t xml:space="preserve"> </w:t>
      </w:r>
      <w:r>
        <w:rPr>
          <w:rStyle w:val="normaltextrun"/>
          <w:rFonts w:ascii="Arial" w:eastAsiaTheme="majorEastAsia" w:hAnsi="Arial" w:cs="Arial"/>
          <w:color w:val="000000"/>
        </w:rPr>
        <w:t xml:space="preserve">we had to ask the applicant to resubmit their application following the cyber-attack and they were unable to find their original application; the applicants provided </w:t>
      </w:r>
      <w:r>
        <w:rPr>
          <w:rStyle w:val="normaltextrun"/>
          <w:rFonts w:ascii="Arial" w:eastAsiaTheme="majorEastAsia" w:hAnsi="Arial" w:cs="Arial"/>
          <w:color w:val="000000" w:themeColor="text1"/>
        </w:rPr>
        <w:t xml:space="preserve">insufficient or </w:t>
      </w:r>
      <w:r>
        <w:rPr>
          <w:rStyle w:val="normaltextrun"/>
          <w:rFonts w:ascii="Arial" w:eastAsiaTheme="majorEastAsia" w:hAnsi="Arial" w:cs="Arial"/>
          <w:color w:val="000000"/>
        </w:rPr>
        <w:t>incorrect information; it took time to reach agreement with the applicant or a statutory consultee regarding a specific condition</w:t>
      </w:r>
      <w:r w:rsidR="00153F24">
        <w:rPr>
          <w:rStyle w:val="normaltextrun"/>
          <w:rFonts w:ascii="Arial" w:eastAsiaTheme="majorEastAsia" w:hAnsi="Arial" w:cs="Arial"/>
          <w:color w:val="000000"/>
        </w:rPr>
        <w:t>;</w:t>
      </w:r>
      <w:r>
        <w:rPr>
          <w:rStyle w:val="normaltextrun"/>
          <w:rFonts w:ascii="Arial" w:eastAsiaTheme="majorEastAsia" w:hAnsi="Arial" w:cs="Arial"/>
          <w:color w:val="000000"/>
        </w:rPr>
        <w:t xml:space="preserve"> and internal resource challenges.</w:t>
      </w:r>
      <w:r>
        <w:rPr>
          <w:rStyle w:val="normaltextrun"/>
          <w:rFonts w:ascii="Arial" w:eastAsiaTheme="majorEastAsia" w:hAnsi="Arial" w:cs="Arial"/>
          <w:color w:val="000000"/>
          <w:sz w:val="22"/>
          <w:szCs w:val="22"/>
        </w:rPr>
        <w:t> </w:t>
      </w:r>
      <w:r>
        <w:rPr>
          <w:rStyle w:val="eop"/>
          <w:rFonts w:eastAsia="MS Gothic" w:cs="Arial"/>
          <w:color w:val="000000"/>
          <w:sz w:val="22"/>
          <w:szCs w:val="22"/>
        </w:rPr>
        <w:t> </w:t>
      </w:r>
    </w:p>
    <w:p w14:paraId="6821DCD7" w14:textId="77777777" w:rsidR="00191043" w:rsidRDefault="00191043" w:rsidP="00191043">
      <w:pPr>
        <w:pStyle w:val="paragraph"/>
        <w:spacing w:before="0" w:beforeAutospacing="0" w:after="0" w:afterAutospacing="0" w:line="360" w:lineRule="auto"/>
        <w:textAlignment w:val="baseline"/>
        <w:rPr>
          <w:rFonts w:ascii="Arial" w:eastAsia="Calibri" w:hAnsi="Arial" w:cs="Arial"/>
        </w:rPr>
      </w:pPr>
    </w:p>
    <w:p w14:paraId="7DE8D590" w14:textId="76221E29" w:rsidR="003C56EE" w:rsidRDefault="003C56EE" w:rsidP="00191043">
      <w:pPr>
        <w:pStyle w:val="NormalWeb"/>
        <w:shd w:val="clear" w:color="auto" w:fill="FFFFFF" w:themeFill="background1"/>
        <w:spacing w:before="0" w:beforeAutospacing="0" w:after="0" w:afterAutospacing="0" w:line="360" w:lineRule="auto"/>
        <w:rPr>
          <w:rFonts w:ascii="Arial" w:eastAsia="Arial" w:hAnsi="Arial" w:cs="Arial"/>
          <w:color w:val="000000"/>
        </w:rPr>
      </w:pPr>
      <w:r>
        <w:rPr>
          <w:rFonts w:ascii="Arial" w:eastAsia="Arial" w:hAnsi="Arial" w:cs="Arial"/>
          <w:color w:val="000000"/>
        </w:rPr>
        <w:t>The table below shows the change in our performance handling variations to permits between April 2021 and March 2022.</w:t>
      </w:r>
    </w:p>
    <w:p w14:paraId="2FE31362" w14:textId="0792A33C" w:rsidR="00191043" w:rsidRDefault="009060ED" w:rsidP="00191043">
      <w:pPr>
        <w:pStyle w:val="NormalWeb"/>
        <w:shd w:val="clear" w:color="auto" w:fill="FFFFFF" w:themeFill="background1"/>
        <w:spacing w:before="0" w:beforeAutospacing="0" w:after="0" w:afterAutospacing="0" w:line="360" w:lineRule="auto"/>
        <w:rPr>
          <w:rFonts w:ascii="Arial" w:eastAsia="Arial" w:hAnsi="Arial" w:cs="Arial"/>
          <w:color w:val="000000"/>
        </w:rPr>
      </w:pPr>
      <w:r>
        <w:rPr>
          <w:rFonts w:ascii="Arial" w:eastAsia="Arial" w:hAnsi="Arial" w:cs="Arial"/>
          <w:color w:val="000000"/>
        </w:rPr>
        <w:br w:type="page"/>
      </w:r>
    </w:p>
    <w:p w14:paraId="6855FF1A" w14:textId="77777777" w:rsidR="003C56EE" w:rsidRDefault="003C56EE" w:rsidP="00191043">
      <w:pPr>
        <w:spacing w:line="360" w:lineRule="auto"/>
        <w:jc w:val="both"/>
        <w:rPr>
          <w:rFonts w:ascii="Arial" w:eastAsia="Calibri" w:hAnsi="Arial" w:cs="Arial"/>
          <w:b/>
          <w:bCs/>
          <w:lang w:val="en-US"/>
        </w:rPr>
      </w:pPr>
      <w:r>
        <w:rPr>
          <w:rFonts w:ascii="Arial" w:eastAsia="Calibri" w:hAnsi="Arial" w:cs="Arial"/>
          <w:b/>
          <w:bCs/>
        </w:rPr>
        <w:lastRenderedPageBreak/>
        <w:t>Licences and registrations variations determined at start and end of 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700"/>
        <w:gridCol w:w="1577"/>
        <w:gridCol w:w="2472"/>
        <w:gridCol w:w="1577"/>
        <w:gridCol w:w="2445"/>
      </w:tblGrid>
      <w:tr w:rsidR="003C56EE" w14:paraId="0A81DAE7" w14:textId="77777777" w:rsidTr="00F86C07">
        <w:trPr>
          <w:trHeight w:val="380"/>
        </w:trPr>
        <w:tc>
          <w:tcPr>
            <w:tcW w:w="888" w:type="pct"/>
            <w:tcBorders>
              <w:top w:val="single" w:sz="4" w:space="0" w:color="auto"/>
              <w:left w:val="single" w:sz="4" w:space="0" w:color="auto"/>
              <w:bottom w:val="single" w:sz="4" w:space="0" w:color="auto"/>
              <w:right w:val="single" w:sz="4" w:space="0" w:color="auto"/>
            </w:tcBorders>
            <w:noWrap/>
            <w:hideMark/>
          </w:tcPr>
          <w:p w14:paraId="46288A25" w14:textId="77777777" w:rsidR="003C56EE" w:rsidRDefault="003C56EE" w:rsidP="00CF1904">
            <w:pPr>
              <w:spacing w:line="360" w:lineRule="auto"/>
              <w:rPr>
                <w:rFonts w:ascii="Arial" w:eastAsia="Calibri" w:hAnsi="Arial" w:cs="Arial"/>
                <w:b/>
                <w:bCs/>
              </w:rPr>
            </w:pPr>
          </w:p>
        </w:tc>
        <w:tc>
          <w:tcPr>
            <w:tcW w:w="2019"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C489764" w14:textId="77777777" w:rsidR="003C56EE" w:rsidRPr="00F37FE3" w:rsidRDefault="003C56EE" w:rsidP="00CF1904">
            <w:pPr>
              <w:spacing w:line="360" w:lineRule="auto"/>
              <w:jc w:val="center"/>
              <w:rPr>
                <w:rFonts w:ascii="Arial" w:hAnsi="Arial" w:cs="Arial"/>
                <w:b/>
                <w:bCs/>
                <w:color w:val="000000"/>
                <w:lang w:val="en-US"/>
              </w:rPr>
            </w:pPr>
            <w:r w:rsidRPr="00F37FE3">
              <w:rPr>
                <w:rFonts w:ascii="Arial" w:hAnsi="Arial" w:cs="Arial"/>
                <w:b/>
                <w:bCs/>
                <w:color w:val="000000"/>
              </w:rPr>
              <w:t>April 2021</w:t>
            </w:r>
          </w:p>
        </w:tc>
        <w:tc>
          <w:tcPr>
            <w:tcW w:w="2093"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E4AB06" w14:textId="77777777" w:rsidR="003C56EE" w:rsidRPr="00F37FE3" w:rsidRDefault="003C56EE" w:rsidP="00CF1904">
            <w:pPr>
              <w:spacing w:line="360" w:lineRule="auto"/>
              <w:jc w:val="center"/>
              <w:rPr>
                <w:rFonts w:ascii="Arial" w:hAnsi="Arial" w:cs="Arial"/>
                <w:b/>
                <w:bCs/>
                <w:color w:val="000000"/>
              </w:rPr>
            </w:pPr>
            <w:r w:rsidRPr="00F37FE3">
              <w:rPr>
                <w:rFonts w:ascii="Arial" w:hAnsi="Arial" w:cs="Arial"/>
                <w:b/>
                <w:bCs/>
                <w:color w:val="000000"/>
              </w:rPr>
              <w:t>March 2022</w:t>
            </w:r>
          </w:p>
        </w:tc>
      </w:tr>
      <w:tr w:rsidR="003C56EE" w14:paraId="1FD9973E" w14:textId="77777777" w:rsidTr="00F86C07">
        <w:trPr>
          <w:trHeight w:val="705"/>
        </w:trPr>
        <w:tc>
          <w:tcPr>
            <w:tcW w:w="888"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2B77B9A" w14:textId="77777777" w:rsidR="003C56EE" w:rsidRPr="00F37FE3" w:rsidRDefault="003C56EE" w:rsidP="00CF1904">
            <w:pPr>
              <w:spacing w:line="360" w:lineRule="auto"/>
              <w:rPr>
                <w:rFonts w:ascii="Arial" w:hAnsi="Arial" w:cs="Arial"/>
                <w:b/>
                <w:bCs/>
                <w:color w:val="000000"/>
              </w:rPr>
            </w:pPr>
            <w:r w:rsidRPr="00F37FE3">
              <w:rPr>
                <w:rFonts w:ascii="Arial" w:hAnsi="Arial" w:cs="Arial"/>
                <w:b/>
                <w:bCs/>
                <w:color w:val="000000"/>
              </w:rPr>
              <w:t>Licence type    </w:t>
            </w:r>
          </w:p>
        </w:tc>
        <w:tc>
          <w:tcPr>
            <w:tcW w:w="736"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40D98D0" w14:textId="77777777" w:rsidR="003C56EE" w:rsidRPr="00F37FE3" w:rsidRDefault="003C56EE" w:rsidP="00CF1904">
            <w:pPr>
              <w:spacing w:line="360" w:lineRule="auto"/>
              <w:rPr>
                <w:rFonts w:ascii="Arial" w:hAnsi="Arial" w:cs="Arial"/>
                <w:b/>
                <w:bCs/>
                <w:color w:val="000000"/>
              </w:rPr>
            </w:pPr>
            <w:r w:rsidRPr="00F37FE3">
              <w:rPr>
                <w:rFonts w:ascii="Arial" w:hAnsi="Arial" w:cs="Arial"/>
                <w:b/>
                <w:bCs/>
                <w:color w:val="000000"/>
              </w:rPr>
              <w:t>Number determined </w:t>
            </w:r>
          </w:p>
        </w:tc>
        <w:tc>
          <w:tcPr>
            <w:tcW w:w="1283"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8AC438B" w14:textId="77777777" w:rsidR="003C56EE" w:rsidRPr="00F37FE3" w:rsidRDefault="003C56EE" w:rsidP="00CF1904">
            <w:pPr>
              <w:spacing w:line="360" w:lineRule="auto"/>
              <w:rPr>
                <w:rFonts w:ascii="Arial" w:hAnsi="Arial" w:cs="Arial"/>
                <w:b/>
                <w:bCs/>
                <w:color w:val="000000"/>
              </w:rPr>
            </w:pPr>
            <w:r w:rsidRPr="00F37FE3">
              <w:rPr>
                <w:rFonts w:ascii="Arial" w:hAnsi="Arial" w:cs="Arial"/>
                <w:b/>
                <w:bCs/>
                <w:color w:val="000000"/>
              </w:rPr>
              <w:t>Percentage determined within statutory timescales    </w:t>
            </w:r>
          </w:p>
        </w:tc>
        <w:tc>
          <w:tcPr>
            <w:tcW w:w="819"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A81F7C" w14:textId="77777777" w:rsidR="003C56EE" w:rsidRPr="00F37FE3" w:rsidRDefault="003C56EE" w:rsidP="00CF1904">
            <w:pPr>
              <w:spacing w:line="360" w:lineRule="auto"/>
              <w:rPr>
                <w:rFonts w:ascii="Arial" w:hAnsi="Arial" w:cs="Arial"/>
                <w:b/>
                <w:bCs/>
                <w:color w:val="000000"/>
              </w:rPr>
            </w:pPr>
            <w:r w:rsidRPr="00F37FE3">
              <w:rPr>
                <w:rFonts w:ascii="Arial" w:hAnsi="Arial" w:cs="Arial"/>
                <w:b/>
                <w:bCs/>
                <w:color w:val="000000"/>
              </w:rPr>
              <w:t>Number determined </w:t>
            </w:r>
          </w:p>
        </w:tc>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3CCB8C8" w14:textId="77777777" w:rsidR="003C56EE" w:rsidRPr="00F37FE3" w:rsidRDefault="003C56EE" w:rsidP="00CF1904">
            <w:pPr>
              <w:spacing w:line="360" w:lineRule="auto"/>
              <w:rPr>
                <w:rFonts w:ascii="Arial" w:hAnsi="Arial" w:cs="Arial"/>
                <w:b/>
                <w:bCs/>
                <w:color w:val="000000"/>
              </w:rPr>
            </w:pPr>
            <w:r w:rsidRPr="00F37FE3">
              <w:rPr>
                <w:rFonts w:ascii="Arial" w:hAnsi="Arial" w:cs="Arial"/>
                <w:b/>
                <w:bCs/>
                <w:color w:val="000000"/>
              </w:rPr>
              <w:t>Percentage determined within statutory timescales    </w:t>
            </w:r>
          </w:p>
        </w:tc>
      </w:tr>
      <w:tr w:rsidR="003C56EE" w14:paraId="5AC1F6F3" w14:textId="77777777" w:rsidTr="00CF1904">
        <w:trPr>
          <w:trHeight w:val="300"/>
        </w:trPr>
        <w:tc>
          <w:tcPr>
            <w:tcW w:w="888" w:type="pct"/>
            <w:tcBorders>
              <w:top w:val="single" w:sz="4" w:space="0" w:color="auto"/>
              <w:left w:val="single" w:sz="4" w:space="0" w:color="auto"/>
              <w:bottom w:val="single" w:sz="4" w:space="0" w:color="auto"/>
              <w:right w:val="single" w:sz="4" w:space="0" w:color="auto"/>
            </w:tcBorders>
            <w:hideMark/>
          </w:tcPr>
          <w:p w14:paraId="798BDD0B" w14:textId="77777777" w:rsidR="003C56EE" w:rsidRDefault="003C56EE" w:rsidP="00CF1904">
            <w:pPr>
              <w:spacing w:line="360" w:lineRule="auto"/>
              <w:rPr>
                <w:rFonts w:ascii="Arial" w:hAnsi="Arial" w:cs="Arial"/>
                <w:color w:val="000000"/>
              </w:rPr>
            </w:pPr>
            <w:r>
              <w:rPr>
                <w:rFonts w:ascii="Arial" w:hAnsi="Arial" w:cs="Arial"/>
                <w:color w:val="000000"/>
              </w:rPr>
              <w:t>Variations</w:t>
            </w:r>
          </w:p>
        </w:tc>
        <w:tc>
          <w:tcPr>
            <w:tcW w:w="736" w:type="pct"/>
            <w:tcBorders>
              <w:top w:val="single" w:sz="4" w:space="0" w:color="auto"/>
              <w:left w:val="single" w:sz="4" w:space="0" w:color="auto"/>
              <w:bottom w:val="single" w:sz="4" w:space="0" w:color="auto"/>
              <w:right w:val="single" w:sz="4" w:space="0" w:color="auto"/>
            </w:tcBorders>
            <w:noWrap/>
            <w:hideMark/>
          </w:tcPr>
          <w:p w14:paraId="05ABDFB1" w14:textId="77777777" w:rsidR="003C56EE" w:rsidRDefault="003C56EE" w:rsidP="00CF1904">
            <w:pPr>
              <w:spacing w:line="360" w:lineRule="auto"/>
              <w:jc w:val="right"/>
              <w:rPr>
                <w:rFonts w:ascii="Arial" w:hAnsi="Arial" w:cs="Arial"/>
                <w:color w:val="000000"/>
              </w:rPr>
            </w:pPr>
            <w:r>
              <w:rPr>
                <w:rFonts w:ascii="Arial" w:hAnsi="Arial" w:cs="Arial"/>
                <w:color w:val="000000"/>
              </w:rPr>
              <w:t>15</w:t>
            </w:r>
          </w:p>
        </w:tc>
        <w:tc>
          <w:tcPr>
            <w:tcW w:w="1283" w:type="pct"/>
            <w:tcBorders>
              <w:top w:val="single" w:sz="4" w:space="0" w:color="auto"/>
              <w:left w:val="single" w:sz="4" w:space="0" w:color="auto"/>
              <w:bottom w:val="single" w:sz="4" w:space="0" w:color="auto"/>
              <w:right w:val="single" w:sz="4" w:space="0" w:color="auto"/>
            </w:tcBorders>
            <w:noWrap/>
            <w:hideMark/>
          </w:tcPr>
          <w:p w14:paraId="2DB143F9" w14:textId="77777777" w:rsidR="003C56EE" w:rsidRDefault="003C56EE" w:rsidP="00CF1904">
            <w:pPr>
              <w:spacing w:line="360" w:lineRule="auto"/>
              <w:jc w:val="right"/>
              <w:rPr>
                <w:rFonts w:ascii="Arial" w:hAnsi="Arial" w:cs="Arial"/>
                <w:color w:val="000000"/>
              </w:rPr>
            </w:pPr>
            <w:r>
              <w:rPr>
                <w:rFonts w:ascii="Arial" w:hAnsi="Arial" w:cs="Arial"/>
                <w:color w:val="000000"/>
              </w:rPr>
              <w:t>80%</w:t>
            </w:r>
          </w:p>
        </w:tc>
        <w:tc>
          <w:tcPr>
            <w:tcW w:w="819" w:type="pct"/>
            <w:tcBorders>
              <w:top w:val="single" w:sz="4" w:space="0" w:color="auto"/>
              <w:left w:val="single" w:sz="4" w:space="0" w:color="auto"/>
              <w:bottom w:val="single" w:sz="4" w:space="0" w:color="auto"/>
              <w:right w:val="single" w:sz="4" w:space="0" w:color="auto"/>
            </w:tcBorders>
            <w:noWrap/>
            <w:hideMark/>
          </w:tcPr>
          <w:p w14:paraId="0489638E" w14:textId="77777777" w:rsidR="003C56EE" w:rsidRDefault="003C56EE" w:rsidP="00CF1904">
            <w:pPr>
              <w:spacing w:line="360" w:lineRule="auto"/>
              <w:jc w:val="right"/>
              <w:rPr>
                <w:rFonts w:ascii="Arial" w:hAnsi="Arial" w:cs="Arial"/>
                <w:color w:val="000000"/>
              </w:rPr>
            </w:pPr>
            <w:r>
              <w:rPr>
                <w:rFonts w:ascii="Arial" w:hAnsi="Arial" w:cs="Arial"/>
                <w:color w:val="000000"/>
              </w:rPr>
              <w:t>37</w:t>
            </w:r>
          </w:p>
        </w:tc>
        <w:tc>
          <w:tcPr>
            <w:tcW w:w="1274" w:type="pct"/>
            <w:tcBorders>
              <w:top w:val="single" w:sz="4" w:space="0" w:color="auto"/>
              <w:left w:val="single" w:sz="4" w:space="0" w:color="auto"/>
              <w:bottom w:val="single" w:sz="4" w:space="0" w:color="auto"/>
              <w:right w:val="single" w:sz="4" w:space="0" w:color="auto"/>
            </w:tcBorders>
            <w:noWrap/>
            <w:hideMark/>
          </w:tcPr>
          <w:p w14:paraId="25BCE5A0" w14:textId="77777777" w:rsidR="003C56EE" w:rsidRDefault="003C56EE" w:rsidP="00CF1904">
            <w:pPr>
              <w:spacing w:line="360" w:lineRule="auto"/>
              <w:jc w:val="right"/>
              <w:rPr>
                <w:rFonts w:ascii="Arial" w:hAnsi="Arial" w:cs="Arial"/>
                <w:color w:val="000000"/>
              </w:rPr>
            </w:pPr>
            <w:r>
              <w:rPr>
                <w:rFonts w:ascii="Arial" w:hAnsi="Arial" w:cs="Arial"/>
                <w:color w:val="000000"/>
              </w:rPr>
              <w:t>78%</w:t>
            </w:r>
          </w:p>
        </w:tc>
      </w:tr>
    </w:tbl>
    <w:p w14:paraId="0A84AE87" w14:textId="77777777" w:rsidR="00F37FE3" w:rsidRDefault="00F37FE3" w:rsidP="00F37FE3">
      <w:pPr>
        <w:pStyle w:val="NormalWeb"/>
        <w:shd w:val="clear" w:color="auto" w:fill="FFFFFF" w:themeFill="background1"/>
        <w:spacing w:before="0" w:beforeAutospacing="0" w:after="0" w:afterAutospacing="0" w:line="360" w:lineRule="auto"/>
        <w:rPr>
          <w:rFonts w:ascii="Arial" w:eastAsia="Calibri" w:hAnsi="Arial" w:cs="Arial"/>
        </w:rPr>
      </w:pPr>
    </w:p>
    <w:p w14:paraId="5E2BC196" w14:textId="6B2F23FE" w:rsidR="003C56EE" w:rsidRDefault="003C56EE" w:rsidP="00F37FE3">
      <w:pPr>
        <w:pStyle w:val="NormalWeb"/>
        <w:shd w:val="clear" w:color="auto" w:fill="FFFFFF" w:themeFill="background1"/>
        <w:spacing w:before="0" w:beforeAutospacing="0" w:after="0" w:afterAutospacing="0" w:line="360" w:lineRule="auto"/>
        <w:rPr>
          <w:rFonts w:ascii="Arial" w:hAnsi="Arial" w:cs="Arial"/>
        </w:rPr>
      </w:pPr>
      <w:r>
        <w:rPr>
          <w:rFonts w:ascii="Arial" w:eastAsia="Calibri" w:hAnsi="Arial" w:cs="Arial"/>
        </w:rPr>
        <w:t>Systems challenges meant that for much of the year we were only able to deal with business-critical applications for Pollution</w:t>
      </w:r>
      <w:r>
        <w:rPr>
          <w:rFonts w:ascii="Arial" w:eastAsia="Arial" w:hAnsi="Arial" w:cs="Arial"/>
          <w:color w:val="000000"/>
        </w:rPr>
        <w:t xml:space="preserve"> Prevention and Control (Scotland) Regulations Part A. The issues were resolved in December and the table shows an increase in the number of variations being determined in March. The percentage of variations being determined</w:t>
      </w:r>
      <w:r>
        <w:rPr>
          <w:rFonts w:ascii="Arial" w:eastAsia="Calibri" w:hAnsi="Arial" w:cs="Arial"/>
        </w:rPr>
        <w:t xml:space="preserve"> within statutory timescales remains consistent. The licence types that have been most problematic have been those which required specialist resource. We had several staff vacancies through the year, leading to a lack of the specialist skills needed to determine more complex applications and to carry out the financial provision checks needed. We also had to divert some staff to create new templates and procedures following the cyber-attack. We are making progress addressing the resource challenges. Our staff were also stretched by a rise in the number of </w:t>
      </w:r>
      <w:r>
        <w:rPr>
          <w:rFonts w:ascii="Arial" w:hAnsi="Arial" w:cs="Arial"/>
        </w:rPr>
        <w:t xml:space="preserve">general enquiries and pre-application discussions. However, these discussions helped applicants make better quality applications. </w:t>
      </w:r>
    </w:p>
    <w:p w14:paraId="3D6E5BC8" w14:textId="77777777" w:rsidR="00F37FE3" w:rsidRDefault="00F37FE3" w:rsidP="00F37FE3">
      <w:pPr>
        <w:pStyle w:val="NormalWeb"/>
        <w:shd w:val="clear" w:color="auto" w:fill="FFFFFF" w:themeFill="background1"/>
        <w:spacing w:before="0" w:beforeAutospacing="0" w:after="0" w:afterAutospacing="0" w:line="360" w:lineRule="auto"/>
        <w:rPr>
          <w:rFonts w:ascii="Arial" w:eastAsia="Calibri" w:hAnsi="Arial" w:cs="Arial"/>
        </w:rPr>
      </w:pPr>
    </w:p>
    <w:p w14:paraId="4FAE7441" w14:textId="4DC3D967" w:rsidR="003C56EE" w:rsidRDefault="003C56EE" w:rsidP="00F37FE3">
      <w:pPr>
        <w:pStyle w:val="NormalWeb"/>
        <w:shd w:val="clear" w:color="auto" w:fill="FFFFFF" w:themeFill="background1"/>
        <w:spacing w:before="0" w:beforeAutospacing="0" w:after="0" w:afterAutospacing="0" w:line="360" w:lineRule="auto"/>
        <w:rPr>
          <w:rFonts w:ascii="Arial" w:eastAsia="Calibri" w:hAnsi="Arial" w:cs="Arial"/>
        </w:rPr>
      </w:pPr>
      <w:r>
        <w:rPr>
          <w:rFonts w:ascii="Arial" w:eastAsia="Calibri" w:hAnsi="Arial" w:cs="Arial"/>
        </w:rPr>
        <w:t>The applications referred to in the data above are manually determined. This year we re-built several systems which allowed people to quickly apply for a digital registration. We processed 4,800 online septic tank registrations and waste carrier registrations and renewals.</w:t>
      </w:r>
    </w:p>
    <w:p w14:paraId="6D7824C6" w14:textId="77777777" w:rsidR="00F37FE3" w:rsidRDefault="00F37FE3" w:rsidP="00F37FE3">
      <w:pPr>
        <w:pStyle w:val="NormalWeb"/>
        <w:shd w:val="clear" w:color="auto" w:fill="FFFFFF" w:themeFill="background1"/>
        <w:spacing w:before="0" w:beforeAutospacing="0" w:after="0" w:afterAutospacing="0" w:line="360" w:lineRule="auto"/>
        <w:rPr>
          <w:rFonts w:ascii="Arial" w:eastAsia="Calibri" w:hAnsi="Arial" w:cs="Arial"/>
        </w:rPr>
      </w:pPr>
    </w:p>
    <w:p w14:paraId="72AEB681" w14:textId="3527B066" w:rsidR="003C56EE" w:rsidRDefault="003C56EE" w:rsidP="00F37FE3">
      <w:pPr>
        <w:pStyle w:val="paragraph"/>
        <w:spacing w:before="0" w:beforeAutospacing="0" w:after="0" w:afterAutospacing="0" w:line="360" w:lineRule="auto"/>
        <w:textAlignment w:val="baseline"/>
        <w:rPr>
          <w:rFonts w:ascii="Arial" w:hAnsi="Arial" w:cs="Arial"/>
        </w:rPr>
      </w:pPr>
      <w:r>
        <w:rPr>
          <w:rFonts w:ascii="Arial" w:hAnsi="Arial" w:cs="Arial"/>
        </w:rPr>
        <w:t xml:space="preserve">As well as determining applications, we also began a programme of reform work. We developed new processes, improved application forms, reviewed regulatory methods, streamlined processes, and improved the online public consultation process. One example of reform is new Construction Run-Off permits which have been developed through engagement with the relevant sectors. We are now able to determine applications in a few days rather than several months. Another example is working closely with Scottish Water to agree a new approach to delivering projects across Scotland. Scottish Water can now undertake a significant amount of work using existing SEPA guidance and regulatory </w:t>
      </w:r>
      <w:r>
        <w:rPr>
          <w:rFonts w:ascii="Arial" w:hAnsi="Arial" w:cs="Arial"/>
        </w:rPr>
        <w:lastRenderedPageBreak/>
        <w:t>methods prior to submission of the application, saving both parties a considerable amount of time, and allowing us both to focus resources on the more complex sites.</w:t>
      </w:r>
    </w:p>
    <w:p w14:paraId="4EA70542" w14:textId="77777777" w:rsidR="00F37FE3" w:rsidRDefault="00F37FE3" w:rsidP="00F37FE3">
      <w:pPr>
        <w:pStyle w:val="paragraph"/>
        <w:spacing w:before="0" w:beforeAutospacing="0" w:after="0" w:afterAutospacing="0" w:line="360" w:lineRule="auto"/>
        <w:textAlignment w:val="baseline"/>
        <w:rPr>
          <w:rFonts w:ascii="Arial" w:hAnsi="Arial" w:cs="Arial"/>
        </w:rPr>
      </w:pPr>
    </w:p>
    <w:p w14:paraId="6B7949DE" w14:textId="78818466" w:rsidR="003C56EE" w:rsidRDefault="003C56EE" w:rsidP="00F37FE3">
      <w:pPr>
        <w:spacing w:line="360" w:lineRule="auto"/>
        <w:rPr>
          <w:rFonts w:eastAsia="Arial"/>
        </w:rPr>
      </w:pPr>
      <w:r w:rsidRPr="002F0BFF">
        <w:rPr>
          <w:rFonts w:ascii="Arial" w:eastAsia="Arial" w:hAnsi="Arial" w:cs="Arial"/>
          <w:color w:val="000000"/>
        </w:rPr>
        <w:t>We have more work to do to overcome the challenges posed by the cyber-attack, including developing information management systems to hold</w:t>
      </w:r>
      <w:r>
        <w:rPr>
          <w:rFonts w:ascii="Arial" w:eastAsia="Arial" w:hAnsi="Arial" w:cs="Arial"/>
          <w:color w:val="000000"/>
        </w:rPr>
        <w:t xml:space="preserve"> our existing</w:t>
      </w:r>
      <w:r w:rsidRPr="002F0BFF">
        <w:rPr>
          <w:rFonts w:eastAsia="Arial"/>
        </w:rPr>
        <w:t xml:space="preserve"> </w:t>
      </w:r>
      <w:r w:rsidRPr="002F161C">
        <w:rPr>
          <w:rFonts w:ascii="Arial" w:eastAsia="Arial" w:hAnsi="Arial" w:cs="Arial"/>
        </w:rPr>
        <w:t>licences,</w:t>
      </w:r>
      <w:r>
        <w:rPr>
          <w:rFonts w:ascii="Arial" w:eastAsia="Arial" w:hAnsi="Arial" w:cs="Arial"/>
        </w:rPr>
        <w:t xml:space="preserve"> and reinstating the Public Register</w:t>
      </w:r>
      <w:r w:rsidRPr="002F0BFF">
        <w:rPr>
          <w:rFonts w:eastAsia="Arial"/>
        </w:rPr>
        <w:t>.</w:t>
      </w:r>
    </w:p>
    <w:p w14:paraId="1BC12B94" w14:textId="77777777" w:rsidR="00F37FE3" w:rsidRPr="00B5514D" w:rsidRDefault="00F37FE3" w:rsidP="00F37FE3">
      <w:pPr>
        <w:spacing w:line="360" w:lineRule="auto"/>
        <w:rPr>
          <w:rFonts w:ascii="Arial" w:eastAsia="Arial" w:hAnsi="Arial" w:cs="Arial"/>
        </w:rPr>
      </w:pPr>
    </w:p>
    <w:p w14:paraId="2713C4AF" w14:textId="77777777" w:rsidR="003C56EE" w:rsidRPr="002F0BFF" w:rsidRDefault="003C56EE" w:rsidP="00F37FE3">
      <w:pPr>
        <w:spacing w:line="360" w:lineRule="auto"/>
        <w:rPr>
          <w:rFonts w:ascii="Arial" w:eastAsia="MS Gothic" w:hAnsi="Arial"/>
          <w:b/>
          <w:color w:val="00526F"/>
          <w:sz w:val="4"/>
          <w:szCs w:val="4"/>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24"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43153053" w14:textId="77777777" w:rsidTr="00F86C07">
        <w:tc>
          <w:tcPr>
            <w:tcW w:w="5000" w:type="pct"/>
            <w:gridSpan w:val="2"/>
            <w:shd w:val="clear" w:color="auto" w:fill="EAF1DD" w:themeFill="accent3" w:themeFillTint="33"/>
            <w:hideMark/>
          </w:tcPr>
          <w:p w14:paraId="3C6D2AF1"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Regulation</w:t>
            </w:r>
          </w:p>
        </w:tc>
      </w:tr>
      <w:tr w:rsidR="003C56EE" w14:paraId="28C79205" w14:textId="77777777" w:rsidTr="00600F56">
        <w:tc>
          <w:tcPr>
            <w:tcW w:w="4011" w:type="pct"/>
            <w:hideMark/>
          </w:tcPr>
          <w:p w14:paraId="1EEBB2A7" w14:textId="059200AF" w:rsidR="003C56EE" w:rsidRDefault="003C56EE" w:rsidP="00CF1904">
            <w:pPr>
              <w:spacing w:line="360" w:lineRule="auto"/>
              <w:rPr>
                <w:rFonts w:eastAsia="Arial"/>
                <w:b/>
                <w:bCs/>
              </w:rPr>
            </w:pPr>
            <w:r>
              <w:rPr>
                <w:rFonts w:eastAsia="Arial"/>
                <w:b/>
                <w:bCs/>
              </w:rPr>
              <w:t>Measure 2:</w:t>
            </w:r>
            <w:r>
              <w:rPr>
                <w:rFonts w:ascii="Calibri" w:eastAsia="Calibri" w:hAnsi="Calibri"/>
                <w:b/>
                <w:bCs/>
              </w:rPr>
              <w:t xml:space="preserve"> </w:t>
            </w:r>
            <w:r>
              <w:rPr>
                <w:rFonts w:eastAsia="Arial"/>
                <w:b/>
                <w:bCs/>
              </w:rPr>
              <w:t>Establish regular liaison with all planning authorities and consulting bodies by September 2021</w:t>
            </w:r>
            <w:r w:rsidR="00F86C07">
              <w:rPr>
                <w:rFonts w:eastAsia="Arial"/>
                <w:b/>
                <w:bCs/>
              </w:rPr>
              <w:t>.</w:t>
            </w:r>
          </w:p>
        </w:tc>
        <w:tc>
          <w:tcPr>
            <w:tcW w:w="989" w:type="pct"/>
            <w:shd w:val="clear" w:color="auto" w:fill="57C4AD"/>
            <w:vAlign w:val="center"/>
            <w:hideMark/>
          </w:tcPr>
          <w:p w14:paraId="5331639E" w14:textId="77777777" w:rsidR="003C56EE" w:rsidRDefault="003C56EE" w:rsidP="00CF1904">
            <w:pPr>
              <w:spacing w:line="480" w:lineRule="auto"/>
              <w:jc w:val="center"/>
              <w:rPr>
                <w:rFonts w:eastAsia="Arial"/>
              </w:rPr>
            </w:pPr>
            <w:r>
              <w:rPr>
                <w:rFonts w:eastAsia="Arial"/>
              </w:rPr>
              <w:t>Achieved</w:t>
            </w:r>
          </w:p>
        </w:tc>
      </w:tr>
    </w:tbl>
    <w:p w14:paraId="0B3999B2" w14:textId="77777777" w:rsidR="003C56EE" w:rsidRPr="00F37FE3" w:rsidRDefault="003C56EE" w:rsidP="00F37FE3">
      <w:pPr>
        <w:spacing w:line="360" w:lineRule="auto"/>
        <w:rPr>
          <w:rFonts w:ascii="Arial" w:eastAsia="MS Gothic" w:hAnsi="Arial"/>
          <w:bCs/>
          <w:color w:val="00526F"/>
          <w:lang w:eastAsia="en-US"/>
        </w:rPr>
      </w:pPr>
    </w:p>
    <w:p w14:paraId="3BC9E6E7" w14:textId="6BC6928A" w:rsidR="003C56EE" w:rsidRDefault="003C56EE" w:rsidP="00F37FE3">
      <w:pPr>
        <w:spacing w:line="360" w:lineRule="auto"/>
        <w:rPr>
          <w:rFonts w:ascii="Arial" w:hAnsi="Arial" w:cs="Arial"/>
          <w:color w:val="000000"/>
        </w:rPr>
      </w:pPr>
      <w:r>
        <w:rPr>
          <w:rFonts w:ascii="Arial" w:hAnsi="Arial" w:cs="Arial"/>
          <w:color w:val="000000"/>
        </w:rPr>
        <w:t xml:space="preserve">We have achieved this measure. Over the last year we held 155 liaison meetings, received 2,786 new cases, and responded to 2,898 cases. </w:t>
      </w:r>
    </w:p>
    <w:p w14:paraId="3BF09A11" w14:textId="77777777" w:rsidR="00F37FE3" w:rsidRDefault="00F37FE3" w:rsidP="00F37FE3">
      <w:pPr>
        <w:spacing w:line="360" w:lineRule="auto"/>
        <w:rPr>
          <w:rFonts w:ascii="Arial" w:hAnsi="Arial" w:cs="Arial"/>
          <w:color w:val="000000"/>
        </w:rPr>
      </w:pPr>
    </w:p>
    <w:p w14:paraId="4BAC1052" w14:textId="1853413D" w:rsidR="003C56EE" w:rsidRDefault="003C56EE" w:rsidP="00F37FE3">
      <w:pPr>
        <w:spacing w:line="360" w:lineRule="auto"/>
        <w:rPr>
          <w:rFonts w:ascii="Arial" w:hAnsi="Arial" w:cs="Arial"/>
          <w:color w:val="000000"/>
        </w:rPr>
      </w:pPr>
      <w:r>
        <w:rPr>
          <w:rFonts w:ascii="Arial" w:hAnsi="Arial" w:cs="Arial"/>
          <w:color w:val="000000"/>
        </w:rPr>
        <w:t xml:space="preserve">We have statutory responsibilities within the land use planning system, development and environmental assessment regimes and have well-established relationships with consulting bodies and planning authorities. The cyber-attack removed access to our Planning Casework System. We became wholly reliant on regular liaison with planning authorities and consulting bodies to discuss casework priorities and to provide planning and development advice. This approach proved very successful. We put this measure in place because we wanted to embed this new way of working. </w:t>
      </w:r>
    </w:p>
    <w:p w14:paraId="4CFA8A71" w14:textId="77777777" w:rsidR="00F37FE3" w:rsidRDefault="00F37FE3" w:rsidP="00F37FE3">
      <w:pPr>
        <w:spacing w:line="360" w:lineRule="auto"/>
        <w:rPr>
          <w:rFonts w:ascii="Arial" w:hAnsi="Arial" w:cs="Arial"/>
          <w:color w:val="000000"/>
        </w:rPr>
      </w:pPr>
    </w:p>
    <w:p w14:paraId="22FB02EA" w14:textId="429DDD41" w:rsidR="003C56EE" w:rsidRDefault="003C56EE" w:rsidP="00F37FE3">
      <w:pPr>
        <w:overflowPunct w:val="0"/>
        <w:autoSpaceDE w:val="0"/>
        <w:autoSpaceDN w:val="0"/>
        <w:spacing w:line="360" w:lineRule="auto"/>
        <w:textAlignment w:val="baseline"/>
        <w:rPr>
          <w:rFonts w:ascii="Arial" w:hAnsi="Arial" w:cs="Arial"/>
          <w:color w:val="000000"/>
        </w:rPr>
      </w:pPr>
      <w:r>
        <w:rPr>
          <w:rFonts w:ascii="Arial" w:hAnsi="Arial" w:cs="Arial"/>
          <w:color w:val="000000"/>
        </w:rPr>
        <w:t xml:space="preserve">In March 2021, we worked with Heads of Planning Scotland and the Scottish Government Planning Team to draft a triage framework to provide direction on where we needed to focus to deal with the backlog of cases. We organised virtual meetings with planning authorities and consulting bodies to deal with the backlog. In the meetings, we focused on responding to triaged cases where bespoke planning advice was necessary, identifying cases that could be progressed with our standing (good practice) advice, and agreeing cases the planning authority could progress without the need for our advice.  </w:t>
      </w:r>
    </w:p>
    <w:p w14:paraId="3D3DD60A" w14:textId="77777777" w:rsidR="00F37FE3" w:rsidRDefault="00F37FE3" w:rsidP="00F37FE3">
      <w:pPr>
        <w:overflowPunct w:val="0"/>
        <w:autoSpaceDE w:val="0"/>
        <w:autoSpaceDN w:val="0"/>
        <w:spacing w:line="360" w:lineRule="auto"/>
        <w:textAlignment w:val="baseline"/>
        <w:rPr>
          <w:rFonts w:ascii="Arial" w:hAnsi="Arial" w:cs="Arial"/>
          <w:color w:val="000000"/>
        </w:rPr>
      </w:pPr>
    </w:p>
    <w:p w14:paraId="12AB9EC8" w14:textId="084905CB" w:rsidR="003C56EE" w:rsidRDefault="003C56EE" w:rsidP="00F37FE3">
      <w:pPr>
        <w:overflowPunct w:val="0"/>
        <w:autoSpaceDE w:val="0"/>
        <w:autoSpaceDN w:val="0"/>
        <w:spacing w:line="360" w:lineRule="auto"/>
        <w:textAlignment w:val="baseline"/>
        <w:rPr>
          <w:rFonts w:ascii="Arial" w:hAnsi="Arial" w:cs="Arial"/>
          <w:color w:val="000000"/>
        </w:rPr>
      </w:pPr>
      <w:r>
        <w:rPr>
          <w:rFonts w:ascii="Arial" w:hAnsi="Arial" w:cs="Arial"/>
          <w:color w:val="000000"/>
        </w:rPr>
        <w:t xml:space="preserve">By the start of July, the 34 planning authorities and four consulting bodies had participated in at least one liaison meeting. The meetings were set up to accommodate the specific needs of each planning authority and consulting body. </w:t>
      </w:r>
    </w:p>
    <w:p w14:paraId="746FED26" w14:textId="77777777" w:rsidR="00F37FE3" w:rsidRDefault="00F37FE3" w:rsidP="00F37FE3">
      <w:pPr>
        <w:overflowPunct w:val="0"/>
        <w:autoSpaceDE w:val="0"/>
        <w:autoSpaceDN w:val="0"/>
        <w:spacing w:line="360" w:lineRule="auto"/>
        <w:textAlignment w:val="baseline"/>
        <w:rPr>
          <w:rFonts w:ascii="Arial" w:hAnsi="Arial" w:cs="Arial"/>
          <w:color w:val="000000"/>
        </w:rPr>
      </w:pPr>
    </w:p>
    <w:p w14:paraId="5CF714FA" w14:textId="2E2FE9DD" w:rsidR="003C56EE" w:rsidRDefault="003C56EE" w:rsidP="00F37FE3">
      <w:pPr>
        <w:overflowPunct w:val="0"/>
        <w:autoSpaceDE w:val="0"/>
        <w:autoSpaceDN w:val="0"/>
        <w:spacing w:line="360" w:lineRule="auto"/>
        <w:textAlignment w:val="baseline"/>
        <w:rPr>
          <w:rFonts w:ascii="Arial" w:hAnsi="Arial" w:cs="Arial"/>
          <w:color w:val="000000"/>
        </w:rPr>
      </w:pPr>
      <w:r>
        <w:rPr>
          <w:rFonts w:ascii="Arial" w:hAnsi="Arial" w:cs="Arial"/>
          <w:color w:val="000000"/>
        </w:rPr>
        <w:lastRenderedPageBreak/>
        <w:t xml:space="preserve">In August and September, we asked planning authorities to share their thoughts on the triage framework and meetings. </w:t>
      </w:r>
      <w:r w:rsidR="00E5062A">
        <w:rPr>
          <w:rFonts w:ascii="Arial" w:hAnsi="Arial" w:cs="Arial"/>
          <w:color w:val="000000"/>
        </w:rPr>
        <w:t>84%</w:t>
      </w:r>
      <w:r>
        <w:rPr>
          <w:rFonts w:ascii="Arial" w:hAnsi="Arial" w:cs="Arial"/>
          <w:color w:val="000000"/>
        </w:rPr>
        <w:t xml:space="preserve"> of responses found the collaborative approach to be practical and useful. We have also received positive feedback; for example, East Ayrshire said</w:t>
      </w:r>
      <w:r w:rsidR="00F93075">
        <w:rPr>
          <w:rFonts w:ascii="Arial" w:hAnsi="Arial" w:cs="Arial"/>
          <w:color w:val="000000"/>
        </w:rPr>
        <w:t>:</w:t>
      </w:r>
      <w:r>
        <w:rPr>
          <w:rFonts w:ascii="Arial" w:hAnsi="Arial" w:cs="Arial"/>
          <w:color w:val="000000"/>
        </w:rPr>
        <w:t xml:space="preserve"> “in the areas in which the key agencies group is assisting us; we have made more progress in the last few months than has been made in the last five years”.</w:t>
      </w:r>
    </w:p>
    <w:p w14:paraId="14524930" w14:textId="77777777" w:rsidR="00F37FE3" w:rsidRDefault="00F37FE3" w:rsidP="00F37FE3">
      <w:pPr>
        <w:overflowPunct w:val="0"/>
        <w:autoSpaceDE w:val="0"/>
        <w:autoSpaceDN w:val="0"/>
        <w:spacing w:line="360" w:lineRule="auto"/>
        <w:textAlignment w:val="baseline"/>
        <w:rPr>
          <w:rFonts w:ascii="Arial" w:hAnsi="Arial" w:cs="Arial"/>
          <w:color w:val="000000"/>
        </w:rPr>
      </w:pPr>
    </w:p>
    <w:p w14:paraId="0DECAF1D" w14:textId="33CE7C46" w:rsidR="003C56EE" w:rsidRDefault="003C56EE" w:rsidP="00F37FE3">
      <w:pPr>
        <w:spacing w:line="360" w:lineRule="auto"/>
        <w:rPr>
          <w:rFonts w:ascii="Arial" w:hAnsi="Arial" w:cs="Arial"/>
          <w:color w:val="000000"/>
        </w:rPr>
      </w:pPr>
      <w:r>
        <w:rPr>
          <w:rFonts w:ascii="Arial" w:hAnsi="Arial" w:cs="Arial"/>
          <w:color w:val="000000"/>
        </w:rPr>
        <w:t>In January, we issued an updated version of the triage framework along with consolidated and updated standing advice. We collaborated internally and externally when preparing this version, including with the Scottish Government.</w:t>
      </w:r>
    </w:p>
    <w:p w14:paraId="138247FF" w14:textId="77777777" w:rsidR="00F37FE3" w:rsidRPr="00247D3F" w:rsidRDefault="00F37FE3" w:rsidP="00F37FE3">
      <w:pPr>
        <w:spacing w:line="360" w:lineRule="auto"/>
        <w:rPr>
          <w:rFonts w:ascii="Arial" w:eastAsia="MS Gothic" w:hAnsi="Arial"/>
          <w:bCs/>
          <w:color w:val="00526F"/>
          <w:lang w:eastAsia="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654"/>
        <w:gridCol w:w="2067"/>
      </w:tblGrid>
      <w:tr w:rsidR="003C56EE" w14:paraId="34850DF8" w14:textId="77777777" w:rsidTr="00F86C07">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4C069B6A" w14:textId="77777777" w:rsidR="003C56EE" w:rsidRDefault="003C56EE" w:rsidP="00CF1904">
            <w:pPr>
              <w:overflowPunct w:val="0"/>
              <w:autoSpaceDE w:val="0"/>
              <w:autoSpaceDN w:val="0"/>
              <w:adjustRightInd w:val="0"/>
              <w:spacing w:line="480" w:lineRule="auto"/>
              <w:ind w:right="-722"/>
              <w:textAlignment w:val="baseline"/>
              <w:rPr>
                <w:rFonts w:eastAsia="Arial"/>
              </w:rPr>
            </w:pPr>
            <w:r>
              <w:rPr>
                <w:rFonts w:eastAsia="Arial"/>
              </w:rPr>
              <w:t>Regulation</w:t>
            </w:r>
          </w:p>
        </w:tc>
      </w:tr>
      <w:tr w:rsidR="003C56EE" w14:paraId="476DF36F" w14:textId="77777777" w:rsidTr="00600F56">
        <w:tc>
          <w:tcPr>
            <w:tcW w:w="3937" w:type="pct"/>
            <w:tcBorders>
              <w:top w:val="single" w:sz="24" w:space="0" w:color="00526F"/>
              <w:left w:val="single" w:sz="24" w:space="0" w:color="00526F"/>
              <w:bottom w:val="single" w:sz="24" w:space="0" w:color="00526F"/>
              <w:right w:val="single" w:sz="24" w:space="0" w:color="00526F"/>
            </w:tcBorders>
            <w:hideMark/>
          </w:tcPr>
          <w:p w14:paraId="6F75C27A" w14:textId="3EE897FE" w:rsidR="003C56EE" w:rsidRDefault="003C56EE" w:rsidP="00CF1904">
            <w:pPr>
              <w:overflowPunct w:val="0"/>
              <w:autoSpaceDE w:val="0"/>
              <w:autoSpaceDN w:val="0"/>
              <w:adjustRightInd w:val="0"/>
              <w:spacing w:line="480" w:lineRule="auto"/>
              <w:textAlignment w:val="baseline"/>
              <w:rPr>
                <w:rFonts w:eastAsia="Arial"/>
                <w:b/>
                <w:bCs/>
              </w:rPr>
            </w:pPr>
            <w:r>
              <w:rPr>
                <w:rFonts w:eastAsia="Arial"/>
                <w:b/>
                <w:bCs/>
              </w:rPr>
              <w:t xml:space="preserve">Measure 3: All Category 1 </w:t>
            </w:r>
            <w:r w:rsidR="00077D3D">
              <w:rPr>
                <w:rFonts w:eastAsia="Arial"/>
                <w:b/>
                <w:bCs/>
              </w:rPr>
              <w:t>(</w:t>
            </w:r>
            <w:r w:rsidR="005E06DF">
              <w:rPr>
                <w:rFonts w:eastAsia="Arial"/>
                <w:b/>
                <w:bCs/>
              </w:rPr>
              <w:t xml:space="preserve">major </w:t>
            </w:r>
            <w:r w:rsidR="005573E9">
              <w:rPr>
                <w:rFonts w:eastAsia="Arial"/>
                <w:b/>
                <w:bCs/>
              </w:rPr>
              <w:t xml:space="preserve">environmental </w:t>
            </w:r>
            <w:r w:rsidR="005E06DF">
              <w:rPr>
                <w:rFonts w:eastAsia="Arial"/>
                <w:b/>
                <w:bCs/>
              </w:rPr>
              <w:t>event</w:t>
            </w:r>
            <w:r w:rsidR="00C47C78">
              <w:rPr>
                <w:rFonts w:eastAsia="Arial"/>
                <w:b/>
                <w:bCs/>
              </w:rPr>
              <w:t>s</w:t>
            </w:r>
            <w:r w:rsidR="005E06DF">
              <w:rPr>
                <w:rFonts w:eastAsia="Arial"/>
                <w:b/>
                <w:bCs/>
              </w:rPr>
              <w:t xml:space="preserve">) </w:t>
            </w:r>
            <w:r>
              <w:rPr>
                <w:rFonts w:eastAsia="Arial"/>
                <w:b/>
                <w:bCs/>
              </w:rPr>
              <w:t xml:space="preserve">and </w:t>
            </w:r>
            <w:r w:rsidR="00C47C78">
              <w:rPr>
                <w:rFonts w:eastAsia="Arial"/>
                <w:b/>
                <w:bCs/>
              </w:rPr>
              <w:t xml:space="preserve">Category </w:t>
            </w:r>
            <w:r>
              <w:rPr>
                <w:rFonts w:eastAsia="Arial"/>
                <w:b/>
                <w:bCs/>
              </w:rPr>
              <w:t>2</w:t>
            </w:r>
            <w:r w:rsidR="005E06DF">
              <w:rPr>
                <w:rFonts w:eastAsia="Arial"/>
                <w:b/>
                <w:bCs/>
              </w:rPr>
              <w:t xml:space="preserve"> (significant </w:t>
            </w:r>
            <w:r w:rsidR="005573E9">
              <w:rPr>
                <w:rFonts w:eastAsia="Arial"/>
                <w:b/>
                <w:bCs/>
              </w:rPr>
              <w:t xml:space="preserve">environmental </w:t>
            </w:r>
            <w:r w:rsidR="005E06DF">
              <w:rPr>
                <w:rFonts w:eastAsia="Arial"/>
                <w:b/>
                <w:bCs/>
              </w:rPr>
              <w:t>event</w:t>
            </w:r>
            <w:r w:rsidR="00C47C78">
              <w:rPr>
                <w:rFonts w:eastAsia="Arial"/>
                <w:b/>
                <w:bCs/>
              </w:rPr>
              <w:t>s</w:t>
            </w:r>
            <w:r w:rsidR="005E06DF">
              <w:rPr>
                <w:rFonts w:eastAsia="Arial"/>
                <w:b/>
                <w:bCs/>
              </w:rPr>
              <w:t>)</w:t>
            </w:r>
            <w:r>
              <w:rPr>
                <w:rFonts w:eastAsia="Arial"/>
                <w:b/>
                <w:bCs/>
              </w:rPr>
              <w:t xml:space="preserve"> responded to</w:t>
            </w:r>
            <w:r w:rsidR="00F86C07">
              <w:rPr>
                <w:rFonts w:eastAsia="Arial"/>
                <w:b/>
                <w:bCs/>
              </w:rPr>
              <w:t>.</w:t>
            </w:r>
          </w:p>
        </w:tc>
        <w:tc>
          <w:tcPr>
            <w:tcW w:w="1063" w:type="pct"/>
            <w:tcBorders>
              <w:top w:val="single" w:sz="24" w:space="0" w:color="00526F"/>
              <w:left w:val="single" w:sz="6" w:space="0" w:color="00526F"/>
              <w:bottom w:val="single" w:sz="24" w:space="0" w:color="00526F"/>
              <w:right w:val="single" w:sz="24" w:space="0" w:color="00526F"/>
            </w:tcBorders>
            <w:shd w:val="clear" w:color="auto" w:fill="57C4AD"/>
            <w:vAlign w:val="center"/>
            <w:hideMark/>
          </w:tcPr>
          <w:p w14:paraId="13B2A4EE"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6020D345" w14:textId="77777777" w:rsidR="003C56EE" w:rsidRPr="00247D3F" w:rsidRDefault="003C56EE" w:rsidP="00F37FE3">
      <w:pPr>
        <w:spacing w:line="256" w:lineRule="auto"/>
        <w:rPr>
          <w:rFonts w:ascii="Arial" w:eastAsia="MS Gothic" w:hAnsi="Arial"/>
          <w:b/>
          <w:color w:val="00526F"/>
          <w:lang w:eastAsia="en-US"/>
        </w:rPr>
      </w:pPr>
    </w:p>
    <w:p w14:paraId="6655F81F" w14:textId="03328207" w:rsidR="00247D3F" w:rsidRDefault="003C56EE" w:rsidP="00F37FE3">
      <w:pPr>
        <w:spacing w:line="360" w:lineRule="auto"/>
        <w:rPr>
          <w:rFonts w:ascii="Arial" w:hAnsi="Arial" w:cs="Arial"/>
        </w:rPr>
      </w:pPr>
      <w:r>
        <w:rPr>
          <w:rFonts w:ascii="Arial" w:hAnsi="Arial" w:cs="Arial"/>
        </w:rPr>
        <w:t>Each month we receive reports from members of the public or regulated sites - by phone or through a form on our website - of incidents with the potential to cause environmental harm or nuisance. We prioritise our response according to the level of environmental harm. Category 1 and 2 events are the most significant pollution incidents. We have achieved this measure because we have responded to all Category 1 and 2 events reported between April 2021 and March 2022. Data from July to March is no</w:t>
      </w:r>
      <w:r>
        <w:rPr>
          <w:rFonts w:ascii="Arial" w:eastAsiaTheme="minorHAnsi" w:hAnsi="Arial" w:cs="Arial"/>
        </w:rPr>
        <w:t>t</w:t>
      </w:r>
      <w:r>
        <w:rPr>
          <w:rFonts w:ascii="Arial" w:hAnsi="Arial" w:cs="Arial"/>
        </w:rPr>
        <w:t>e</w:t>
      </w:r>
      <w:r>
        <w:rPr>
          <w:rFonts w:ascii="Arial" w:eastAsiaTheme="minorHAnsi" w:hAnsi="Arial" w:cs="Arial"/>
        </w:rPr>
        <w:t xml:space="preserve">d </w:t>
      </w:r>
      <w:r>
        <w:rPr>
          <w:rFonts w:ascii="Arial" w:hAnsi="Arial" w:cs="Arial"/>
        </w:rPr>
        <w:t xml:space="preserve">in the table below. </w:t>
      </w:r>
    </w:p>
    <w:p w14:paraId="2C6112B1" w14:textId="77777777" w:rsidR="003C56EE" w:rsidRDefault="003C56EE" w:rsidP="00F37FE3">
      <w:pPr>
        <w:spacing w:line="360" w:lineRule="auto"/>
        <w:rPr>
          <w:rFonts w:ascii="Arial" w:hAnsi="Arial" w:cs="Arial"/>
          <w:lang w:val="en-US"/>
        </w:rPr>
      </w:pPr>
    </w:p>
    <w:tbl>
      <w:tblPr>
        <w:tblStyle w:val="TableGrid"/>
        <w:tblW w:w="5000" w:type="pct"/>
        <w:tblLook w:val="04A0" w:firstRow="1" w:lastRow="0" w:firstColumn="1" w:lastColumn="0" w:noHBand="0" w:noVBand="1"/>
      </w:tblPr>
      <w:tblGrid>
        <w:gridCol w:w="1922"/>
        <w:gridCol w:w="783"/>
        <w:gridCol w:w="785"/>
        <w:gridCol w:w="783"/>
        <w:gridCol w:w="785"/>
        <w:gridCol w:w="785"/>
        <w:gridCol w:w="783"/>
        <w:gridCol w:w="785"/>
        <w:gridCol w:w="784"/>
        <w:gridCol w:w="786"/>
        <w:gridCol w:w="790"/>
      </w:tblGrid>
      <w:tr w:rsidR="00247D3F" w14:paraId="274AB24E" w14:textId="77777777" w:rsidTr="00F86C07">
        <w:trPr>
          <w:trHeight w:val="1496"/>
        </w:trPr>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0B1CB959"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Number of events received and responded to </w:t>
            </w:r>
          </w:p>
        </w:tc>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7FF3703"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July</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4EE6A52"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Aug</w:t>
            </w:r>
          </w:p>
        </w:tc>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0971ABC7"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Sep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8D7988E"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Oct</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32046052" w14:textId="77777777" w:rsidR="003C56EE" w:rsidRPr="00D86A0D" w:rsidRDefault="003C56EE" w:rsidP="00CF1904">
            <w:pPr>
              <w:spacing w:after="120" w:line="360" w:lineRule="auto"/>
              <w:rPr>
                <w:rFonts w:ascii="Arial" w:hAnsi="Arial" w:cs="Arial"/>
              </w:rPr>
            </w:pPr>
            <w:r w:rsidRPr="00D86A0D">
              <w:rPr>
                <w:rFonts w:ascii="Arial" w:hAnsi="Arial" w:cs="Arial"/>
              </w:rPr>
              <w:t>Nov</w:t>
            </w:r>
          </w:p>
        </w:tc>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CEFF05E"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Dec</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BE54A65" w14:textId="77777777" w:rsidR="003C56EE" w:rsidRPr="00D86A0D" w:rsidRDefault="003C56EE" w:rsidP="00CF1904">
            <w:pPr>
              <w:spacing w:after="120" w:line="360" w:lineRule="auto"/>
              <w:rPr>
                <w:rFonts w:ascii="Arial" w:hAnsi="Arial" w:cs="Arial"/>
                <w:color w:val="323130"/>
              </w:rPr>
            </w:pPr>
            <w:r w:rsidRPr="00D86A0D">
              <w:rPr>
                <w:rFonts w:ascii="Arial" w:hAnsi="Arial" w:cs="Arial"/>
                <w:color w:val="323130"/>
              </w:rPr>
              <w:t>Jan</w:t>
            </w:r>
          </w:p>
        </w:tc>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3663F576" w14:textId="77777777" w:rsidR="003C56EE" w:rsidRPr="00D86A0D" w:rsidRDefault="003C56EE" w:rsidP="00CF1904">
            <w:pPr>
              <w:spacing w:after="120" w:line="360" w:lineRule="auto"/>
              <w:rPr>
                <w:rFonts w:ascii="Arial" w:hAnsi="Arial" w:cs="Arial"/>
                <w:color w:val="323130"/>
              </w:rPr>
            </w:pPr>
            <w:r w:rsidRPr="00D86A0D">
              <w:rPr>
                <w:rFonts w:ascii="Arial" w:hAnsi="Arial" w:cs="Arial"/>
                <w:color w:val="323130"/>
              </w:rPr>
              <w:t>Feb</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33CC7181" w14:textId="77777777" w:rsidR="003C56EE" w:rsidRPr="00D86A0D" w:rsidRDefault="003C56EE" w:rsidP="00CF1904">
            <w:pPr>
              <w:spacing w:after="120" w:line="360" w:lineRule="auto"/>
              <w:rPr>
                <w:rFonts w:ascii="Arial" w:hAnsi="Arial" w:cs="Arial"/>
                <w:color w:val="323130"/>
              </w:rPr>
            </w:pPr>
            <w:r w:rsidRPr="00D86A0D">
              <w:rPr>
                <w:rFonts w:ascii="Arial" w:hAnsi="Arial" w:cs="Arial"/>
                <w:color w:val="323130"/>
              </w:rPr>
              <w:t>Mar</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52B4033" w14:textId="77777777" w:rsidR="003C56EE" w:rsidRPr="00D86A0D" w:rsidRDefault="003C56EE" w:rsidP="00CF1904">
            <w:pPr>
              <w:spacing w:after="120" w:line="360" w:lineRule="auto"/>
              <w:rPr>
                <w:rFonts w:ascii="Arial" w:hAnsi="Arial" w:cs="Arial"/>
                <w:b/>
                <w:bCs/>
              </w:rPr>
            </w:pPr>
            <w:r w:rsidRPr="00D86A0D">
              <w:rPr>
                <w:rFonts w:ascii="Arial" w:hAnsi="Arial" w:cs="Arial"/>
                <w:b/>
                <w:bCs/>
                <w:color w:val="323130"/>
              </w:rPr>
              <w:t>Total</w:t>
            </w:r>
          </w:p>
        </w:tc>
      </w:tr>
      <w:tr w:rsidR="003C56EE" w14:paraId="014B7A82" w14:textId="77777777" w:rsidTr="00CF1904">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722A3"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Category 1 </w:t>
            </w:r>
          </w:p>
        </w:tc>
        <w:tc>
          <w:tcPr>
            <w:tcW w:w="401" w:type="pct"/>
            <w:tcBorders>
              <w:top w:val="single" w:sz="6" w:space="0" w:color="auto"/>
              <w:left w:val="single" w:sz="6" w:space="0" w:color="auto"/>
              <w:bottom w:val="single" w:sz="6" w:space="0" w:color="auto"/>
              <w:right w:val="single" w:sz="6" w:space="0" w:color="auto"/>
            </w:tcBorders>
            <w:vAlign w:val="center"/>
            <w:hideMark/>
          </w:tcPr>
          <w:p w14:paraId="61E8D248"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3</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3BD7F2CB"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3</w:t>
            </w:r>
            <w:r w:rsidRPr="00D86A0D">
              <w:rPr>
                <w:rStyle w:val="eop"/>
                <w:rFonts w:eastAsia="MS Gothic" w:cs="Arial"/>
                <w:color w:val="32313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668A1908"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4</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5AEF2617"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0</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2395268F"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000000"/>
              </w:rPr>
              <w:t>5</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2BF50C80"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000000"/>
              </w:rPr>
              <w:t>0</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2ED4817"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1</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13F38009"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1</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F839F79"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0</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789ECB9"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17</w:t>
            </w:r>
            <w:r w:rsidRPr="00D86A0D">
              <w:rPr>
                <w:rStyle w:val="eop"/>
                <w:rFonts w:eastAsia="MS Gothic" w:cs="Arial"/>
                <w:color w:val="000000"/>
              </w:rPr>
              <w:t> </w:t>
            </w:r>
          </w:p>
        </w:tc>
      </w:tr>
      <w:tr w:rsidR="003C56EE" w14:paraId="5DAD6012" w14:textId="77777777" w:rsidTr="00CF1904">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78619" w14:textId="77777777" w:rsidR="003C56EE" w:rsidRPr="00D86A0D" w:rsidRDefault="003C56EE" w:rsidP="00CF1904">
            <w:pPr>
              <w:spacing w:after="120" w:line="360" w:lineRule="auto"/>
              <w:rPr>
                <w:rFonts w:ascii="Arial" w:hAnsi="Arial" w:cs="Arial"/>
              </w:rPr>
            </w:pPr>
            <w:r w:rsidRPr="00D86A0D">
              <w:rPr>
                <w:rFonts w:ascii="Arial" w:hAnsi="Arial" w:cs="Arial"/>
                <w:color w:val="323130"/>
              </w:rPr>
              <w:t>Category 2 </w:t>
            </w:r>
          </w:p>
        </w:tc>
        <w:tc>
          <w:tcPr>
            <w:tcW w:w="401" w:type="pct"/>
            <w:tcBorders>
              <w:top w:val="single" w:sz="6" w:space="0" w:color="auto"/>
              <w:left w:val="single" w:sz="6" w:space="0" w:color="auto"/>
              <w:bottom w:val="single" w:sz="6" w:space="0" w:color="auto"/>
              <w:right w:val="single" w:sz="6" w:space="0" w:color="auto"/>
            </w:tcBorders>
            <w:vAlign w:val="center"/>
            <w:hideMark/>
          </w:tcPr>
          <w:p w14:paraId="00D041C2"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12</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507751CB"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14</w:t>
            </w:r>
            <w:r w:rsidRPr="00D86A0D">
              <w:rPr>
                <w:rStyle w:val="eop"/>
                <w:rFonts w:eastAsia="MS Gothic" w:cs="Arial"/>
                <w:color w:val="32313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0C89B9EF"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14</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1AAEB4F5"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323130"/>
              </w:rPr>
              <w:t>5</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3B60D825"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000000"/>
              </w:rPr>
              <w:t>6</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0D50E5AD" w14:textId="77777777" w:rsidR="003C56EE" w:rsidRPr="00D86A0D" w:rsidRDefault="003C56EE" w:rsidP="00CF1904">
            <w:pPr>
              <w:spacing w:after="120" w:line="360" w:lineRule="auto"/>
              <w:jc w:val="right"/>
              <w:rPr>
                <w:rFonts w:ascii="Arial" w:hAnsi="Arial" w:cs="Arial"/>
              </w:rPr>
            </w:pPr>
            <w:r w:rsidRPr="00D86A0D">
              <w:rPr>
                <w:rStyle w:val="normaltextrun"/>
                <w:rFonts w:ascii="Arial" w:eastAsiaTheme="majorEastAsia" w:hAnsi="Arial" w:cs="Arial"/>
                <w:color w:val="000000"/>
              </w:rPr>
              <w:t>1</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387D657"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7</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3D36C629"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5</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95CE4CA"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color w:val="000000"/>
              </w:rPr>
              <w:t>4</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7BC207AD"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68</w:t>
            </w:r>
            <w:r w:rsidRPr="00D86A0D">
              <w:rPr>
                <w:rStyle w:val="eop"/>
                <w:rFonts w:eastAsia="MS Gothic" w:cs="Arial"/>
                <w:color w:val="000000"/>
              </w:rPr>
              <w:t> </w:t>
            </w:r>
          </w:p>
        </w:tc>
      </w:tr>
      <w:tr w:rsidR="003C56EE" w14:paraId="17BA860B" w14:textId="77777777" w:rsidTr="00CF1904">
        <w:tc>
          <w:tcPr>
            <w:tcW w:w="9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4B85DA" w14:textId="77777777" w:rsidR="003C56EE" w:rsidRPr="00D86A0D" w:rsidRDefault="003C56EE" w:rsidP="00CF1904">
            <w:pPr>
              <w:spacing w:after="120" w:line="360" w:lineRule="auto"/>
              <w:rPr>
                <w:rFonts w:ascii="Arial" w:hAnsi="Arial" w:cs="Arial"/>
                <w:b/>
                <w:bCs/>
              </w:rPr>
            </w:pPr>
            <w:r w:rsidRPr="00D86A0D">
              <w:rPr>
                <w:rFonts w:ascii="Arial" w:hAnsi="Arial" w:cs="Arial"/>
                <w:b/>
                <w:bCs/>
                <w:color w:val="323130"/>
              </w:rPr>
              <w:t>Total </w:t>
            </w:r>
          </w:p>
        </w:tc>
        <w:tc>
          <w:tcPr>
            <w:tcW w:w="401" w:type="pct"/>
            <w:tcBorders>
              <w:top w:val="single" w:sz="6" w:space="0" w:color="auto"/>
              <w:left w:val="single" w:sz="6" w:space="0" w:color="auto"/>
              <w:bottom w:val="single" w:sz="6" w:space="0" w:color="auto"/>
              <w:right w:val="single" w:sz="6" w:space="0" w:color="auto"/>
            </w:tcBorders>
            <w:vAlign w:val="center"/>
            <w:hideMark/>
          </w:tcPr>
          <w:p w14:paraId="6F5AEAF0"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323130"/>
              </w:rPr>
              <w:t>15</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0DF3E4DD"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323130"/>
              </w:rPr>
              <w:t>17</w:t>
            </w:r>
            <w:r w:rsidRPr="00D86A0D">
              <w:rPr>
                <w:rStyle w:val="eop"/>
                <w:rFonts w:eastAsia="MS Gothic" w:cs="Arial"/>
                <w:color w:val="32313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609FA682"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323130"/>
              </w:rPr>
              <w:t>18</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67C3BA37"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323130"/>
              </w:rPr>
              <w:t>5</w:t>
            </w:r>
            <w:r w:rsidRPr="00D86A0D">
              <w:rPr>
                <w:rStyle w:val="eop"/>
                <w:rFonts w:eastAsia="MS Gothic" w:cs="Arial"/>
                <w:color w:val="32313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5ACBCCE2"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11</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577FF26F"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1</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62848196"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8</w:t>
            </w:r>
            <w:r w:rsidRPr="00D86A0D">
              <w:rPr>
                <w:rStyle w:val="eop"/>
                <w:rFonts w:eastAsia="MS Gothic" w:cs="Arial"/>
                <w:color w:val="000000"/>
              </w:rPr>
              <w:t> </w:t>
            </w:r>
          </w:p>
        </w:tc>
        <w:tc>
          <w:tcPr>
            <w:tcW w:w="401" w:type="pct"/>
            <w:tcBorders>
              <w:top w:val="single" w:sz="6" w:space="0" w:color="auto"/>
              <w:left w:val="single" w:sz="6" w:space="0" w:color="auto"/>
              <w:bottom w:val="single" w:sz="6" w:space="0" w:color="auto"/>
              <w:right w:val="single" w:sz="6" w:space="0" w:color="auto"/>
            </w:tcBorders>
            <w:vAlign w:val="center"/>
            <w:hideMark/>
          </w:tcPr>
          <w:p w14:paraId="106C3B9A"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6</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233729D6"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4</w:t>
            </w:r>
            <w:r w:rsidRPr="00D86A0D">
              <w:rPr>
                <w:rStyle w:val="eop"/>
                <w:rFonts w:eastAsia="MS Gothic" w:cs="Arial"/>
                <w:color w:val="000000"/>
              </w:rPr>
              <w:t> </w:t>
            </w:r>
          </w:p>
        </w:tc>
        <w:tc>
          <w:tcPr>
            <w:tcW w:w="402" w:type="pct"/>
            <w:tcBorders>
              <w:top w:val="single" w:sz="6" w:space="0" w:color="auto"/>
              <w:left w:val="single" w:sz="6" w:space="0" w:color="auto"/>
              <w:bottom w:val="single" w:sz="6" w:space="0" w:color="auto"/>
              <w:right w:val="single" w:sz="6" w:space="0" w:color="auto"/>
            </w:tcBorders>
            <w:vAlign w:val="center"/>
            <w:hideMark/>
          </w:tcPr>
          <w:p w14:paraId="164CB4A3" w14:textId="77777777" w:rsidR="003C56EE" w:rsidRPr="00D86A0D" w:rsidRDefault="003C56EE" w:rsidP="00CF1904">
            <w:pPr>
              <w:spacing w:after="120" w:line="360" w:lineRule="auto"/>
              <w:jc w:val="right"/>
              <w:rPr>
                <w:rFonts w:ascii="Arial" w:hAnsi="Arial" w:cs="Arial"/>
                <w:b/>
              </w:rPr>
            </w:pPr>
            <w:r w:rsidRPr="00D86A0D">
              <w:rPr>
                <w:rStyle w:val="normaltextrun"/>
                <w:rFonts w:ascii="Arial" w:eastAsiaTheme="majorEastAsia" w:hAnsi="Arial" w:cs="Arial"/>
                <w:b/>
                <w:color w:val="000000"/>
              </w:rPr>
              <w:t>85</w:t>
            </w:r>
            <w:r w:rsidRPr="00D86A0D">
              <w:rPr>
                <w:rStyle w:val="eop"/>
                <w:rFonts w:eastAsia="MS Gothic" w:cs="Arial"/>
                <w:color w:val="000000"/>
              </w:rPr>
              <w:t> </w:t>
            </w:r>
          </w:p>
        </w:tc>
      </w:tr>
    </w:tbl>
    <w:p w14:paraId="248A3A92" w14:textId="77777777" w:rsidR="00A23C2F" w:rsidRDefault="00A23C2F" w:rsidP="00247D3F">
      <w:pPr>
        <w:pStyle w:val="paragraph"/>
        <w:spacing w:before="0" w:beforeAutospacing="0" w:after="0" w:afterAutospacing="0" w:line="360" w:lineRule="auto"/>
        <w:rPr>
          <w:rFonts w:ascii="Arial" w:eastAsia="Arial" w:hAnsi="Arial" w:cs="Arial"/>
          <w:color w:val="000000" w:themeColor="text1"/>
        </w:rPr>
      </w:pPr>
    </w:p>
    <w:p w14:paraId="69B509A4" w14:textId="28642272" w:rsidR="003C56EE" w:rsidRDefault="003C56EE" w:rsidP="00247D3F">
      <w:pPr>
        <w:pStyle w:val="paragraph"/>
        <w:spacing w:before="0" w:beforeAutospacing="0" w:after="0" w:afterAutospacing="0" w:line="360" w:lineRule="auto"/>
        <w:rPr>
          <w:rFonts w:ascii="Arial" w:eastAsia="Arial" w:hAnsi="Arial" w:cs="Arial"/>
          <w:color w:val="000000" w:themeColor="text1"/>
        </w:rPr>
      </w:pPr>
      <w:r>
        <w:rPr>
          <w:rFonts w:ascii="Arial" w:eastAsia="Arial" w:hAnsi="Arial" w:cs="Arial"/>
          <w:color w:val="000000" w:themeColor="text1"/>
        </w:rPr>
        <w:t xml:space="preserve">Over the course of the year, there were 17 Category 1 events. The most common incidents were related to pollution of watercourses, many of which led to significant numbers of dead fish. </w:t>
      </w:r>
    </w:p>
    <w:p w14:paraId="369EF1B2" w14:textId="77777777" w:rsidR="00247D3F" w:rsidRDefault="00247D3F" w:rsidP="00247D3F">
      <w:pPr>
        <w:pStyle w:val="paragraph"/>
        <w:spacing w:before="0" w:beforeAutospacing="0" w:after="0" w:afterAutospacing="0" w:line="360" w:lineRule="auto"/>
        <w:rPr>
          <w:rFonts w:ascii="Arial" w:eastAsia="Arial" w:hAnsi="Arial" w:cs="Arial"/>
          <w:color w:val="000000" w:themeColor="text1"/>
        </w:rPr>
      </w:pPr>
    </w:p>
    <w:p w14:paraId="35CBFC8C" w14:textId="0AAB0C8A" w:rsidR="003C56EE" w:rsidRDefault="003C56EE" w:rsidP="00247D3F">
      <w:pPr>
        <w:spacing w:line="360" w:lineRule="auto"/>
        <w:rPr>
          <w:rFonts w:ascii="Arial" w:eastAsia="Arial" w:hAnsi="Arial" w:cs="Arial"/>
          <w:color w:val="000000" w:themeColor="text1"/>
        </w:rPr>
      </w:pPr>
      <w:r>
        <w:rPr>
          <w:rFonts w:ascii="Arial" w:eastAsia="Arial" w:hAnsi="Arial" w:cs="Arial"/>
          <w:color w:val="000000" w:themeColor="text1"/>
        </w:rPr>
        <w:lastRenderedPageBreak/>
        <w:t>Other incidents included a fire, the smoke from which led to the evacuation of nearby residential properties, and an event which saw the loss of 6.8 tonnes of refrigerant gas.</w:t>
      </w:r>
    </w:p>
    <w:p w14:paraId="5F0CB990" w14:textId="77777777" w:rsidR="00247D3F" w:rsidRPr="00247D3F" w:rsidRDefault="00247D3F" w:rsidP="00247D3F">
      <w:pPr>
        <w:spacing w:line="360" w:lineRule="auto"/>
        <w:rPr>
          <w:rFonts w:ascii="Arial" w:eastAsia="MS Gothic" w:hAnsi="Arial"/>
          <w:b/>
          <w:color w:val="00526F"/>
          <w:lang w:eastAsia="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6"/>
        <w:gridCol w:w="1925"/>
      </w:tblGrid>
      <w:tr w:rsidR="003C56EE" w14:paraId="54B00526" w14:textId="77777777" w:rsidTr="0011190F">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6DA45724" w14:textId="77777777" w:rsidR="003C56EE" w:rsidRDefault="003C56EE" w:rsidP="00CF1904">
            <w:pPr>
              <w:overflowPunct w:val="0"/>
              <w:autoSpaceDE w:val="0"/>
              <w:autoSpaceDN w:val="0"/>
              <w:adjustRightInd w:val="0"/>
              <w:spacing w:line="480" w:lineRule="auto"/>
              <w:textAlignment w:val="baseline"/>
              <w:rPr>
                <w:rFonts w:eastAsia="Arial"/>
              </w:rPr>
            </w:pPr>
            <w:r>
              <w:rPr>
                <w:szCs w:val="20"/>
              </w:rPr>
              <w:br w:type="page"/>
            </w:r>
            <w:r>
              <w:rPr>
                <w:rFonts w:eastAsia="Arial"/>
              </w:rPr>
              <w:t>Regulation</w:t>
            </w:r>
          </w:p>
        </w:tc>
      </w:tr>
      <w:tr w:rsidR="003C56EE" w14:paraId="6F8DDA55" w14:textId="77777777" w:rsidTr="0011190F">
        <w:tc>
          <w:tcPr>
            <w:tcW w:w="4010" w:type="pct"/>
            <w:tcBorders>
              <w:top w:val="single" w:sz="24" w:space="0" w:color="00526F"/>
              <w:left w:val="single" w:sz="24" w:space="0" w:color="00526F"/>
              <w:bottom w:val="single" w:sz="24" w:space="0" w:color="00526F"/>
              <w:right w:val="single" w:sz="24" w:space="0" w:color="00526F"/>
            </w:tcBorders>
            <w:hideMark/>
          </w:tcPr>
          <w:p w14:paraId="7FC2736B" w14:textId="5538D711"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Measure 4: Compliance verification plan delivered by March 2022</w:t>
            </w:r>
            <w:r w:rsidR="00F86C07">
              <w:rPr>
                <w:rFonts w:eastAsia="Arial"/>
                <w:b/>
                <w:bCs/>
              </w:rPr>
              <w:t>.</w:t>
            </w:r>
          </w:p>
        </w:tc>
        <w:tc>
          <w:tcPr>
            <w:tcW w:w="990" w:type="pct"/>
            <w:tcBorders>
              <w:top w:val="single" w:sz="24" w:space="0" w:color="00526F"/>
              <w:left w:val="single" w:sz="24" w:space="0" w:color="00526F"/>
              <w:bottom w:val="single" w:sz="24" w:space="0" w:color="00526F"/>
              <w:right w:val="single" w:sz="24" w:space="0" w:color="00526F"/>
            </w:tcBorders>
            <w:shd w:val="clear" w:color="auto" w:fill="DB4325"/>
            <w:vAlign w:val="center"/>
            <w:hideMark/>
          </w:tcPr>
          <w:p w14:paraId="61D2D04C"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Not achieved</w:t>
            </w:r>
          </w:p>
        </w:tc>
      </w:tr>
    </w:tbl>
    <w:p w14:paraId="2FFDF035" w14:textId="77777777" w:rsidR="003C56EE" w:rsidRPr="00247D3F" w:rsidRDefault="003C56EE" w:rsidP="00247D3F">
      <w:pPr>
        <w:spacing w:line="360" w:lineRule="auto"/>
        <w:rPr>
          <w:rFonts w:ascii="Arial" w:eastAsia="MS Gothic" w:hAnsi="Arial"/>
          <w:bCs/>
          <w:color w:val="00526F"/>
          <w:lang w:eastAsia="en-US"/>
        </w:rPr>
      </w:pPr>
    </w:p>
    <w:p w14:paraId="3BF4E883" w14:textId="74FA61D8" w:rsidR="003C56EE" w:rsidRDefault="003C56EE" w:rsidP="00247D3F">
      <w:pPr>
        <w:spacing w:line="360" w:lineRule="auto"/>
        <w:rPr>
          <w:rFonts w:ascii="Arial" w:hAnsi="Arial" w:cs="Arial"/>
        </w:rPr>
      </w:pPr>
      <w:r>
        <w:rPr>
          <w:rFonts w:ascii="Arial" w:hAnsi="Arial" w:cs="Arial"/>
        </w:rPr>
        <w:t xml:space="preserve">We have not achieved this measure as we did not complete all the verification activities identified in our plan. This was in part due to redeploying staff to investigate and tackle compliance issues that arose during the year. </w:t>
      </w:r>
    </w:p>
    <w:p w14:paraId="44888844" w14:textId="77777777" w:rsidR="000E33EB" w:rsidRDefault="000E33EB" w:rsidP="00247D3F">
      <w:pPr>
        <w:spacing w:line="360" w:lineRule="auto"/>
        <w:rPr>
          <w:rFonts w:ascii="Arial" w:hAnsi="Arial" w:cs="Arial"/>
          <w:lang w:val="en-US"/>
        </w:rPr>
      </w:pPr>
    </w:p>
    <w:p w14:paraId="3D88B977" w14:textId="41931556" w:rsidR="003C56EE" w:rsidRDefault="003C56EE" w:rsidP="00247D3F">
      <w:pPr>
        <w:spacing w:line="360" w:lineRule="auto"/>
        <w:rPr>
          <w:rFonts w:ascii="Arial" w:hAnsi="Arial" w:cs="Arial"/>
        </w:rPr>
      </w:pPr>
      <w:r>
        <w:rPr>
          <w:rFonts w:ascii="Arial" w:hAnsi="Arial" w:cs="Arial"/>
        </w:rPr>
        <w:t xml:space="preserve">This measure is about checking that operators are compliant with their environmental obligations. Our verification plan for </w:t>
      </w:r>
      <w:r w:rsidR="000845C9">
        <w:rPr>
          <w:rFonts w:ascii="Arial" w:hAnsi="Arial" w:cs="Arial"/>
        </w:rPr>
        <w:t>2021/2022</w:t>
      </w:r>
      <w:r>
        <w:rPr>
          <w:rFonts w:ascii="Arial" w:hAnsi="Arial" w:cs="Arial"/>
        </w:rPr>
        <w:t xml:space="preserve"> covered a range of sectors and operators. It focused on t</w:t>
      </w:r>
      <w:r>
        <w:rPr>
          <w:rStyle w:val="normaltextrun"/>
          <w:rFonts w:ascii="Arial" w:eastAsiaTheme="majorEastAsia" w:hAnsi="Arial" w:cs="Arial"/>
          <w:color w:val="000000" w:themeColor="text1"/>
          <w:shd w:val="clear" w:color="auto" w:fill="FFFFFF"/>
        </w:rPr>
        <w:t>he activities with the greatest potential for harm and the poorest performing activities and sectors.</w:t>
      </w:r>
      <w:r>
        <w:rPr>
          <w:rFonts w:ascii="Arial" w:hAnsi="Arial" w:cs="Arial"/>
        </w:rPr>
        <w:t xml:space="preserve"> </w:t>
      </w:r>
    </w:p>
    <w:p w14:paraId="4D862774" w14:textId="77777777" w:rsidR="00247D3F" w:rsidRDefault="00247D3F" w:rsidP="00247D3F">
      <w:pPr>
        <w:spacing w:line="360" w:lineRule="auto"/>
        <w:rPr>
          <w:rFonts w:ascii="Arial" w:eastAsia="Arial" w:hAnsi="Arial" w:cs="Arial"/>
          <w:color w:val="000000"/>
        </w:rPr>
      </w:pPr>
    </w:p>
    <w:p w14:paraId="413FD5D5" w14:textId="77777777" w:rsidR="003C56EE" w:rsidRDefault="003C56EE" w:rsidP="00247D3F">
      <w:pPr>
        <w:spacing w:line="360" w:lineRule="auto"/>
        <w:rPr>
          <w:rFonts w:ascii="Arial" w:hAnsi="Arial" w:cs="Arial"/>
          <w:lang w:val="en-US"/>
        </w:rPr>
      </w:pPr>
      <w:r>
        <w:rPr>
          <w:rFonts w:ascii="Arial" w:hAnsi="Arial" w:cs="Arial"/>
          <w:b/>
        </w:rPr>
        <w:t>Activities with greatest potential for harm</w:t>
      </w:r>
      <w:r>
        <w:rPr>
          <w:rFonts w:ascii="Arial" w:hAnsi="Arial" w:cs="Arial"/>
        </w:rPr>
        <w:t xml:space="preserve">  </w:t>
      </w:r>
    </w:p>
    <w:p w14:paraId="48FB30C8" w14:textId="412357F4" w:rsidR="003C56EE" w:rsidRDefault="003C56EE" w:rsidP="00247D3F">
      <w:pPr>
        <w:spacing w:line="360" w:lineRule="auto"/>
        <w:rPr>
          <w:rFonts w:ascii="Arial" w:hAnsi="Arial" w:cs="Arial"/>
        </w:rPr>
      </w:pPr>
      <w:r>
        <w:rPr>
          <w:rFonts w:ascii="Arial" w:hAnsi="Arial" w:cs="Arial"/>
        </w:rPr>
        <w:t>These include nuclear and industrial sites, specifically sites regulated under the Control of Major Accidental Hazards regulations</w:t>
      </w:r>
      <w:r w:rsidR="00437578">
        <w:rPr>
          <w:rFonts w:ascii="Arial" w:hAnsi="Arial" w:cs="Arial"/>
        </w:rPr>
        <w:t>,</w:t>
      </w:r>
      <w:r>
        <w:rPr>
          <w:rFonts w:ascii="Arial" w:hAnsi="Arial" w:cs="Arial"/>
        </w:rPr>
        <w:t xml:space="preserve"> and large or complex sites regulated under Pollution Prevention and Control regulations. For these sites, we compiled an inspection plan of priority sites for the period 1 November 2021 to 31 March 2022. Our progress to date is shown in the table below.   </w:t>
      </w:r>
    </w:p>
    <w:p w14:paraId="7787B4E4" w14:textId="77777777" w:rsidR="00247D3F" w:rsidRDefault="00247D3F" w:rsidP="00247D3F">
      <w:pPr>
        <w:spacing w:line="360" w:lineRule="auto"/>
        <w:rPr>
          <w:rFonts w:ascii="Arial" w:hAnsi="Arial" w:cs="Arial"/>
        </w:rPr>
      </w:pPr>
    </w:p>
    <w:tbl>
      <w:tblPr>
        <w:tblStyle w:val="TableGrid"/>
        <w:tblW w:w="5000" w:type="pct"/>
        <w:tblLook w:val="04A0" w:firstRow="1" w:lastRow="0" w:firstColumn="1" w:lastColumn="0" w:noHBand="0" w:noVBand="1"/>
      </w:tblPr>
      <w:tblGrid>
        <w:gridCol w:w="5239"/>
        <w:gridCol w:w="2269"/>
        <w:gridCol w:w="2263"/>
      </w:tblGrid>
      <w:tr w:rsidR="003C56EE" w14:paraId="0B55A973" w14:textId="77777777" w:rsidTr="00F86C07">
        <w:tc>
          <w:tcPr>
            <w:tcW w:w="26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78B51C7" w14:textId="77777777" w:rsidR="003C56EE" w:rsidRDefault="003C56EE" w:rsidP="00247D3F">
            <w:pPr>
              <w:spacing w:line="360" w:lineRule="auto"/>
              <w:rPr>
                <w:rFonts w:ascii="Arial" w:hAnsi="Arial" w:cs="Arial"/>
              </w:rPr>
            </w:pPr>
            <w:r>
              <w:rPr>
                <w:rFonts w:ascii="Arial" w:hAnsi="Arial" w:cs="Arial"/>
                <w:b/>
                <w:bCs/>
              </w:rPr>
              <w:t xml:space="preserve">Regulatory Regime  </w:t>
            </w:r>
          </w:p>
        </w:tc>
        <w:tc>
          <w:tcPr>
            <w:tcW w:w="11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6CD396D" w14:textId="77777777" w:rsidR="003C56EE" w:rsidRDefault="003C56EE" w:rsidP="00247D3F">
            <w:pPr>
              <w:spacing w:line="360" w:lineRule="auto"/>
              <w:rPr>
                <w:rFonts w:ascii="Arial" w:hAnsi="Arial" w:cs="Arial"/>
              </w:rPr>
            </w:pPr>
            <w:r>
              <w:rPr>
                <w:rFonts w:ascii="Arial" w:hAnsi="Arial" w:cs="Arial"/>
                <w:b/>
                <w:bCs/>
              </w:rPr>
              <w:t>Number of priority sites</w:t>
            </w:r>
          </w:p>
        </w:tc>
        <w:tc>
          <w:tcPr>
            <w:tcW w:w="11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6A20E748" w14:textId="77777777" w:rsidR="003C56EE" w:rsidRDefault="003C56EE" w:rsidP="00247D3F">
            <w:pPr>
              <w:spacing w:line="360" w:lineRule="auto"/>
              <w:rPr>
                <w:rFonts w:ascii="Arial" w:hAnsi="Arial" w:cs="Arial"/>
              </w:rPr>
            </w:pPr>
            <w:r>
              <w:rPr>
                <w:rFonts w:ascii="Arial" w:hAnsi="Arial" w:cs="Arial"/>
                <w:b/>
                <w:bCs/>
              </w:rPr>
              <w:t>Number of sites inspected to date</w:t>
            </w:r>
          </w:p>
        </w:tc>
      </w:tr>
      <w:tr w:rsidR="003C56EE" w14:paraId="38E55EE1" w14:textId="77777777" w:rsidTr="00C52E3D">
        <w:tc>
          <w:tcPr>
            <w:tcW w:w="2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250A7" w14:textId="77777777" w:rsidR="003C56EE" w:rsidRDefault="003C56EE" w:rsidP="00247D3F">
            <w:pPr>
              <w:spacing w:line="360" w:lineRule="auto"/>
              <w:rPr>
                <w:rFonts w:ascii="Arial" w:hAnsi="Arial" w:cs="Arial"/>
              </w:rPr>
            </w:pPr>
            <w:r>
              <w:rPr>
                <w:rFonts w:ascii="Arial" w:hAnsi="Arial" w:cs="Arial"/>
              </w:rPr>
              <w:t>Pollution Prevention and Control</w:t>
            </w:r>
          </w:p>
        </w:tc>
        <w:tc>
          <w:tcPr>
            <w:tcW w:w="11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0ED197F" w14:textId="77777777" w:rsidR="003C56EE" w:rsidRDefault="003C56EE" w:rsidP="00247D3F">
            <w:pPr>
              <w:spacing w:line="360" w:lineRule="auto"/>
              <w:jc w:val="right"/>
              <w:rPr>
                <w:rFonts w:ascii="Arial" w:hAnsi="Arial" w:cs="Arial"/>
                <w:highlight w:val="yellow"/>
              </w:rPr>
            </w:pPr>
            <w:r>
              <w:rPr>
                <w:rFonts w:ascii="Arial" w:hAnsi="Arial" w:cs="Arial"/>
              </w:rPr>
              <w:t>39</w:t>
            </w:r>
          </w:p>
        </w:tc>
        <w:tc>
          <w:tcPr>
            <w:tcW w:w="1158" w:type="pct"/>
            <w:tcBorders>
              <w:top w:val="single" w:sz="8" w:space="0" w:color="auto"/>
              <w:left w:val="single" w:sz="8" w:space="0" w:color="auto"/>
              <w:bottom w:val="single" w:sz="8" w:space="0" w:color="auto"/>
              <w:right w:val="single" w:sz="8" w:space="0" w:color="auto"/>
            </w:tcBorders>
            <w:vAlign w:val="center"/>
            <w:hideMark/>
          </w:tcPr>
          <w:p w14:paraId="42F7D64F" w14:textId="6D01EC23" w:rsidR="003C56EE" w:rsidRDefault="003C56EE" w:rsidP="00247D3F">
            <w:pPr>
              <w:spacing w:line="360" w:lineRule="auto"/>
              <w:jc w:val="right"/>
              <w:rPr>
                <w:rFonts w:ascii="Arial" w:hAnsi="Arial" w:cs="Arial"/>
                <w:highlight w:val="yellow"/>
              </w:rPr>
            </w:pPr>
            <w:r>
              <w:rPr>
                <w:rFonts w:ascii="Arial" w:eastAsia="Calibri" w:hAnsi="Arial" w:cs="Arial"/>
              </w:rPr>
              <w:t>37</w:t>
            </w:r>
            <w:r w:rsidR="00247D3F">
              <w:rPr>
                <w:rStyle w:val="FootnoteReference"/>
                <w:rFonts w:ascii="Arial" w:eastAsia="Calibri" w:hAnsi="Arial" w:cs="Arial"/>
              </w:rPr>
              <w:footnoteReference w:id="6"/>
            </w:r>
            <w:r>
              <w:rPr>
                <w:rFonts w:ascii="Arial" w:eastAsia="Calibri" w:hAnsi="Arial" w:cs="Arial"/>
              </w:rPr>
              <w:t xml:space="preserve"> </w:t>
            </w:r>
          </w:p>
        </w:tc>
      </w:tr>
      <w:tr w:rsidR="003C56EE" w14:paraId="000D3F3F" w14:textId="77777777" w:rsidTr="00C52E3D">
        <w:tc>
          <w:tcPr>
            <w:tcW w:w="2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5B0D5" w14:textId="77777777" w:rsidR="003C56EE" w:rsidRDefault="003C56EE" w:rsidP="00247D3F">
            <w:pPr>
              <w:spacing w:line="360" w:lineRule="auto"/>
              <w:rPr>
                <w:rFonts w:ascii="Arial" w:hAnsi="Arial" w:cs="Arial"/>
              </w:rPr>
            </w:pPr>
            <w:r>
              <w:rPr>
                <w:rFonts w:ascii="Arial" w:hAnsi="Arial" w:cs="Arial"/>
              </w:rPr>
              <w:t>Control of Major Accidental Hazards</w:t>
            </w:r>
          </w:p>
        </w:tc>
        <w:tc>
          <w:tcPr>
            <w:tcW w:w="11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0DC615" w14:textId="77777777" w:rsidR="003C56EE" w:rsidRDefault="003C56EE" w:rsidP="00247D3F">
            <w:pPr>
              <w:spacing w:line="360" w:lineRule="auto"/>
              <w:jc w:val="right"/>
              <w:rPr>
                <w:rFonts w:ascii="Arial" w:hAnsi="Arial" w:cs="Arial"/>
              </w:rPr>
            </w:pPr>
            <w:r>
              <w:rPr>
                <w:rFonts w:ascii="Arial" w:hAnsi="Arial" w:cs="Arial"/>
              </w:rPr>
              <w:t>20</w:t>
            </w:r>
          </w:p>
        </w:tc>
        <w:tc>
          <w:tcPr>
            <w:tcW w:w="1158" w:type="pct"/>
            <w:tcBorders>
              <w:top w:val="single" w:sz="8" w:space="0" w:color="auto"/>
              <w:left w:val="single" w:sz="8" w:space="0" w:color="auto"/>
              <w:bottom w:val="single" w:sz="8" w:space="0" w:color="auto"/>
              <w:right w:val="single" w:sz="8" w:space="0" w:color="auto"/>
            </w:tcBorders>
            <w:vAlign w:val="center"/>
            <w:hideMark/>
          </w:tcPr>
          <w:p w14:paraId="1374B9EC" w14:textId="46369BE0" w:rsidR="003C56EE" w:rsidRDefault="003C56EE" w:rsidP="00247D3F">
            <w:pPr>
              <w:spacing w:line="360" w:lineRule="auto"/>
              <w:jc w:val="right"/>
              <w:rPr>
                <w:rFonts w:ascii="Arial" w:hAnsi="Arial" w:cs="Arial"/>
                <w:highlight w:val="yellow"/>
              </w:rPr>
            </w:pPr>
            <w:r>
              <w:rPr>
                <w:rFonts w:ascii="Arial" w:eastAsia="Calibri" w:hAnsi="Arial" w:cs="Arial"/>
              </w:rPr>
              <w:t xml:space="preserve">17 </w:t>
            </w:r>
          </w:p>
        </w:tc>
      </w:tr>
      <w:tr w:rsidR="003C56EE" w14:paraId="0DC7FDE7" w14:textId="77777777" w:rsidTr="00C52E3D">
        <w:tc>
          <w:tcPr>
            <w:tcW w:w="2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00352" w14:textId="77777777" w:rsidR="003C56EE" w:rsidRDefault="003C56EE" w:rsidP="00247D3F">
            <w:pPr>
              <w:spacing w:line="360" w:lineRule="auto"/>
              <w:rPr>
                <w:rFonts w:ascii="Arial" w:hAnsi="Arial" w:cs="Arial"/>
              </w:rPr>
            </w:pPr>
            <w:r>
              <w:rPr>
                <w:rFonts w:ascii="Arial" w:hAnsi="Arial" w:cs="Arial"/>
              </w:rPr>
              <w:t>Radioactive Substances – Nuclear sites</w:t>
            </w:r>
          </w:p>
        </w:tc>
        <w:tc>
          <w:tcPr>
            <w:tcW w:w="11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CC1372" w14:textId="77777777" w:rsidR="003C56EE" w:rsidRDefault="003C56EE" w:rsidP="00247D3F">
            <w:pPr>
              <w:spacing w:line="360" w:lineRule="auto"/>
              <w:jc w:val="right"/>
              <w:rPr>
                <w:rFonts w:ascii="Arial" w:hAnsi="Arial" w:cs="Arial"/>
              </w:rPr>
            </w:pPr>
            <w:r>
              <w:rPr>
                <w:rFonts w:ascii="Arial" w:hAnsi="Arial" w:cs="Arial"/>
              </w:rPr>
              <w:t>10</w:t>
            </w:r>
          </w:p>
        </w:tc>
        <w:tc>
          <w:tcPr>
            <w:tcW w:w="1158" w:type="pct"/>
            <w:tcBorders>
              <w:top w:val="single" w:sz="8" w:space="0" w:color="auto"/>
              <w:left w:val="single" w:sz="8" w:space="0" w:color="auto"/>
              <w:bottom w:val="single" w:sz="8" w:space="0" w:color="auto"/>
              <w:right w:val="single" w:sz="8" w:space="0" w:color="auto"/>
            </w:tcBorders>
            <w:vAlign w:val="center"/>
            <w:hideMark/>
          </w:tcPr>
          <w:p w14:paraId="6912B573" w14:textId="77777777" w:rsidR="003C56EE" w:rsidRDefault="003C56EE" w:rsidP="00247D3F">
            <w:pPr>
              <w:spacing w:line="360" w:lineRule="auto"/>
              <w:jc w:val="right"/>
              <w:rPr>
                <w:rFonts w:ascii="Arial" w:hAnsi="Arial" w:cs="Arial"/>
                <w:highlight w:val="yellow"/>
              </w:rPr>
            </w:pPr>
            <w:r>
              <w:rPr>
                <w:rFonts w:ascii="Arial" w:eastAsia="Calibri" w:hAnsi="Arial" w:cs="Arial"/>
              </w:rPr>
              <w:t>10</w:t>
            </w:r>
          </w:p>
        </w:tc>
      </w:tr>
      <w:tr w:rsidR="003C56EE" w14:paraId="6CA20ED5" w14:textId="77777777" w:rsidTr="00C52E3D">
        <w:tc>
          <w:tcPr>
            <w:tcW w:w="26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43141" w14:textId="77777777" w:rsidR="003C56EE" w:rsidRDefault="003C56EE" w:rsidP="00247D3F">
            <w:pPr>
              <w:spacing w:line="360" w:lineRule="auto"/>
              <w:rPr>
                <w:rFonts w:ascii="Arial" w:hAnsi="Arial" w:cs="Arial"/>
              </w:rPr>
            </w:pPr>
            <w:r>
              <w:rPr>
                <w:rFonts w:ascii="Arial" w:hAnsi="Arial" w:cs="Arial"/>
              </w:rPr>
              <w:t>Radioactive Substances – Non-nuclear sites</w:t>
            </w:r>
          </w:p>
        </w:tc>
        <w:tc>
          <w:tcPr>
            <w:tcW w:w="11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C25624" w14:textId="77777777" w:rsidR="003C56EE" w:rsidRDefault="003C56EE" w:rsidP="00247D3F">
            <w:pPr>
              <w:spacing w:line="360" w:lineRule="auto"/>
              <w:jc w:val="right"/>
              <w:rPr>
                <w:rFonts w:ascii="Arial" w:hAnsi="Arial" w:cs="Arial"/>
              </w:rPr>
            </w:pPr>
            <w:r>
              <w:rPr>
                <w:rFonts w:ascii="Arial" w:hAnsi="Arial" w:cs="Arial"/>
              </w:rPr>
              <w:t>42</w:t>
            </w:r>
          </w:p>
        </w:tc>
        <w:tc>
          <w:tcPr>
            <w:tcW w:w="1158" w:type="pct"/>
            <w:tcBorders>
              <w:top w:val="single" w:sz="8" w:space="0" w:color="auto"/>
              <w:left w:val="single" w:sz="8" w:space="0" w:color="auto"/>
              <w:bottom w:val="single" w:sz="8" w:space="0" w:color="auto"/>
              <w:right w:val="single" w:sz="8" w:space="0" w:color="auto"/>
            </w:tcBorders>
            <w:vAlign w:val="center"/>
            <w:hideMark/>
          </w:tcPr>
          <w:p w14:paraId="4C6F8083" w14:textId="77777777" w:rsidR="003C56EE" w:rsidRDefault="003C56EE" w:rsidP="00247D3F">
            <w:pPr>
              <w:spacing w:line="360" w:lineRule="auto"/>
              <w:jc w:val="right"/>
              <w:rPr>
                <w:rFonts w:ascii="Arial" w:hAnsi="Arial" w:cs="Arial"/>
                <w:highlight w:val="yellow"/>
              </w:rPr>
            </w:pPr>
            <w:r>
              <w:rPr>
                <w:rFonts w:ascii="Arial" w:eastAsia="Calibri" w:hAnsi="Arial" w:cs="Arial"/>
              </w:rPr>
              <w:t>40</w:t>
            </w:r>
          </w:p>
        </w:tc>
      </w:tr>
    </w:tbl>
    <w:p w14:paraId="4FD5254E" w14:textId="5A9702A2" w:rsidR="00F5329C" w:rsidRDefault="00F5329C" w:rsidP="00247D3F">
      <w:pPr>
        <w:spacing w:line="360" w:lineRule="auto"/>
        <w:ind w:left="11" w:hanging="11"/>
        <w:rPr>
          <w:rFonts w:ascii="Arial" w:hAnsi="Arial" w:cs="Arial"/>
          <w:lang w:val="en-US"/>
        </w:rPr>
      </w:pPr>
      <w:r>
        <w:rPr>
          <w:rFonts w:ascii="Arial" w:hAnsi="Arial" w:cs="Arial"/>
          <w:lang w:val="en-US"/>
        </w:rPr>
        <w:br w:type="page"/>
      </w:r>
    </w:p>
    <w:p w14:paraId="05F24E00" w14:textId="77777777" w:rsidR="003C56EE" w:rsidRDefault="003C56EE" w:rsidP="00247D3F">
      <w:pPr>
        <w:spacing w:line="360" w:lineRule="auto"/>
        <w:ind w:left="11" w:hanging="11"/>
        <w:rPr>
          <w:rFonts w:ascii="Arial" w:eastAsia="Calibri" w:hAnsi="Arial" w:cs="Arial"/>
          <w:b/>
          <w:bCs/>
        </w:rPr>
      </w:pPr>
      <w:r>
        <w:rPr>
          <w:rFonts w:ascii="Arial" w:hAnsi="Arial" w:cs="Arial"/>
          <w:b/>
          <w:bCs/>
        </w:rPr>
        <w:lastRenderedPageBreak/>
        <w:t>Sites regulated under Pollution Prevention and Control regulations</w:t>
      </w:r>
      <w:r>
        <w:rPr>
          <w:rFonts w:ascii="Arial" w:eastAsia="Calibri" w:hAnsi="Arial" w:cs="Arial"/>
          <w:b/>
          <w:bCs/>
        </w:rPr>
        <w:t xml:space="preserve"> </w:t>
      </w:r>
    </w:p>
    <w:p w14:paraId="3BA71923" w14:textId="77777777" w:rsidR="003C56EE" w:rsidRDefault="003C56EE" w:rsidP="00247D3F">
      <w:pPr>
        <w:spacing w:line="360" w:lineRule="auto"/>
        <w:ind w:left="11" w:hanging="11"/>
        <w:rPr>
          <w:rFonts w:ascii="Arial" w:eastAsia="Calibri" w:hAnsi="Arial" w:cs="Arial"/>
        </w:rPr>
      </w:pPr>
      <w:r>
        <w:rPr>
          <w:rFonts w:ascii="Arial" w:eastAsia="Calibri" w:hAnsi="Arial" w:cs="Arial"/>
        </w:rPr>
        <w:t xml:space="preserve">We completed 95% of scheduled inspections for these sites. This included compliance work at the </w:t>
      </w:r>
      <w:proofErr w:type="spellStart"/>
      <w:r>
        <w:rPr>
          <w:rFonts w:ascii="Arial" w:eastAsia="Calibri" w:hAnsi="Arial" w:cs="Arial"/>
        </w:rPr>
        <w:t>Mossmorran</w:t>
      </w:r>
      <w:proofErr w:type="spellEnd"/>
      <w:r>
        <w:rPr>
          <w:rFonts w:ascii="Arial" w:eastAsia="Calibri" w:hAnsi="Arial" w:cs="Arial"/>
        </w:rPr>
        <w:t xml:space="preserve"> complex. It also included work to progress the installation of a low noise flare tip at Exxon Mobil and a commitment to the installation of new ground flares by the end of March 2023. Inspections were undertaken at both the Shell and Exxon plants. </w:t>
      </w:r>
    </w:p>
    <w:p w14:paraId="147C23F7" w14:textId="4208EE58" w:rsidR="003C56EE" w:rsidRDefault="003C56EE" w:rsidP="00247D3F">
      <w:pPr>
        <w:spacing w:line="360" w:lineRule="auto"/>
        <w:ind w:left="11" w:hanging="11"/>
        <w:rPr>
          <w:rFonts w:ascii="Arial" w:eastAsia="Calibri" w:hAnsi="Arial" w:cs="Arial"/>
        </w:rPr>
      </w:pPr>
      <w:r>
        <w:rPr>
          <w:rFonts w:ascii="Arial" w:eastAsia="Calibri" w:hAnsi="Arial" w:cs="Arial"/>
        </w:rPr>
        <w:t xml:space="preserve">We also carried out compliance work to address ongoing elevated flaring arising from several sites in the Grangemouth area (INEOS Chemicals, </w:t>
      </w:r>
      <w:proofErr w:type="spellStart"/>
      <w:r>
        <w:rPr>
          <w:rFonts w:ascii="Arial" w:eastAsia="Calibri" w:hAnsi="Arial" w:cs="Arial"/>
        </w:rPr>
        <w:t>Petroineos</w:t>
      </w:r>
      <w:proofErr w:type="spellEnd"/>
      <w:r>
        <w:rPr>
          <w:rFonts w:ascii="Arial" w:eastAsia="Calibri" w:hAnsi="Arial" w:cs="Arial"/>
        </w:rPr>
        <w:t xml:space="preserve"> Refinery, and INEOS FPS </w:t>
      </w:r>
      <w:proofErr w:type="spellStart"/>
      <w:r>
        <w:rPr>
          <w:rFonts w:ascii="Arial" w:eastAsia="Calibri" w:hAnsi="Arial" w:cs="Arial"/>
        </w:rPr>
        <w:t>Kinneil</w:t>
      </w:r>
      <w:proofErr w:type="spellEnd"/>
      <w:r>
        <w:rPr>
          <w:rFonts w:ascii="Arial" w:eastAsia="Calibri" w:hAnsi="Arial" w:cs="Arial"/>
        </w:rPr>
        <w:t>). This work was to minimise elevated flaring.</w:t>
      </w:r>
    </w:p>
    <w:p w14:paraId="6BAC7E3B" w14:textId="77777777" w:rsidR="00247D3F" w:rsidRDefault="00247D3F" w:rsidP="00247D3F">
      <w:pPr>
        <w:spacing w:line="360" w:lineRule="auto"/>
        <w:ind w:left="11" w:hanging="11"/>
        <w:rPr>
          <w:rFonts w:ascii="Arial" w:eastAsia="Calibri" w:hAnsi="Arial" w:cs="Arial"/>
        </w:rPr>
      </w:pPr>
    </w:p>
    <w:p w14:paraId="797C82CF" w14:textId="77777777" w:rsidR="003C56EE" w:rsidRDefault="003C56EE" w:rsidP="00247D3F">
      <w:pPr>
        <w:spacing w:line="360" w:lineRule="auto"/>
        <w:ind w:left="11" w:hanging="11"/>
        <w:rPr>
          <w:rFonts w:ascii="Arial" w:hAnsi="Arial" w:cs="Arial"/>
        </w:rPr>
      </w:pPr>
      <w:r>
        <w:rPr>
          <w:rFonts w:ascii="Arial" w:eastAsia="Calibri" w:hAnsi="Arial" w:cs="Arial"/>
          <w:b/>
          <w:bCs/>
        </w:rPr>
        <w:t>Sites regulated under the Control of Major Accidental Hazards regulations</w:t>
      </w:r>
    </w:p>
    <w:p w14:paraId="38B3355D" w14:textId="77777777" w:rsidR="003C56EE" w:rsidRDefault="003C56EE" w:rsidP="00247D3F">
      <w:pPr>
        <w:spacing w:line="360" w:lineRule="auto"/>
        <w:ind w:left="11" w:hanging="11"/>
        <w:rPr>
          <w:rFonts w:ascii="Arial" w:eastAsia="Calibri" w:hAnsi="Arial" w:cs="Arial"/>
        </w:rPr>
      </w:pPr>
      <w:r>
        <w:rPr>
          <w:rFonts w:ascii="Arial" w:eastAsia="Calibri" w:hAnsi="Arial" w:cs="Arial"/>
        </w:rPr>
        <w:t>We completed 85% of scheduled inspections of these sites, which involved working with our Health and Safety Executive Competent Authority counterparts for several sites.</w:t>
      </w:r>
    </w:p>
    <w:p w14:paraId="4E12F57E" w14:textId="423ECDEF" w:rsidR="003C56EE" w:rsidRDefault="003C56EE" w:rsidP="00247D3F">
      <w:pPr>
        <w:spacing w:line="360" w:lineRule="auto"/>
        <w:rPr>
          <w:rFonts w:ascii="Arial" w:eastAsia="Calibri" w:hAnsi="Arial" w:cs="Arial"/>
        </w:rPr>
      </w:pPr>
      <w:r>
        <w:rPr>
          <w:rFonts w:ascii="Arial" w:eastAsia="Calibri" w:hAnsi="Arial" w:cs="Arial"/>
        </w:rPr>
        <w:t>In the final quarter of the year, we completed Control of Major Accidental Hazards Intervention Planning for the next financial year with the Health and Safety Executive. This will provide the focus for our scheduled inspection work for these sites during 2022</w:t>
      </w:r>
      <w:r w:rsidR="00FC5E7E">
        <w:rPr>
          <w:rFonts w:ascii="Arial" w:eastAsia="Calibri" w:hAnsi="Arial" w:cs="Arial"/>
        </w:rPr>
        <w:t>/</w:t>
      </w:r>
      <w:r>
        <w:rPr>
          <w:rFonts w:ascii="Arial" w:eastAsia="Calibri" w:hAnsi="Arial" w:cs="Arial"/>
        </w:rPr>
        <w:t xml:space="preserve">2023. </w:t>
      </w:r>
    </w:p>
    <w:p w14:paraId="668354A4" w14:textId="77777777" w:rsidR="00451547" w:rsidRDefault="00451547" w:rsidP="00247D3F">
      <w:pPr>
        <w:spacing w:line="360" w:lineRule="auto"/>
        <w:rPr>
          <w:rFonts w:ascii="Arial" w:eastAsia="Calibri" w:hAnsi="Arial" w:cs="Arial"/>
        </w:rPr>
      </w:pPr>
    </w:p>
    <w:p w14:paraId="4860D244" w14:textId="5F32CC53" w:rsidR="003C56EE" w:rsidRDefault="003C56EE" w:rsidP="00247D3F">
      <w:pPr>
        <w:spacing w:line="360" w:lineRule="auto"/>
        <w:rPr>
          <w:rFonts w:ascii="Arial" w:hAnsi="Arial" w:cs="Arial"/>
          <w:b/>
          <w:bCs/>
        </w:rPr>
      </w:pPr>
      <w:r>
        <w:rPr>
          <w:rFonts w:ascii="Arial" w:hAnsi="Arial" w:cs="Arial"/>
          <w:b/>
          <w:bCs/>
        </w:rPr>
        <w:t xml:space="preserve">Radioactive </w:t>
      </w:r>
      <w:r w:rsidR="0054195E">
        <w:rPr>
          <w:rFonts w:ascii="Arial" w:hAnsi="Arial" w:cs="Arial"/>
          <w:b/>
          <w:bCs/>
        </w:rPr>
        <w:t>s</w:t>
      </w:r>
      <w:r>
        <w:rPr>
          <w:rFonts w:ascii="Arial" w:hAnsi="Arial" w:cs="Arial"/>
          <w:b/>
          <w:bCs/>
        </w:rPr>
        <w:t>ubstances</w:t>
      </w:r>
    </w:p>
    <w:p w14:paraId="456F5F55" w14:textId="5C716494" w:rsidR="003C56EE" w:rsidRDefault="003C56EE" w:rsidP="00247D3F">
      <w:pPr>
        <w:spacing w:line="360" w:lineRule="auto"/>
        <w:rPr>
          <w:rFonts w:ascii="Arial" w:hAnsi="Arial" w:cs="Arial"/>
        </w:rPr>
      </w:pPr>
      <w:r w:rsidRPr="7FDAB2D3">
        <w:rPr>
          <w:rFonts w:ascii="Arial" w:hAnsi="Arial" w:cs="Arial"/>
        </w:rPr>
        <w:t>We undertook all our planned inspections of nuclear sites this year.</w:t>
      </w:r>
      <w:r w:rsidRPr="7FDAB2D3">
        <w:rPr>
          <w:sz w:val="20"/>
          <w:szCs w:val="20"/>
        </w:rPr>
        <w:t xml:space="preserve"> </w:t>
      </w:r>
      <w:r w:rsidRPr="7FDAB2D3">
        <w:rPr>
          <w:rFonts w:ascii="Arial" w:hAnsi="Arial" w:cs="Arial"/>
        </w:rPr>
        <w:t>We inspected all 4</w:t>
      </w:r>
      <w:r w:rsidR="11F86654" w:rsidRPr="7FDAB2D3">
        <w:rPr>
          <w:rFonts w:ascii="Arial" w:hAnsi="Arial" w:cs="Arial"/>
        </w:rPr>
        <w:t>0</w:t>
      </w:r>
      <w:r w:rsidRPr="7FDAB2D3">
        <w:rPr>
          <w:rFonts w:ascii="Arial" w:hAnsi="Arial" w:cs="Arial"/>
        </w:rPr>
        <w:t xml:space="preserve"> sites which currently hold a source and permit. There was a further site not inspected, this site has not held a source for several years and is going through the process of surrendering its permit. Due to COVID</w:t>
      </w:r>
      <w:r w:rsidR="00D7205C" w:rsidRPr="7FDAB2D3">
        <w:rPr>
          <w:rFonts w:ascii="Arial" w:hAnsi="Arial" w:cs="Arial"/>
        </w:rPr>
        <w:t>-19</w:t>
      </w:r>
      <w:r w:rsidRPr="7FDAB2D3">
        <w:rPr>
          <w:rFonts w:ascii="Arial" w:hAnsi="Arial" w:cs="Arial"/>
        </w:rPr>
        <w:t xml:space="preserve"> restrictions we did not carry out a formal inspection in the last year, but one will take place early in the next financial year. We also inspected a further 86 sites holding radioactive substances permits in the last year.</w:t>
      </w:r>
    </w:p>
    <w:p w14:paraId="00176677" w14:textId="77777777" w:rsidR="00451547" w:rsidRDefault="00451547" w:rsidP="00247D3F">
      <w:pPr>
        <w:spacing w:line="360" w:lineRule="auto"/>
        <w:rPr>
          <w:rFonts w:ascii="Arial" w:hAnsi="Arial" w:cs="Arial"/>
        </w:rPr>
      </w:pPr>
    </w:p>
    <w:p w14:paraId="5CA9178B" w14:textId="77777777" w:rsidR="003C56EE" w:rsidRDefault="003C56EE" w:rsidP="00247D3F">
      <w:pPr>
        <w:spacing w:line="360" w:lineRule="auto"/>
        <w:ind w:left="11" w:hanging="11"/>
        <w:rPr>
          <w:rFonts w:ascii="Arial" w:hAnsi="Arial" w:cs="Arial"/>
          <w:lang w:val="en-US"/>
        </w:rPr>
      </w:pPr>
      <w:r>
        <w:rPr>
          <w:rFonts w:ascii="Arial" w:eastAsia="Calibri" w:hAnsi="Arial" w:cs="Arial"/>
          <w:b/>
          <w:bCs/>
        </w:rPr>
        <w:t>Checking poorest performing sectors and operators</w:t>
      </w:r>
      <w:r>
        <w:rPr>
          <w:rFonts w:ascii="Arial" w:hAnsi="Arial" w:cs="Arial"/>
        </w:rPr>
        <w:t xml:space="preserve"> </w:t>
      </w:r>
    </w:p>
    <w:p w14:paraId="5DF91D44" w14:textId="03713D6F" w:rsidR="003C56EE" w:rsidRDefault="003C56EE" w:rsidP="00247D3F">
      <w:pPr>
        <w:spacing w:line="360" w:lineRule="auto"/>
        <w:ind w:left="11" w:hanging="11"/>
        <w:rPr>
          <w:rFonts w:ascii="Arial" w:eastAsia="Calibri" w:hAnsi="Arial" w:cs="Arial"/>
        </w:rPr>
      </w:pPr>
      <w:r>
        <w:rPr>
          <w:rFonts w:ascii="Arial" w:eastAsia="Calibri" w:hAnsi="Arial" w:cs="Arial"/>
        </w:rPr>
        <w:t xml:space="preserve">Our compliance verification plan for </w:t>
      </w:r>
      <w:r w:rsidR="000845C9">
        <w:rPr>
          <w:rFonts w:ascii="Arial" w:eastAsia="Calibri" w:hAnsi="Arial" w:cs="Arial"/>
        </w:rPr>
        <w:t>2021/2022</w:t>
      </w:r>
      <w:r>
        <w:rPr>
          <w:rFonts w:ascii="Arial" w:eastAsia="Calibri" w:hAnsi="Arial" w:cs="Arial"/>
        </w:rPr>
        <w:t xml:space="preserve"> focused on authorised sites in key sectors, with an emphasis on aquaculture and landfill. Further detail on each of these sectors is noted below. We also planned and delivered verification activity across a range of other sectors and activities.  </w:t>
      </w:r>
    </w:p>
    <w:p w14:paraId="6FA3B4DB" w14:textId="77777777" w:rsidR="00451547" w:rsidRDefault="00451547" w:rsidP="00247D3F">
      <w:pPr>
        <w:spacing w:line="360" w:lineRule="auto"/>
        <w:ind w:left="11" w:hanging="11"/>
        <w:rPr>
          <w:rFonts w:ascii="Arial" w:eastAsia="Calibri" w:hAnsi="Arial" w:cs="Arial"/>
        </w:rPr>
      </w:pPr>
    </w:p>
    <w:p w14:paraId="75F87ABA" w14:textId="4D4F16AF" w:rsidR="003C56EE" w:rsidRDefault="003C56EE" w:rsidP="00451547">
      <w:pPr>
        <w:spacing w:line="360" w:lineRule="auto"/>
        <w:ind w:left="11" w:hanging="11"/>
        <w:rPr>
          <w:rFonts w:ascii="Arial" w:eastAsia="Calibri" w:hAnsi="Arial" w:cs="Arial"/>
        </w:rPr>
      </w:pPr>
      <w:r>
        <w:rPr>
          <w:rFonts w:ascii="Arial" w:eastAsia="Calibri" w:hAnsi="Arial" w:cs="Arial"/>
        </w:rPr>
        <w:t xml:space="preserve">In total, we identified 526 sites as part of our verification plan, and we have carried out verification work at 350 of these (67%). However, we also responded to alternative priorities as they arose and undertook compliance verification activity related to over 700 additional sites which were not included on the original plan. </w:t>
      </w:r>
    </w:p>
    <w:p w14:paraId="7BD27C2D" w14:textId="5059EBD2" w:rsidR="00451547" w:rsidRPr="00451547" w:rsidRDefault="00E7374A" w:rsidP="00E7374A">
      <w:pPr>
        <w:spacing w:line="360" w:lineRule="auto"/>
        <w:ind w:left="11" w:hanging="11"/>
        <w:rPr>
          <w:rStyle w:val="normaltextrun"/>
          <w:rFonts w:ascii="Arial" w:eastAsia="Calibri" w:hAnsi="Arial" w:cs="Arial"/>
        </w:rPr>
      </w:pPr>
      <w:r>
        <w:rPr>
          <w:rStyle w:val="normaltextrun"/>
          <w:rFonts w:ascii="Arial" w:eastAsia="Calibri" w:hAnsi="Arial" w:cs="Arial"/>
        </w:rPr>
        <w:br w:type="page"/>
      </w:r>
    </w:p>
    <w:p w14:paraId="58892901" w14:textId="77777777" w:rsidR="003C56EE" w:rsidRDefault="003C56EE" w:rsidP="00451547">
      <w:pPr>
        <w:pStyle w:val="paragraph"/>
        <w:spacing w:before="0" w:beforeAutospacing="0" w:after="0" w:afterAutospacing="0" w:line="360" w:lineRule="auto"/>
        <w:textAlignment w:val="baseline"/>
        <w:rPr>
          <w:rStyle w:val="normaltextrun"/>
          <w:b/>
          <w:bCs/>
        </w:rPr>
      </w:pPr>
      <w:r>
        <w:rPr>
          <w:rStyle w:val="normaltextrun"/>
          <w:rFonts w:ascii="Arial" w:eastAsiaTheme="majorEastAsia" w:hAnsi="Arial" w:cs="Arial"/>
          <w:b/>
          <w:bCs/>
        </w:rPr>
        <w:lastRenderedPageBreak/>
        <w:t xml:space="preserve">Aquaculture </w:t>
      </w:r>
    </w:p>
    <w:p w14:paraId="20F6F9E2" w14:textId="44F58700" w:rsidR="003C56EE" w:rsidRDefault="003C56EE" w:rsidP="00451547">
      <w:pPr>
        <w:pStyle w:val="paragraph"/>
        <w:spacing w:before="0" w:beforeAutospacing="0" w:after="0" w:afterAutospacing="0" w:line="360" w:lineRule="auto"/>
        <w:textAlignment w:val="baseline"/>
        <w:rPr>
          <w:rStyle w:val="normaltextrun"/>
          <w:rFonts w:ascii="Arial" w:eastAsiaTheme="majorEastAsia" w:hAnsi="Arial" w:cs="Arial"/>
        </w:rPr>
      </w:pPr>
      <w:r>
        <w:rPr>
          <w:rStyle w:val="normaltextrun"/>
          <w:rFonts w:ascii="Arial" w:eastAsiaTheme="majorEastAsia" w:hAnsi="Arial" w:cs="Arial"/>
        </w:rPr>
        <w:t xml:space="preserve">We initially prioritised 93 authorised sites for compliance verification in the Finfish compliance plan. We have carried out assessment of 69 (74%) of them. Issues arose at a further 25 </w:t>
      </w:r>
      <w:r>
        <w:rPr>
          <w:rStyle w:val="normaltextrun"/>
          <w:rFonts w:ascii="Arial" w:eastAsiaTheme="majorEastAsia" w:hAnsi="Arial" w:cs="Arial"/>
          <w:color w:val="000000" w:themeColor="text1"/>
        </w:rPr>
        <w:t xml:space="preserve">sites </w:t>
      </w:r>
      <w:r>
        <w:rPr>
          <w:rStyle w:val="normaltextrun"/>
          <w:rFonts w:ascii="Arial" w:eastAsiaTheme="majorEastAsia" w:hAnsi="Arial" w:cs="Arial"/>
          <w:color w:val="000000" w:themeColor="text1"/>
          <w:shd w:val="clear" w:color="auto" w:fill="FFFFFF"/>
        </w:rPr>
        <w:t>which were subsequently prioritised for checking and action</w:t>
      </w:r>
      <w:r>
        <w:rPr>
          <w:rStyle w:val="normaltextrun"/>
          <w:rFonts w:ascii="Arial" w:eastAsiaTheme="majorEastAsia" w:hAnsi="Arial" w:cs="Arial"/>
        </w:rPr>
        <w:t xml:space="preserve">, so we assessed 94 sites in total. </w:t>
      </w:r>
    </w:p>
    <w:p w14:paraId="3DDD29DE" w14:textId="77777777" w:rsidR="003C56EE" w:rsidRDefault="003C56EE" w:rsidP="00451547">
      <w:pPr>
        <w:spacing w:line="360" w:lineRule="auto"/>
        <w:rPr>
          <w:rFonts w:ascii="Arial" w:eastAsia="Calibri" w:hAnsi="Arial" w:cs="Arial"/>
          <w:b/>
          <w:bCs/>
        </w:rPr>
      </w:pPr>
    </w:p>
    <w:p w14:paraId="689C1086" w14:textId="77777777" w:rsidR="003C56EE" w:rsidRDefault="003C56EE" w:rsidP="00451547">
      <w:pPr>
        <w:spacing w:line="360" w:lineRule="auto"/>
        <w:rPr>
          <w:rFonts w:ascii="Arial" w:eastAsia="Calibri" w:hAnsi="Arial" w:cs="Arial"/>
          <w:b/>
          <w:bCs/>
        </w:rPr>
      </w:pPr>
      <w:r>
        <w:rPr>
          <w:rFonts w:ascii="Arial" w:eastAsia="Calibri" w:hAnsi="Arial" w:cs="Arial"/>
          <w:b/>
          <w:bCs/>
        </w:rPr>
        <w:t xml:space="preserve">Landfill </w:t>
      </w:r>
    </w:p>
    <w:p w14:paraId="4F8EDA5D" w14:textId="6D752C06" w:rsidR="003C56EE" w:rsidRDefault="003C56EE" w:rsidP="00451547">
      <w:pPr>
        <w:spacing w:line="360" w:lineRule="auto"/>
        <w:rPr>
          <w:rFonts w:ascii="Arial" w:eastAsia="Calibri" w:hAnsi="Arial" w:cs="Arial"/>
        </w:rPr>
      </w:pPr>
      <w:r>
        <w:rPr>
          <w:rFonts w:ascii="Arial" w:eastAsia="Calibri" w:hAnsi="Arial" w:cs="Arial"/>
        </w:rPr>
        <w:t>Excellent progress has been made following the creation of a dedicated landfill regulation team. Compliance verification work has been carried out at 31 of the 32 operational landfills prioritised for baseline assessments.</w:t>
      </w:r>
      <w:r>
        <w:rPr>
          <w:rFonts w:eastAsia="Calibri"/>
        </w:rPr>
        <w:t xml:space="preserve"> </w:t>
      </w:r>
      <w:r>
        <w:rPr>
          <w:rFonts w:ascii="Arial" w:eastAsia="Calibri" w:hAnsi="Arial" w:cs="Arial"/>
        </w:rPr>
        <w:t>The outstanding site i</w:t>
      </w:r>
      <w:r w:rsidRPr="001D0921">
        <w:rPr>
          <w:rFonts w:ascii="Arial" w:eastAsia="Calibri" w:hAnsi="Arial" w:cs="Arial"/>
        </w:rPr>
        <w:t xml:space="preserve">s </w:t>
      </w:r>
      <w:r>
        <w:rPr>
          <w:rFonts w:ascii="Arial" w:eastAsia="Calibri" w:hAnsi="Arial" w:cs="Arial"/>
        </w:rPr>
        <w:t>currently in a dormant phase. There are a further three operational landfill sites where compliance issues are already known, and which have action plans in place.</w:t>
      </w:r>
    </w:p>
    <w:p w14:paraId="4326CC81" w14:textId="77777777" w:rsidR="00451547" w:rsidRPr="00451547" w:rsidRDefault="00451547" w:rsidP="00451547">
      <w:pPr>
        <w:spacing w:line="360" w:lineRule="auto"/>
        <w:rPr>
          <w:rFonts w:ascii="Arial" w:eastAsia="MS Gothic" w:hAnsi="Arial"/>
          <w:bCs/>
          <w:color w:val="00526F"/>
          <w:lang w:eastAsia="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874"/>
        <w:gridCol w:w="1847"/>
      </w:tblGrid>
      <w:tr w:rsidR="003C56EE" w14:paraId="04DED7A0" w14:textId="77777777" w:rsidTr="0011190F">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365C1001" w14:textId="77777777" w:rsidR="003C56EE" w:rsidRDefault="003C56EE" w:rsidP="00451547">
            <w:pPr>
              <w:overflowPunct w:val="0"/>
              <w:autoSpaceDE w:val="0"/>
              <w:autoSpaceDN w:val="0"/>
              <w:adjustRightInd w:val="0"/>
              <w:spacing w:line="360" w:lineRule="auto"/>
              <w:textAlignment w:val="baseline"/>
              <w:rPr>
                <w:rFonts w:eastAsia="Arial"/>
              </w:rPr>
            </w:pPr>
            <w:r>
              <w:rPr>
                <w:rFonts w:eastAsia="Arial"/>
              </w:rPr>
              <w:t>Regulation</w:t>
            </w:r>
          </w:p>
        </w:tc>
      </w:tr>
      <w:tr w:rsidR="003C56EE" w14:paraId="528EF0B0" w14:textId="77777777" w:rsidTr="00600F56">
        <w:tc>
          <w:tcPr>
            <w:tcW w:w="4050" w:type="pct"/>
            <w:tcBorders>
              <w:top w:val="single" w:sz="24" w:space="0" w:color="00526F"/>
              <w:left w:val="single" w:sz="24" w:space="0" w:color="00526F"/>
              <w:bottom w:val="single" w:sz="24" w:space="0" w:color="00526F"/>
              <w:right w:val="single" w:sz="24" w:space="0" w:color="00526F"/>
            </w:tcBorders>
            <w:hideMark/>
          </w:tcPr>
          <w:p w14:paraId="7402BFC2" w14:textId="61820CFB" w:rsidR="003C56EE" w:rsidRDefault="003C56EE" w:rsidP="00451547">
            <w:pPr>
              <w:overflowPunct w:val="0"/>
              <w:autoSpaceDE w:val="0"/>
              <w:autoSpaceDN w:val="0"/>
              <w:adjustRightInd w:val="0"/>
              <w:spacing w:line="360" w:lineRule="auto"/>
              <w:textAlignment w:val="baseline"/>
              <w:rPr>
                <w:rFonts w:eastAsia="Arial"/>
                <w:b/>
                <w:bCs/>
              </w:rPr>
            </w:pPr>
            <w:r>
              <w:rPr>
                <w:rFonts w:eastAsia="Arial"/>
                <w:b/>
                <w:bCs/>
              </w:rPr>
              <w:t>Measure 5: Action plans in place and being delivered for all priority sites</w:t>
            </w:r>
            <w:r w:rsidR="00F86C07">
              <w:rPr>
                <w:rFonts w:eastAsia="Arial"/>
                <w:b/>
                <w:bCs/>
              </w:rPr>
              <w:t>.</w:t>
            </w:r>
          </w:p>
        </w:tc>
        <w:tc>
          <w:tcPr>
            <w:tcW w:w="950"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28835CE1" w14:textId="77777777" w:rsidR="003C56EE" w:rsidRDefault="003C56EE" w:rsidP="00451547">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50B47EAE" w14:textId="77777777" w:rsidR="003C56EE" w:rsidRPr="00451547" w:rsidRDefault="003C56EE" w:rsidP="00451547">
      <w:pPr>
        <w:spacing w:line="360" w:lineRule="auto"/>
        <w:rPr>
          <w:rFonts w:ascii="Arial" w:eastAsia="MS Gothic" w:hAnsi="Arial"/>
          <w:bCs/>
          <w:color w:val="00526F"/>
          <w:lang w:eastAsia="en-US"/>
        </w:rPr>
      </w:pPr>
    </w:p>
    <w:p w14:paraId="376CC4E2" w14:textId="2D603A9C" w:rsidR="003C56EE" w:rsidRDefault="003C56EE" w:rsidP="00473792">
      <w:pPr>
        <w:spacing w:line="360" w:lineRule="auto"/>
        <w:ind w:right="-142"/>
        <w:rPr>
          <w:rFonts w:ascii="Arial" w:hAnsi="Arial" w:cs="Arial"/>
        </w:rPr>
      </w:pPr>
      <w:r>
        <w:rPr>
          <w:rFonts w:ascii="Arial" w:hAnsi="Arial" w:cs="Arial"/>
        </w:rPr>
        <w:t>We have achieved this measure. Over the year we have demonstrated that our processes are working effectively. We are identifying priority sites, developing plans, and putting those plans into action.</w:t>
      </w:r>
    </w:p>
    <w:p w14:paraId="5FB53C53" w14:textId="77777777" w:rsidR="00451547" w:rsidRDefault="00451547" w:rsidP="00473792">
      <w:pPr>
        <w:spacing w:line="360" w:lineRule="auto"/>
        <w:ind w:right="-142"/>
        <w:rPr>
          <w:rFonts w:ascii="Arial" w:hAnsi="Arial" w:cs="Arial"/>
          <w:lang w:val="en-US"/>
        </w:rPr>
      </w:pPr>
    </w:p>
    <w:p w14:paraId="77872D0E" w14:textId="420C0E62" w:rsidR="003C56EE" w:rsidRDefault="003C56EE" w:rsidP="00473792">
      <w:pPr>
        <w:spacing w:line="360" w:lineRule="auto"/>
        <w:ind w:right="-142"/>
        <w:rPr>
          <w:rFonts w:ascii="Arial" w:hAnsi="Arial" w:cs="Arial"/>
        </w:rPr>
      </w:pPr>
      <w:r>
        <w:rPr>
          <w:rFonts w:ascii="Arial" w:hAnsi="Arial" w:cs="Arial"/>
        </w:rPr>
        <w:t xml:space="preserve">Priority sites are those which are having, or could have, a significant impact on the environment, on people or on both. They include illegal sites and regulated sites which are significantly non-compliant. Some of these might also be generating significant community impact from a nuisance perspective. They also include sites which are currently assessed as compliant, but which generate substantial complaints. For each priority site, we take action to address or prevent the harm. Our approach is set out in site specific action plans. </w:t>
      </w:r>
    </w:p>
    <w:p w14:paraId="6390A954" w14:textId="77777777" w:rsidR="00D32974" w:rsidRDefault="00D32974" w:rsidP="00473792">
      <w:pPr>
        <w:spacing w:line="360" w:lineRule="auto"/>
        <w:ind w:right="-142"/>
        <w:rPr>
          <w:rFonts w:ascii="Arial" w:hAnsi="Arial" w:cs="Arial"/>
        </w:rPr>
      </w:pPr>
    </w:p>
    <w:p w14:paraId="17D8731E" w14:textId="3FBCF2A7" w:rsidR="003C56EE" w:rsidRDefault="003C56EE" w:rsidP="00473792">
      <w:pPr>
        <w:spacing w:line="360" w:lineRule="auto"/>
        <w:ind w:right="-142"/>
        <w:rPr>
          <w:rFonts w:ascii="Arial" w:hAnsi="Arial" w:cs="Arial"/>
        </w:rPr>
      </w:pPr>
      <w:r>
        <w:rPr>
          <w:rFonts w:ascii="Arial" w:hAnsi="Arial" w:cs="Arial"/>
        </w:rPr>
        <w:t>By August, when we started reporting against this measure, we had identified 60 priority sites, 24 illegal sites, and 36 community impact sites. In September, we added 63 significantly non-compliant sites to our list. Throughout the year we have added to the list as we have identified new priority sites.</w:t>
      </w:r>
    </w:p>
    <w:p w14:paraId="17B6B54D" w14:textId="3EBC7528" w:rsidR="00D32974" w:rsidRPr="007D4E8E" w:rsidRDefault="007D4E8E" w:rsidP="00451547">
      <w:pPr>
        <w:spacing w:line="360" w:lineRule="auto"/>
        <w:ind w:right="27"/>
        <w:rPr>
          <w:rFonts w:ascii="Arial" w:hAnsi="Arial" w:cs="Arial"/>
        </w:rPr>
      </w:pPr>
      <w:r>
        <w:rPr>
          <w:rFonts w:ascii="Arial" w:hAnsi="Arial" w:cs="Arial"/>
        </w:rPr>
        <w:br w:type="page"/>
      </w:r>
    </w:p>
    <w:p w14:paraId="65C4F148" w14:textId="77777777" w:rsidR="003C56EE" w:rsidRDefault="003C56EE" w:rsidP="00451547">
      <w:pPr>
        <w:spacing w:line="360" w:lineRule="auto"/>
        <w:rPr>
          <w:rFonts w:ascii="Arial" w:hAnsi="Arial" w:cs="Arial"/>
          <w:b/>
          <w:bCs/>
        </w:rPr>
      </w:pPr>
      <w:r>
        <w:rPr>
          <w:rFonts w:ascii="Arial" w:hAnsi="Arial" w:cs="Arial"/>
          <w:b/>
          <w:bCs/>
        </w:rPr>
        <w:lastRenderedPageBreak/>
        <w:t>Priority sites and status of action plans</w:t>
      </w:r>
    </w:p>
    <w:tbl>
      <w:tblPr>
        <w:tblStyle w:val="TableGrid1"/>
        <w:tblW w:w="5000" w:type="pct"/>
        <w:tblCellMar>
          <w:top w:w="18" w:type="dxa"/>
          <w:right w:w="115" w:type="dxa"/>
        </w:tblCellMar>
        <w:tblLook w:val="04A0" w:firstRow="1" w:lastRow="0" w:firstColumn="1" w:lastColumn="0" w:noHBand="0" w:noVBand="1"/>
      </w:tblPr>
      <w:tblGrid>
        <w:gridCol w:w="1625"/>
        <w:gridCol w:w="1630"/>
        <w:gridCol w:w="1630"/>
        <w:gridCol w:w="1630"/>
        <w:gridCol w:w="1630"/>
        <w:gridCol w:w="1626"/>
      </w:tblGrid>
      <w:tr w:rsidR="003C56EE" w14:paraId="61704E95" w14:textId="77777777" w:rsidTr="00F86C07">
        <w:trPr>
          <w:trHeight w:val="895"/>
        </w:trPr>
        <w:tc>
          <w:tcPr>
            <w:tcW w:w="832" w:type="pct"/>
            <w:tcBorders>
              <w:top w:val="nil"/>
              <w:left w:val="nil"/>
              <w:bottom w:val="single" w:sz="8" w:space="0" w:color="000000" w:themeColor="text1"/>
              <w:right w:val="single" w:sz="8" w:space="0" w:color="000000" w:themeColor="text1"/>
            </w:tcBorders>
            <w:hideMark/>
          </w:tcPr>
          <w:p w14:paraId="4F693783" w14:textId="77777777" w:rsidR="003C56EE" w:rsidRDefault="003C56EE" w:rsidP="00CF1904">
            <w:pPr>
              <w:spacing w:after="120" w:line="360" w:lineRule="auto"/>
            </w:pPr>
            <w:r>
              <w:t xml:space="preserve">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AF1DD" w:themeFill="accent3" w:themeFillTint="33"/>
            <w:hideMark/>
          </w:tcPr>
          <w:p w14:paraId="12838D0F" w14:textId="77777777" w:rsidR="003C56EE" w:rsidRPr="00D32974" w:rsidRDefault="003C56EE" w:rsidP="00CF1904">
            <w:pPr>
              <w:spacing w:after="120" w:line="360" w:lineRule="auto"/>
              <w:rPr>
                <w:b/>
                <w:bCs/>
              </w:rPr>
            </w:pPr>
            <w:r w:rsidRPr="00D32974">
              <w:rPr>
                <w:b/>
                <w:bCs/>
              </w:rPr>
              <w:t xml:space="preserve">Number of priority sites identified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AF1DD" w:themeFill="accent3" w:themeFillTint="33"/>
            <w:hideMark/>
          </w:tcPr>
          <w:p w14:paraId="5BC74493" w14:textId="77777777" w:rsidR="003C56EE" w:rsidRPr="00D32974" w:rsidRDefault="003C56EE" w:rsidP="00CF1904">
            <w:pPr>
              <w:spacing w:after="120" w:line="360" w:lineRule="auto"/>
              <w:rPr>
                <w:b/>
                <w:bCs/>
              </w:rPr>
            </w:pPr>
            <w:r w:rsidRPr="00D32974">
              <w:rPr>
                <w:b/>
                <w:bCs/>
              </w:rPr>
              <w:t xml:space="preserve">Sites with action plan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AF1DD" w:themeFill="accent3" w:themeFillTint="33"/>
            <w:hideMark/>
          </w:tcPr>
          <w:p w14:paraId="069EAA3A" w14:textId="77777777" w:rsidR="003C56EE" w:rsidRPr="00D32974" w:rsidRDefault="003C56EE" w:rsidP="00CF1904">
            <w:pPr>
              <w:spacing w:after="120" w:line="360" w:lineRule="auto"/>
              <w:rPr>
                <w:b/>
                <w:bCs/>
              </w:rPr>
            </w:pPr>
            <w:r w:rsidRPr="00D32974">
              <w:rPr>
                <w:b/>
                <w:bCs/>
              </w:rPr>
              <w:t xml:space="preserve">Sites where action plan is in progress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AF1DD" w:themeFill="accent3" w:themeFillTint="33"/>
            <w:hideMark/>
          </w:tcPr>
          <w:p w14:paraId="0FF518FD" w14:textId="77777777" w:rsidR="003C56EE" w:rsidRPr="00D32974" w:rsidRDefault="003C56EE" w:rsidP="00CF1904">
            <w:pPr>
              <w:spacing w:after="120" w:line="360" w:lineRule="auto"/>
              <w:rPr>
                <w:b/>
                <w:bCs/>
              </w:rPr>
            </w:pPr>
            <w:r w:rsidRPr="00D32974">
              <w:rPr>
                <w:b/>
                <w:bCs/>
              </w:rPr>
              <w:t xml:space="preserve">Sites where action plan complete </w:t>
            </w:r>
          </w:p>
        </w:tc>
        <w:tc>
          <w:tcPr>
            <w:tcW w:w="83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AF1DD" w:themeFill="accent3" w:themeFillTint="33"/>
            <w:hideMark/>
          </w:tcPr>
          <w:p w14:paraId="48CC51F0" w14:textId="77777777" w:rsidR="003C56EE" w:rsidRPr="00D32974" w:rsidRDefault="003C56EE" w:rsidP="00CF1904">
            <w:pPr>
              <w:spacing w:after="120" w:line="360" w:lineRule="auto"/>
              <w:rPr>
                <w:b/>
                <w:bCs/>
              </w:rPr>
            </w:pPr>
            <w:r w:rsidRPr="00D32974">
              <w:rPr>
                <w:b/>
                <w:bCs/>
              </w:rPr>
              <w:t xml:space="preserve">Action plan no longer required </w:t>
            </w:r>
          </w:p>
        </w:tc>
      </w:tr>
      <w:tr w:rsidR="003C56EE" w14:paraId="6A5494EE" w14:textId="77777777" w:rsidTr="00CF1904">
        <w:trPr>
          <w:trHeight w:val="621"/>
        </w:trPr>
        <w:tc>
          <w:tcPr>
            <w:tcW w:w="83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83A7A3" w14:textId="77777777" w:rsidR="003C56EE" w:rsidRPr="00E7374A" w:rsidRDefault="003C56EE" w:rsidP="00CF1904">
            <w:pPr>
              <w:spacing w:after="120" w:line="360" w:lineRule="auto"/>
            </w:pPr>
            <w:r w:rsidRPr="00E7374A">
              <w:t xml:space="preserve">Priority licensed sites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1C2D535" w14:textId="66ADC870" w:rsidR="003C56EE" w:rsidRPr="00E7374A" w:rsidRDefault="003C56EE" w:rsidP="00CF1904">
            <w:pPr>
              <w:spacing w:after="120" w:line="360" w:lineRule="auto"/>
              <w:ind w:left="6"/>
              <w:jc w:val="right"/>
            </w:pPr>
            <w:r w:rsidRPr="00E7374A">
              <w:t>100</w:t>
            </w:r>
            <w:r w:rsidR="00D32974" w:rsidRPr="00E7374A">
              <w:rPr>
                <w:rStyle w:val="FootnoteReference"/>
              </w:rPr>
              <w:footnoteReference w:id="7"/>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7A268D" w14:textId="77777777" w:rsidR="003C56EE" w:rsidRPr="00E7374A" w:rsidRDefault="003C56EE" w:rsidP="00CF1904">
            <w:pPr>
              <w:spacing w:after="120" w:line="360" w:lineRule="auto"/>
              <w:ind w:left="6"/>
              <w:jc w:val="right"/>
            </w:pPr>
            <w:r w:rsidRPr="00E7374A">
              <w:t>94</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25AFF5" w14:textId="77777777" w:rsidR="003C56EE" w:rsidRPr="00E7374A" w:rsidRDefault="003C56EE" w:rsidP="00CF1904">
            <w:pPr>
              <w:spacing w:after="120" w:line="360" w:lineRule="auto"/>
              <w:ind w:left="7"/>
              <w:jc w:val="right"/>
            </w:pPr>
            <w:r w:rsidRPr="00E7374A">
              <w:t>74</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DC47CE" w14:textId="77777777" w:rsidR="003C56EE" w:rsidRPr="00E7374A" w:rsidRDefault="003C56EE" w:rsidP="00CF1904">
            <w:pPr>
              <w:spacing w:after="120" w:line="360" w:lineRule="auto"/>
              <w:ind w:left="3"/>
              <w:jc w:val="right"/>
            </w:pPr>
            <w:r w:rsidRPr="00E7374A">
              <w:t>20</w:t>
            </w:r>
          </w:p>
        </w:tc>
        <w:tc>
          <w:tcPr>
            <w:tcW w:w="83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BBA923" w14:textId="77777777" w:rsidR="003C56EE" w:rsidRPr="00E7374A" w:rsidRDefault="003C56EE" w:rsidP="00CF1904">
            <w:pPr>
              <w:spacing w:after="120" w:line="360" w:lineRule="auto"/>
              <w:ind w:left="6"/>
              <w:jc w:val="right"/>
            </w:pPr>
            <w:r w:rsidRPr="00E7374A">
              <w:t>4</w:t>
            </w:r>
          </w:p>
        </w:tc>
      </w:tr>
      <w:tr w:rsidR="003C56EE" w14:paraId="243F4484" w14:textId="77777777" w:rsidTr="00CF1904">
        <w:trPr>
          <w:trHeight w:val="624"/>
        </w:trPr>
        <w:tc>
          <w:tcPr>
            <w:tcW w:w="83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9E259FC" w14:textId="77777777" w:rsidR="003C56EE" w:rsidRDefault="003C56EE" w:rsidP="00CF1904">
            <w:pPr>
              <w:spacing w:after="120" w:line="360" w:lineRule="auto"/>
            </w:pPr>
            <w:r>
              <w:t xml:space="preserve">Priority illegal sites </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A2E521" w14:textId="77777777" w:rsidR="003C56EE" w:rsidRDefault="003C56EE" w:rsidP="00CF1904">
            <w:pPr>
              <w:spacing w:after="120" w:line="360" w:lineRule="auto"/>
              <w:ind w:left="6"/>
              <w:jc w:val="right"/>
              <w:rPr>
                <w:highlight w:val="yellow"/>
              </w:rPr>
            </w:pPr>
            <w:r>
              <w:t>53</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3CC888" w14:textId="77777777" w:rsidR="003C56EE" w:rsidRDefault="003C56EE" w:rsidP="00CF1904">
            <w:pPr>
              <w:spacing w:after="120" w:line="360" w:lineRule="auto"/>
              <w:ind w:left="6"/>
              <w:jc w:val="right"/>
              <w:rPr>
                <w:highlight w:val="yellow"/>
              </w:rPr>
            </w:pPr>
            <w:r>
              <w:t>43</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E5BCF5" w14:textId="77777777" w:rsidR="003C56EE" w:rsidRDefault="003C56EE" w:rsidP="00CF1904">
            <w:pPr>
              <w:spacing w:after="120" w:line="360" w:lineRule="auto"/>
              <w:ind w:left="7"/>
              <w:jc w:val="right"/>
              <w:rPr>
                <w:highlight w:val="yellow"/>
              </w:rPr>
            </w:pPr>
            <w:r>
              <w:t>30</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18EDBA7" w14:textId="77777777" w:rsidR="003C56EE" w:rsidRDefault="003C56EE" w:rsidP="00CF1904">
            <w:pPr>
              <w:spacing w:after="120" w:line="360" w:lineRule="auto"/>
              <w:ind w:left="3"/>
              <w:jc w:val="right"/>
              <w:rPr>
                <w:highlight w:val="yellow"/>
              </w:rPr>
            </w:pPr>
            <w:r>
              <w:t>13</w:t>
            </w:r>
          </w:p>
        </w:tc>
        <w:tc>
          <w:tcPr>
            <w:tcW w:w="83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8D3536" w14:textId="77777777" w:rsidR="003C56EE" w:rsidRDefault="003C56EE" w:rsidP="00CF1904">
            <w:pPr>
              <w:spacing w:after="120" w:line="360" w:lineRule="auto"/>
              <w:ind w:left="6"/>
              <w:jc w:val="right"/>
              <w:rPr>
                <w:highlight w:val="yellow"/>
              </w:rPr>
            </w:pPr>
            <w:r>
              <w:t>0</w:t>
            </w:r>
          </w:p>
        </w:tc>
      </w:tr>
    </w:tbl>
    <w:p w14:paraId="23397BB9" w14:textId="77777777" w:rsidR="00D32974" w:rsidRDefault="00D32974" w:rsidP="00F268F0">
      <w:pPr>
        <w:spacing w:line="360" w:lineRule="auto"/>
        <w:ind w:left="11" w:hanging="11"/>
        <w:rPr>
          <w:rFonts w:ascii="Arial" w:eastAsia="Calibri" w:hAnsi="Arial" w:cs="Arial"/>
          <w:b/>
          <w:bCs/>
          <w:color w:val="000000" w:themeColor="text1"/>
        </w:rPr>
      </w:pPr>
    </w:p>
    <w:p w14:paraId="5C60422B" w14:textId="70811618" w:rsidR="003C56EE" w:rsidRDefault="003C56EE" w:rsidP="00F268F0">
      <w:pPr>
        <w:spacing w:line="360" w:lineRule="auto"/>
        <w:ind w:left="11" w:hanging="11"/>
        <w:rPr>
          <w:rFonts w:ascii="Arial" w:hAnsi="Arial" w:cs="Arial"/>
        </w:rPr>
      </w:pPr>
      <w:r>
        <w:rPr>
          <w:rFonts w:ascii="Arial" w:eastAsia="Calibri" w:hAnsi="Arial" w:cs="Arial"/>
          <w:b/>
          <w:bCs/>
          <w:color w:val="000000" w:themeColor="text1"/>
        </w:rPr>
        <w:t xml:space="preserve">Priority licensed sites </w:t>
      </w:r>
    </w:p>
    <w:p w14:paraId="73D74B3A" w14:textId="403B0007" w:rsidR="003C56EE" w:rsidRDefault="003C56EE" w:rsidP="00F268F0">
      <w:pPr>
        <w:shd w:val="clear" w:color="auto" w:fill="FFFFFF"/>
        <w:spacing w:line="360" w:lineRule="auto"/>
        <w:textAlignment w:val="baseline"/>
        <w:rPr>
          <w:rFonts w:ascii="Arial" w:hAnsi="Arial" w:cs="Arial"/>
        </w:rPr>
      </w:pPr>
      <w:r>
        <w:rPr>
          <w:rFonts w:ascii="Arial" w:hAnsi="Arial" w:cs="Arial"/>
        </w:rPr>
        <w:t xml:space="preserve">We have developed action plans for 94 priority licensed sites. Four sites do not require plans as the issues have been resolved. Two sites were identified in early 2022 and we are developing action plans for them, while taking the necessary regulatory actions. </w:t>
      </w:r>
    </w:p>
    <w:p w14:paraId="327CDBD1" w14:textId="77777777" w:rsidR="00D32974" w:rsidRDefault="00D32974" w:rsidP="00F268F0">
      <w:pPr>
        <w:shd w:val="clear" w:color="auto" w:fill="FFFFFF"/>
        <w:spacing w:line="360" w:lineRule="auto"/>
        <w:textAlignment w:val="baseline"/>
        <w:rPr>
          <w:rFonts w:ascii="Arial" w:hAnsi="Arial" w:cs="Arial"/>
        </w:rPr>
      </w:pPr>
    </w:p>
    <w:p w14:paraId="256DF5F8" w14:textId="7B09C181" w:rsidR="003C56EE" w:rsidRDefault="003C56EE" w:rsidP="00F268F0">
      <w:pPr>
        <w:shd w:val="clear" w:color="auto" w:fill="FFFFFF"/>
        <w:spacing w:line="360" w:lineRule="auto"/>
        <w:textAlignment w:val="baseline"/>
        <w:rPr>
          <w:rFonts w:ascii="Arial" w:hAnsi="Arial" w:cs="Arial"/>
        </w:rPr>
      </w:pPr>
      <w:r>
        <w:rPr>
          <w:rFonts w:ascii="Arial" w:hAnsi="Arial" w:cs="Arial"/>
        </w:rPr>
        <w:t xml:space="preserve">Four sites originally identified as significantly non-compliant are no longer in that category. Sixteen sites of community impact have either been fully resolved or the impact has been reduced. </w:t>
      </w:r>
    </w:p>
    <w:p w14:paraId="4051773C" w14:textId="77777777" w:rsidR="00D32974" w:rsidRDefault="00D32974" w:rsidP="00F268F0">
      <w:pPr>
        <w:shd w:val="clear" w:color="auto" w:fill="FFFFFF"/>
        <w:spacing w:line="360" w:lineRule="auto"/>
        <w:textAlignment w:val="baseline"/>
        <w:rPr>
          <w:rFonts w:ascii="Arial" w:hAnsi="Arial" w:cs="Arial"/>
        </w:rPr>
      </w:pPr>
    </w:p>
    <w:p w14:paraId="0681F55A" w14:textId="77777777" w:rsidR="003C56EE" w:rsidRDefault="003C56EE" w:rsidP="00F268F0">
      <w:pPr>
        <w:spacing w:line="360" w:lineRule="auto"/>
        <w:ind w:left="11" w:hanging="11"/>
        <w:rPr>
          <w:rFonts w:ascii="Arial" w:hAnsi="Arial" w:cs="Arial"/>
        </w:rPr>
      </w:pPr>
      <w:r>
        <w:rPr>
          <w:rFonts w:ascii="Arial" w:eastAsia="Calibri" w:hAnsi="Arial" w:cs="Arial"/>
          <w:b/>
        </w:rPr>
        <w:t xml:space="preserve">Priority illegal sites </w:t>
      </w:r>
    </w:p>
    <w:p w14:paraId="48EDCA60" w14:textId="766DA67B" w:rsidR="003C56EE" w:rsidRDefault="003C56EE" w:rsidP="00F268F0">
      <w:pPr>
        <w:spacing w:line="360" w:lineRule="auto"/>
        <w:rPr>
          <w:rFonts w:ascii="Arial" w:eastAsia="MS Gothic" w:hAnsi="Arial"/>
          <w:b/>
          <w:color w:val="00526F"/>
          <w:sz w:val="32"/>
          <w:szCs w:val="32"/>
          <w:lang w:eastAsia="en-US"/>
        </w:rPr>
      </w:pPr>
      <w:r>
        <w:rPr>
          <w:rFonts w:ascii="Arial" w:eastAsia="Calibri" w:hAnsi="Arial" w:cs="Arial"/>
        </w:rPr>
        <w:t>As COVID</w:t>
      </w:r>
      <w:r w:rsidR="007F0E6C">
        <w:rPr>
          <w:rFonts w:ascii="Arial" w:eastAsia="Calibri" w:hAnsi="Arial" w:cs="Arial"/>
        </w:rPr>
        <w:t>-19</w:t>
      </w:r>
      <w:r>
        <w:rPr>
          <w:rFonts w:ascii="Arial" w:eastAsia="Calibri" w:hAnsi="Arial" w:cs="Arial"/>
        </w:rPr>
        <w:t xml:space="preserve"> restrictions eased, our field activity increased, and we were able to identify more priority illegal sites. Others were identified through the public response to the recent BBC documentary on waste crime. Over the course of the year, we identified 53 priority illegal sites. We have closed 13 of them using the full scope of enforcement tools available to us. The remaining 40 have active action plans in place and are being delivered.  </w:t>
      </w:r>
    </w:p>
    <w:p w14:paraId="1C3CA3A2" w14:textId="2A90DBCC" w:rsidR="00607933" w:rsidRDefault="00607933" w:rsidP="00F268F0">
      <w:pPr>
        <w:spacing w:line="360" w:lineRule="auto"/>
        <w:rPr>
          <w:rFonts w:ascii="Arial" w:eastAsia="MS Gothic" w:hAnsi="Arial"/>
          <w:bCs/>
          <w:color w:val="00526F"/>
          <w:lang w:eastAsia="en-US"/>
        </w:rPr>
      </w:pPr>
      <w:r>
        <w:rPr>
          <w:rFonts w:ascii="Arial" w:eastAsia="MS Gothic" w:hAnsi="Arial"/>
          <w:bCs/>
          <w:color w:val="00526F"/>
          <w:lang w:eastAsia="en-US"/>
        </w:rPr>
        <w:br w:type="page"/>
      </w:r>
    </w:p>
    <w:p w14:paraId="6579926C" w14:textId="77777777" w:rsidR="003C56EE" w:rsidRPr="00C92779" w:rsidRDefault="003C56EE" w:rsidP="00C92779">
      <w:pPr>
        <w:spacing w:line="360" w:lineRule="auto"/>
        <w:ind w:left="11" w:hanging="11"/>
        <w:rPr>
          <w:rFonts w:ascii="Arial" w:eastAsia="Calibri" w:hAnsi="Arial" w:cs="Arial"/>
          <w:b/>
        </w:rPr>
      </w:pPr>
      <w:r w:rsidRPr="00C92779">
        <w:rPr>
          <w:rFonts w:ascii="Arial" w:eastAsia="Calibri" w:hAnsi="Arial" w:cs="Arial"/>
          <w:b/>
        </w:rPr>
        <w:lastRenderedPageBreak/>
        <w:t>Flooding</w:t>
      </w: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24EC6F7E" w14:textId="77777777" w:rsidTr="00412487">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E"/>
            <w:hideMark/>
          </w:tcPr>
          <w:p w14:paraId="03F3395E" w14:textId="7A499552" w:rsidR="003C56EE" w:rsidRDefault="00412487" w:rsidP="00CF1904">
            <w:pPr>
              <w:overflowPunct w:val="0"/>
              <w:autoSpaceDE w:val="0"/>
              <w:autoSpaceDN w:val="0"/>
              <w:adjustRightInd w:val="0"/>
              <w:spacing w:line="480" w:lineRule="auto"/>
              <w:textAlignment w:val="baseline"/>
              <w:rPr>
                <w:rFonts w:eastAsia="Arial"/>
              </w:rPr>
            </w:pPr>
            <w:r>
              <w:rPr>
                <w:rFonts w:eastAsia="Arial"/>
              </w:rPr>
              <w:t>Flooding</w:t>
            </w:r>
          </w:p>
        </w:tc>
      </w:tr>
      <w:tr w:rsidR="003C56EE" w14:paraId="15616BC5" w14:textId="77777777" w:rsidTr="00600F56">
        <w:tc>
          <w:tcPr>
            <w:tcW w:w="4008" w:type="pct"/>
            <w:tcBorders>
              <w:top w:val="single" w:sz="24" w:space="0" w:color="00526F"/>
              <w:left w:val="single" w:sz="24" w:space="0" w:color="00526F"/>
              <w:bottom w:val="single" w:sz="24" w:space="0" w:color="00526F"/>
              <w:right w:val="single" w:sz="24" w:space="0" w:color="00526F"/>
            </w:tcBorders>
            <w:hideMark/>
          </w:tcPr>
          <w:p w14:paraId="1D7DEBEC" w14:textId="1DA86D9E"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Measure 6: Complete phase 2 of the transformation of the land-use planning service, focussing on best use of readily available flood risk information, input to government policy change</w:t>
            </w:r>
            <w:r w:rsidR="00B91A0B">
              <w:rPr>
                <w:rFonts w:eastAsia="Arial"/>
                <w:b/>
                <w:bCs/>
              </w:rPr>
              <w:t>,</w:t>
            </w:r>
            <w:r>
              <w:rPr>
                <w:rFonts w:eastAsia="Arial"/>
                <w:b/>
                <w:bCs/>
              </w:rPr>
              <w:t xml:space="preserve"> and updated climate change allowances for industry</w:t>
            </w:r>
            <w:r w:rsidR="00F86C07">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02D08A97"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55701EC9" w14:textId="77777777" w:rsidR="003C56EE" w:rsidRDefault="003C56EE" w:rsidP="00F268F0">
      <w:pPr>
        <w:spacing w:line="360" w:lineRule="auto"/>
        <w:rPr>
          <w:rFonts w:ascii="Arial" w:hAnsi="Arial"/>
          <w:szCs w:val="20"/>
        </w:rPr>
      </w:pPr>
    </w:p>
    <w:p w14:paraId="4959FB08" w14:textId="0F302095" w:rsidR="003C56EE" w:rsidRDefault="003C56EE" w:rsidP="00F268F0">
      <w:pPr>
        <w:spacing w:line="360" w:lineRule="auto"/>
        <w:rPr>
          <w:rFonts w:ascii="Arial" w:hAnsi="Arial"/>
          <w:szCs w:val="20"/>
        </w:rPr>
      </w:pPr>
      <w:r>
        <w:rPr>
          <w:rFonts w:ascii="Arial" w:hAnsi="Arial"/>
          <w:szCs w:val="20"/>
        </w:rPr>
        <w:t xml:space="preserve">To support Scotland’s green recovery and enable sustainable development, we want to make our data more accessible. This year we focused on our flood maps. We made the flood maps on our website more accessible and easier to use. In September we made changes to our website which allow users to view their area in more detail. This means they can now be better prepared to make decisions on how to avoid flooding. We have promoted the changes through social media and articles in industry publications. The improvement to the flood maps will also make it easier for the planning process to deliver the right development in the right place.  </w:t>
      </w:r>
    </w:p>
    <w:p w14:paraId="445EB192" w14:textId="77777777" w:rsidR="00F268F0" w:rsidRDefault="00F268F0" w:rsidP="00F268F0">
      <w:pPr>
        <w:spacing w:line="360" w:lineRule="auto"/>
        <w:rPr>
          <w:rFonts w:ascii="Arial" w:hAnsi="Arial"/>
          <w:szCs w:val="20"/>
        </w:rPr>
      </w:pPr>
    </w:p>
    <w:p w14:paraId="1C003EF8" w14:textId="31F555AE" w:rsidR="003C56EE" w:rsidRDefault="003C56EE" w:rsidP="00F268F0">
      <w:pPr>
        <w:overflowPunct w:val="0"/>
        <w:autoSpaceDE w:val="0"/>
        <w:autoSpaceDN w:val="0"/>
        <w:spacing w:line="360" w:lineRule="auto"/>
        <w:textAlignment w:val="baseline"/>
        <w:rPr>
          <w:rFonts w:ascii="Arial" w:hAnsi="Arial" w:cs="Arial"/>
          <w:color w:val="000000"/>
          <w:lang w:val="en-US"/>
        </w:rPr>
      </w:pPr>
      <w:r>
        <w:rPr>
          <w:rFonts w:ascii="Arial" w:hAnsi="Arial" w:cs="Arial"/>
          <w:color w:val="000000"/>
        </w:rPr>
        <w:t>During the year, we worked with the Scottish Government as it began development of National Planning Framework 4. The Framework is a significant statutory document which will set out a spatial strategy for Scotland to 2045. It will also detail a planning policy framework to help tackle and adapt to climate change, restore biodiversity loss, improve health and wellbeing, build a ‘</w:t>
      </w:r>
      <w:hyperlink r:id="rId37" w:history="1">
        <w:r>
          <w:rPr>
            <w:rStyle w:val="Hyperlink"/>
            <w:rFonts w:ascii="Arial" w:hAnsi="Arial" w:cs="Arial"/>
          </w:rPr>
          <w:t>wellbeing economy’</w:t>
        </w:r>
      </w:hyperlink>
      <w:r>
        <w:rPr>
          <w:rFonts w:ascii="Arial" w:hAnsi="Arial" w:cs="Arial"/>
          <w:color w:val="000000"/>
        </w:rPr>
        <w:t xml:space="preserve">, and create great places. It will also shape regional spatial strategies and local development plans, and influence planning decisions. </w:t>
      </w:r>
    </w:p>
    <w:p w14:paraId="507C7A7F" w14:textId="7FCF05C7" w:rsidR="003C56EE" w:rsidRDefault="003C56EE" w:rsidP="00F268F0">
      <w:pPr>
        <w:overflowPunct w:val="0"/>
        <w:autoSpaceDE w:val="0"/>
        <w:autoSpaceDN w:val="0"/>
        <w:spacing w:line="360" w:lineRule="auto"/>
        <w:textAlignment w:val="baseline"/>
        <w:rPr>
          <w:rFonts w:ascii="Arial" w:hAnsi="Arial" w:cs="Arial"/>
          <w:color w:val="111111"/>
          <w:spacing w:val="-3"/>
          <w:bdr w:val="none" w:sz="0" w:space="0" w:color="auto" w:frame="1"/>
        </w:rPr>
      </w:pPr>
      <w:r>
        <w:rPr>
          <w:rFonts w:ascii="Arial" w:hAnsi="Arial" w:cs="Arial"/>
          <w:color w:val="000000"/>
        </w:rPr>
        <w:t xml:space="preserve">We issued a comprehensive response to the Scottish Government’s consultation on the Framework, setting out </w:t>
      </w:r>
      <w:r>
        <w:rPr>
          <w:rFonts w:ascii="Arial" w:hAnsi="Arial" w:cs="Arial"/>
          <w:color w:val="111111"/>
          <w:spacing w:val="-3"/>
          <w:bdr w:val="none" w:sz="0" w:space="0" w:color="auto" w:frame="1"/>
        </w:rPr>
        <w:t xml:space="preserve">the changes we think are needed for the policy to provide a transformational change over its lifetime. </w:t>
      </w:r>
    </w:p>
    <w:p w14:paraId="441D9808" w14:textId="77777777" w:rsidR="00F268F0" w:rsidRDefault="00F268F0" w:rsidP="00F268F0">
      <w:pPr>
        <w:overflowPunct w:val="0"/>
        <w:autoSpaceDE w:val="0"/>
        <w:autoSpaceDN w:val="0"/>
        <w:spacing w:line="360" w:lineRule="auto"/>
        <w:textAlignment w:val="baseline"/>
        <w:rPr>
          <w:rFonts w:ascii="Arial" w:hAnsi="Arial" w:cs="Arial"/>
          <w:color w:val="000000"/>
        </w:rPr>
      </w:pPr>
    </w:p>
    <w:p w14:paraId="52744223" w14:textId="77777777" w:rsidR="003C56EE" w:rsidRDefault="003C56EE" w:rsidP="00F268F0">
      <w:pPr>
        <w:spacing w:line="360" w:lineRule="auto"/>
        <w:rPr>
          <w:rFonts w:ascii="Arial" w:eastAsia="MS Gothic" w:hAnsi="Arial"/>
          <w:b/>
          <w:color w:val="00526F"/>
          <w:sz w:val="32"/>
          <w:szCs w:val="32"/>
          <w:lang w:eastAsia="en-US"/>
        </w:rPr>
      </w:pPr>
      <w:r>
        <w:rPr>
          <w:rFonts w:ascii="Arial" w:hAnsi="Arial"/>
          <w:szCs w:val="20"/>
        </w:rPr>
        <w:t>In March, we published updated guidance on the climate change allowances that should be applied to flood risk assessment of any new development or infrastructure. The guidance will support those involved in planning and design. It will ensure they have access to the best available information and can apply it directly to their sites. We analysed the latest information on the effect that climate change will have on rainfall and river flows in Scotland and published the update on our website. We are now promoting this new information to our stakeholders.</w:t>
      </w:r>
    </w:p>
    <w:p w14:paraId="511A170D" w14:textId="77777777" w:rsidR="003C56EE" w:rsidRPr="00F268F0" w:rsidRDefault="003C56EE" w:rsidP="00F268F0">
      <w:pPr>
        <w:spacing w:line="360" w:lineRule="auto"/>
        <w:rPr>
          <w:rFonts w:ascii="Arial" w:eastAsia="MS Gothic" w:hAnsi="Arial"/>
          <w:bCs/>
          <w:color w:val="00526F"/>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3972C5CE" w14:textId="77777777" w:rsidTr="007249E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70F31B7F"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MS Gothic"/>
                <w:b/>
                <w:color w:val="00526F"/>
                <w:sz w:val="32"/>
                <w:szCs w:val="32"/>
              </w:rPr>
              <w:lastRenderedPageBreak/>
              <w:br w:type="page"/>
            </w:r>
            <w:r>
              <w:rPr>
                <w:rFonts w:eastAsia="Arial"/>
              </w:rPr>
              <w:t>F</w:t>
            </w:r>
            <w:r>
              <w:rPr>
                <w:rFonts w:eastAsia="Arial"/>
                <w:szCs w:val="20"/>
              </w:rPr>
              <w:t>looding</w:t>
            </w:r>
          </w:p>
        </w:tc>
      </w:tr>
      <w:tr w:rsidR="003C56EE" w14:paraId="28E182BF" w14:textId="77777777" w:rsidTr="00600F56">
        <w:tc>
          <w:tcPr>
            <w:tcW w:w="4008" w:type="pct"/>
            <w:tcBorders>
              <w:top w:val="single" w:sz="24" w:space="0" w:color="00526F"/>
              <w:left w:val="single" w:sz="24" w:space="0" w:color="00526F"/>
              <w:bottom w:val="single" w:sz="24" w:space="0" w:color="00526F"/>
              <w:right w:val="single" w:sz="24" w:space="0" w:color="00526F"/>
            </w:tcBorders>
            <w:hideMark/>
          </w:tcPr>
          <w:p w14:paraId="031B549E" w14:textId="601EEE4A"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w:t>
            </w:r>
            <w:r>
              <w:rPr>
                <w:rFonts w:eastAsia="Arial"/>
                <w:b/>
                <w:bCs/>
                <w:szCs w:val="20"/>
              </w:rPr>
              <w:t xml:space="preserve">easure 7: </w:t>
            </w:r>
            <w:r>
              <w:rPr>
                <w:rFonts w:eastAsia="Arial"/>
                <w:b/>
                <w:bCs/>
              </w:rPr>
              <w:t>Deliver 14 flood risk management plans in accordance with the revised deadlines</w:t>
            </w:r>
            <w:r w:rsidR="00F86C07">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4A89F0A3"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6E61A895" w14:textId="77777777" w:rsidR="003C56EE" w:rsidRPr="00AA02C6" w:rsidRDefault="003C56EE" w:rsidP="00AA02C6">
      <w:pPr>
        <w:spacing w:line="360" w:lineRule="auto"/>
        <w:rPr>
          <w:rFonts w:ascii="Arial" w:eastAsia="MS Gothic" w:hAnsi="Arial"/>
          <w:bCs/>
          <w:color w:val="00526F"/>
          <w:lang w:eastAsia="en-US"/>
        </w:rPr>
      </w:pPr>
    </w:p>
    <w:p w14:paraId="338D5C1C" w14:textId="4B743C24" w:rsidR="003C56EE" w:rsidRDefault="003C56EE" w:rsidP="00AA02C6">
      <w:pPr>
        <w:spacing w:line="360" w:lineRule="auto"/>
        <w:rPr>
          <w:rFonts w:ascii="Arial" w:hAnsi="Arial" w:cs="Arial"/>
          <w:color w:val="000000"/>
        </w:rPr>
      </w:pPr>
      <w:r>
        <w:rPr>
          <w:rFonts w:ascii="Arial" w:hAnsi="Arial" w:cs="Arial"/>
          <w:color w:val="000000"/>
        </w:rPr>
        <w:t xml:space="preserve">We achieved this measure. </w:t>
      </w:r>
      <w:r>
        <w:rPr>
          <w:rFonts w:ascii="Arial" w:hAnsi="Arial" w:cs="Arial"/>
          <w:color w:val="000000"/>
          <w:szCs w:val="20"/>
        </w:rPr>
        <w:t>We produced the flood risk management plans and submitted them to Scottish Ministers for approval in early December</w:t>
      </w:r>
      <w:r w:rsidR="00EA25DB">
        <w:rPr>
          <w:rFonts w:ascii="Arial" w:hAnsi="Arial" w:cs="Arial"/>
          <w:color w:val="000000"/>
          <w:szCs w:val="20"/>
        </w:rPr>
        <w:t xml:space="preserve"> 2021</w:t>
      </w:r>
      <w:r>
        <w:rPr>
          <w:rFonts w:ascii="Arial" w:hAnsi="Arial" w:cs="Arial"/>
          <w:color w:val="000000"/>
          <w:szCs w:val="20"/>
        </w:rPr>
        <w:t xml:space="preserve">. </w:t>
      </w:r>
      <w:r>
        <w:rPr>
          <w:rFonts w:ascii="Arial" w:hAnsi="Arial" w:cs="Arial"/>
          <w:color w:val="000000"/>
        </w:rPr>
        <w:t>We published the plans online at the beginning of January 2022. </w:t>
      </w:r>
    </w:p>
    <w:p w14:paraId="3FB1A40C" w14:textId="77777777" w:rsidR="00AA02C6" w:rsidRDefault="00AA02C6" w:rsidP="00AA02C6">
      <w:pPr>
        <w:spacing w:line="360" w:lineRule="auto"/>
        <w:rPr>
          <w:rFonts w:ascii="Arial" w:hAnsi="Arial" w:cs="Arial"/>
          <w:color w:val="000000"/>
        </w:rPr>
      </w:pPr>
    </w:p>
    <w:p w14:paraId="51135AF0" w14:textId="1CEF497C" w:rsidR="003C56EE" w:rsidRDefault="003C56EE" w:rsidP="00AA02C6">
      <w:pPr>
        <w:spacing w:line="360" w:lineRule="auto"/>
        <w:rPr>
          <w:rFonts w:ascii="Arial" w:hAnsi="Arial" w:cs="Arial"/>
          <w:color w:val="000000"/>
        </w:rPr>
      </w:pPr>
      <w:r>
        <w:rPr>
          <w:rFonts w:ascii="Arial" w:hAnsi="Arial" w:cs="Arial"/>
          <w:color w:val="000000"/>
        </w:rPr>
        <w:t>First produced in 2015, flood risk management plans co-ordinate and concentrate efforts by many organisations to tackle flooding in Scotland. In collaboration with other public agencies, we produce them for each of Scotland’s 14 Local Plan Districts. These documents determine the long-term priorities and shorter-term actions to reduce the impact of flooding in Scotland. They target communities and infrastructure where flood risk management could provide the greatest benefit.</w:t>
      </w:r>
    </w:p>
    <w:p w14:paraId="22E2EDD2" w14:textId="77777777" w:rsidR="00AA02C6" w:rsidRDefault="00AA02C6" w:rsidP="00AA02C6">
      <w:pPr>
        <w:spacing w:line="360" w:lineRule="auto"/>
        <w:rPr>
          <w:rFonts w:ascii="Arial" w:hAnsi="Arial" w:cs="Arial"/>
          <w:color w:val="000000"/>
        </w:rPr>
      </w:pPr>
    </w:p>
    <w:p w14:paraId="6E948EF0" w14:textId="76CA479C" w:rsidR="003C56EE" w:rsidRDefault="003C56EE" w:rsidP="00AA02C6">
      <w:pPr>
        <w:spacing w:line="360" w:lineRule="auto"/>
        <w:rPr>
          <w:rFonts w:ascii="Arial" w:hAnsi="Arial" w:cs="Arial"/>
          <w:color w:val="000000"/>
          <w:szCs w:val="20"/>
        </w:rPr>
      </w:pPr>
      <w:r>
        <w:rPr>
          <w:rFonts w:ascii="Arial" w:hAnsi="Arial" w:cs="Arial"/>
          <w:color w:val="000000"/>
          <w:szCs w:val="20"/>
        </w:rPr>
        <w:t xml:space="preserve">In 2020, we launched a public consultation on the draft output from the flood risk management plans. Due to the impact of both the pandemic and the cyber-attack, the Scottish Government agreed that the consultation could be split into two phases with a revised end date. Phase one opened on 21 December 2020 and ran until 30 July 2021. Phase two ran from 30 July 2021 to 31 October 2021. </w:t>
      </w:r>
    </w:p>
    <w:p w14:paraId="492A1FF6" w14:textId="77777777" w:rsidR="00AA02C6" w:rsidRDefault="00AA02C6" w:rsidP="00AA02C6">
      <w:pPr>
        <w:spacing w:line="360" w:lineRule="auto"/>
        <w:rPr>
          <w:rFonts w:ascii="Arial" w:hAnsi="Arial" w:cs="Arial"/>
          <w:color w:val="000000"/>
          <w:szCs w:val="20"/>
        </w:rPr>
      </w:pPr>
    </w:p>
    <w:p w14:paraId="543C80A7" w14:textId="7018F69B" w:rsidR="003C56EE" w:rsidRDefault="003C56EE" w:rsidP="00AA02C6">
      <w:pPr>
        <w:spacing w:line="360" w:lineRule="auto"/>
        <w:rPr>
          <w:rFonts w:ascii="Arial" w:hAnsi="Arial" w:cs="Arial"/>
          <w:color w:val="000000"/>
        </w:rPr>
      </w:pPr>
      <w:r>
        <w:rPr>
          <w:rFonts w:ascii="Arial" w:hAnsi="Arial" w:cs="Arial"/>
          <w:color w:val="000000"/>
          <w:szCs w:val="20"/>
        </w:rPr>
        <w:t xml:space="preserve">The consultation responses informed the final plans and the corresponding Strategic Environmental Assessment. </w:t>
      </w:r>
      <w:r>
        <w:rPr>
          <w:rFonts w:ascii="Arial" w:hAnsi="Arial" w:cs="Arial"/>
          <w:color w:val="000000"/>
        </w:rPr>
        <w:t>We published a full consultation digest, providing details of consultation responses and how we used the feedback to improve the plans, in</w:t>
      </w:r>
      <w:r>
        <w:rPr>
          <w:rFonts w:ascii="Arial" w:hAnsi="Arial" w:cs="Arial"/>
          <w:color w:val="000000"/>
          <w:vertAlign w:val="superscript"/>
        </w:rPr>
        <w:t xml:space="preserve"> </w:t>
      </w:r>
      <w:r>
        <w:rPr>
          <w:rFonts w:ascii="Arial" w:hAnsi="Arial" w:cs="Arial"/>
          <w:color w:val="000000"/>
        </w:rPr>
        <w:t>March 2022.</w:t>
      </w:r>
    </w:p>
    <w:p w14:paraId="08B99B23" w14:textId="77777777" w:rsidR="00AA02C6" w:rsidRPr="00BD1A65" w:rsidRDefault="00AA02C6" w:rsidP="00AA02C6">
      <w:pPr>
        <w:spacing w:line="360" w:lineRule="auto"/>
        <w:rPr>
          <w:rFonts w:ascii="Arial" w:eastAsiaTheme="minorHAnsi" w:hAnsi="Arial" w:cs="Arial"/>
          <w:lang w:val="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47BD35FE" w14:textId="77777777" w:rsidTr="00412487">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hideMark/>
          </w:tcPr>
          <w:p w14:paraId="6148FA75"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MS Gothic"/>
                <w:b/>
                <w:color w:val="00526F"/>
                <w:sz w:val="32"/>
                <w:szCs w:val="32"/>
              </w:rPr>
              <w:br w:type="page"/>
            </w:r>
            <w:r>
              <w:rPr>
                <w:rFonts w:eastAsia="Arial"/>
              </w:rPr>
              <w:t>F</w:t>
            </w:r>
            <w:r>
              <w:rPr>
                <w:rFonts w:eastAsia="Arial"/>
                <w:szCs w:val="20"/>
              </w:rPr>
              <w:t>looding</w:t>
            </w:r>
          </w:p>
        </w:tc>
      </w:tr>
      <w:tr w:rsidR="003C56EE" w14:paraId="594BE236" w14:textId="77777777" w:rsidTr="007249E4">
        <w:tc>
          <w:tcPr>
            <w:tcW w:w="4008" w:type="pct"/>
            <w:tcBorders>
              <w:top w:val="single" w:sz="24" w:space="0" w:color="00526F"/>
              <w:left w:val="single" w:sz="24" w:space="0" w:color="00526F"/>
              <w:bottom w:val="single" w:sz="24" w:space="0" w:color="00526F"/>
              <w:right w:val="single" w:sz="24" w:space="0" w:color="00526F"/>
            </w:tcBorders>
            <w:hideMark/>
          </w:tcPr>
          <w:p w14:paraId="40CD39CC" w14:textId="59ED5F0F" w:rsidR="003C56EE" w:rsidRDefault="003C56EE" w:rsidP="00CF1904">
            <w:pPr>
              <w:overflowPunct w:val="0"/>
              <w:autoSpaceDE w:val="0"/>
              <w:autoSpaceDN w:val="0"/>
              <w:adjustRightInd w:val="0"/>
              <w:spacing w:line="480" w:lineRule="auto"/>
              <w:textAlignment w:val="baseline"/>
              <w:rPr>
                <w:rFonts w:eastAsia="Arial"/>
                <w:b/>
                <w:bCs/>
              </w:rPr>
            </w:pPr>
            <w:r>
              <w:rPr>
                <w:rFonts w:eastAsia="Arial"/>
                <w:b/>
                <w:bCs/>
              </w:rPr>
              <w:t>M</w:t>
            </w:r>
            <w:r>
              <w:rPr>
                <w:rFonts w:eastAsia="Arial"/>
                <w:b/>
                <w:bCs/>
                <w:szCs w:val="20"/>
              </w:rPr>
              <w:t xml:space="preserve">easure 8: </w:t>
            </w:r>
            <w:r>
              <w:rPr>
                <w:rFonts w:eastAsia="Arial"/>
                <w:b/>
                <w:bCs/>
              </w:rPr>
              <w:t xml:space="preserve">Publish our </w:t>
            </w:r>
            <w:r w:rsidR="00ED43E1">
              <w:rPr>
                <w:rFonts w:eastAsia="Arial"/>
                <w:b/>
                <w:bCs/>
              </w:rPr>
              <w:t>F</w:t>
            </w:r>
            <w:r>
              <w:rPr>
                <w:rFonts w:eastAsia="Arial"/>
                <w:b/>
                <w:bCs/>
              </w:rPr>
              <w:t xml:space="preserve">looding </w:t>
            </w:r>
            <w:r w:rsidR="00ED43E1">
              <w:rPr>
                <w:rFonts w:eastAsia="Arial"/>
                <w:b/>
                <w:bCs/>
              </w:rPr>
              <w:t>S</w:t>
            </w:r>
            <w:r>
              <w:rPr>
                <w:rFonts w:eastAsia="Arial"/>
                <w:b/>
                <w:bCs/>
              </w:rPr>
              <w:t>trategy, 10-year roadmap and associated metrics of success</w:t>
            </w:r>
            <w:r w:rsidR="00F86C07">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DB4325"/>
            <w:vAlign w:val="center"/>
            <w:hideMark/>
          </w:tcPr>
          <w:p w14:paraId="1C2F2FDD"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Not achieved</w:t>
            </w:r>
          </w:p>
        </w:tc>
      </w:tr>
    </w:tbl>
    <w:p w14:paraId="4F3222E8" w14:textId="77777777" w:rsidR="003C56EE" w:rsidRDefault="003C56EE" w:rsidP="0075653C">
      <w:pPr>
        <w:spacing w:line="360" w:lineRule="auto"/>
        <w:rPr>
          <w:rFonts w:ascii="Arial" w:eastAsia="Calibri" w:hAnsi="Arial" w:cs="Arial"/>
          <w:color w:val="000000"/>
        </w:rPr>
      </w:pPr>
    </w:p>
    <w:p w14:paraId="517210B2" w14:textId="07569B3B" w:rsidR="003C56EE" w:rsidRDefault="003C56EE" w:rsidP="00BD1A65">
      <w:pPr>
        <w:spacing w:line="360" w:lineRule="auto"/>
        <w:rPr>
          <w:rFonts w:ascii="Arial" w:eastAsia="Calibri" w:hAnsi="Arial" w:cs="Arial"/>
          <w:color w:val="000000"/>
        </w:rPr>
      </w:pPr>
      <w:r>
        <w:rPr>
          <w:rFonts w:ascii="Arial" w:eastAsia="Calibri" w:hAnsi="Arial" w:cs="Arial"/>
          <w:color w:val="000000"/>
        </w:rPr>
        <w:t xml:space="preserve">We took a decision to delay publication of our Flooding Services </w:t>
      </w:r>
      <w:r w:rsidR="0075653C">
        <w:rPr>
          <w:rFonts w:ascii="Arial" w:eastAsia="Calibri" w:hAnsi="Arial" w:cs="Arial"/>
          <w:color w:val="000000"/>
        </w:rPr>
        <w:t>S</w:t>
      </w:r>
      <w:r>
        <w:rPr>
          <w:rFonts w:ascii="Arial" w:eastAsia="Calibri" w:hAnsi="Arial" w:cs="Arial"/>
          <w:color w:val="000000"/>
        </w:rPr>
        <w:t>trategy, so we did not achieve this measure.</w:t>
      </w:r>
    </w:p>
    <w:p w14:paraId="6950B925" w14:textId="77777777" w:rsidR="00BD1A65" w:rsidRDefault="00BD1A65" w:rsidP="00BD1A65">
      <w:pPr>
        <w:spacing w:line="360" w:lineRule="auto"/>
        <w:rPr>
          <w:rFonts w:ascii="Arial" w:eastAsia="Calibri" w:hAnsi="Arial" w:cs="Arial"/>
          <w:color w:val="000000"/>
        </w:rPr>
      </w:pPr>
    </w:p>
    <w:p w14:paraId="1FF76484" w14:textId="7B9A6093" w:rsidR="003C56EE" w:rsidRDefault="003C56EE" w:rsidP="00BD1A65">
      <w:pPr>
        <w:spacing w:line="360" w:lineRule="auto"/>
        <w:rPr>
          <w:rFonts w:ascii="Arial" w:hAnsi="Arial" w:cs="Arial"/>
          <w:color w:val="000000"/>
          <w:lang w:val="en-US"/>
        </w:rPr>
      </w:pPr>
      <w:r>
        <w:rPr>
          <w:rFonts w:ascii="Arial" w:hAnsi="Arial" w:cs="Arial"/>
          <w:color w:val="000000"/>
        </w:rPr>
        <w:lastRenderedPageBreak/>
        <w:t xml:space="preserve">We drafted our One Planet Prosperity Flooding Services Strategy and carried out consultation with our partners. Some comments from the consultation noted that our Flooding Services Strategy should sit under a wider Scottish Government </w:t>
      </w:r>
      <w:r w:rsidR="0075653C">
        <w:rPr>
          <w:rFonts w:ascii="Arial" w:hAnsi="Arial" w:cs="Arial"/>
          <w:color w:val="000000"/>
        </w:rPr>
        <w:t>S</w:t>
      </w:r>
      <w:r>
        <w:rPr>
          <w:rFonts w:ascii="Arial" w:hAnsi="Arial" w:cs="Arial"/>
          <w:color w:val="000000"/>
        </w:rPr>
        <w:t xml:space="preserve">trategy. </w:t>
      </w:r>
    </w:p>
    <w:p w14:paraId="70D7EC59" w14:textId="1C40D966" w:rsidR="003C56EE" w:rsidRDefault="003C56EE" w:rsidP="00BD1A65">
      <w:pPr>
        <w:spacing w:line="360" w:lineRule="auto"/>
        <w:rPr>
          <w:rFonts w:ascii="Arial" w:eastAsia="MS Gothic" w:hAnsi="Arial"/>
          <w:b/>
          <w:color w:val="00526F"/>
          <w:sz w:val="32"/>
          <w:szCs w:val="32"/>
          <w:lang w:eastAsia="en-US"/>
        </w:rPr>
      </w:pPr>
      <w:r>
        <w:rPr>
          <w:rFonts w:ascii="Arial" w:hAnsi="Arial" w:cs="Arial"/>
          <w:color w:val="000000" w:themeColor="text1"/>
        </w:rPr>
        <w:t xml:space="preserve">To allow this to happen, a decision was made in autumn 2021 to delay the publication of the Flooding Services Strategy. The Scottish Government have obtained Ministerial approval to develop a </w:t>
      </w:r>
      <w:r w:rsidR="00232E96">
        <w:rPr>
          <w:rFonts w:ascii="Arial" w:hAnsi="Arial" w:cs="Arial"/>
          <w:color w:val="000000" w:themeColor="text1"/>
        </w:rPr>
        <w:t>F</w:t>
      </w:r>
      <w:r>
        <w:rPr>
          <w:rFonts w:ascii="Arial" w:hAnsi="Arial" w:cs="Arial"/>
          <w:color w:val="000000" w:themeColor="text1"/>
        </w:rPr>
        <w:t xml:space="preserve">looding </w:t>
      </w:r>
      <w:r w:rsidR="00232E96">
        <w:rPr>
          <w:rFonts w:ascii="Arial" w:hAnsi="Arial" w:cs="Arial"/>
          <w:color w:val="000000" w:themeColor="text1"/>
        </w:rPr>
        <w:t>S</w:t>
      </w:r>
      <w:r>
        <w:rPr>
          <w:rFonts w:ascii="Arial" w:hAnsi="Arial" w:cs="Arial"/>
          <w:color w:val="000000" w:themeColor="text1"/>
        </w:rPr>
        <w:t>trategy for Scotland, completing in 2023. Ideally our strategy will sit underneath those principles.</w:t>
      </w:r>
    </w:p>
    <w:p w14:paraId="26930EB7" w14:textId="77777777" w:rsidR="003C56EE" w:rsidRPr="00BD1A65" w:rsidRDefault="003C56EE" w:rsidP="00BD1A65">
      <w:pPr>
        <w:spacing w:line="360" w:lineRule="auto"/>
        <w:rPr>
          <w:rFonts w:ascii="Arial" w:eastAsia="MS Gothic" w:hAnsi="Arial"/>
          <w:bCs/>
          <w:color w:val="00526F"/>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3D2D2704"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72A84A09" w14:textId="77777777" w:rsidR="003C56EE" w:rsidRDefault="003C56EE" w:rsidP="00CF1904">
            <w:pPr>
              <w:widowControl w:val="0"/>
              <w:overflowPunct w:val="0"/>
              <w:autoSpaceDE w:val="0"/>
              <w:autoSpaceDN w:val="0"/>
              <w:adjustRightInd w:val="0"/>
              <w:spacing w:line="480" w:lineRule="auto"/>
              <w:textAlignment w:val="baseline"/>
              <w:rPr>
                <w:rFonts w:eastAsia="Arial"/>
              </w:rPr>
            </w:pPr>
            <w:r>
              <w:rPr>
                <w:rFonts w:eastAsia="MS Gothic"/>
                <w:b/>
                <w:color w:val="00526F"/>
                <w:sz w:val="32"/>
                <w:szCs w:val="32"/>
              </w:rPr>
              <w:br w:type="page"/>
            </w:r>
            <w:r>
              <w:rPr>
                <w:rFonts w:eastAsia="Arial"/>
              </w:rPr>
              <w:t>F</w:t>
            </w:r>
            <w:r>
              <w:rPr>
                <w:rFonts w:eastAsia="Arial"/>
                <w:szCs w:val="20"/>
              </w:rPr>
              <w:t>looding</w:t>
            </w:r>
          </w:p>
        </w:tc>
      </w:tr>
      <w:tr w:rsidR="003C56EE" w14:paraId="355B354E" w14:textId="77777777" w:rsidTr="00600F56">
        <w:tc>
          <w:tcPr>
            <w:tcW w:w="4008" w:type="pct"/>
            <w:tcBorders>
              <w:top w:val="single" w:sz="24" w:space="0" w:color="00526F"/>
              <w:left w:val="single" w:sz="24" w:space="0" w:color="00526F"/>
              <w:bottom w:val="single" w:sz="24" w:space="0" w:color="00526F"/>
              <w:right w:val="single" w:sz="24" w:space="0" w:color="00526F"/>
            </w:tcBorders>
            <w:hideMark/>
          </w:tcPr>
          <w:p w14:paraId="083EA617" w14:textId="68AA161B" w:rsidR="003C56EE" w:rsidRDefault="003C56EE" w:rsidP="00CF1904">
            <w:pPr>
              <w:widowControl w:val="0"/>
              <w:overflowPunct w:val="0"/>
              <w:autoSpaceDE w:val="0"/>
              <w:autoSpaceDN w:val="0"/>
              <w:adjustRightInd w:val="0"/>
              <w:spacing w:after="120" w:line="360" w:lineRule="auto"/>
              <w:textAlignment w:val="baseline"/>
              <w:rPr>
                <w:rFonts w:eastAsia="Arial"/>
                <w:b/>
                <w:bCs/>
              </w:rPr>
            </w:pPr>
            <w:r>
              <w:rPr>
                <w:rFonts w:eastAsia="Arial"/>
                <w:b/>
                <w:bCs/>
              </w:rPr>
              <w:t>M</w:t>
            </w:r>
            <w:r>
              <w:rPr>
                <w:rFonts w:eastAsia="Arial"/>
                <w:b/>
                <w:bCs/>
                <w:szCs w:val="20"/>
              </w:rPr>
              <w:t xml:space="preserve">easure 9: </w:t>
            </w:r>
            <w:r>
              <w:rPr>
                <w:rFonts w:eastAsia="Arial"/>
                <w:b/>
                <w:bCs/>
              </w:rPr>
              <w:t>Continued operation of the flood warning service 24/7, 365 days a year. Warnings and alerts issued for all significant flooding events. The hydrometric network and associated data feeds are maintained and operational. The forecast models and data feeds from the Met Office are maintained and operational</w:t>
            </w:r>
            <w:r w:rsidR="00F86C07">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57C4AD"/>
            <w:vAlign w:val="center"/>
          </w:tcPr>
          <w:p w14:paraId="66766777" w14:textId="77777777" w:rsidR="003C56EE" w:rsidRDefault="003C56EE" w:rsidP="00CF1904">
            <w:pPr>
              <w:widowControl w:val="0"/>
              <w:overflowPunct w:val="0"/>
              <w:autoSpaceDE w:val="0"/>
              <w:autoSpaceDN w:val="0"/>
              <w:adjustRightInd w:val="0"/>
              <w:spacing w:line="480" w:lineRule="auto"/>
              <w:jc w:val="center"/>
              <w:textAlignment w:val="baseline"/>
              <w:rPr>
                <w:rFonts w:eastAsia="Arial"/>
              </w:rPr>
            </w:pPr>
          </w:p>
          <w:p w14:paraId="676C3963" w14:textId="77777777" w:rsidR="003C56EE" w:rsidRDefault="003C56EE" w:rsidP="00CF1904">
            <w:pPr>
              <w:widowControl w:val="0"/>
              <w:overflowPunct w:val="0"/>
              <w:autoSpaceDE w:val="0"/>
              <w:autoSpaceDN w:val="0"/>
              <w:adjustRightInd w:val="0"/>
              <w:spacing w:line="480" w:lineRule="auto"/>
              <w:jc w:val="center"/>
              <w:textAlignment w:val="baseline"/>
              <w:rPr>
                <w:rFonts w:eastAsia="Arial"/>
              </w:rPr>
            </w:pPr>
            <w:r>
              <w:rPr>
                <w:rFonts w:eastAsia="Arial"/>
              </w:rPr>
              <w:t>Achieved</w:t>
            </w:r>
          </w:p>
          <w:p w14:paraId="3DE28027" w14:textId="77777777" w:rsidR="003C56EE" w:rsidRDefault="003C56EE" w:rsidP="00CF1904">
            <w:pPr>
              <w:widowControl w:val="0"/>
              <w:overflowPunct w:val="0"/>
              <w:autoSpaceDE w:val="0"/>
              <w:autoSpaceDN w:val="0"/>
              <w:adjustRightInd w:val="0"/>
              <w:spacing w:line="480" w:lineRule="auto"/>
              <w:textAlignment w:val="baseline"/>
              <w:rPr>
                <w:rFonts w:eastAsia="Arial"/>
              </w:rPr>
            </w:pPr>
          </w:p>
        </w:tc>
      </w:tr>
    </w:tbl>
    <w:p w14:paraId="0718C2B6" w14:textId="77777777" w:rsidR="003C56EE" w:rsidRPr="00C92779" w:rsidRDefault="003C56EE" w:rsidP="00C92779">
      <w:pPr>
        <w:spacing w:line="360" w:lineRule="auto"/>
        <w:ind w:left="11" w:hanging="11"/>
        <w:rPr>
          <w:rFonts w:ascii="Arial" w:eastAsia="Calibri" w:hAnsi="Arial" w:cs="Arial"/>
          <w:bCs/>
        </w:rPr>
      </w:pPr>
    </w:p>
    <w:p w14:paraId="5BF27DA2" w14:textId="60345679" w:rsidR="003C56EE" w:rsidRDefault="003C56EE" w:rsidP="00BD1A65">
      <w:pPr>
        <w:widowControl w:val="0"/>
        <w:spacing w:line="360" w:lineRule="auto"/>
        <w:rPr>
          <w:rFonts w:ascii="Arial" w:hAnsi="Arial" w:cs="Arial"/>
          <w:color w:val="000000"/>
        </w:rPr>
      </w:pPr>
      <w:r>
        <w:rPr>
          <w:rFonts w:ascii="Arial" w:hAnsi="Arial" w:cs="Arial"/>
          <w:color w:val="000000"/>
        </w:rPr>
        <w:t>Our flood warning service was available 24/7, 365 days.</w:t>
      </w:r>
    </w:p>
    <w:p w14:paraId="52E637D9" w14:textId="77777777" w:rsidR="00C92779" w:rsidRDefault="00C92779" w:rsidP="00BD1A65">
      <w:pPr>
        <w:widowControl w:val="0"/>
        <w:spacing w:line="360" w:lineRule="auto"/>
        <w:rPr>
          <w:rFonts w:ascii="Arial" w:hAnsi="Arial" w:cs="Arial"/>
        </w:rPr>
      </w:pPr>
    </w:p>
    <w:p w14:paraId="00CA8E91" w14:textId="77777777" w:rsidR="003C56EE" w:rsidRDefault="003C56EE" w:rsidP="00BD1A65">
      <w:pPr>
        <w:widowControl w:val="0"/>
        <w:spacing w:line="360" w:lineRule="auto"/>
        <w:rPr>
          <w:rFonts w:ascii="Arial" w:hAnsi="Arial" w:cs="Arial"/>
          <w:b/>
        </w:rPr>
      </w:pPr>
      <w:r>
        <w:rPr>
          <w:rFonts w:ascii="Arial" w:hAnsi="Arial" w:cs="Arial"/>
          <w:b/>
        </w:rPr>
        <w:t xml:space="preserve">Flood guidance statements </w:t>
      </w:r>
    </w:p>
    <w:p w14:paraId="75CBF490" w14:textId="473364EF" w:rsidR="003C56EE" w:rsidRDefault="003C56EE" w:rsidP="00BD1A65">
      <w:pPr>
        <w:widowControl w:val="0"/>
        <w:spacing w:line="360" w:lineRule="auto"/>
        <w:rPr>
          <w:rFonts w:ascii="Arial" w:hAnsi="Arial" w:cs="Arial"/>
        </w:rPr>
      </w:pPr>
      <w:r>
        <w:rPr>
          <w:rFonts w:ascii="Arial" w:hAnsi="Arial" w:cs="Arial"/>
        </w:rPr>
        <w:t xml:space="preserve">Over the full year, 365 flood guidance statements were issued. The statements advised: 307 days - </w:t>
      </w:r>
      <w:r w:rsidR="00447014">
        <w:rPr>
          <w:rFonts w:ascii="Arial" w:hAnsi="Arial" w:cs="Arial"/>
        </w:rPr>
        <w:t>a</w:t>
      </w:r>
      <w:r>
        <w:rPr>
          <w:rFonts w:ascii="Arial" w:hAnsi="Arial" w:cs="Arial"/>
        </w:rPr>
        <w:t>ll Green; 54 days – the risk elevated to Yellow on at least one of the five days ahead; four days – the risk elevated to Amber on at least one of the five days ahead (two days in July and two days in October). There were no days when the risk escalated to Red.</w:t>
      </w:r>
    </w:p>
    <w:p w14:paraId="2C7238BE" w14:textId="77777777" w:rsidR="003C56EE" w:rsidRDefault="003C56EE" w:rsidP="00BD1A65">
      <w:pPr>
        <w:widowControl w:val="0"/>
        <w:spacing w:line="360" w:lineRule="auto"/>
        <w:rPr>
          <w:rFonts w:ascii="Arial" w:hAnsi="Arial" w:cs="Arial"/>
          <w:b/>
        </w:rPr>
      </w:pPr>
    </w:p>
    <w:p w14:paraId="34F79CC7" w14:textId="77777777" w:rsidR="003C56EE" w:rsidRDefault="003C56EE" w:rsidP="00BD1A65">
      <w:pPr>
        <w:widowControl w:val="0"/>
        <w:spacing w:line="360" w:lineRule="auto"/>
        <w:rPr>
          <w:rFonts w:ascii="Arial" w:hAnsi="Arial" w:cs="Arial"/>
          <w:b/>
        </w:rPr>
      </w:pPr>
      <w:r>
        <w:rPr>
          <w:rFonts w:ascii="Arial" w:hAnsi="Arial" w:cs="Arial"/>
          <w:b/>
        </w:rPr>
        <w:t xml:space="preserve">Flood alerts and warnings </w:t>
      </w:r>
    </w:p>
    <w:p w14:paraId="1A464A46" w14:textId="4FF10F2D" w:rsidR="003C56EE" w:rsidRDefault="003C56EE" w:rsidP="00BD1A65">
      <w:pPr>
        <w:widowControl w:val="0"/>
        <w:spacing w:line="360" w:lineRule="auto"/>
        <w:rPr>
          <w:rFonts w:ascii="Arial" w:hAnsi="Arial" w:cs="Arial"/>
          <w:lang w:eastAsia="en-US"/>
        </w:rPr>
      </w:pPr>
      <w:r>
        <w:rPr>
          <w:rFonts w:ascii="Arial" w:hAnsi="Arial" w:cs="Arial"/>
        </w:rPr>
        <w:t>Over the full year, we issued 203 initial regional flood alerts, 222 initial local flood warnings</w:t>
      </w:r>
      <w:r w:rsidR="00293EF5">
        <w:rPr>
          <w:rFonts w:ascii="Arial" w:hAnsi="Arial" w:cs="Arial"/>
        </w:rPr>
        <w:t>,</w:t>
      </w:r>
      <w:r>
        <w:rPr>
          <w:rFonts w:ascii="Arial" w:hAnsi="Arial" w:cs="Arial"/>
        </w:rPr>
        <w:t xml:space="preserve"> and a total of 1310 messages (this includes updates and No Longer in Force messages).</w:t>
      </w:r>
    </w:p>
    <w:p w14:paraId="159C19F4" w14:textId="38BA981F" w:rsidR="003C56EE" w:rsidRDefault="003C56EE" w:rsidP="00BD1A65">
      <w:pPr>
        <w:widowControl w:val="0"/>
        <w:spacing w:line="360" w:lineRule="auto"/>
        <w:rPr>
          <w:rFonts w:ascii="Arial" w:hAnsi="Arial" w:cs="Arial"/>
        </w:rPr>
      </w:pPr>
      <w:r>
        <w:rPr>
          <w:rFonts w:ascii="Arial" w:hAnsi="Arial" w:cs="Arial"/>
        </w:rPr>
        <w:t xml:space="preserve">The main periods with elevated risks and alerts and warnings in force were: </w:t>
      </w:r>
    </w:p>
    <w:p w14:paraId="696AB527" w14:textId="77777777" w:rsidR="00BD1A65" w:rsidRDefault="00BD1A65" w:rsidP="00BD1A65">
      <w:pPr>
        <w:widowControl w:val="0"/>
        <w:spacing w:line="360" w:lineRule="auto"/>
        <w:rPr>
          <w:rFonts w:ascii="Arial" w:hAnsi="Arial" w:cs="Arial"/>
        </w:rPr>
      </w:pPr>
    </w:p>
    <w:p w14:paraId="4602B9B2" w14:textId="7114BFFC" w:rsidR="00BD1A65" w:rsidRDefault="003C56EE" w:rsidP="00FB580F">
      <w:pPr>
        <w:pStyle w:val="paragraph"/>
        <w:numPr>
          <w:ilvl w:val="0"/>
          <w:numId w:val="41"/>
        </w:numPr>
        <w:spacing w:before="0" w:beforeAutospacing="0" w:after="0" w:afterAutospacing="0" w:line="360" w:lineRule="auto"/>
        <w:ind w:left="714" w:hanging="357"/>
        <w:textAlignment w:val="baseline"/>
        <w:rPr>
          <w:rStyle w:val="normaltextrun"/>
          <w:rFonts w:ascii="Arial" w:hAnsi="Arial" w:cs="Arial"/>
          <w:shd w:val="clear" w:color="auto" w:fill="FFFFFF"/>
        </w:rPr>
      </w:pPr>
      <w:r w:rsidRPr="00BD1A65">
        <w:rPr>
          <w:rStyle w:val="normaltextrun"/>
          <w:rFonts w:ascii="Arial" w:hAnsi="Arial" w:cs="Arial"/>
          <w:shd w:val="clear" w:color="auto" w:fill="FFFFFF"/>
        </w:rPr>
        <w:t>3-4 July, 27-28 July, and 6-8 August</w:t>
      </w:r>
      <w:r w:rsidR="0076521E">
        <w:rPr>
          <w:rStyle w:val="normaltextrun"/>
          <w:rFonts w:ascii="Arial" w:hAnsi="Arial" w:cs="Arial"/>
          <w:shd w:val="clear" w:color="auto" w:fill="FFFFFF"/>
        </w:rPr>
        <w:t xml:space="preserve"> 2021</w:t>
      </w:r>
      <w:r w:rsidRPr="00BD1A65">
        <w:rPr>
          <w:rStyle w:val="normaltextrun"/>
          <w:rFonts w:ascii="Arial" w:hAnsi="Arial" w:cs="Arial"/>
          <w:shd w:val="clear" w:color="auto" w:fill="FFFFFF"/>
        </w:rPr>
        <w:t>. On these days there were periods of intense and localised showers and thunderstorms. This resulted in surface water impacts mainly in central and southern Scotland. Most impacts were short-lived and affected the transport network. Some businesses and properties were also affected.</w:t>
      </w:r>
    </w:p>
    <w:p w14:paraId="205B3215" w14:textId="77777777" w:rsidR="00B7218C" w:rsidRPr="00FB580F" w:rsidRDefault="00B7218C" w:rsidP="00B7218C">
      <w:pPr>
        <w:pStyle w:val="paragraph"/>
        <w:spacing w:before="0" w:beforeAutospacing="0" w:after="0" w:afterAutospacing="0" w:line="360" w:lineRule="auto"/>
        <w:ind w:left="714"/>
        <w:textAlignment w:val="baseline"/>
        <w:rPr>
          <w:rStyle w:val="normaltextrun"/>
          <w:rFonts w:ascii="Arial" w:hAnsi="Arial" w:cs="Arial"/>
          <w:shd w:val="clear" w:color="auto" w:fill="FFFFFF"/>
        </w:rPr>
      </w:pPr>
    </w:p>
    <w:p w14:paraId="28478EC1" w14:textId="1EA2376A" w:rsidR="003C56EE" w:rsidRPr="00BD1A65" w:rsidRDefault="003C56EE" w:rsidP="00802A98">
      <w:pPr>
        <w:pStyle w:val="paragraph"/>
        <w:numPr>
          <w:ilvl w:val="0"/>
          <w:numId w:val="41"/>
        </w:numPr>
        <w:spacing w:before="0" w:beforeAutospacing="0" w:after="0" w:afterAutospacing="0" w:line="360" w:lineRule="auto"/>
        <w:ind w:left="714" w:hanging="357"/>
        <w:textAlignment w:val="baseline"/>
        <w:rPr>
          <w:rStyle w:val="normaltextrun"/>
          <w:rFonts w:ascii="Arial" w:hAnsi="Arial" w:cs="Arial"/>
          <w:shd w:val="clear" w:color="auto" w:fill="FFFFFF"/>
        </w:rPr>
      </w:pPr>
      <w:r w:rsidRPr="00BD1A65">
        <w:rPr>
          <w:rStyle w:val="normaltextrun"/>
          <w:rFonts w:ascii="Arial" w:hAnsi="Arial" w:cs="Arial"/>
          <w:shd w:val="clear" w:color="auto" w:fill="FFFFFF"/>
        </w:rPr>
        <w:t>Scotland was impacted by persistent and very heavy rainfall during the last week of October</w:t>
      </w:r>
      <w:r w:rsidR="0076521E">
        <w:rPr>
          <w:rStyle w:val="normaltextrun"/>
          <w:rFonts w:ascii="Arial" w:hAnsi="Arial" w:cs="Arial"/>
          <w:shd w:val="clear" w:color="auto" w:fill="FFFFFF"/>
        </w:rPr>
        <w:t xml:space="preserve"> 2021</w:t>
      </w:r>
      <w:r w:rsidRPr="00BD1A65">
        <w:rPr>
          <w:rStyle w:val="normaltextrun"/>
          <w:rFonts w:ascii="Arial" w:hAnsi="Arial" w:cs="Arial"/>
          <w:shd w:val="clear" w:color="auto" w:fill="FFFFFF"/>
        </w:rPr>
        <w:t xml:space="preserve">. This resulted in extensive river flooding and damage in Dumfries and </w:t>
      </w:r>
      <w:r w:rsidRPr="00BD1A65">
        <w:rPr>
          <w:rStyle w:val="normaltextrun"/>
          <w:rFonts w:ascii="Arial" w:hAnsi="Arial" w:cs="Arial"/>
          <w:shd w:val="clear" w:color="auto" w:fill="FFFFFF"/>
        </w:rPr>
        <w:lastRenderedPageBreak/>
        <w:t>Galloway, the Scottish Borders (where a major incident was declared in Hawick)</w:t>
      </w:r>
      <w:r w:rsidR="00C02C91">
        <w:rPr>
          <w:rStyle w:val="normaltextrun"/>
          <w:rFonts w:ascii="Arial" w:hAnsi="Arial" w:cs="Arial"/>
          <w:shd w:val="clear" w:color="auto" w:fill="FFFFFF"/>
        </w:rPr>
        <w:t>,</w:t>
      </w:r>
      <w:r w:rsidRPr="00BD1A65">
        <w:rPr>
          <w:rStyle w:val="normaltextrun"/>
          <w:rFonts w:ascii="Arial" w:hAnsi="Arial" w:cs="Arial"/>
          <w:shd w:val="clear" w:color="auto" w:fill="FFFFFF"/>
        </w:rPr>
        <w:t xml:space="preserve"> and Tayside and Angus regions.</w:t>
      </w:r>
    </w:p>
    <w:p w14:paraId="4F0BC121" w14:textId="77777777" w:rsidR="00BD1A65" w:rsidRPr="002F0BFF" w:rsidRDefault="00BD1A65" w:rsidP="00BD1A65">
      <w:pPr>
        <w:pStyle w:val="ListParagraph"/>
        <w:widowControl w:val="0"/>
        <w:spacing w:line="360" w:lineRule="auto"/>
        <w:ind w:left="360"/>
        <w:rPr>
          <w:rFonts w:ascii="Arial" w:hAnsi="Arial" w:cs="Arial"/>
        </w:rPr>
      </w:pPr>
    </w:p>
    <w:p w14:paraId="5C3C4D31" w14:textId="214114A7" w:rsidR="003C56EE" w:rsidRDefault="003C56EE" w:rsidP="00BD1A65">
      <w:pPr>
        <w:widowControl w:val="0"/>
        <w:spacing w:line="360" w:lineRule="auto"/>
        <w:rPr>
          <w:rFonts w:ascii="Arial" w:hAnsi="Arial" w:cs="Arial"/>
        </w:rPr>
      </w:pPr>
      <w:r>
        <w:rPr>
          <w:rFonts w:ascii="Arial" w:hAnsi="Arial" w:cs="Arial"/>
        </w:rPr>
        <w:t xml:space="preserve">Over the winter </w:t>
      </w:r>
      <w:r w:rsidR="00584FDF">
        <w:rPr>
          <w:rFonts w:ascii="Arial" w:hAnsi="Arial" w:cs="Arial"/>
        </w:rPr>
        <w:t xml:space="preserve">of 2021/22 </w:t>
      </w:r>
      <w:r>
        <w:rPr>
          <w:rFonts w:ascii="Arial" w:hAnsi="Arial" w:cs="Arial"/>
        </w:rPr>
        <w:t>there were several powerful Atlantic storms, including: Arwen on 26-27 November; Barra on 7-8 December; Dudley on 16-17 February; Eunice on 18 February</w:t>
      </w:r>
      <w:r w:rsidR="007E34D2">
        <w:rPr>
          <w:rFonts w:ascii="Arial" w:hAnsi="Arial" w:cs="Arial"/>
        </w:rPr>
        <w:t>,</w:t>
      </w:r>
      <w:r>
        <w:rPr>
          <w:rFonts w:ascii="Arial" w:hAnsi="Arial" w:cs="Arial"/>
        </w:rPr>
        <w:t xml:space="preserve"> and Franklin on 20-21 February. The storms created coastal flood risk for wave overtopping. This affected the transport network along the coast. The effects of storm Arwen and Barra led to prolonged power outages. This impacted part of our hydrometric network and data transmission. </w:t>
      </w:r>
    </w:p>
    <w:p w14:paraId="5E693E3F" w14:textId="77777777" w:rsidR="00BD1A65" w:rsidRDefault="00BD1A65" w:rsidP="00BD1A65">
      <w:pPr>
        <w:widowControl w:val="0"/>
        <w:spacing w:line="360" w:lineRule="auto"/>
        <w:rPr>
          <w:rFonts w:ascii="Arial" w:hAnsi="Arial" w:cs="Arial"/>
        </w:rPr>
      </w:pPr>
    </w:p>
    <w:p w14:paraId="106A2ACB" w14:textId="77777777" w:rsidR="003C56EE" w:rsidRDefault="003C56EE" w:rsidP="00BD1A65">
      <w:pPr>
        <w:widowControl w:val="0"/>
        <w:spacing w:line="360" w:lineRule="auto"/>
        <w:rPr>
          <w:rFonts w:ascii="Arial" w:hAnsi="Arial" w:cs="Arial"/>
          <w:b/>
          <w:color w:val="FF0000"/>
        </w:rPr>
      </w:pPr>
      <w:r>
        <w:rPr>
          <w:rFonts w:ascii="Arial" w:hAnsi="Arial" w:cs="Arial"/>
          <w:b/>
        </w:rPr>
        <w:t xml:space="preserve">Hydrometric network and telemetry system operation availability </w:t>
      </w:r>
    </w:p>
    <w:p w14:paraId="53F866FE" w14:textId="16BE7D05" w:rsidR="003C56EE" w:rsidRDefault="003C56EE" w:rsidP="00BD1A65">
      <w:pPr>
        <w:spacing w:line="360" w:lineRule="auto"/>
        <w:rPr>
          <w:rFonts w:ascii="Arial" w:hAnsi="Arial" w:cs="Arial"/>
        </w:rPr>
      </w:pPr>
      <w:r>
        <w:rPr>
          <w:rFonts w:ascii="Arial" w:hAnsi="Arial" w:cs="Arial"/>
        </w:rPr>
        <w:t>Within two days of the cyber-attack, we had developed a way to retrieve targeted hydrometric data and use it for flood warning. Within one week we had recommenced field visits to repair damaged hydrometric gauges. Over the course of the year, we maintained roughly 300 of the most crucial hydrometric sites to ensure that flood warnings could be delivered based on real world measured data as well as forecast predictions. We focussed on sites where there was no back up or nearby stations.</w:t>
      </w:r>
    </w:p>
    <w:p w14:paraId="24CED746" w14:textId="77777777" w:rsidR="00BD1A65" w:rsidRDefault="00BD1A65" w:rsidP="00BD1A65">
      <w:pPr>
        <w:spacing w:line="360" w:lineRule="auto"/>
        <w:rPr>
          <w:rFonts w:ascii="Arial" w:hAnsi="Arial" w:cs="Arial"/>
        </w:rPr>
      </w:pPr>
    </w:p>
    <w:p w14:paraId="7B93EF6B" w14:textId="2E256F16" w:rsidR="003C56EE" w:rsidRDefault="003C56EE" w:rsidP="00BD1A65">
      <w:pPr>
        <w:spacing w:line="360" w:lineRule="auto"/>
        <w:rPr>
          <w:rFonts w:ascii="Arial" w:hAnsi="Arial" w:cs="Arial"/>
        </w:rPr>
      </w:pPr>
      <w:r>
        <w:rPr>
          <w:rFonts w:ascii="Arial" w:hAnsi="Arial" w:cs="Arial"/>
        </w:rPr>
        <w:t>However, we remain unable to receive data from around 30 stations informing flood warning services. The missing data means there is greater forecast uncertainty than normal and increased pressure on staff on duty. This does not affect our ability to issue alerts and warnings if required. For the rest of the critical sites, the data feeds remain intermittent while we remain on the interim system developed after the cyber-attack. The service is unaffected, but it requires 24/7 maintenance from staff.</w:t>
      </w:r>
    </w:p>
    <w:p w14:paraId="6D23683B" w14:textId="77777777" w:rsidR="00BD1A65" w:rsidRDefault="00BD1A65" w:rsidP="00BD1A65">
      <w:pPr>
        <w:spacing w:line="360" w:lineRule="auto"/>
        <w:rPr>
          <w:rFonts w:ascii="Arial" w:hAnsi="Arial" w:cs="Arial"/>
          <w:lang w:val="en-US"/>
        </w:rPr>
      </w:pPr>
    </w:p>
    <w:p w14:paraId="7554D135" w14:textId="7C90B5FC" w:rsidR="003C56EE" w:rsidRDefault="003C56EE" w:rsidP="00BD1A65">
      <w:pPr>
        <w:spacing w:line="360" w:lineRule="auto"/>
        <w:rPr>
          <w:rFonts w:ascii="Arial" w:hAnsi="Arial" w:cs="Arial"/>
        </w:rPr>
      </w:pPr>
      <w:r>
        <w:rPr>
          <w:rFonts w:ascii="Arial" w:hAnsi="Arial" w:cs="Arial"/>
        </w:rPr>
        <w:t>Work is underway to restore access to the critical hydrometric stations and to move us from an interim to a longer term more resilient telemetry solution. Completion of this has been delayed into 2022</w:t>
      </w:r>
      <w:r w:rsidR="00E95883">
        <w:rPr>
          <w:rFonts w:ascii="Arial" w:hAnsi="Arial" w:cs="Arial"/>
        </w:rPr>
        <w:t>/</w:t>
      </w:r>
      <w:r>
        <w:rPr>
          <w:rFonts w:ascii="Arial" w:hAnsi="Arial" w:cs="Arial"/>
        </w:rPr>
        <w:t xml:space="preserve">2023, mainly due to the need to respond to a separate cyber-attack on our supplier in November 2021. We were able to put our business continuity arrangements in place and the service was maintained throughout </w:t>
      </w:r>
      <w:r w:rsidR="000845C9">
        <w:rPr>
          <w:rFonts w:ascii="Arial" w:hAnsi="Arial" w:cs="Arial"/>
        </w:rPr>
        <w:t>2021/2022</w:t>
      </w:r>
      <w:r>
        <w:rPr>
          <w:rFonts w:ascii="Arial" w:hAnsi="Arial" w:cs="Arial"/>
        </w:rPr>
        <w:t>. However, it has added pressure and requires ongoing management of the balance between short-term and long-term tasks.</w:t>
      </w:r>
    </w:p>
    <w:p w14:paraId="1CE20E72" w14:textId="77777777" w:rsidR="00BD1A65" w:rsidRDefault="00BD1A65" w:rsidP="00BD1A65">
      <w:pPr>
        <w:spacing w:line="360" w:lineRule="auto"/>
        <w:rPr>
          <w:rFonts w:ascii="Arial" w:hAnsi="Arial" w:cs="Arial"/>
        </w:rPr>
      </w:pPr>
    </w:p>
    <w:p w14:paraId="51EAC97A" w14:textId="2750EAA8" w:rsidR="003C56EE" w:rsidRDefault="003C56EE" w:rsidP="00BD1A65">
      <w:pPr>
        <w:spacing w:line="360" w:lineRule="auto"/>
        <w:rPr>
          <w:rFonts w:ascii="Arial" w:hAnsi="Arial" w:cs="Arial"/>
        </w:rPr>
      </w:pPr>
      <w:r>
        <w:rPr>
          <w:rFonts w:ascii="Arial" w:hAnsi="Arial" w:cs="Arial"/>
        </w:rPr>
        <w:t xml:space="preserve">We expect this issue to be fully resolved later in April 2022. This will be after completion of all cyber-security assurance to allow us to reinstate normal service for all locations. The </w:t>
      </w:r>
      <w:r>
        <w:rPr>
          <w:rFonts w:ascii="Arial" w:hAnsi="Arial" w:cs="Arial"/>
        </w:rPr>
        <w:lastRenderedPageBreak/>
        <w:t xml:space="preserve">missing data means there is greater forecast uncertainty than normal but does not affect our ability to issue alerts and warnings if required. </w:t>
      </w:r>
    </w:p>
    <w:p w14:paraId="66470532" w14:textId="77777777" w:rsidR="00BD1A65" w:rsidRDefault="00BD1A65" w:rsidP="00BD1A65">
      <w:pPr>
        <w:spacing w:line="360" w:lineRule="auto"/>
        <w:rPr>
          <w:rFonts w:ascii="Arial" w:hAnsi="Arial" w:cs="Arial"/>
        </w:rPr>
      </w:pPr>
    </w:p>
    <w:p w14:paraId="37402476" w14:textId="77777777" w:rsidR="003C56EE" w:rsidRDefault="003C56EE" w:rsidP="00BD1A65">
      <w:pPr>
        <w:widowControl w:val="0"/>
        <w:spacing w:line="360" w:lineRule="auto"/>
        <w:rPr>
          <w:rFonts w:ascii="Arial" w:eastAsia="Arial" w:hAnsi="Arial" w:cs="Arial"/>
          <w:b/>
          <w:bCs/>
          <w:color w:val="92D050"/>
        </w:rPr>
      </w:pPr>
      <w:r>
        <w:rPr>
          <w:rFonts w:ascii="Arial" w:hAnsi="Arial" w:cs="Arial"/>
          <w:b/>
        </w:rPr>
        <w:t xml:space="preserve">Flood forecasting system operation availability </w:t>
      </w:r>
    </w:p>
    <w:p w14:paraId="32C3A639" w14:textId="30804BD9" w:rsidR="003C56EE" w:rsidRDefault="003C56EE" w:rsidP="00BD1A65">
      <w:pPr>
        <w:spacing w:line="360" w:lineRule="auto"/>
        <w:rPr>
          <w:rFonts w:ascii="Arial" w:hAnsi="Arial" w:cs="Arial"/>
          <w:color w:val="000000" w:themeColor="text1"/>
        </w:rPr>
      </w:pPr>
      <w:r>
        <w:rPr>
          <w:rFonts w:ascii="Arial" w:hAnsi="Arial" w:cs="Arial"/>
          <w:color w:val="000000" w:themeColor="text1"/>
        </w:rPr>
        <w:t>We are currently using an interim cloud-based forecasting system until a more resilient twin system is rebuilt. The interim system has been 100% operational throughout the year apart from a partial 36-hour outage in August</w:t>
      </w:r>
      <w:r w:rsidR="002256A4">
        <w:rPr>
          <w:rFonts w:ascii="Arial" w:hAnsi="Arial" w:cs="Arial"/>
          <w:color w:val="000000" w:themeColor="text1"/>
        </w:rPr>
        <w:t xml:space="preserve"> 2021</w:t>
      </w:r>
      <w:r>
        <w:rPr>
          <w:rFonts w:ascii="Arial" w:hAnsi="Arial" w:cs="Arial"/>
          <w:color w:val="000000" w:themeColor="text1"/>
        </w:rPr>
        <w:t>. This was outside a period of flooding, and we quickly resolved it once identified.</w:t>
      </w:r>
    </w:p>
    <w:p w14:paraId="730DE252" w14:textId="77777777" w:rsidR="00BD1A65" w:rsidRDefault="00BD1A65" w:rsidP="00BD1A65">
      <w:pPr>
        <w:spacing w:line="360" w:lineRule="auto"/>
        <w:rPr>
          <w:rFonts w:ascii="Arial" w:hAnsi="Arial" w:cs="Arial"/>
          <w:color w:val="000000" w:themeColor="text1"/>
        </w:rPr>
      </w:pPr>
    </w:p>
    <w:p w14:paraId="16CCAD01" w14:textId="26D69E25" w:rsidR="003C56EE" w:rsidRDefault="003C56EE" w:rsidP="00BD1A65">
      <w:pPr>
        <w:widowControl w:val="0"/>
        <w:spacing w:line="360" w:lineRule="auto"/>
        <w:rPr>
          <w:rFonts w:ascii="Arial" w:hAnsi="Arial" w:cs="Arial"/>
          <w:color w:val="000000" w:themeColor="text1"/>
        </w:rPr>
      </w:pPr>
      <w:r>
        <w:rPr>
          <w:rFonts w:ascii="Arial" w:hAnsi="Arial" w:cs="Arial"/>
          <w:color w:val="000000" w:themeColor="text1"/>
        </w:rPr>
        <w:t>We have made good progress in the build of the long-term resilient twin forecasting system. We plan to continue this work in early 2022</w:t>
      </w:r>
      <w:r w:rsidR="00E95883">
        <w:rPr>
          <w:rFonts w:ascii="Arial" w:hAnsi="Arial" w:cs="Arial"/>
          <w:color w:val="000000" w:themeColor="text1"/>
        </w:rPr>
        <w:t>/</w:t>
      </w:r>
      <w:r>
        <w:rPr>
          <w:rFonts w:ascii="Arial" w:hAnsi="Arial" w:cs="Arial"/>
          <w:color w:val="000000" w:themeColor="text1"/>
        </w:rPr>
        <w:t>2023. Once this work is completed, we will be able to provide an enhanced environment to our duty forecasters and flood warning officers. We will also be able to share some local flood forecast information with local authorities. They have not been able to receive this information since the December 2020 cyber-attack.</w:t>
      </w:r>
    </w:p>
    <w:p w14:paraId="637B0CC0" w14:textId="77777777" w:rsidR="00BD1A65" w:rsidRDefault="00BD1A65" w:rsidP="00BD1A65">
      <w:pPr>
        <w:widowControl w:val="0"/>
        <w:spacing w:line="360" w:lineRule="auto"/>
        <w:rPr>
          <w:rFonts w:ascii="Arial" w:hAnsi="Arial" w:cs="Arial"/>
          <w:b/>
          <w:color w:val="000000" w:themeColor="text1"/>
          <w:lang w:val="en-US"/>
        </w:rPr>
      </w:pPr>
    </w:p>
    <w:p w14:paraId="4515C01A" w14:textId="77777777" w:rsidR="003C56EE" w:rsidRDefault="003C56EE" w:rsidP="00BD1A65">
      <w:pPr>
        <w:widowControl w:val="0"/>
        <w:spacing w:line="360" w:lineRule="auto"/>
        <w:rPr>
          <w:rFonts w:ascii="Arial" w:hAnsi="Arial" w:cs="Arial"/>
        </w:rPr>
      </w:pPr>
      <w:r>
        <w:rPr>
          <w:rFonts w:ascii="Arial" w:hAnsi="Arial" w:cs="Arial"/>
          <w:b/>
        </w:rPr>
        <w:t>Flood warning dissemination system operation availability</w:t>
      </w:r>
      <w:r>
        <w:rPr>
          <w:rFonts w:ascii="Arial" w:hAnsi="Arial" w:cs="Arial"/>
        </w:rPr>
        <w:t xml:space="preserve"> </w:t>
      </w:r>
    </w:p>
    <w:p w14:paraId="6E777CE2" w14:textId="4BF317C3" w:rsidR="003C56EE" w:rsidRDefault="003C56EE" w:rsidP="00BD1A65">
      <w:pPr>
        <w:widowControl w:val="0"/>
        <w:spacing w:line="360" w:lineRule="auto"/>
        <w:rPr>
          <w:rFonts w:ascii="Arial" w:hAnsi="Arial" w:cs="Arial"/>
        </w:rPr>
      </w:pPr>
      <w:r>
        <w:rPr>
          <w:rFonts w:ascii="Arial" w:hAnsi="Arial" w:cs="Arial"/>
        </w:rPr>
        <w:t>The flood warning dissemination system is used to issue flood guidance statements, regional flood alerts</w:t>
      </w:r>
      <w:r w:rsidR="00137BE1">
        <w:rPr>
          <w:rFonts w:ascii="Arial" w:hAnsi="Arial" w:cs="Arial"/>
        </w:rPr>
        <w:t>,</w:t>
      </w:r>
      <w:r>
        <w:rPr>
          <w:rFonts w:ascii="Arial" w:hAnsi="Arial" w:cs="Arial"/>
        </w:rPr>
        <w:t xml:space="preserve"> and local flood warning messages. It has been 100% operational during the last year. A minor system performance issue happened on 6 December. This slowed its performance, although it did remain functional. We were still able to issue the Flood Guidance Statement during this time.</w:t>
      </w:r>
    </w:p>
    <w:p w14:paraId="0F239838" w14:textId="77777777" w:rsidR="00BD1A65" w:rsidRDefault="00BD1A65" w:rsidP="00BD1A65">
      <w:pPr>
        <w:widowControl w:val="0"/>
        <w:spacing w:line="360" w:lineRule="auto"/>
        <w:rPr>
          <w:rFonts w:ascii="Arial" w:hAnsi="Arial" w:cs="Arial"/>
        </w:rPr>
      </w:pPr>
    </w:p>
    <w:p w14:paraId="78FEE954" w14:textId="63935990" w:rsidR="003C56EE" w:rsidRDefault="003C56EE" w:rsidP="00BD1A65">
      <w:pPr>
        <w:spacing w:line="360" w:lineRule="auto"/>
        <w:rPr>
          <w:rFonts w:ascii="Arial" w:hAnsi="Arial" w:cs="Arial"/>
        </w:rPr>
      </w:pPr>
      <w:r>
        <w:rPr>
          <w:rFonts w:ascii="Arial" w:hAnsi="Arial" w:cs="Arial"/>
        </w:rPr>
        <w:t>We have also progressed the development of an online daily, three days look ahead of flood risk across Scotland. This is the public face of our daily flood guidance statement we issue to responders. Once completed we will integrate this into the flood warning dissemination system. We are planning on this going live in May 2022.</w:t>
      </w:r>
    </w:p>
    <w:p w14:paraId="26DFC327" w14:textId="77777777" w:rsidR="00BD1A65" w:rsidRPr="00BD1A65" w:rsidRDefault="00BD1A65" w:rsidP="00BD1A65">
      <w:pPr>
        <w:spacing w:line="360" w:lineRule="auto"/>
        <w:rPr>
          <w:rFonts w:ascii="Arial" w:eastAsia="MS Gothic" w:hAnsi="Arial"/>
          <w:bCs/>
          <w:color w:val="00526F"/>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04EB7306"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54FCE509"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MS Gothic"/>
                <w:b/>
                <w:color w:val="00526F"/>
                <w:sz w:val="32"/>
                <w:szCs w:val="32"/>
              </w:rPr>
              <w:br w:type="page"/>
            </w:r>
            <w:r>
              <w:rPr>
                <w:rFonts w:eastAsia="Arial"/>
              </w:rPr>
              <w:t>F</w:t>
            </w:r>
            <w:r>
              <w:rPr>
                <w:rFonts w:eastAsia="Arial"/>
                <w:szCs w:val="20"/>
              </w:rPr>
              <w:t xml:space="preserve">looding </w:t>
            </w:r>
          </w:p>
        </w:tc>
      </w:tr>
      <w:tr w:rsidR="003C56EE" w14:paraId="38626880" w14:textId="77777777" w:rsidTr="009C21F4">
        <w:tc>
          <w:tcPr>
            <w:tcW w:w="4008" w:type="pct"/>
            <w:tcBorders>
              <w:top w:val="single" w:sz="24" w:space="0" w:color="00526F"/>
              <w:left w:val="single" w:sz="24" w:space="0" w:color="00526F"/>
              <w:bottom w:val="single" w:sz="24" w:space="0" w:color="00526F"/>
              <w:right w:val="single" w:sz="24" w:space="0" w:color="00526F"/>
            </w:tcBorders>
            <w:hideMark/>
          </w:tcPr>
          <w:p w14:paraId="57A85E1B" w14:textId="75300340"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w:t>
            </w:r>
            <w:r>
              <w:rPr>
                <w:rFonts w:eastAsia="Arial"/>
                <w:b/>
                <w:bCs/>
                <w:szCs w:val="20"/>
              </w:rPr>
              <w:t xml:space="preserve">easure 10: </w:t>
            </w:r>
            <w:r>
              <w:rPr>
                <w:rFonts w:eastAsia="Arial"/>
                <w:b/>
                <w:bCs/>
              </w:rPr>
              <w:t>Agree and implement long-term future flood incident messaging systems and telemetry solutions</w:t>
            </w:r>
            <w:r w:rsidR="009A4958">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DB4325"/>
            <w:vAlign w:val="center"/>
            <w:hideMark/>
          </w:tcPr>
          <w:p w14:paraId="712F2319"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Not Achieved</w:t>
            </w:r>
          </w:p>
        </w:tc>
      </w:tr>
    </w:tbl>
    <w:p w14:paraId="324FB810" w14:textId="77777777" w:rsidR="003C56EE" w:rsidRDefault="003C56EE" w:rsidP="003C56EE">
      <w:pPr>
        <w:rPr>
          <w:rFonts w:ascii="Arial" w:eastAsia="MS Gothic" w:hAnsi="Arial"/>
          <w:b/>
          <w:color w:val="00526F"/>
          <w:sz w:val="32"/>
          <w:szCs w:val="32"/>
        </w:rPr>
      </w:pPr>
    </w:p>
    <w:p w14:paraId="3755152E" w14:textId="0536136E" w:rsidR="003C56EE" w:rsidRDefault="003C56EE" w:rsidP="00AC736F">
      <w:pPr>
        <w:spacing w:line="360" w:lineRule="auto"/>
        <w:rPr>
          <w:rFonts w:ascii="Arial" w:hAnsi="Arial" w:cs="Arial"/>
        </w:rPr>
      </w:pPr>
      <w:r>
        <w:rPr>
          <w:rFonts w:ascii="Arial" w:hAnsi="Arial" w:cs="Arial"/>
        </w:rPr>
        <w:t>This measure has not been achieved. We have procured our flood forecasting and incident messaging service but decided to delay implementation of our telemetry service until later in 2022.</w:t>
      </w:r>
    </w:p>
    <w:p w14:paraId="069407FB" w14:textId="77777777" w:rsidR="00AC653C" w:rsidRDefault="00AC653C" w:rsidP="00AC736F">
      <w:pPr>
        <w:spacing w:line="360" w:lineRule="auto"/>
        <w:rPr>
          <w:rFonts w:ascii="Arial" w:hAnsi="Arial" w:cs="Arial"/>
        </w:rPr>
      </w:pPr>
    </w:p>
    <w:p w14:paraId="561A579B" w14:textId="77777777" w:rsidR="003C56EE" w:rsidRDefault="003C56EE" w:rsidP="00AC736F">
      <w:pPr>
        <w:spacing w:line="360" w:lineRule="auto"/>
        <w:rPr>
          <w:rFonts w:ascii="Arial" w:eastAsia="Calibri" w:hAnsi="Arial" w:cs="Arial"/>
          <w:b/>
          <w:bCs/>
        </w:rPr>
      </w:pPr>
      <w:r>
        <w:rPr>
          <w:rFonts w:ascii="Arial" w:eastAsia="Calibri" w:hAnsi="Arial" w:cs="Arial"/>
          <w:b/>
          <w:bCs/>
        </w:rPr>
        <w:lastRenderedPageBreak/>
        <w:t xml:space="preserve">Flood Forecasting and Incident Messaging Service </w:t>
      </w:r>
      <w:r w:rsidRPr="00501CB0">
        <w:rPr>
          <w:rFonts w:ascii="Wingdings" w:eastAsia="Wingdings" w:hAnsi="Wingdings" w:cs="Wingdings"/>
          <w:b/>
          <w:bCs/>
          <w:color w:val="92D050"/>
        </w:rPr>
        <w:t>ü</w:t>
      </w:r>
      <w:r w:rsidRPr="00501CB0">
        <w:rPr>
          <w:rFonts w:ascii="Arial" w:eastAsia="Arial" w:hAnsi="Arial" w:cs="Arial"/>
          <w:b/>
          <w:bCs/>
          <w:color w:val="92D050"/>
        </w:rPr>
        <w:t xml:space="preserve"> Achieved</w:t>
      </w:r>
    </w:p>
    <w:p w14:paraId="4B9FC39A" w14:textId="3AA79226" w:rsidR="003C56EE" w:rsidRDefault="003C56EE" w:rsidP="00AC736F">
      <w:pPr>
        <w:spacing w:line="360" w:lineRule="auto"/>
        <w:rPr>
          <w:rFonts w:ascii="Arial" w:eastAsia="Calibri" w:hAnsi="Arial" w:cs="Arial"/>
        </w:rPr>
      </w:pPr>
      <w:r>
        <w:rPr>
          <w:rFonts w:ascii="Arial" w:eastAsia="Calibri" w:hAnsi="Arial" w:cs="Arial"/>
        </w:rPr>
        <w:t>Procurement for our replacement flood warning dissemination system</w:t>
      </w:r>
      <w:r w:rsidR="007E3B44">
        <w:rPr>
          <w:rFonts w:ascii="Arial" w:eastAsia="Calibri" w:hAnsi="Arial" w:cs="Arial"/>
        </w:rPr>
        <w:t>,</w:t>
      </w:r>
      <w:r>
        <w:rPr>
          <w:rFonts w:ascii="Arial" w:eastAsia="Calibri" w:hAnsi="Arial" w:cs="Arial"/>
        </w:rPr>
        <w:t xml:space="preserve"> which has been operational since 2010</w:t>
      </w:r>
      <w:r w:rsidR="007E3B44">
        <w:rPr>
          <w:rFonts w:ascii="Arial" w:eastAsia="Calibri" w:hAnsi="Arial" w:cs="Arial"/>
        </w:rPr>
        <w:t>,</w:t>
      </w:r>
      <w:r>
        <w:rPr>
          <w:rFonts w:ascii="Arial" w:eastAsia="Calibri" w:hAnsi="Arial" w:cs="Arial"/>
        </w:rPr>
        <w:t xml:space="preserve"> began this year. During July and August</w:t>
      </w:r>
      <w:r w:rsidR="00BD749D">
        <w:rPr>
          <w:rFonts w:ascii="Arial" w:eastAsia="Calibri" w:hAnsi="Arial" w:cs="Arial"/>
        </w:rPr>
        <w:t xml:space="preserve"> 2021</w:t>
      </w:r>
      <w:r>
        <w:rPr>
          <w:rFonts w:ascii="Arial" w:eastAsia="Calibri" w:hAnsi="Arial" w:cs="Arial"/>
        </w:rPr>
        <w:t>, we held a series of workshops to ensure user needs for the future flood incident messaging system and telemetry solutions were considered.</w:t>
      </w:r>
    </w:p>
    <w:p w14:paraId="1F2505EA" w14:textId="77777777" w:rsidR="00AC653C" w:rsidRDefault="00AC653C" w:rsidP="00AC736F">
      <w:pPr>
        <w:spacing w:line="360" w:lineRule="auto"/>
        <w:rPr>
          <w:rFonts w:ascii="Arial" w:eastAsia="Calibri" w:hAnsi="Arial" w:cs="Arial"/>
        </w:rPr>
      </w:pPr>
    </w:p>
    <w:p w14:paraId="4B1FD32C" w14:textId="5DB7BF53" w:rsidR="003C56EE" w:rsidRDefault="003C56EE" w:rsidP="00AC736F">
      <w:pPr>
        <w:spacing w:line="360" w:lineRule="auto"/>
        <w:rPr>
          <w:rFonts w:ascii="Arial" w:eastAsia="Calibri" w:hAnsi="Arial" w:cs="Arial"/>
        </w:rPr>
      </w:pPr>
      <w:r>
        <w:rPr>
          <w:rFonts w:ascii="Arial" w:eastAsia="Calibri" w:hAnsi="Arial" w:cs="Arial"/>
        </w:rPr>
        <w:t>We worked with the Scottish Government to ensure our plans met its Digital Scotland pre-procurement technology assurance framework assessment. This is a process the Scottish Government requires all major digital projects to complete. We had to present evidence to show we had a sound business case for the project and a sound procurement process in place. The ‘Invitation to Tender’ was advertised on Public Contracts Scotland with a closing date of 21 December</w:t>
      </w:r>
      <w:r w:rsidR="00724A17">
        <w:rPr>
          <w:rFonts w:ascii="Arial" w:eastAsia="Calibri" w:hAnsi="Arial" w:cs="Arial"/>
        </w:rPr>
        <w:t xml:space="preserve"> 2021</w:t>
      </w:r>
      <w:r>
        <w:rPr>
          <w:rFonts w:ascii="Arial" w:eastAsia="Calibri" w:hAnsi="Arial" w:cs="Arial"/>
        </w:rPr>
        <w:t xml:space="preserve">. </w:t>
      </w:r>
    </w:p>
    <w:p w14:paraId="1AFF51EC" w14:textId="77777777" w:rsidR="00AC653C" w:rsidRDefault="00AC653C" w:rsidP="00AC736F">
      <w:pPr>
        <w:spacing w:line="360" w:lineRule="auto"/>
        <w:rPr>
          <w:rFonts w:ascii="Arial" w:eastAsia="Calibri" w:hAnsi="Arial" w:cs="Arial"/>
        </w:rPr>
      </w:pPr>
    </w:p>
    <w:p w14:paraId="1EF50BDD" w14:textId="14DD0E0E" w:rsidR="003C56EE" w:rsidRDefault="003C56EE" w:rsidP="00AC736F">
      <w:pPr>
        <w:spacing w:line="360" w:lineRule="auto"/>
        <w:rPr>
          <w:rFonts w:ascii="Arial" w:eastAsia="Calibri" w:hAnsi="Arial" w:cs="Arial"/>
        </w:rPr>
      </w:pPr>
      <w:r>
        <w:rPr>
          <w:rFonts w:ascii="Arial" w:eastAsia="Calibri" w:hAnsi="Arial" w:cs="Arial"/>
        </w:rPr>
        <w:t>At the end of March</w:t>
      </w:r>
      <w:r w:rsidR="00724A17">
        <w:rPr>
          <w:rFonts w:ascii="Arial" w:eastAsia="Calibri" w:hAnsi="Arial" w:cs="Arial"/>
        </w:rPr>
        <w:t xml:space="preserve"> 2022</w:t>
      </w:r>
      <w:r>
        <w:rPr>
          <w:rFonts w:ascii="Arial" w:eastAsia="Calibri" w:hAnsi="Arial" w:cs="Arial"/>
        </w:rPr>
        <w:t xml:space="preserve">, following the conclusion of the tender process, we signed a multimillion-pound, 12-year contract for the Future Flood and Incident Messaging Service with our existing supplier BT, supported by software company HTK. </w:t>
      </w:r>
    </w:p>
    <w:p w14:paraId="400F5B60" w14:textId="77777777" w:rsidR="00AC653C" w:rsidRDefault="00AC653C" w:rsidP="00AC736F">
      <w:pPr>
        <w:spacing w:line="360" w:lineRule="auto"/>
        <w:rPr>
          <w:rFonts w:ascii="Arial" w:eastAsia="Calibri" w:hAnsi="Arial" w:cs="Arial"/>
        </w:rPr>
      </w:pPr>
    </w:p>
    <w:p w14:paraId="39D4DEB3" w14:textId="28313670" w:rsidR="003C56EE" w:rsidRDefault="003C56EE" w:rsidP="00AC736F">
      <w:pPr>
        <w:spacing w:line="360" w:lineRule="auto"/>
        <w:rPr>
          <w:rFonts w:ascii="Arial" w:eastAsia="Calibri" w:hAnsi="Arial" w:cs="Arial"/>
        </w:rPr>
      </w:pPr>
      <w:r>
        <w:rPr>
          <w:rFonts w:ascii="Arial" w:eastAsia="Calibri" w:hAnsi="Arial" w:cs="Arial"/>
        </w:rPr>
        <w:t>The new service will continue to support the dissemination of flood messages and support our business continuity messaging service. It will also deliver a multi-hazard incident service. This will include water scarcity and new digitally transformative innovations. The service will be operational by April 2023.</w:t>
      </w:r>
    </w:p>
    <w:p w14:paraId="030221E3" w14:textId="77777777" w:rsidR="00AC653C" w:rsidRDefault="00AC653C" w:rsidP="00AC736F">
      <w:pPr>
        <w:spacing w:line="360" w:lineRule="auto"/>
        <w:rPr>
          <w:rFonts w:ascii="Arial" w:eastAsia="Calibri" w:hAnsi="Arial" w:cs="Arial"/>
        </w:rPr>
      </w:pPr>
    </w:p>
    <w:p w14:paraId="36704275" w14:textId="77777777" w:rsidR="003C56EE" w:rsidRPr="005A449E" w:rsidRDefault="003C56EE" w:rsidP="00AC736F">
      <w:pPr>
        <w:spacing w:line="360" w:lineRule="auto"/>
        <w:rPr>
          <w:rFonts w:ascii="Arial" w:eastAsia="Calibri" w:hAnsi="Arial" w:cs="Arial"/>
        </w:rPr>
      </w:pPr>
      <w:r>
        <w:rPr>
          <w:rFonts w:ascii="Arial" w:eastAsia="Calibri" w:hAnsi="Arial" w:cs="Arial"/>
        </w:rPr>
        <w:t xml:space="preserve">The contract, which could run beyond 2030 if all extensions are exercised, includes net zero targets aligned with our Regenerative SEPA goals. The new contract also offers assurance in terms of continuity of service delivery. It provides a seamless transition for our circa 34,000 customers registered to </w:t>
      </w:r>
      <w:proofErr w:type="spellStart"/>
      <w:r>
        <w:rPr>
          <w:rFonts w:ascii="Arial" w:eastAsia="Calibri" w:hAnsi="Arial" w:cs="Arial"/>
        </w:rPr>
        <w:t>Floodline</w:t>
      </w:r>
      <w:proofErr w:type="spellEnd"/>
      <w:r>
        <w:rPr>
          <w:rFonts w:ascii="Arial" w:eastAsia="Calibri" w:hAnsi="Arial" w:cs="Arial"/>
        </w:rPr>
        <w:t xml:space="preserve"> and over 900 responders who receive our daily Flood Guidance Statements.</w:t>
      </w:r>
    </w:p>
    <w:p w14:paraId="5498ED1F" w14:textId="77777777" w:rsidR="003C56EE" w:rsidRDefault="003C56EE" w:rsidP="00AC736F">
      <w:pPr>
        <w:spacing w:line="360" w:lineRule="auto"/>
        <w:rPr>
          <w:rFonts w:ascii="Arial" w:eastAsia="Calibri" w:hAnsi="Arial" w:cs="Arial"/>
          <w:b/>
          <w:bCs/>
        </w:rPr>
      </w:pPr>
    </w:p>
    <w:p w14:paraId="09CDAD89" w14:textId="77777777" w:rsidR="003C56EE" w:rsidRDefault="003C56EE" w:rsidP="00AC736F">
      <w:pPr>
        <w:spacing w:line="360" w:lineRule="auto"/>
        <w:rPr>
          <w:rFonts w:ascii="Arial" w:eastAsia="Calibri" w:hAnsi="Arial" w:cs="Arial"/>
          <w:b/>
          <w:bCs/>
        </w:rPr>
      </w:pPr>
      <w:r>
        <w:rPr>
          <w:rFonts w:ascii="Arial" w:eastAsia="Calibri" w:hAnsi="Arial" w:cs="Arial"/>
          <w:b/>
          <w:bCs/>
        </w:rPr>
        <w:t>Future telemetry solutions</w:t>
      </w:r>
      <w:r>
        <w:rPr>
          <w:rFonts w:ascii="Arial" w:eastAsia="Calibri" w:hAnsi="Arial" w:cs="Arial"/>
        </w:rPr>
        <w:t xml:space="preserve"> </w:t>
      </w:r>
      <w:r>
        <w:rPr>
          <w:rFonts w:ascii="Arial" w:eastAsia="Calibri" w:hAnsi="Arial" w:cs="Arial"/>
          <w:b/>
          <w:bCs/>
          <w:color w:val="FF0000"/>
        </w:rPr>
        <w:t xml:space="preserve"> X Not achieved</w:t>
      </w:r>
    </w:p>
    <w:p w14:paraId="32870A22" w14:textId="282EBF6E" w:rsidR="003C56EE" w:rsidRDefault="003C56EE" w:rsidP="00AC736F">
      <w:pPr>
        <w:spacing w:line="360" w:lineRule="auto"/>
        <w:rPr>
          <w:rFonts w:ascii="Arial" w:eastAsia="Calibri" w:hAnsi="Arial" w:cs="Arial"/>
        </w:rPr>
      </w:pPr>
      <w:r>
        <w:rPr>
          <w:rFonts w:ascii="Arial" w:eastAsia="Calibri" w:hAnsi="Arial" w:cs="Arial"/>
        </w:rPr>
        <w:t>This measure has not been achieved because we delayed the implementation timescale for our telemetry service replacement until later in 2022 to minimise disruption to services during the critical winter period. The delay allowed us to build and increase the resilience of interim solutions, particularly following the cyber-attack experienced by our external supplier. We are on track to begin procurement in the first quarter of 2022</w:t>
      </w:r>
      <w:r w:rsidR="001C0B5F">
        <w:rPr>
          <w:rFonts w:ascii="Arial" w:eastAsia="Calibri" w:hAnsi="Arial" w:cs="Arial"/>
        </w:rPr>
        <w:t>/</w:t>
      </w:r>
      <w:r>
        <w:rPr>
          <w:rFonts w:ascii="Arial" w:eastAsia="Calibri" w:hAnsi="Arial" w:cs="Arial"/>
        </w:rPr>
        <w:t>2023.</w:t>
      </w:r>
    </w:p>
    <w:p w14:paraId="019C7806" w14:textId="11F694FB" w:rsidR="003C56EE" w:rsidRDefault="003C56EE" w:rsidP="00AC736F">
      <w:pPr>
        <w:spacing w:line="360" w:lineRule="auto"/>
        <w:rPr>
          <w:rFonts w:ascii="Arial" w:eastAsia="Calibri" w:hAnsi="Arial" w:cs="Arial"/>
        </w:rPr>
      </w:pPr>
      <w:r>
        <w:rPr>
          <w:rFonts w:ascii="Arial" w:eastAsia="Calibri" w:hAnsi="Arial" w:cs="Arial"/>
        </w:rPr>
        <w:t xml:space="preserve">Our telemetry systems monitor things like rainfall, river, and sea conditions from circa 600 remote sites. They process the data for use by services like flood forecasting and warning. </w:t>
      </w:r>
      <w:r>
        <w:rPr>
          <w:rFonts w:ascii="Arial" w:eastAsia="Calibri" w:hAnsi="Arial" w:cs="Arial"/>
        </w:rPr>
        <w:lastRenderedPageBreak/>
        <w:t>Our existing telemetry system, which was impacted by the cyber-attack, had been operational for more than 10 years. We intend to replace it with new world class services based on the newest technologies. This will improve system resilience and expand our capabilities in monitoring other environmental parameters to support regulatory requirements.</w:t>
      </w:r>
    </w:p>
    <w:p w14:paraId="3BBE182E" w14:textId="77777777" w:rsidR="00C92779" w:rsidRPr="00C92779" w:rsidRDefault="00C92779" w:rsidP="00C92779">
      <w:pPr>
        <w:spacing w:line="360" w:lineRule="auto"/>
        <w:rPr>
          <w:rFonts w:ascii="Arial" w:eastAsia="MS Gothic" w:hAnsi="Arial"/>
          <w:bCs/>
          <w:color w:val="00526F"/>
        </w:rPr>
      </w:pPr>
    </w:p>
    <w:p w14:paraId="6AB51E19" w14:textId="65FAEA4C" w:rsidR="003C56EE" w:rsidRPr="00C92779" w:rsidRDefault="003C56EE" w:rsidP="00C92779">
      <w:pPr>
        <w:widowControl w:val="0"/>
        <w:spacing w:line="360" w:lineRule="auto"/>
        <w:rPr>
          <w:rFonts w:ascii="Arial" w:hAnsi="Arial" w:cs="Arial"/>
          <w:b/>
        </w:rPr>
      </w:pPr>
      <w:r w:rsidRPr="00C92779">
        <w:rPr>
          <w:rFonts w:ascii="Arial" w:hAnsi="Arial" w:cs="Arial"/>
          <w:b/>
        </w:rPr>
        <w:t>Corporate</w:t>
      </w: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rsidRPr="005532A2" w14:paraId="4A4FA7C8"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AF1DD" w:themeFill="accent3" w:themeFillTint="33"/>
            <w:hideMark/>
          </w:tcPr>
          <w:p w14:paraId="41508D75"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Corporate</w:t>
            </w:r>
          </w:p>
        </w:tc>
      </w:tr>
      <w:tr w:rsidR="003C56EE" w14:paraId="481C060E" w14:textId="77777777" w:rsidTr="00600F56">
        <w:tc>
          <w:tcPr>
            <w:tcW w:w="4008" w:type="pct"/>
            <w:tcBorders>
              <w:top w:val="single" w:sz="24" w:space="0" w:color="00526F"/>
              <w:left w:val="single" w:sz="24" w:space="0" w:color="00526F"/>
              <w:bottom w:val="single" w:sz="24" w:space="0" w:color="00526F"/>
              <w:right w:val="single" w:sz="24" w:space="0" w:color="00526F"/>
            </w:tcBorders>
            <w:hideMark/>
          </w:tcPr>
          <w:p w14:paraId="6CE47B2C" w14:textId="5AD0F61C" w:rsidR="003C56EE" w:rsidRDefault="003C56EE" w:rsidP="00CF1904">
            <w:pPr>
              <w:overflowPunct w:val="0"/>
              <w:autoSpaceDE w:val="0"/>
              <w:autoSpaceDN w:val="0"/>
              <w:adjustRightInd w:val="0"/>
              <w:spacing w:after="120" w:line="480" w:lineRule="auto"/>
              <w:textAlignment w:val="baseline"/>
              <w:rPr>
                <w:b/>
                <w:bCs/>
              </w:rPr>
            </w:pPr>
            <w:r>
              <w:rPr>
                <w:rFonts w:eastAsia="Arial"/>
                <w:b/>
                <w:bCs/>
              </w:rPr>
              <w:t>M</w:t>
            </w:r>
            <w:r>
              <w:rPr>
                <w:rFonts w:eastAsia="Arial"/>
                <w:b/>
                <w:bCs/>
                <w:szCs w:val="20"/>
              </w:rPr>
              <w:t xml:space="preserve">easure 11: </w:t>
            </w:r>
            <w:r>
              <w:rPr>
                <w:rFonts w:eastAsia="Arial"/>
                <w:b/>
                <w:bCs/>
              </w:rPr>
              <w:t>100% of managers have been offered group coaching sessions</w:t>
            </w:r>
            <w:r w:rsidR="009517C6">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145626D2"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762110AA" w14:textId="77777777" w:rsidR="003C56EE" w:rsidRDefault="003C56EE" w:rsidP="005532A2">
      <w:pPr>
        <w:spacing w:line="360" w:lineRule="auto"/>
        <w:rPr>
          <w:rFonts w:ascii="Arial" w:eastAsia="Calibri" w:hAnsi="Arial" w:cs="Arial"/>
          <w:color w:val="000000"/>
        </w:rPr>
      </w:pPr>
    </w:p>
    <w:p w14:paraId="6D8931D5" w14:textId="56AF11E0" w:rsidR="003C56EE" w:rsidRDefault="003C56EE" w:rsidP="005532A2">
      <w:pPr>
        <w:spacing w:line="360" w:lineRule="auto"/>
        <w:rPr>
          <w:rFonts w:ascii="Arial" w:eastAsia="Calibri" w:hAnsi="Arial" w:cs="Arial"/>
          <w:color w:val="000000"/>
          <w:shd w:val="clear" w:color="auto" w:fill="FFFFFF"/>
        </w:rPr>
      </w:pPr>
      <w:r>
        <w:rPr>
          <w:rFonts w:ascii="Arial" w:eastAsia="Calibri" w:hAnsi="Arial" w:cs="Arial"/>
          <w:color w:val="000000"/>
        </w:rPr>
        <w:t xml:space="preserve">We achieved this measure </w:t>
      </w:r>
      <w:r>
        <w:rPr>
          <w:rFonts w:ascii="Arial" w:hAnsi="Arial" w:cs="Arial"/>
          <w:color w:val="000000" w:themeColor="text1"/>
        </w:rPr>
        <w:t>as group coaching sessions were offered to all managers</w:t>
      </w:r>
      <w:r>
        <w:rPr>
          <w:rFonts w:ascii="Arial" w:eastAsia="Calibri" w:hAnsi="Arial" w:cs="Arial"/>
          <w:color w:val="000000"/>
        </w:rPr>
        <w:t xml:space="preserve">. </w:t>
      </w:r>
      <w:r>
        <w:rPr>
          <w:rFonts w:ascii="Arial" w:eastAsia="Calibri" w:hAnsi="Arial" w:cs="Arial"/>
          <w:color w:val="000000"/>
          <w:shd w:val="clear" w:color="auto" w:fill="FFFFFF"/>
        </w:rPr>
        <w:t xml:space="preserve">Between April and July, 103 managers requested sessions. We delivered 14 coaching sessions during this period and all 103 managers were offered a place. </w:t>
      </w:r>
    </w:p>
    <w:p w14:paraId="154DB391" w14:textId="77777777" w:rsidR="005532A2" w:rsidRDefault="005532A2" w:rsidP="005532A2">
      <w:pPr>
        <w:spacing w:line="360" w:lineRule="auto"/>
        <w:rPr>
          <w:rFonts w:ascii="Arial" w:eastAsia="Calibri" w:hAnsi="Arial" w:cs="Arial"/>
          <w:color w:val="000000"/>
          <w:shd w:val="clear" w:color="auto" w:fill="FFFFFF"/>
        </w:rPr>
      </w:pPr>
    </w:p>
    <w:p w14:paraId="43499DC2" w14:textId="77777777" w:rsidR="003C56EE" w:rsidRDefault="003C56EE" w:rsidP="005532A2">
      <w:pPr>
        <w:spacing w:line="360" w:lineRule="auto"/>
        <w:rPr>
          <w:rFonts w:ascii="Arial" w:eastAsia="MS Gothic" w:hAnsi="Arial"/>
          <w:b/>
          <w:color w:val="00526F"/>
          <w:sz w:val="32"/>
          <w:szCs w:val="32"/>
          <w:lang w:eastAsia="en-US"/>
        </w:rPr>
      </w:pPr>
      <w:r>
        <w:rPr>
          <w:rFonts w:ascii="Arial" w:eastAsia="Calibri" w:hAnsi="Arial" w:cs="Arial"/>
          <w:color w:val="000000"/>
          <w:shd w:val="clear" w:color="auto" w:fill="FFFFFF"/>
        </w:rPr>
        <w:t>Following feedback from managers around the risk of “overloading” on sessions, we decided not to take forward any further group coaching sessions after July 2021 and focus on delivering the management development programme explained in Measure 12 instead.</w:t>
      </w:r>
    </w:p>
    <w:p w14:paraId="7A35EC2C" w14:textId="77777777" w:rsidR="003C56EE" w:rsidRPr="005532A2" w:rsidRDefault="003C56EE" w:rsidP="005532A2">
      <w:pPr>
        <w:spacing w:line="360" w:lineRule="auto"/>
        <w:rPr>
          <w:rFonts w:ascii="Arial" w:eastAsia="MS Gothic" w:hAnsi="Arial"/>
          <w:bCs/>
          <w:color w:val="00526F"/>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2"/>
        <w:gridCol w:w="1929"/>
      </w:tblGrid>
      <w:tr w:rsidR="003C56EE" w14:paraId="2F2F7FD0"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01B245E1"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Corporate</w:t>
            </w:r>
          </w:p>
        </w:tc>
      </w:tr>
      <w:tr w:rsidR="003C56EE" w14:paraId="723C22B4" w14:textId="77777777" w:rsidTr="00600F56">
        <w:tc>
          <w:tcPr>
            <w:tcW w:w="4008" w:type="pct"/>
            <w:tcBorders>
              <w:top w:val="single" w:sz="24" w:space="0" w:color="00526F"/>
              <w:left w:val="single" w:sz="24" w:space="0" w:color="00526F"/>
              <w:bottom w:val="single" w:sz="24" w:space="0" w:color="00526F"/>
              <w:right w:val="single" w:sz="24" w:space="0" w:color="00526F"/>
            </w:tcBorders>
            <w:hideMark/>
          </w:tcPr>
          <w:p w14:paraId="4C471572" w14:textId="199AED01" w:rsidR="003C56EE" w:rsidRDefault="003C56EE" w:rsidP="00CF1904">
            <w:pPr>
              <w:overflowPunct w:val="0"/>
              <w:autoSpaceDE w:val="0"/>
              <w:autoSpaceDN w:val="0"/>
              <w:adjustRightInd w:val="0"/>
              <w:spacing w:after="120" w:line="360" w:lineRule="auto"/>
              <w:textAlignment w:val="baseline"/>
              <w:rPr>
                <w:b/>
                <w:bCs/>
              </w:rPr>
            </w:pPr>
            <w:r>
              <w:rPr>
                <w:rFonts w:eastAsia="Arial"/>
                <w:b/>
                <w:bCs/>
              </w:rPr>
              <w:t>M</w:t>
            </w:r>
            <w:r>
              <w:rPr>
                <w:rFonts w:eastAsia="Arial"/>
                <w:b/>
                <w:bCs/>
                <w:szCs w:val="20"/>
              </w:rPr>
              <w:t xml:space="preserve">easure 12: </w:t>
            </w:r>
            <w:r>
              <w:rPr>
                <w:rFonts w:eastAsia="Arial"/>
                <w:b/>
                <w:bCs/>
              </w:rPr>
              <w:t>We have run management development sessions on four topics by 31 March 2022</w:t>
            </w:r>
            <w:r w:rsidR="004911C0">
              <w:rPr>
                <w:rFonts w:eastAsia="Arial"/>
                <w:b/>
                <w:bCs/>
              </w:rPr>
              <w:t>.</w:t>
            </w:r>
          </w:p>
        </w:tc>
        <w:tc>
          <w:tcPr>
            <w:tcW w:w="992"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5E0EA0D0"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080C36C0" w14:textId="77777777" w:rsidR="003C56EE" w:rsidRDefault="003C56EE" w:rsidP="005532A2">
      <w:pPr>
        <w:spacing w:line="360" w:lineRule="auto"/>
        <w:rPr>
          <w:rFonts w:ascii="Arial" w:eastAsia="Calibri" w:hAnsi="Arial" w:cs="Arial"/>
          <w:color w:val="000000"/>
        </w:rPr>
      </w:pPr>
    </w:p>
    <w:p w14:paraId="579D11D4" w14:textId="79CBC2D1" w:rsidR="003C56EE" w:rsidRDefault="003C56EE" w:rsidP="005532A2">
      <w:pPr>
        <w:spacing w:line="360" w:lineRule="auto"/>
        <w:rPr>
          <w:rFonts w:ascii="Arial" w:eastAsia="Arial" w:hAnsi="Arial" w:cs="Arial"/>
          <w:color w:val="000000"/>
        </w:rPr>
      </w:pPr>
      <w:r>
        <w:rPr>
          <w:rFonts w:ascii="Arial" w:eastAsia="Calibri" w:hAnsi="Arial" w:cs="Arial"/>
          <w:color w:val="000000"/>
        </w:rPr>
        <w:t xml:space="preserve">We achieved this measure as </w:t>
      </w:r>
      <w:r>
        <w:rPr>
          <w:rFonts w:ascii="Arial" w:eastAsia="Calibri" w:hAnsi="Arial" w:cs="Arial"/>
        </w:rPr>
        <w:t>we successfully ran</w:t>
      </w:r>
      <w:r>
        <w:rPr>
          <w:rFonts w:ascii="Arial" w:eastAsia="Arial" w:hAnsi="Arial" w:cs="Arial"/>
          <w:color w:val="000000"/>
        </w:rPr>
        <w:t xml:space="preserve"> management development sessions on the following four topics. We split these sessions up over the year. The topics and numbers of managers attending are shown in the tables below.</w:t>
      </w:r>
    </w:p>
    <w:p w14:paraId="183F38B9" w14:textId="2865FE50" w:rsidR="00EB6753" w:rsidRPr="005831A8" w:rsidRDefault="00BD1B24" w:rsidP="00C11DF1">
      <w:pPr>
        <w:spacing w:line="360" w:lineRule="auto"/>
        <w:rPr>
          <w:rFonts w:ascii="Arial" w:eastAsia="Arial" w:hAnsi="Arial" w:cs="Arial"/>
          <w:color w:val="000000"/>
        </w:rPr>
      </w:pPr>
      <w:r>
        <w:rPr>
          <w:rFonts w:ascii="Arial" w:eastAsia="Arial" w:hAnsi="Arial" w:cs="Arial"/>
          <w:color w:val="000000"/>
        </w:rPr>
        <w:br w:type="page"/>
      </w:r>
    </w:p>
    <w:tbl>
      <w:tblPr>
        <w:tblStyle w:val="TableGrid"/>
        <w:tblW w:w="0" w:type="auto"/>
        <w:tblLook w:val="04A0" w:firstRow="1" w:lastRow="0" w:firstColumn="1" w:lastColumn="0" w:noHBand="0" w:noVBand="1"/>
      </w:tblPr>
      <w:tblGrid>
        <w:gridCol w:w="4531"/>
        <w:gridCol w:w="2694"/>
        <w:gridCol w:w="2546"/>
      </w:tblGrid>
      <w:tr w:rsidR="0075758B" w:rsidRPr="0075758B" w14:paraId="089A7751" w14:textId="77777777" w:rsidTr="00560B23">
        <w:tc>
          <w:tcPr>
            <w:tcW w:w="4531" w:type="dxa"/>
            <w:shd w:val="clear" w:color="auto" w:fill="EAF1DD" w:themeFill="accent3" w:themeFillTint="33"/>
          </w:tcPr>
          <w:p w14:paraId="10B01BC9" w14:textId="6EAD37FB" w:rsidR="0075758B" w:rsidRPr="00560B23" w:rsidRDefault="0075758B" w:rsidP="00C11DF1">
            <w:pPr>
              <w:spacing w:line="360" w:lineRule="auto"/>
              <w:rPr>
                <w:rFonts w:ascii="Arial" w:eastAsia="MS Gothic" w:hAnsi="Arial"/>
                <w:b/>
                <w:color w:val="000000" w:themeColor="text1"/>
              </w:rPr>
            </w:pPr>
            <w:r w:rsidRPr="00560B23">
              <w:rPr>
                <w:rFonts w:ascii="Arial" w:eastAsia="MS Gothic" w:hAnsi="Arial"/>
                <w:b/>
                <w:color w:val="000000" w:themeColor="text1"/>
              </w:rPr>
              <w:lastRenderedPageBreak/>
              <w:t>Workshop topic</w:t>
            </w:r>
          </w:p>
        </w:tc>
        <w:tc>
          <w:tcPr>
            <w:tcW w:w="2694" w:type="dxa"/>
            <w:shd w:val="clear" w:color="auto" w:fill="EAF1DD" w:themeFill="accent3" w:themeFillTint="33"/>
          </w:tcPr>
          <w:p w14:paraId="4F26AD55" w14:textId="582A5A7E" w:rsidR="0075758B" w:rsidRPr="00560B23" w:rsidRDefault="00D33C17" w:rsidP="00C11DF1">
            <w:pPr>
              <w:spacing w:line="360" w:lineRule="auto"/>
              <w:rPr>
                <w:rFonts w:ascii="Arial" w:eastAsia="MS Gothic" w:hAnsi="Arial"/>
                <w:b/>
                <w:color w:val="000000" w:themeColor="text1"/>
              </w:rPr>
            </w:pPr>
            <w:r w:rsidRPr="00560B23">
              <w:rPr>
                <w:rFonts w:ascii="Arial" w:eastAsia="MS Gothic" w:hAnsi="Arial"/>
                <w:b/>
                <w:color w:val="000000" w:themeColor="text1"/>
              </w:rPr>
              <w:t>Number of workshops run</w:t>
            </w:r>
          </w:p>
        </w:tc>
        <w:tc>
          <w:tcPr>
            <w:tcW w:w="2546" w:type="dxa"/>
            <w:shd w:val="clear" w:color="auto" w:fill="EAF1DD" w:themeFill="accent3" w:themeFillTint="33"/>
          </w:tcPr>
          <w:p w14:paraId="19D48261" w14:textId="1E6EAE67" w:rsidR="0075758B" w:rsidRPr="00560B23" w:rsidRDefault="00D33C17" w:rsidP="00C11DF1">
            <w:pPr>
              <w:spacing w:line="360" w:lineRule="auto"/>
              <w:rPr>
                <w:rFonts w:ascii="Arial" w:eastAsia="MS Gothic" w:hAnsi="Arial"/>
                <w:b/>
                <w:color w:val="000000" w:themeColor="text1"/>
              </w:rPr>
            </w:pPr>
            <w:r w:rsidRPr="00560B23">
              <w:rPr>
                <w:rFonts w:ascii="Arial" w:eastAsia="MS Gothic" w:hAnsi="Arial"/>
                <w:b/>
                <w:color w:val="000000" w:themeColor="text1"/>
              </w:rPr>
              <w:t>Number of managers attended</w:t>
            </w:r>
          </w:p>
        </w:tc>
      </w:tr>
      <w:tr w:rsidR="0075758B" w:rsidRPr="0075758B" w14:paraId="5B99960D" w14:textId="77777777" w:rsidTr="00560B23">
        <w:tc>
          <w:tcPr>
            <w:tcW w:w="4531" w:type="dxa"/>
          </w:tcPr>
          <w:p w14:paraId="28E01B1F" w14:textId="5D616BC2"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 xml:space="preserve">Performance </w:t>
            </w:r>
            <w:r w:rsidR="00F839B6">
              <w:rPr>
                <w:rFonts w:ascii="Arial" w:eastAsia="MS Gothic" w:hAnsi="Arial"/>
                <w:bCs/>
                <w:color w:val="000000" w:themeColor="text1"/>
              </w:rPr>
              <w:t>d</w:t>
            </w:r>
            <w:r>
              <w:rPr>
                <w:rFonts w:ascii="Arial" w:eastAsia="MS Gothic" w:hAnsi="Arial"/>
                <w:bCs/>
                <w:color w:val="000000" w:themeColor="text1"/>
              </w:rPr>
              <w:t xml:space="preserve">evelopment </w:t>
            </w:r>
            <w:r w:rsidR="00F839B6">
              <w:rPr>
                <w:rFonts w:ascii="Arial" w:eastAsia="MS Gothic" w:hAnsi="Arial"/>
                <w:bCs/>
                <w:color w:val="000000" w:themeColor="text1"/>
              </w:rPr>
              <w:t>r</w:t>
            </w:r>
            <w:r>
              <w:rPr>
                <w:rFonts w:ascii="Arial" w:eastAsia="MS Gothic" w:hAnsi="Arial"/>
                <w:bCs/>
                <w:color w:val="000000" w:themeColor="text1"/>
              </w:rPr>
              <w:t>eview</w:t>
            </w:r>
          </w:p>
        </w:tc>
        <w:tc>
          <w:tcPr>
            <w:tcW w:w="2694" w:type="dxa"/>
          </w:tcPr>
          <w:p w14:paraId="387D2CAF" w14:textId="1D1822C3"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10</w:t>
            </w:r>
          </w:p>
        </w:tc>
        <w:tc>
          <w:tcPr>
            <w:tcW w:w="2546" w:type="dxa"/>
          </w:tcPr>
          <w:p w14:paraId="352806CC" w14:textId="3C56A158"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82</w:t>
            </w:r>
          </w:p>
        </w:tc>
      </w:tr>
      <w:tr w:rsidR="0075758B" w:rsidRPr="0075758B" w14:paraId="5CE003E5" w14:textId="77777777" w:rsidTr="00560B23">
        <w:tc>
          <w:tcPr>
            <w:tcW w:w="4531" w:type="dxa"/>
          </w:tcPr>
          <w:p w14:paraId="2E1E57AD" w14:textId="5868797D"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 xml:space="preserve">Equality, </w:t>
            </w:r>
            <w:r w:rsidR="00F839B6">
              <w:rPr>
                <w:rFonts w:ascii="Arial" w:eastAsia="MS Gothic" w:hAnsi="Arial"/>
                <w:bCs/>
                <w:color w:val="000000" w:themeColor="text1"/>
              </w:rPr>
              <w:t>d</w:t>
            </w:r>
            <w:r>
              <w:rPr>
                <w:rFonts w:ascii="Arial" w:eastAsia="MS Gothic" w:hAnsi="Arial"/>
                <w:bCs/>
                <w:color w:val="000000" w:themeColor="text1"/>
              </w:rPr>
              <w:t xml:space="preserve">iversity, and </w:t>
            </w:r>
            <w:r w:rsidR="00F839B6">
              <w:rPr>
                <w:rFonts w:ascii="Arial" w:eastAsia="MS Gothic" w:hAnsi="Arial"/>
                <w:bCs/>
                <w:color w:val="000000" w:themeColor="text1"/>
              </w:rPr>
              <w:t>i</w:t>
            </w:r>
            <w:r>
              <w:rPr>
                <w:rFonts w:ascii="Arial" w:eastAsia="MS Gothic" w:hAnsi="Arial"/>
                <w:bCs/>
                <w:color w:val="000000" w:themeColor="text1"/>
              </w:rPr>
              <w:t>nclusion</w:t>
            </w:r>
          </w:p>
        </w:tc>
        <w:tc>
          <w:tcPr>
            <w:tcW w:w="2694" w:type="dxa"/>
          </w:tcPr>
          <w:p w14:paraId="5D16515A" w14:textId="0A40582F"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15</w:t>
            </w:r>
          </w:p>
        </w:tc>
        <w:tc>
          <w:tcPr>
            <w:tcW w:w="2546" w:type="dxa"/>
          </w:tcPr>
          <w:p w14:paraId="3C3BCACE" w14:textId="3B8C09B1" w:rsidR="0075758B" w:rsidRPr="0075758B" w:rsidRDefault="00277086" w:rsidP="00C11DF1">
            <w:pPr>
              <w:spacing w:line="360" w:lineRule="auto"/>
              <w:rPr>
                <w:rFonts w:ascii="Arial" w:eastAsia="MS Gothic" w:hAnsi="Arial"/>
                <w:bCs/>
                <w:color w:val="000000" w:themeColor="text1"/>
              </w:rPr>
            </w:pPr>
            <w:r>
              <w:rPr>
                <w:rFonts w:ascii="Arial" w:eastAsia="MS Gothic" w:hAnsi="Arial"/>
                <w:bCs/>
                <w:color w:val="000000" w:themeColor="text1"/>
              </w:rPr>
              <w:t>156</w:t>
            </w:r>
          </w:p>
        </w:tc>
      </w:tr>
      <w:tr w:rsidR="0075758B" w:rsidRPr="0075758B" w14:paraId="2325F0C3" w14:textId="77777777" w:rsidTr="00560B23">
        <w:tc>
          <w:tcPr>
            <w:tcW w:w="4531" w:type="dxa"/>
          </w:tcPr>
          <w:p w14:paraId="190257D6" w14:textId="5802E544" w:rsidR="0075758B" w:rsidRPr="0075758B" w:rsidRDefault="00F839B6" w:rsidP="00C11DF1">
            <w:pPr>
              <w:spacing w:line="360" w:lineRule="auto"/>
              <w:rPr>
                <w:rFonts w:ascii="Arial" w:eastAsia="MS Gothic" w:hAnsi="Arial"/>
                <w:bCs/>
                <w:color w:val="000000" w:themeColor="text1"/>
              </w:rPr>
            </w:pPr>
            <w:r>
              <w:rPr>
                <w:rFonts w:ascii="Arial" w:eastAsia="MS Gothic" w:hAnsi="Arial"/>
                <w:bCs/>
                <w:color w:val="000000" w:themeColor="text1"/>
              </w:rPr>
              <w:t>The art of delegation</w:t>
            </w:r>
          </w:p>
        </w:tc>
        <w:tc>
          <w:tcPr>
            <w:tcW w:w="2694" w:type="dxa"/>
          </w:tcPr>
          <w:p w14:paraId="09F078F3" w14:textId="44EFEE56" w:rsidR="0075758B" w:rsidRPr="0075758B" w:rsidRDefault="00F839B6" w:rsidP="00C11DF1">
            <w:pPr>
              <w:spacing w:line="360" w:lineRule="auto"/>
              <w:rPr>
                <w:rFonts w:ascii="Arial" w:eastAsia="MS Gothic" w:hAnsi="Arial"/>
                <w:bCs/>
                <w:color w:val="000000" w:themeColor="text1"/>
              </w:rPr>
            </w:pPr>
            <w:r>
              <w:rPr>
                <w:rFonts w:ascii="Arial" w:eastAsia="MS Gothic" w:hAnsi="Arial"/>
                <w:bCs/>
                <w:color w:val="000000" w:themeColor="text1"/>
              </w:rPr>
              <w:t>5</w:t>
            </w:r>
          </w:p>
        </w:tc>
        <w:tc>
          <w:tcPr>
            <w:tcW w:w="2546" w:type="dxa"/>
          </w:tcPr>
          <w:p w14:paraId="695CAB56" w14:textId="5D774DC9" w:rsidR="0075758B" w:rsidRPr="0075758B" w:rsidRDefault="00F839B6" w:rsidP="00C11DF1">
            <w:pPr>
              <w:spacing w:line="360" w:lineRule="auto"/>
              <w:rPr>
                <w:rFonts w:ascii="Arial" w:eastAsia="MS Gothic" w:hAnsi="Arial"/>
                <w:bCs/>
                <w:color w:val="000000" w:themeColor="text1"/>
              </w:rPr>
            </w:pPr>
            <w:r>
              <w:rPr>
                <w:rFonts w:ascii="Arial" w:eastAsia="MS Gothic" w:hAnsi="Arial"/>
                <w:bCs/>
                <w:color w:val="000000" w:themeColor="text1"/>
              </w:rPr>
              <w:t>43</w:t>
            </w:r>
          </w:p>
        </w:tc>
      </w:tr>
      <w:tr w:rsidR="00F839B6" w:rsidRPr="0075758B" w14:paraId="6F612910" w14:textId="77777777" w:rsidTr="00560B23">
        <w:tc>
          <w:tcPr>
            <w:tcW w:w="4531" w:type="dxa"/>
          </w:tcPr>
          <w:p w14:paraId="0480BCF8" w14:textId="1F43119F" w:rsidR="00F839B6" w:rsidRDefault="00F839B6" w:rsidP="00C11DF1">
            <w:pPr>
              <w:spacing w:line="360" w:lineRule="auto"/>
              <w:rPr>
                <w:rFonts w:ascii="Arial" w:eastAsia="MS Gothic" w:hAnsi="Arial"/>
                <w:bCs/>
                <w:color w:val="000000" w:themeColor="text1"/>
              </w:rPr>
            </w:pPr>
            <w:r>
              <w:rPr>
                <w:rFonts w:ascii="Arial" w:eastAsia="MS Gothic" w:hAnsi="Arial"/>
                <w:bCs/>
                <w:color w:val="000000" w:themeColor="text1"/>
              </w:rPr>
              <w:t xml:space="preserve">Grow </w:t>
            </w:r>
            <w:r w:rsidR="005831A8">
              <w:rPr>
                <w:rFonts w:ascii="Arial" w:eastAsia="MS Gothic" w:hAnsi="Arial"/>
                <w:bCs/>
                <w:color w:val="000000" w:themeColor="text1"/>
              </w:rPr>
              <w:t>your coaching practice</w:t>
            </w:r>
          </w:p>
        </w:tc>
        <w:tc>
          <w:tcPr>
            <w:tcW w:w="2694" w:type="dxa"/>
          </w:tcPr>
          <w:p w14:paraId="59DE2513" w14:textId="6B07C099" w:rsidR="00F839B6" w:rsidRDefault="005831A8" w:rsidP="00C11DF1">
            <w:pPr>
              <w:spacing w:line="360" w:lineRule="auto"/>
              <w:rPr>
                <w:rFonts w:ascii="Arial" w:eastAsia="MS Gothic" w:hAnsi="Arial"/>
                <w:bCs/>
                <w:color w:val="000000" w:themeColor="text1"/>
              </w:rPr>
            </w:pPr>
            <w:r>
              <w:rPr>
                <w:rFonts w:ascii="Arial" w:eastAsia="MS Gothic" w:hAnsi="Arial"/>
                <w:bCs/>
                <w:color w:val="000000" w:themeColor="text1"/>
              </w:rPr>
              <w:t>9</w:t>
            </w:r>
          </w:p>
        </w:tc>
        <w:tc>
          <w:tcPr>
            <w:tcW w:w="2546" w:type="dxa"/>
          </w:tcPr>
          <w:p w14:paraId="3A411F79" w14:textId="4CD759CD" w:rsidR="00F839B6" w:rsidRDefault="005831A8" w:rsidP="00C11DF1">
            <w:pPr>
              <w:spacing w:line="360" w:lineRule="auto"/>
              <w:rPr>
                <w:rFonts w:ascii="Arial" w:eastAsia="MS Gothic" w:hAnsi="Arial"/>
                <w:bCs/>
                <w:color w:val="000000" w:themeColor="text1"/>
              </w:rPr>
            </w:pPr>
            <w:r>
              <w:rPr>
                <w:rFonts w:ascii="Arial" w:eastAsia="MS Gothic" w:hAnsi="Arial"/>
                <w:bCs/>
                <w:color w:val="000000" w:themeColor="text1"/>
              </w:rPr>
              <w:t>34</w:t>
            </w:r>
          </w:p>
        </w:tc>
      </w:tr>
    </w:tbl>
    <w:p w14:paraId="54266C01" w14:textId="77777777" w:rsidR="00EB6753" w:rsidRPr="0075758B" w:rsidRDefault="00EB6753" w:rsidP="00C11DF1">
      <w:pPr>
        <w:spacing w:line="360" w:lineRule="auto"/>
        <w:rPr>
          <w:rFonts w:ascii="Arial" w:eastAsia="MS Gothic" w:hAnsi="Arial"/>
          <w:bCs/>
          <w:color w:val="000000" w:themeColor="text1"/>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34C9BD7C"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68C04FFE"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Corporate</w:t>
            </w:r>
          </w:p>
        </w:tc>
      </w:tr>
      <w:tr w:rsidR="003C56EE" w14:paraId="4C8A4CC3" w14:textId="77777777" w:rsidTr="00600F56">
        <w:tc>
          <w:tcPr>
            <w:tcW w:w="4011" w:type="pct"/>
            <w:tcBorders>
              <w:top w:val="single" w:sz="24" w:space="0" w:color="00526F"/>
              <w:left w:val="single" w:sz="24" w:space="0" w:color="00526F"/>
              <w:bottom w:val="single" w:sz="24" w:space="0" w:color="00526F"/>
              <w:right w:val="single" w:sz="24" w:space="0" w:color="00526F"/>
            </w:tcBorders>
            <w:hideMark/>
          </w:tcPr>
          <w:p w14:paraId="3A76FB57" w14:textId="36733C88"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w:t>
            </w:r>
            <w:r>
              <w:rPr>
                <w:rFonts w:eastAsia="Arial"/>
                <w:b/>
                <w:bCs/>
                <w:szCs w:val="20"/>
              </w:rPr>
              <w:t xml:space="preserve">easure 13: </w:t>
            </w:r>
            <w:r>
              <w:rPr>
                <w:rFonts w:eastAsia="Arial"/>
                <w:b/>
                <w:bCs/>
              </w:rPr>
              <w:t xml:space="preserve">Staff </w:t>
            </w:r>
            <w:r w:rsidR="000845C9">
              <w:rPr>
                <w:rFonts w:eastAsia="Arial"/>
                <w:b/>
                <w:bCs/>
              </w:rPr>
              <w:t>2021/2022</w:t>
            </w:r>
            <w:r>
              <w:rPr>
                <w:rFonts w:eastAsia="Arial"/>
                <w:b/>
                <w:bCs/>
              </w:rPr>
              <w:t xml:space="preserve"> data and the </w:t>
            </w:r>
            <w:r w:rsidR="007E23A2">
              <w:rPr>
                <w:rFonts w:eastAsia="Arial"/>
                <w:b/>
                <w:bCs/>
              </w:rPr>
              <w:t>2020/2021</w:t>
            </w:r>
            <w:r>
              <w:rPr>
                <w:rFonts w:eastAsia="Arial"/>
                <w:b/>
                <w:bCs/>
              </w:rPr>
              <w:t xml:space="preserve"> closing balance sheet are complete in Agresso by November</w:t>
            </w:r>
            <w:r>
              <w:rPr>
                <w:b/>
                <w:bCs/>
              </w:rPr>
              <w:t xml:space="preserve"> </w:t>
            </w:r>
            <w:r>
              <w:rPr>
                <w:rFonts w:eastAsia="Arial"/>
                <w:b/>
                <w:bCs/>
              </w:rPr>
              <w:t>2021</w:t>
            </w:r>
            <w:r w:rsidR="00B91D50">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0195026A"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Achieved</w:t>
            </w:r>
          </w:p>
        </w:tc>
      </w:tr>
    </w:tbl>
    <w:p w14:paraId="70AFADC7" w14:textId="77777777" w:rsidR="003C56EE" w:rsidRDefault="003C56EE" w:rsidP="00C11DF1">
      <w:pPr>
        <w:spacing w:line="360" w:lineRule="auto"/>
        <w:rPr>
          <w:rFonts w:ascii="Arial" w:eastAsia="Arial" w:hAnsi="Arial" w:cs="Arial"/>
          <w:color w:val="000000"/>
        </w:rPr>
      </w:pPr>
    </w:p>
    <w:p w14:paraId="1EAAA7E7" w14:textId="14E4701B" w:rsidR="003C56EE" w:rsidRDefault="003C56EE" w:rsidP="00C11DF1">
      <w:pPr>
        <w:spacing w:line="360" w:lineRule="auto"/>
        <w:rPr>
          <w:rFonts w:ascii="Arial" w:eastAsia="Arial" w:hAnsi="Arial" w:cs="Arial"/>
          <w:color w:val="000000"/>
        </w:rPr>
      </w:pPr>
      <w:r>
        <w:rPr>
          <w:rFonts w:ascii="Arial" w:eastAsia="Arial" w:hAnsi="Arial" w:cs="Arial"/>
          <w:color w:val="000000"/>
        </w:rPr>
        <w:t>We achieved this measure because we completed the works to build our staff data from 1 April 2021 into our financial system (Agresso) and recreate our 2020</w:t>
      </w:r>
      <w:r w:rsidR="007E23A2">
        <w:rPr>
          <w:rFonts w:ascii="Arial" w:eastAsia="Arial" w:hAnsi="Arial" w:cs="Arial"/>
          <w:color w:val="000000"/>
        </w:rPr>
        <w:t>/</w:t>
      </w:r>
      <w:r>
        <w:rPr>
          <w:rFonts w:ascii="Arial" w:eastAsia="Arial" w:hAnsi="Arial" w:cs="Arial"/>
          <w:color w:val="000000"/>
        </w:rPr>
        <w:t>2021 financial record. This meant we could complete our Annual Report and Accounts</w:t>
      </w:r>
      <w:r w:rsidR="00E65182">
        <w:rPr>
          <w:rFonts w:ascii="Arial" w:eastAsia="Arial" w:hAnsi="Arial" w:cs="Arial"/>
          <w:color w:val="000000"/>
        </w:rPr>
        <w:t xml:space="preserve"> 2020/21</w:t>
      </w:r>
      <w:r>
        <w:rPr>
          <w:rFonts w:ascii="Arial" w:eastAsia="Arial" w:hAnsi="Arial" w:cs="Arial"/>
          <w:color w:val="000000"/>
        </w:rPr>
        <w:t>, which were formally signed off by the Agency Board and submitted to Audit Scotland in December 2021.</w:t>
      </w:r>
    </w:p>
    <w:p w14:paraId="107A53C5" w14:textId="77777777" w:rsidR="00C11DF1" w:rsidRDefault="00C11DF1" w:rsidP="00C11DF1">
      <w:pPr>
        <w:spacing w:line="360" w:lineRule="auto"/>
        <w:rPr>
          <w:rFonts w:ascii="Arial" w:hAnsi="Arial"/>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6" w:space="0" w:color="00526F"/>
        </w:tblBorders>
        <w:tblCellMar>
          <w:top w:w="57" w:type="dxa"/>
          <w:bottom w:w="57" w:type="dxa"/>
        </w:tblCellMar>
        <w:tblLook w:val="04A0" w:firstRow="1" w:lastRow="0" w:firstColumn="1" w:lastColumn="0" w:noHBand="0" w:noVBand="1"/>
      </w:tblPr>
      <w:tblGrid>
        <w:gridCol w:w="7798"/>
        <w:gridCol w:w="1923"/>
      </w:tblGrid>
      <w:tr w:rsidR="003C56EE" w14:paraId="2C01FBB6" w14:textId="77777777" w:rsidTr="009C21F4">
        <w:trPr>
          <w:trHeight w:val="582"/>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13F7FF18" w14:textId="77777777" w:rsidR="003C56EE" w:rsidRDefault="003C56EE" w:rsidP="00CF1904">
            <w:pPr>
              <w:overflowPunct w:val="0"/>
              <w:autoSpaceDE w:val="0"/>
              <w:autoSpaceDN w:val="0"/>
              <w:adjustRightInd w:val="0"/>
              <w:spacing w:line="360" w:lineRule="auto"/>
              <w:textAlignment w:val="baseline"/>
              <w:rPr>
                <w:rFonts w:eastAsia="Arial"/>
              </w:rPr>
            </w:pPr>
            <w:r>
              <w:rPr>
                <w:rFonts w:eastAsia="Arial"/>
              </w:rPr>
              <w:t>Corporate</w:t>
            </w:r>
          </w:p>
        </w:tc>
      </w:tr>
      <w:tr w:rsidR="003C56EE" w14:paraId="5A144970" w14:textId="77777777" w:rsidTr="009C21F4">
        <w:tc>
          <w:tcPr>
            <w:tcW w:w="4011" w:type="pct"/>
            <w:tcBorders>
              <w:top w:val="single" w:sz="24" w:space="0" w:color="00526F"/>
              <w:left w:val="single" w:sz="24" w:space="0" w:color="00526F"/>
              <w:bottom w:val="single" w:sz="24" w:space="0" w:color="00526F"/>
              <w:right w:val="single" w:sz="24" w:space="0" w:color="00526F"/>
            </w:tcBorders>
            <w:hideMark/>
          </w:tcPr>
          <w:p w14:paraId="63222D3D" w14:textId="240A2BEB"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Measure 14: Invoices are issued by 30 September 2021 and the debt level is returned within year to pre</w:t>
            </w:r>
            <w:r>
              <w:rPr>
                <w:b/>
                <w:bCs/>
              </w:rPr>
              <w:t>-</w:t>
            </w:r>
            <w:r>
              <w:rPr>
                <w:rFonts w:eastAsia="Arial"/>
                <w:b/>
                <w:bCs/>
              </w:rPr>
              <w:t>COVID</w:t>
            </w:r>
            <w:r w:rsidR="00B91D50">
              <w:rPr>
                <w:rFonts w:eastAsia="Arial"/>
                <w:b/>
                <w:bCs/>
              </w:rPr>
              <w:t>-19</w:t>
            </w:r>
            <w:r>
              <w:rPr>
                <w:b/>
                <w:bCs/>
              </w:rPr>
              <w:t xml:space="preserve"> </w:t>
            </w:r>
            <w:r>
              <w:rPr>
                <w:rFonts w:eastAsia="Arial"/>
                <w:b/>
                <w:bCs/>
              </w:rPr>
              <w:t>and cyber levels by March 2022</w:t>
            </w:r>
            <w:r w:rsidR="00B91D50">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DB4325"/>
            <w:vAlign w:val="center"/>
            <w:hideMark/>
          </w:tcPr>
          <w:p w14:paraId="312E58E0" w14:textId="77777777" w:rsidR="003C56EE" w:rsidRDefault="003C56EE" w:rsidP="00CF1904">
            <w:pPr>
              <w:overflowPunct w:val="0"/>
              <w:autoSpaceDE w:val="0"/>
              <w:autoSpaceDN w:val="0"/>
              <w:adjustRightInd w:val="0"/>
              <w:spacing w:line="360" w:lineRule="auto"/>
              <w:jc w:val="center"/>
              <w:textAlignment w:val="baseline"/>
              <w:rPr>
                <w:rFonts w:eastAsia="Arial"/>
                <w:highlight w:val="yellow"/>
              </w:rPr>
            </w:pPr>
            <w:r>
              <w:rPr>
                <w:rFonts w:eastAsia="Arial"/>
              </w:rPr>
              <w:t>Not achieved</w:t>
            </w:r>
          </w:p>
        </w:tc>
      </w:tr>
    </w:tbl>
    <w:p w14:paraId="57523324" w14:textId="77777777" w:rsidR="003C56EE" w:rsidRDefault="003C56EE" w:rsidP="00C11DF1">
      <w:pPr>
        <w:spacing w:line="360" w:lineRule="auto"/>
        <w:rPr>
          <w:rFonts w:ascii="Arial" w:eastAsia="Calibri" w:hAnsi="Arial" w:cs="Arial"/>
          <w:color w:val="000000"/>
        </w:rPr>
      </w:pPr>
    </w:p>
    <w:p w14:paraId="0780C3AC" w14:textId="5841473C" w:rsidR="003C56EE" w:rsidRDefault="003C56EE" w:rsidP="00C11DF1">
      <w:pPr>
        <w:spacing w:line="360" w:lineRule="auto"/>
        <w:rPr>
          <w:rFonts w:ascii="Arial" w:eastAsia="Calibri" w:hAnsi="Arial" w:cs="Arial"/>
          <w:color w:val="000000"/>
        </w:rPr>
      </w:pPr>
      <w:r>
        <w:rPr>
          <w:rFonts w:ascii="Arial" w:eastAsia="Calibri" w:hAnsi="Arial" w:cs="Arial"/>
          <w:color w:val="000000"/>
        </w:rPr>
        <w:t>We have not achieved this measure as we have not yet reduced our debt-level to pre-COVID</w:t>
      </w:r>
      <w:r w:rsidR="002F388D">
        <w:rPr>
          <w:rFonts w:ascii="Arial" w:eastAsia="Calibri" w:hAnsi="Arial" w:cs="Arial"/>
          <w:color w:val="000000"/>
        </w:rPr>
        <w:t>-19</w:t>
      </w:r>
      <w:r>
        <w:rPr>
          <w:rFonts w:ascii="Arial" w:eastAsia="Calibri" w:hAnsi="Arial" w:cs="Arial"/>
          <w:color w:val="000000"/>
        </w:rPr>
        <w:t xml:space="preserve"> and cyber levels.</w:t>
      </w:r>
    </w:p>
    <w:p w14:paraId="4EEB2B48" w14:textId="77777777" w:rsidR="00C11DF1" w:rsidRDefault="00C11DF1" w:rsidP="00C11DF1">
      <w:pPr>
        <w:spacing w:line="360" w:lineRule="auto"/>
        <w:rPr>
          <w:rFonts w:ascii="Arial" w:eastAsia="Arial" w:hAnsi="Arial" w:cs="Arial"/>
          <w:color w:val="000000"/>
        </w:rPr>
      </w:pPr>
    </w:p>
    <w:p w14:paraId="71DF5DEC" w14:textId="77777777" w:rsidR="003C56EE" w:rsidRDefault="003C56EE" w:rsidP="00C11DF1">
      <w:pPr>
        <w:spacing w:line="360" w:lineRule="auto"/>
        <w:rPr>
          <w:rFonts w:ascii="Arial" w:eastAsia="Arial" w:hAnsi="Arial" w:cs="Arial"/>
          <w:b/>
          <w:bCs/>
          <w:color w:val="92D050"/>
        </w:rPr>
      </w:pPr>
      <w:r>
        <w:rPr>
          <w:rFonts w:ascii="Arial" w:eastAsia="Arial" w:hAnsi="Arial" w:cs="Arial"/>
          <w:b/>
          <w:bCs/>
          <w:color w:val="000000"/>
        </w:rPr>
        <w:t>Invoices are issued by 30 September 2021</w:t>
      </w:r>
      <w:r>
        <w:rPr>
          <w:rFonts w:ascii="Arial" w:eastAsia="Arial" w:hAnsi="Arial" w:cs="Arial"/>
          <w:color w:val="000000"/>
        </w:rPr>
        <w:t xml:space="preserve"> </w:t>
      </w:r>
      <w:r>
        <w:rPr>
          <w:rFonts w:ascii="Wingdings" w:eastAsia="Wingdings" w:hAnsi="Wingdings" w:cs="Wingdings"/>
          <w:b/>
          <w:bCs/>
          <w:color w:val="92D050"/>
        </w:rPr>
        <w:t>ü</w:t>
      </w:r>
      <w:r>
        <w:rPr>
          <w:rFonts w:ascii="Arial" w:eastAsia="Arial" w:hAnsi="Arial" w:cs="Arial"/>
          <w:b/>
          <w:bCs/>
          <w:color w:val="92D050"/>
        </w:rPr>
        <w:t xml:space="preserve"> Achieved</w:t>
      </w:r>
    </w:p>
    <w:p w14:paraId="212308AB" w14:textId="450EB335" w:rsidR="003C56EE" w:rsidRDefault="003C56EE" w:rsidP="00C11DF1">
      <w:pPr>
        <w:spacing w:line="360" w:lineRule="auto"/>
        <w:rPr>
          <w:rFonts w:ascii="Arial" w:eastAsia="Arial" w:hAnsi="Arial" w:cs="Arial"/>
          <w:color w:val="000000"/>
        </w:rPr>
      </w:pPr>
      <w:r>
        <w:rPr>
          <w:rFonts w:ascii="Arial" w:eastAsia="Arial" w:hAnsi="Arial" w:cs="Arial"/>
          <w:color w:val="000000"/>
        </w:rPr>
        <w:t xml:space="preserve">We successfully completed the billing run in September, and we have received 84% of our charging scheme income for </w:t>
      </w:r>
      <w:r w:rsidR="000845C9">
        <w:rPr>
          <w:rFonts w:ascii="Arial" w:eastAsia="Arial" w:hAnsi="Arial" w:cs="Arial"/>
          <w:color w:val="000000"/>
        </w:rPr>
        <w:t>2021/2022</w:t>
      </w:r>
      <w:r>
        <w:rPr>
          <w:rFonts w:ascii="Arial" w:eastAsia="Arial" w:hAnsi="Arial" w:cs="Arial"/>
          <w:color w:val="000000"/>
        </w:rPr>
        <w:t>.</w:t>
      </w:r>
    </w:p>
    <w:p w14:paraId="12E42FCF" w14:textId="77777777" w:rsidR="00C11DF1" w:rsidRDefault="00C11DF1" w:rsidP="00C11DF1">
      <w:pPr>
        <w:spacing w:line="360" w:lineRule="auto"/>
        <w:rPr>
          <w:rFonts w:ascii="Arial" w:eastAsia="Arial" w:hAnsi="Arial" w:cs="Arial"/>
          <w:color w:val="000000"/>
        </w:rPr>
      </w:pPr>
    </w:p>
    <w:p w14:paraId="58104B2E" w14:textId="5F9D9262" w:rsidR="003C56EE" w:rsidRDefault="003C56EE" w:rsidP="00C11DF1">
      <w:pPr>
        <w:spacing w:line="360" w:lineRule="auto"/>
        <w:rPr>
          <w:rFonts w:ascii="Arial" w:eastAsia="Arial" w:hAnsi="Arial" w:cs="Arial"/>
          <w:b/>
          <w:bCs/>
          <w:color w:val="FF0000"/>
        </w:rPr>
      </w:pPr>
      <w:r>
        <w:rPr>
          <w:rFonts w:ascii="Arial" w:eastAsia="Arial" w:hAnsi="Arial" w:cs="Arial"/>
          <w:b/>
          <w:bCs/>
          <w:color w:val="000000"/>
        </w:rPr>
        <w:t>The debt level is returned to pre</w:t>
      </w:r>
      <w:r>
        <w:rPr>
          <w:b/>
          <w:bCs/>
          <w:color w:val="000000"/>
        </w:rPr>
        <w:t>-</w:t>
      </w:r>
      <w:r>
        <w:rPr>
          <w:rFonts w:ascii="Arial" w:eastAsia="Arial" w:hAnsi="Arial" w:cs="Arial"/>
          <w:b/>
          <w:bCs/>
          <w:color w:val="000000"/>
        </w:rPr>
        <w:t>COVID</w:t>
      </w:r>
      <w:r w:rsidR="002F388D">
        <w:rPr>
          <w:rFonts w:ascii="Arial" w:eastAsia="Arial" w:hAnsi="Arial" w:cs="Arial"/>
          <w:b/>
          <w:bCs/>
          <w:color w:val="000000"/>
        </w:rPr>
        <w:t>-19</w:t>
      </w:r>
      <w:r>
        <w:rPr>
          <w:b/>
          <w:bCs/>
          <w:color w:val="000000"/>
        </w:rPr>
        <w:t xml:space="preserve"> </w:t>
      </w:r>
      <w:r>
        <w:rPr>
          <w:rFonts w:ascii="Arial" w:eastAsia="Arial" w:hAnsi="Arial" w:cs="Arial"/>
          <w:b/>
          <w:bCs/>
          <w:color w:val="000000"/>
        </w:rPr>
        <w:t xml:space="preserve">and cyber levels by March 2022. </w:t>
      </w:r>
      <w:r>
        <w:rPr>
          <w:rFonts w:ascii="Arial" w:eastAsia="Arial" w:hAnsi="Arial" w:cs="Arial"/>
          <w:b/>
          <w:bCs/>
          <w:color w:val="FF0000"/>
        </w:rPr>
        <w:t>x Not achieved</w:t>
      </w:r>
    </w:p>
    <w:p w14:paraId="0421135C" w14:textId="3FD3BFAD" w:rsidR="003C56EE" w:rsidRDefault="003C56EE" w:rsidP="00C11DF1">
      <w:pPr>
        <w:spacing w:line="360" w:lineRule="auto"/>
        <w:rPr>
          <w:rFonts w:ascii="Arial" w:eastAsia="Arial" w:hAnsi="Arial" w:cs="Arial"/>
          <w:color w:val="000000"/>
        </w:rPr>
      </w:pPr>
      <w:r>
        <w:rPr>
          <w:rFonts w:ascii="Arial" w:eastAsia="Arial" w:hAnsi="Arial" w:cs="Arial"/>
          <w:color w:val="000000"/>
        </w:rPr>
        <w:t xml:space="preserve">Due to the loss of access to our financial records resulting from the cyber-attack in 2020, verifying outstanding customer balances was a complex and lengthy task. We have, </w:t>
      </w:r>
      <w:r>
        <w:rPr>
          <w:rFonts w:ascii="Arial" w:eastAsia="Arial" w:hAnsi="Arial" w:cs="Arial"/>
          <w:color w:val="000000"/>
        </w:rPr>
        <w:lastRenderedPageBreak/>
        <w:t xml:space="preserve">however, completed this work and we issued customer statements detailing outstanding balances for </w:t>
      </w:r>
      <w:r w:rsidR="007E23A2">
        <w:rPr>
          <w:rFonts w:ascii="Arial" w:eastAsia="Arial" w:hAnsi="Arial" w:cs="Arial"/>
          <w:color w:val="000000"/>
        </w:rPr>
        <w:t>2020/2021</w:t>
      </w:r>
      <w:r>
        <w:rPr>
          <w:rFonts w:ascii="Arial" w:eastAsia="Arial" w:hAnsi="Arial" w:cs="Arial"/>
          <w:color w:val="000000"/>
        </w:rPr>
        <w:t xml:space="preserve"> and </w:t>
      </w:r>
      <w:r w:rsidR="000845C9">
        <w:rPr>
          <w:rFonts w:ascii="Arial" w:eastAsia="Arial" w:hAnsi="Arial" w:cs="Arial"/>
          <w:color w:val="000000"/>
        </w:rPr>
        <w:t>2021/2022</w:t>
      </w:r>
      <w:r>
        <w:rPr>
          <w:rFonts w:ascii="Arial" w:eastAsia="Arial" w:hAnsi="Arial" w:cs="Arial"/>
          <w:color w:val="000000"/>
        </w:rPr>
        <w:t xml:space="preserve"> in March 2022.</w:t>
      </w:r>
    </w:p>
    <w:p w14:paraId="71CAEDBD" w14:textId="77777777" w:rsidR="00604320" w:rsidRDefault="00604320" w:rsidP="00C11DF1">
      <w:pPr>
        <w:spacing w:line="360" w:lineRule="auto"/>
        <w:rPr>
          <w:rFonts w:ascii="Arial" w:eastAsia="Arial" w:hAnsi="Arial" w:cs="Arial"/>
          <w:color w:val="000000"/>
        </w:rPr>
      </w:pPr>
    </w:p>
    <w:p w14:paraId="03F05644" w14:textId="306331E5" w:rsidR="003C56EE" w:rsidRPr="00757AA1" w:rsidRDefault="003C56EE" w:rsidP="00C11DF1">
      <w:pPr>
        <w:spacing w:line="360" w:lineRule="auto"/>
        <w:rPr>
          <w:rFonts w:ascii="Arial" w:eastAsia="Arial" w:hAnsi="Arial" w:cs="Arial"/>
          <w:color w:val="000000"/>
        </w:rPr>
      </w:pPr>
      <w:r>
        <w:rPr>
          <w:rFonts w:ascii="Arial" w:eastAsia="Arial" w:hAnsi="Arial" w:cs="Arial"/>
          <w:color w:val="000000"/>
        </w:rPr>
        <w:t>We have been receiving a high level of queries about these statements which we are working through. This has meant we have been unable to return the debt level to pre-COVID</w:t>
      </w:r>
      <w:r w:rsidR="00A80AA9">
        <w:rPr>
          <w:rFonts w:ascii="Arial" w:eastAsia="Arial" w:hAnsi="Arial" w:cs="Arial"/>
          <w:color w:val="000000"/>
        </w:rPr>
        <w:t>-19</w:t>
      </w:r>
      <w:r>
        <w:rPr>
          <w:rFonts w:ascii="Arial" w:eastAsia="Arial" w:hAnsi="Arial" w:cs="Arial"/>
          <w:color w:val="000000"/>
        </w:rPr>
        <w:t xml:space="preserve"> and cyber levels this year. Once we have resolved customer queries, we will initiate our normal debt collection cycle to reduce the level of debt. We are aiming to achieve this goal in the next financial year.</w:t>
      </w:r>
    </w:p>
    <w:p w14:paraId="362A17C4" w14:textId="77777777" w:rsidR="003C56EE" w:rsidRPr="00604320" w:rsidRDefault="003C56EE" w:rsidP="00604320">
      <w:pPr>
        <w:spacing w:line="360" w:lineRule="auto"/>
        <w:rPr>
          <w:rFonts w:ascii="Arial" w:eastAsia="MS Gothic" w:hAnsi="Arial"/>
          <w:bCs/>
          <w:color w:val="00526F"/>
          <w:lang w:eastAsia="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7E3BDA2F" w14:textId="77777777" w:rsidTr="009C21F4">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07DE825D" w14:textId="77777777" w:rsidR="003C56EE" w:rsidRDefault="003C56EE" w:rsidP="00CF1904">
            <w:pPr>
              <w:overflowPunct w:val="0"/>
              <w:autoSpaceDE w:val="0"/>
              <w:autoSpaceDN w:val="0"/>
              <w:adjustRightInd w:val="0"/>
              <w:spacing w:line="480" w:lineRule="auto"/>
              <w:textAlignment w:val="baseline"/>
              <w:rPr>
                <w:rFonts w:eastAsia="Arial"/>
              </w:rPr>
            </w:pPr>
            <w:r>
              <w:rPr>
                <w:rFonts w:eastAsia="Arial"/>
              </w:rPr>
              <w:t xml:space="preserve">Corporate </w:t>
            </w:r>
          </w:p>
        </w:tc>
      </w:tr>
      <w:tr w:rsidR="003C56EE" w14:paraId="0D37ED78" w14:textId="77777777" w:rsidTr="009C21F4">
        <w:tc>
          <w:tcPr>
            <w:tcW w:w="4011" w:type="pct"/>
            <w:tcBorders>
              <w:top w:val="single" w:sz="24" w:space="0" w:color="00526F"/>
              <w:left w:val="single" w:sz="24" w:space="0" w:color="00526F"/>
              <w:bottom w:val="single" w:sz="24" w:space="0" w:color="00526F"/>
              <w:right w:val="single" w:sz="24" w:space="0" w:color="00526F"/>
            </w:tcBorders>
            <w:hideMark/>
          </w:tcPr>
          <w:p w14:paraId="592E4A50" w14:textId="6817E91A" w:rsidR="003C56EE" w:rsidRDefault="003C56EE" w:rsidP="00CF1904">
            <w:pPr>
              <w:overflowPunct w:val="0"/>
              <w:autoSpaceDE w:val="0"/>
              <w:autoSpaceDN w:val="0"/>
              <w:adjustRightInd w:val="0"/>
              <w:spacing w:after="120" w:line="360" w:lineRule="auto"/>
              <w:textAlignment w:val="baseline"/>
              <w:rPr>
                <w:rFonts w:eastAsia="Arial"/>
                <w:b/>
                <w:bCs/>
              </w:rPr>
            </w:pPr>
            <w:r>
              <w:rPr>
                <w:rFonts w:eastAsia="Arial"/>
                <w:b/>
                <w:bCs/>
              </w:rPr>
              <w:t xml:space="preserve">Measure 15: Our </w:t>
            </w:r>
            <w:r w:rsidR="007E1C83">
              <w:rPr>
                <w:rFonts w:eastAsia="Arial"/>
                <w:b/>
                <w:bCs/>
              </w:rPr>
              <w:t>P</w:t>
            </w:r>
            <w:r>
              <w:rPr>
                <w:rFonts w:eastAsia="Arial"/>
                <w:b/>
                <w:bCs/>
              </w:rPr>
              <w:t xml:space="preserve">rocurement </w:t>
            </w:r>
            <w:r w:rsidR="007E1C83">
              <w:rPr>
                <w:rFonts w:eastAsia="Arial"/>
                <w:b/>
                <w:bCs/>
              </w:rPr>
              <w:t>S</w:t>
            </w:r>
            <w:r>
              <w:rPr>
                <w:rFonts w:eastAsia="Arial"/>
                <w:b/>
                <w:bCs/>
              </w:rPr>
              <w:t xml:space="preserve">trategy, </w:t>
            </w:r>
            <w:r w:rsidR="007E1C83">
              <w:rPr>
                <w:rFonts w:eastAsia="Arial"/>
                <w:b/>
                <w:bCs/>
              </w:rPr>
              <w:t>A</w:t>
            </w:r>
            <w:r>
              <w:rPr>
                <w:rFonts w:eastAsia="Arial"/>
                <w:b/>
                <w:bCs/>
              </w:rPr>
              <w:t xml:space="preserve">nnual </w:t>
            </w:r>
            <w:r w:rsidR="007E1C83">
              <w:rPr>
                <w:rFonts w:eastAsia="Arial"/>
                <w:b/>
                <w:bCs/>
              </w:rPr>
              <w:t>R</w:t>
            </w:r>
            <w:r>
              <w:rPr>
                <w:rFonts w:eastAsia="Arial"/>
                <w:b/>
                <w:bCs/>
              </w:rPr>
              <w:t xml:space="preserve">eport and </w:t>
            </w:r>
            <w:r w:rsidR="007E1C83">
              <w:rPr>
                <w:rFonts w:eastAsia="Arial"/>
                <w:b/>
                <w:bCs/>
              </w:rPr>
              <w:t>C</w:t>
            </w:r>
            <w:r>
              <w:rPr>
                <w:rFonts w:eastAsia="Arial"/>
                <w:b/>
                <w:bCs/>
              </w:rPr>
              <w:t xml:space="preserve">ontracts </w:t>
            </w:r>
            <w:r w:rsidR="007E1C83">
              <w:rPr>
                <w:rFonts w:eastAsia="Arial"/>
                <w:b/>
                <w:bCs/>
              </w:rPr>
              <w:t>R</w:t>
            </w:r>
            <w:r>
              <w:rPr>
                <w:rFonts w:eastAsia="Arial"/>
                <w:b/>
                <w:bCs/>
              </w:rPr>
              <w:t>egister are in place by September 2021</w:t>
            </w:r>
            <w:r w:rsidR="007E1C83">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DB4325"/>
            <w:vAlign w:val="center"/>
            <w:hideMark/>
          </w:tcPr>
          <w:p w14:paraId="5FE5C809" w14:textId="77777777" w:rsidR="003C56EE" w:rsidRDefault="003C56EE" w:rsidP="00CF1904">
            <w:pPr>
              <w:overflowPunct w:val="0"/>
              <w:autoSpaceDE w:val="0"/>
              <w:autoSpaceDN w:val="0"/>
              <w:adjustRightInd w:val="0"/>
              <w:spacing w:line="480" w:lineRule="auto"/>
              <w:jc w:val="center"/>
              <w:textAlignment w:val="baseline"/>
              <w:rPr>
                <w:rFonts w:eastAsia="Arial"/>
              </w:rPr>
            </w:pPr>
            <w:r>
              <w:rPr>
                <w:rFonts w:eastAsia="Arial"/>
              </w:rPr>
              <w:t>Not achieved</w:t>
            </w:r>
          </w:p>
        </w:tc>
      </w:tr>
    </w:tbl>
    <w:p w14:paraId="02BA9913" w14:textId="77777777" w:rsidR="003C56EE" w:rsidRPr="00604320" w:rsidRDefault="003C56EE" w:rsidP="004E144D">
      <w:pPr>
        <w:spacing w:line="360" w:lineRule="auto"/>
        <w:rPr>
          <w:rFonts w:ascii="Arial" w:hAnsi="Arial" w:cs="Arial"/>
        </w:rPr>
      </w:pPr>
    </w:p>
    <w:p w14:paraId="4B8F24D3" w14:textId="2CE81B7D" w:rsidR="003C56EE" w:rsidRDefault="003C56EE" w:rsidP="004E144D">
      <w:pPr>
        <w:overflowPunct w:val="0"/>
        <w:autoSpaceDE w:val="0"/>
        <w:autoSpaceDN w:val="0"/>
        <w:spacing w:line="360" w:lineRule="auto"/>
        <w:textAlignment w:val="baseline"/>
        <w:rPr>
          <w:rFonts w:ascii="Arial" w:hAnsi="Arial" w:cs="Arial"/>
          <w:color w:val="000000"/>
        </w:rPr>
      </w:pPr>
      <w:r>
        <w:rPr>
          <w:rFonts w:ascii="Arial" w:hAnsi="Arial" w:cs="Arial"/>
          <w:color w:val="000000"/>
        </w:rPr>
        <w:t xml:space="preserve">Our </w:t>
      </w:r>
      <w:r w:rsidR="007E1C83">
        <w:rPr>
          <w:rFonts w:ascii="Arial" w:hAnsi="Arial" w:cs="Arial"/>
          <w:color w:val="000000"/>
        </w:rPr>
        <w:t>C</w:t>
      </w:r>
      <w:r>
        <w:rPr>
          <w:rFonts w:ascii="Arial" w:hAnsi="Arial" w:cs="Arial"/>
          <w:color w:val="000000"/>
        </w:rPr>
        <w:t xml:space="preserve">ontracts </w:t>
      </w:r>
      <w:r w:rsidR="007E1C83">
        <w:rPr>
          <w:rFonts w:ascii="Arial" w:hAnsi="Arial" w:cs="Arial"/>
          <w:color w:val="000000"/>
        </w:rPr>
        <w:t>R</w:t>
      </w:r>
      <w:r>
        <w:rPr>
          <w:rFonts w:ascii="Arial" w:hAnsi="Arial" w:cs="Arial"/>
          <w:color w:val="000000"/>
        </w:rPr>
        <w:t xml:space="preserve">egister, </w:t>
      </w:r>
      <w:r w:rsidR="007E1C83">
        <w:rPr>
          <w:rFonts w:ascii="Arial" w:hAnsi="Arial" w:cs="Arial"/>
          <w:color w:val="000000"/>
        </w:rPr>
        <w:t>P</w:t>
      </w:r>
      <w:r>
        <w:rPr>
          <w:rFonts w:ascii="Arial" w:hAnsi="Arial" w:cs="Arial"/>
          <w:color w:val="000000"/>
        </w:rPr>
        <w:t xml:space="preserve">rocurement </w:t>
      </w:r>
      <w:r w:rsidR="007E1C83">
        <w:rPr>
          <w:rFonts w:ascii="Arial" w:hAnsi="Arial" w:cs="Arial"/>
          <w:color w:val="000000"/>
        </w:rPr>
        <w:t>S</w:t>
      </w:r>
      <w:r>
        <w:rPr>
          <w:rFonts w:ascii="Arial" w:hAnsi="Arial" w:cs="Arial"/>
          <w:color w:val="000000"/>
        </w:rPr>
        <w:t xml:space="preserve">trategy and </w:t>
      </w:r>
      <w:r w:rsidR="007E1C83">
        <w:rPr>
          <w:rFonts w:ascii="Arial" w:hAnsi="Arial" w:cs="Arial"/>
          <w:color w:val="000000"/>
        </w:rPr>
        <w:t>A</w:t>
      </w:r>
      <w:r>
        <w:rPr>
          <w:rFonts w:ascii="Arial" w:hAnsi="Arial" w:cs="Arial"/>
          <w:color w:val="000000"/>
        </w:rPr>
        <w:t xml:space="preserve">nnual </w:t>
      </w:r>
      <w:r w:rsidR="007E1C83">
        <w:rPr>
          <w:rFonts w:ascii="Arial" w:hAnsi="Arial" w:cs="Arial"/>
          <w:color w:val="000000"/>
        </w:rPr>
        <w:t>R</w:t>
      </w:r>
      <w:r>
        <w:rPr>
          <w:rFonts w:ascii="Arial" w:hAnsi="Arial" w:cs="Arial"/>
          <w:color w:val="000000"/>
        </w:rPr>
        <w:t>eport were all in place by March 2022. However, this measure was not achieved as we did not meet the timescales, we had set ourselves.</w:t>
      </w:r>
    </w:p>
    <w:p w14:paraId="38766A3F" w14:textId="77777777" w:rsidR="004E144D" w:rsidRDefault="004E144D" w:rsidP="004E144D">
      <w:pPr>
        <w:overflowPunct w:val="0"/>
        <w:autoSpaceDE w:val="0"/>
        <w:autoSpaceDN w:val="0"/>
        <w:spacing w:line="360" w:lineRule="auto"/>
        <w:textAlignment w:val="baseline"/>
        <w:rPr>
          <w:rFonts w:ascii="Arial" w:hAnsi="Arial" w:cs="Arial"/>
          <w:color w:val="000000"/>
          <w:lang w:val="en-US"/>
        </w:rPr>
      </w:pPr>
    </w:p>
    <w:p w14:paraId="4D8491F7" w14:textId="28A562C1" w:rsidR="003C56EE" w:rsidRDefault="003C56EE" w:rsidP="004E144D">
      <w:pPr>
        <w:spacing w:line="360" w:lineRule="auto"/>
        <w:rPr>
          <w:rFonts w:ascii="Arial" w:hAnsi="Arial" w:cs="Arial"/>
        </w:rPr>
      </w:pPr>
      <w:r>
        <w:rPr>
          <w:rFonts w:ascii="Arial" w:hAnsi="Arial" w:cs="Arial"/>
        </w:rPr>
        <w:t>Over the last year, we have delivered an unprecedented level of procurement work during a period of significant disruption as we recovered from the cyber-attack. We have supported and progressed major corporate priorities including the Job Evaluation System and our Future Flood and Incident Messaging Service, alongside other urgent corporate pressures.</w:t>
      </w:r>
    </w:p>
    <w:p w14:paraId="6BCA58FB" w14:textId="77777777" w:rsidR="004E144D" w:rsidRDefault="004E144D" w:rsidP="004E144D">
      <w:pPr>
        <w:spacing w:line="360" w:lineRule="auto"/>
        <w:rPr>
          <w:rFonts w:ascii="Arial" w:hAnsi="Arial" w:cs="Arial"/>
        </w:rPr>
      </w:pPr>
    </w:p>
    <w:p w14:paraId="71E07D01" w14:textId="77777777" w:rsidR="003C56EE" w:rsidRDefault="003C56EE" w:rsidP="004E144D">
      <w:pPr>
        <w:spacing w:line="360" w:lineRule="auto"/>
        <w:rPr>
          <w:rFonts w:ascii="Arial" w:eastAsia="Arial" w:hAnsi="Arial" w:cs="Arial"/>
          <w:b/>
          <w:bCs/>
          <w:color w:val="92D050"/>
        </w:rPr>
      </w:pPr>
      <w:r>
        <w:rPr>
          <w:rFonts w:ascii="Arial" w:hAnsi="Arial" w:cs="Arial"/>
          <w:b/>
          <w:bCs/>
          <w:color w:val="000000"/>
        </w:rPr>
        <w:t xml:space="preserve">Contracts Register </w:t>
      </w:r>
    </w:p>
    <w:p w14:paraId="4C288C1E" w14:textId="3C390302" w:rsidR="003C56EE" w:rsidRDefault="003C56EE" w:rsidP="004E144D">
      <w:pPr>
        <w:overflowPunct w:val="0"/>
        <w:autoSpaceDE w:val="0"/>
        <w:autoSpaceDN w:val="0"/>
        <w:spacing w:line="360" w:lineRule="auto"/>
        <w:textAlignment w:val="baseline"/>
        <w:rPr>
          <w:rFonts w:cs="Arial"/>
          <w:color w:val="000000"/>
          <w:sz w:val="20"/>
        </w:rPr>
      </w:pPr>
      <w:r>
        <w:rPr>
          <w:rFonts w:ascii="Arial" w:hAnsi="Arial" w:cs="Arial"/>
          <w:color w:val="000000"/>
        </w:rPr>
        <w:t xml:space="preserve">The </w:t>
      </w:r>
      <w:hyperlink r:id="rId38" w:history="1">
        <w:r w:rsidRPr="00A64513">
          <w:rPr>
            <w:rStyle w:val="Hyperlink"/>
            <w:rFonts w:ascii="Arial" w:hAnsi="Arial" w:cs="Arial"/>
          </w:rPr>
          <w:t>Contracts Register</w:t>
        </w:r>
      </w:hyperlink>
      <w:r>
        <w:rPr>
          <w:rFonts w:ascii="Arial" w:hAnsi="Arial" w:cs="Arial"/>
          <w:color w:val="000000"/>
        </w:rPr>
        <w:t xml:space="preserve"> was completed and published on our website in November</w:t>
      </w:r>
      <w:r w:rsidR="00164A32">
        <w:rPr>
          <w:rFonts w:ascii="Arial" w:hAnsi="Arial" w:cs="Arial"/>
          <w:color w:val="000000"/>
        </w:rPr>
        <w:t xml:space="preserve"> 2021</w:t>
      </w:r>
      <w:r>
        <w:rPr>
          <w:rFonts w:cs="Arial"/>
          <w:color w:val="000000"/>
          <w:sz w:val="20"/>
        </w:rPr>
        <w:t xml:space="preserve">. </w:t>
      </w:r>
    </w:p>
    <w:p w14:paraId="2C088FB2" w14:textId="77777777" w:rsidR="004E144D" w:rsidRDefault="004E144D" w:rsidP="004E144D">
      <w:pPr>
        <w:overflowPunct w:val="0"/>
        <w:autoSpaceDE w:val="0"/>
        <w:autoSpaceDN w:val="0"/>
        <w:spacing w:line="360" w:lineRule="auto"/>
        <w:textAlignment w:val="baseline"/>
        <w:rPr>
          <w:color w:val="000000"/>
          <w:sz w:val="20"/>
          <w:lang w:val="en-US"/>
        </w:rPr>
      </w:pPr>
    </w:p>
    <w:p w14:paraId="4A94455F" w14:textId="77777777" w:rsidR="003C56EE" w:rsidRDefault="003C56EE" w:rsidP="004E144D">
      <w:pPr>
        <w:spacing w:line="360" w:lineRule="auto"/>
        <w:rPr>
          <w:rFonts w:ascii="Arial" w:hAnsi="Arial" w:cs="Arial"/>
          <w:b/>
          <w:bCs/>
          <w:color w:val="FF0000"/>
          <w:lang w:eastAsia="en-US"/>
        </w:rPr>
      </w:pPr>
      <w:r>
        <w:rPr>
          <w:rFonts w:ascii="Arial" w:hAnsi="Arial" w:cs="Arial"/>
          <w:b/>
          <w:bCs/>
          <w:color w:val="000000"/>
        </w:rPr>
        <w:t xml:space="preserve">Procurement Annual Report </w:t>
      </w:r>
    </w:p>
    <w:p w14:paraId="35362B9F" w14:textId="7AA345D3" w:rsidR="003C56EE" w:rsidRDefault="003C56EE" w:rsidP="004E144D">
      <w:pPr>
        <w:spacing w:line="360" w:lineRule="auto"/>
        <w:rPr>
          <w:rFonts w:ascii="Arial" w:hAnsi="Arial" w:cs="Arial"/>
        </w:rPr>
      </w:pPr>
      <w:hyperlink r:id="rId39" w:history="1">
        <w:r w:rsidRPr="00C046E5">
          <w:rPr>
            <w:rStyle w:val="Hyperlink"/>
            <w:rFonts w:ascii="Arial" w:hAnsi="Arial" w:cs="Arial"/>
          </w:rPr>
          <w:t>Our Procurement Annual Report</w:t>
        </w:r>
      </w:hyperlink>
      <w:r>
        <w:rPr>
          <w:rFonts w:ascii="Arial" w:hAnsi="Arial" w:cs="Arial"/>
          <w:color w:val="000000"/>
        </w:rPr>
        <w:t xml:space="preserve"> </w:t>
      </w:r>
      <w:r>
        <w:rPr>
          <w:rFonts w:ascii="Arial" w:hAnsi="Arial" w:cs="Arial"/>
        </w:rPr>
        <w:t>was submitted to the Scottish Government at the start of February 2022. This was within the final deadline set the by the Scottish Government.</w:t>
      </w:r>
    </w:p>
    <w:p w14:paraId="7A3451FE" w14:textId="3B7973B0" w:rsidR="003C56EE" w:rsidRDefault="003C56EE" w:rsidP="004E144D">
      <w:pPr>
        <w:spacing w:line="360" w:lineRule="auto"/>
        <w:rPr>
          <w:rFonts w:ascii="Arial" w:hAnsi="Arial" w:cs="Arial"/>
          <w:color w:val="000000"/>
        </w:rPr>
      </w:pPr>
      <w:r>
        <w:rPr>
          <w:rFonts w:ascii="Arial" w:hAnsi="Arial" w:cs="Arial"/>
          <w:color w:val="000000"/>
        </w:rPr>
        <w:t>Drafting of the plan was delayed for several months as we waited for the completion of the Annual Accounts for 2020</w:t>
      </w:r>
      <w:r w:rsidR="00C25F4A">
        <w:rPr>
          <w:rFonts w:ascii="Arial" w:hAnsi="Arial" w:cs="Arial"/>
          <w:color w:val="000000"/>
        </w:rPr>
        <w:t>/</w:t>
      </w:r>
      <w:r>
        <w:rPr>
          <w:rFonts w:ascii="Arial" w:hAnsi="Arial" w:cs="Arial"/>
          <w:color w:val="000000"/>
        </w:rPr>
        <w:t>2021</w:t>
      </w:r>
      <w:r w:rsidR="00D54A66">
        <w:rPr>
          <w:rFonts w:ascii="Arial" w:hAnsi="Arial" w:cs="Arial"/>
          <w:color w:val="000000"/>
        </w:rPr>
        <w:t xml:space="preserve"> because s</w:t>
      </w:r>
      <w:r>
        <w:rPr>
          <w:rFonts w:ascii="Arial" w:hAnsi="Arial" w:cs="Arial"/>
          <w:color w:val="000000"/>
        </w:rPr>
        <w:t xml:space="preserve">pend information for the financial year is a central aspect of the report. </w:t>
      </w:r>
    </w:p>
    <w:p w14:paraId="2887D2ED" w14:textId="77777777" w:rsidR="004E144D" w:rsidRDefault="004E144D" w:rsidP="004E144D">
      <w:pPr>
        <w:spacing w:line="360" w:lineRule="auto"/>
        <w:rPr>
          <w:rFonts w:ascii="Arial" w:hAnsi="Arial" w:cs="Arial"/>
          <w:color w:val="000000"/>
        </w:rPr>
      </w:pPr>
    </w:p>
    <w:p w14:paraId="443A784E" w14:textId="77777777" w:rsidR="003C56EE" w:rsidRDefault="003C56EE" w:rsidP="004E144D">
      <w:pPr>
        <w:spacing w:line="360" w:lineRule="auto"/>
        <w:rPr>
          <w:rFonts w:ascii="Arial" w:hAnsi="Arial" w:cs="Arial"/>
          <w:b/>
          <w:bCs/>
          <w:color w:val="000000"/>
        </w:rPr>
      </w:pPr>
      <w:r>
        <w:rPr>
          <w:rFonts w:ascii="Arial" w:hAnsi="Arial" w:cs="Arial"/>
          <w:b/>
          <w:bCs/>
          <w:color w:val="000000"/>
        </w:rPr>
        <w:t xml:space="preserve">Procurement Operating Plan </w:t>
      </w:r>
    </w:p>
    <w:p w14:paraId="12262C12" w14:textId="35431471" w:rsidR="003C56EE" w:rsidRDefault="003C56EE" w:rsidP="004E144D">
      <w:pPr>
        <w:spacing w:line="360" w:lineRule="auto"/>
      </w:pPr>
      <w:r>
        <w:rPr>
          <w:rFonts w:ascii="Arial" w:eastAsia="Arial" w:hAnsi="Arial"/>
          <w:color w:val="000000"/>
          <w:szCs w:val="20"/>
        </w:rPr>
        <w:t xml:space="preserve">The </w:t>
      </w:r>
      <w:hyperlink r:id="rId40" w:history="1">
        <w:r w:rsidRPr="00C046E5">
          <w:rPr>
            <w:rStyle w:val="Hyperlink"/>
            <w:rFonts w:ascii="Arial" w:eastAsia="Arial" w:hAnsi="Arial"/>
            <w:szCs w:val="20"/>
          </w:rPr>
          <w:t>2021-2024 Procurement Operating Plan</w:t>
        </w:r>
      </w:hyperlink>
      <w:r>
        <w:rPr>
          <w:rFonts w:ascii="Arial" w:eastAsia="Arial" w:hAnsi="Arial"/>
          <w:color w:val="000000"/>
          <w:szCs w:val="20"/>
        </w:rPr>
        <w:t xml:space="preserve"> was presented to the Agency Board for approval in December</w:t>
      </w:r>
      <w:r w:rsidR="00C25F4A">
        <w:rPr>
          <w:rFonts w:ascii="Arial" w:eastAsia="Arial" w:hAnsi="Arial"/>
          <w:color w:val="000000"/>
          <w:szCs w:val="20"/>
        </w:rPr>
        <w:t xml:space="preserve"> </w:t>
      </w:r>
      <w:r w:rsidR="00D54A66">
        <w:rPr>
          <w:rFonts w:ascii="Arial" w:eastAsia="Arial" w:hAnsi="Arial"/>
          <w:color w:val="000000"/>
          <w:szCs w:val="20"/>
        </w:rPr>
        <w:t>2021</w:t>
      </w:r>
      <w:r>
        <w:rPr>
          <w:rFonts w:ascii="Arial" w:eastAsia="Arial" w:hAnsi="Arial"/>
          <w:color w:val="000000"/>
          <w:szCs w:val="20"/>
        </w:rPr>
        <w:t>. It has now been published on our website.</w:t>
      </w:r>
    </w:p>
    <w:p w14:paraId="6CB4083D" w14:textId="77777777" w:rsidR="003C56EE" w:rsidRPr="004E144D" w:rsidRDefault="003C56EE" w:rsidP="004E144D">
      <w:pPr>
        <w:spacing w:line="360" w:lineRule="auto"/>
        <w:rPr>
          <w:rFonts w:ascii="Arial" w:hAnsi="Arial" w:cs="Arial"/>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7DD8F607" w14:textId="77777777" w:rsidTr="009C21F4">
        <w:trPr>
          <w:trHeight w:val="568"/>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3088740D" w14:textId="77777777" w:rsidR="003C56EE" w:rsidRDefault="003C56EE" w:rsidP="004E144D">
            <w:pPr>
              <w:overflowPunct w:val="0"/>
              <w:autoSpaceDE w:val="0"/>
              <w:autoSpaceDN w:val="0"/>
              <w:adjustRightInd w:val="0"/>
              <w:spacing w:line="360" w:lineRule="auto"/>
              <w:textAlignment w:val="baseline"/>
              <w:rPr>
                <w:rFonts w:eastAsia="Arial"/>
              </w:rPr>
            </w:pPr>
            <w:r>
              <w:br w:type="page"/>
            </w:r>
            <w:r>
              <w:rPr>
                <w:rFonts w:eastAsia="Arial"/>
              </w:rPr>
              <w:t>Corporate</w:t>
            </w:r>
          </w:p>
        </w:tc>
      </w:tr>
      <w:tr w:rsidR="003C56EE" w14:paraId="3ED02D16" w14:textId="77777777" w:rsidTr="00600F56">
        <w:tc>
          <w:tcPr>
            <w:tcW w:w="4011" w:type="pct"/>
            <w:tcBorders>
              <w:top w:val="single" w:sz="24" w:space="0" w:color="00526F"/>
              <w:left w:val="single" w:sz="24" w:space="0" w:color="00526F"/>
              <w:bottom w:val="single" w:sz="24" w:space="0" w:color="00526F"/>
              <w:right w:val="single" w:sz="24" w:space="0" w:color="00526F"/>
            </w:tcBorders>
            <w:hideMark/>
          </w:tcPr>
          <w:p w14:paraId="07636C8C" w14:textId="69299AEA" w:rsidR="003C56EE" w:rsidRDefault="003C56EE" w:rsidP="004E144D">
            <w:pPr>
              <w:overflowPunct w:val="0"/>
              <w:autoSpaceDE w:val="0"/>
              <w:autoSpaceDN w:val="0"/>
              <w:adjustRightInd w:val="0"/>
              <w:spacing w:line="360" w:lineRule="auto"/>
              <w:textAlignment w:val="baseline"/>
              <w:rPr>
                <w:b/>
                <w:bCs/>
              </w:rPr>
            </w:pPr>
            <w:r>
              <w:rPr>
                <w:rFonts w:eastAsia="Arial"/>
                <w:b/>
                <w:bCs/>
              </w:rPr>
              <w:t>Measure 16: Draft Future of Work roadmap with small set of targeted initial actions by September 2021</w:t>
            </w:r>
            <w:r w:rsidR="00EE72DD">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0C47F008" w14:textId="77777777" w:rsidR="003C56EE" w:rsidRDefault="003C56EE" w:rsidP="004E144D">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535E7816" w14:textId="77777777" w:rsidR="003C56EE" w:rsidRDefault="003C56EE" w:rsidP="004E144D">
      <w:pPr>
        <w:spacing w:line="360" w:lineRule="auto"/>
        <w:rPr>
          <w:rFonts w:asciiTheme="minorHAnsi" w:eastAsiaTheme="minorHAnsi" w:hAnsiTheme="minorHAnsi" w:cstheme="minorBidi"/>
          <w:sz w:val="22"/>
          <w:lang w:val="en-US" w:eastAsia="en-US"/>
        </w:rPr>
      </w:pPr>
    </w:p>
    <w:p w14:paraId="6A31CEB0" w14:textId="302B28D3" w:rsidR="003C56EE" w:rsidRDefault="003C56EE" w:rsidP="004E144D">
      <w:pPr>
        <w:overflowPunct w:val="0"/>
        <w:autoSpaceDE w:val="0"/>
        <w:autoSpaceDN w:val="0"/>
        <w:adjustRightInd w:val="0"/>
        <w:spacing w:line="360" w:lineRule="auto"/>
        <w:textAlignment w:val="baseline"/>
        <w:rPr>
          <w:rFonts w:ascii="Arial" w:eastAsia="Arial" w:hAnsi="Arial" w:cs="Arial"/>
          <w:color w:val="000000" w:themeColor="text1"/>
        </w:rPr>
      </w:pPr>
      <w:r>
        <w:rPr>
          <w:rFonts w:ascii="Arial" w:hAnsi="Arial"/>
          <w:color w:val="000000"/>
          <w:szCs w:val="20"/>
        </w:rPr>
        <w:t>This measure was achieved o</w:t>
      </w:r>
      <w:r>
        <w:rPr>
          <w:rFonts w:ascii="Arial" w:hAnsi="Arial" w:cs="Arial"/>
        </w:rPr>
        <w:t xml:space="preserve">n 30 September </w:t>
      </w:r>
      <w:r w:rsidR="00EE72DD">
        <w:rPr>
          <w:rFonts w:ascii="Arial" w:hAnsi="Arial" w:cs="Arial"/>
        </w:rPr>
        <w:t xml:space="preserve">2021 </w:t>
      </w:r>
      <w:r>
        <w:rPr>
          <w:rFonts w:ascii="Arial" w:hAnsi="Arial" w:cs="Arial"/>
        </w:rPr>
        <w:t>when the Agency Management Team agreed our Future of Work roadmap from October to December 2021. This had a small set of targeted initial actions to implement our agreed vision.</w:t>
      </w:r>
      <w:r>
        <w:rPr>
          <w:rFonts w:ascii="Arial" w:eastAsia="Arial" w:hAnsi="Arial" w:cs="Arial"/>
          <w:color w:val="000000" w:themeColor="text1"/>
        </w:rPr>
        <w:t xml:space="preserve">  </w:t>
      </w:r>
    </w:p>
    <w:p w14:paraId="061107A8" w14:textId="77777777" w:rsidR="00512196" w:rsidRDefault="00512196" w:rsidP="004E144D">
      <w:pPr>
        <w:overflowPunct w:val="0"/>
        <w:autoSpaceDE w:val="0"/>
        <w:autoSpaceDN w:val="0"/>
        <w:adjustRightInd w:val="0"/>
        <w:spacing w:line="360" w:lineRule="auto"/>
        <w:textAlignment w:val="baseline"/>
        <w:rPr>
          <w:rFonts w:ascii="Arial" w:eastAsia="Calibri" w:hAnsi="Arial" w:cs="Arial"/>
          <w:b/>
        </w:rPr>
      </w:pPr>
    </w:p>
    <w:p w14:paraId="13D328F5" w14:textId="77777777" w:rsidR="003C56EE" w:rsidRDefault="003C56EE" w:rsidP="004E144D">
      <w:pPr>
        <w:spacing w:line="360" w:lineRule="auto"/>
        <w:rPr>
          <w:rFonts w:ascii="Arial" w:eastAsia="Calibri" w:hAnsi="Arial" w:cs="Arial"/>
          <w:b/>
          <w:bCs/>
        </w:rPr>
      </w:pPr>
      <w:r>
        <w:rPr>
          <w:rFonts w:ascii="Arial" w:eastAsia="Calibri" w:hAnsi="Arial" w:cs="Arial"/>
          <w:b/>
        </w:rPr>
        <w:t>Future of Work vision and principles</w:t>
      </w:r>
    </w:p>
    <w:p w14:paraId="26D6EB83" w14:textId="46677CAA" w:rsidR="003C56EE" w:rsidRDefault="003C56EE" w:rsidP="004E144D">
      <w:pPr>
        <w:spacing w:line="360" w:lineRule="auto"/>
        <w:rPr>
          <w:rFonts w:ascii="Arial" w:eastAsia="Calibri" w:hAnsi="Arial" w:cs="Arial"/>
        </w:rPr>
      </w:pPr>
      <w:r>
        <w:rPr>
          <w:rFonts w:ascii="Arial" w:eastAsia="Calibri" w:hAnsi="Arial" w:cs="Arial"/>
        </w:rPr>
        <w:t>The Agency Board approved the Future of Work vision and principles in October 2021. These were informed by staff sessions, our initial staff workspace preferences survey</w:t>
      </w:r>
      <w:r w:rsidR="009E5337">
        <w:rPr>
          <w:rFonts w:ascii="Arial" w:eastAsia="Calibri" w:hAnsi="Arial" w:cs="Arial"/>
        </w:rPr>
        <w:t>,</w:t>
      </w:r>
      <w:r>
        <w:rPr>
          <w:rFonts w:ascii="Arial" w:eastAsia="Calibri" w:hAnsi="Arial" w:cs="Arial"/>
        </w:rPr>
        <w:t xml:space="preserve"> and learning from other organisation</w:t>
      </w:r>
      <w:r w:rsidR="009E5337">
        <w:rPr>
          <w:rFonts w:ascii="Arial" w:eastAsia="Calibri" w:hAnsi="Arial" w:cs="Arial"/>
        </w:rPr>
        <w:t>’</w:t>
      </w:r>
      <w:r>
        <w:rPr>
          <w:rFonts w:ascii="Arial" w:eastAsia="Calibri" w:hAnsi="Arial" w:cs="Arial"/>
        </w:rPr>
        <w:t xml:space="preserve">s approaches. </w:t>
      </w:r>
    </w:p>
    <w:p w14:paraId="282A4F31" w14:textId="77777777" w:rsidR="00512196" w:rsidRDefault="00512196" w:rsidP="004E144D">
      <w:pPr>
        <w:spacing w:line="360" w:lineRule="auto"/>
        <w:rPr>
          <w:rFonts w:ascii="Arial" w:eastAsia="Calibri" w:hAnsi="Arial" w:cs="Arial"/>
        </w:rPr>
      </w:pPr>
    </w:p>
    <w:p w14:paraId="1E15D663" w14:textId="64D5B867" w:rsidR="003C56EE" w:rsidRDefault="003C56EE" w:rsidP="004E144D">
      <w:pPr>
        <w:spacing w:line="360" w:lineRule="auto"/>
        <w:rPr>
          <w:rFonts w:ascii="Arial" w:eastAsia="Calibri" w:hAnsi="Arial" w:cs="Arial"/>
        </w:rPr>
      </w:pPr>
      <w:r>
        <w:rPr>
          <w:rFonts w:ascii="Arial" w:eastAsia="Calibri" w:hAnsi="Arial" w:cs="Arial"/>
        </w:rPr>
        <w:t>Over 500 staff attended five sessions we held to share the Future of Work vision in October and November</w:t>
      </w:r>
      <w:r w:rsidR="0030720E">
        <w:rPr>
          <w:rFonts w:ascii="Arial" w:eastAsia="Calibri" w:hAnsi="Arial" w:cs="Arial"/>
        </w:rPr>
        <w:t xml:space="preserve"> 2021</w:t>
      </w:r>
      <w:r>
        <w:rPr>
          <w:rFonts w:ascii="Arial" w:eastAsia="Calibri" w:hAnsi="Arial" w:cs="Arial"/>
        </w:rPr>
        <w:t xml:space="preserve">. When asked if they agreed with the focus of the Future of Work vision and principles, 74% of staff who responded said yes, 4% </w:t>
      </w:r>
      <w:r w:rsidR="0030720E">
        <w:rPr>
          <w:rFonts w:ascii="Arial" w:eastAsia="Calibri" w:hAnsi="Arial" w:cs="Arial"/>
        </w:rPr>
        <w:t xml:space="preserve">said </w:t>
      </w:r>
      <w:r>
        <w:rPr>
          <w:rFonts w:ascii="Arial" w:eastAsia="Calibri" w:hAnsi="Arial" w:cs="Arial"/>
        </w:rPr>
        <w:t>no, and 22% were not sure.</w:t>
      </w:r>
    </w:p>
    <w:p w14:paraId="225B7228" w14:textId="77777777" w:rsidR="00512196" w:rsidRDefault="00512196" w:rsidP="004E144D">
      <w:pPr>
        <w:spacing w:line="360" w:lineRule="auto"/>
        <w:rPr>
          <w:rFonts w:ascii="Arial" w:eastAsia="Calibri" w:hAnsi="Arial" w:cs="Arial"/>
        </w:rPr>
      </w:pPr>
    </w:p>
    <w:p w14:paraId="46CE469E" w14:textId="77777777" w:rsidR="003C56EE" w:rsidRDefault="003C56EE" w:rsidP="004E144D">
      <w:pPr>
        <w:pStyle w:val="xmsonormal"/>
        <w:spacing w:line="360" w:lineRule="auto"/>
        <w:rPr>
          <w:rFonts w:ascii="Arial" w:eastAsia="Times New Roman" w:hAnsi="Arial" w:cs="Arial"/>
          <w:b/>
          <w:bCs/>
          <w:sz w:val="24"/>
          <w:szCs w:val="24"/>
        </w:rPr>
      </w:pPr>
      <w:r>
        <w:rPr>
          <w:rFonts w:ascii="Arial" w:hAnsi="Arial" w:cs="Arial"/>
          <w:b/>
          <w:bCs/>
          <w:sz w:val="24"/>
          <w:szCs w:val="24"/>
        </w:rPr>
        <w:t>Staff preferences – second survey</w:t>
      </w:r>
    </w:p>
    <w:p w14:paraId="7277ED24" w14:textId="293725E6" w:rsidR="003C56EE" w:rsidRDefault="003C56EE" w:rsidP="004E144D">
      <w:pPr>
        <w:spacing w:line="360" w:lineRule="auto"/>
        <w:rPr>
          <w:rFonts w:ascii="Arial" w:hAnsi="Arial" w:cs="Arial"/>
          <w:shd w:val="clear" w:color="auto" w:fill="FFFFFF"/>
        </w:rPr>
      </w:pPr>
      <w:r>
        <w:rPr>
          <w:rFonts w:ascii="Arial" w:hAnsi="Arial" w:cs="Arial"/>
        </w:rPr>
        <w:t xml:space="preserve">Our second 'Future of Work: Our Workspaces’ staff preference survey gathered information and responses on staff’s geographical workspace preferences. It also gave us information on the potential scale and pattern of usage of our workspaces. It was open from 28 January to 25 February 2022 and 80% of staff responded. The responses are helping to </w:t>
      </w:r>
      <w:r>
        <w:rPr>
          <w:rFonts w:ascii="Arial" w:hAnsi="Arial" w:cs="Arial"/>
          <w:shd w:val="clear" w:color="auto" w:fill="FFFFFF"/>
        </w:rPr>
        <w:t>inform and plan the phased re-opening of our workspaces and other decisions about our estate.</w:t>
      </w:r>
    </w:p>
    <w:p w14:paraId="43B5B954" w14:textId="77777777" w:rsidR="00512196" w:rsidRDefault="00512196" w:rsidP="004E144D">
      <w:pPr>
        <w:spacing w:line="360" w:lineRule="auto"/>
        <w:rPr>
          <w:rFonts w:ascii="Arial" w:eastAsia="Calibri" w:hAnsi="Arial" w:cs="Arial"/>
          <w:b/>
        </w:rPr>
      </w:pPr>
    </w:p>
    <w:p w14:paraId="7DD184CC" w14:textId="444E78EC" w:rsidR="003C56EE" w:rsidRDefault="003C56EE" w:rsidP="004E144D">
      <w:pPr>
        <w:spacing w:line="360" w:lineRule="auto"/>
        <w:rPr>
          <w:rFonts w:ascii="Arial" w:eastAsia="Calibri" w:hAnsi="Arial" w:cs="Arial"/>
          <w:b/>
          <w:bCs/>
        </w:rPr>
      </w:pPr>
      <w:r>
        <w:rPr>
          <w:rFonts w:ascii="Arial" w:eastAsia="Calibri" w:hAnsi="Arial" w:cs="Arial"/>
          <w:b/>
        </w:rPr>
        <w:t xml:space="preserve">Early </w:t>
      </w:r>
      <w:r w:rsidR="00354637">
        <w:rPr>
          <w:rFonts w:ascii="Arial" w:eastAsia="Calibri" w:hAnsi="Arial" w:cs="Arial"/>
          <w:b/>
        </w:rPr>
        <w:t>e</w:t>
      </w:r>
      <w:r>
        <w:rPr>
          <w:rFonts w:ascii="Arial" w:eastAsia="Calibri" w:hAnsi="Arial" w:cs="Arial"/>
          <w:b/>
        </w:rPr>
        <w:t xml:space="preserve">state </w:t>
      </w:r>
      <w:r w:rsidR="00354637">
        <w:rPr>
          <w:rFonts w:ascii="Arial" w:eastAsia="Calibri" w:hAnsi="Arial" w:cs="Arial"/>
          <w:b/>
        </w:rPr>
        <w:t>d</w:t>
      </w:r>
      <w:r>
        <w:rPr>
          <w:rFonts w:ascii="Arial" w:eastAsia="Calibri" w:hAnsi="Arial" w:cs="Arial"/>
          <w:b/>
        </w:rPr>
        <w:t>irection</w:t>
      </w:r>
    </w:p>
    <w:p w14:paraId="69E076B9" w14:textId="79517339" w:rsidR="003C56EE" w:rsidRDefault="003C56EE" w:rsidP="004E144D">
      <w:pPr>
        <w:spacing w:line="360" w:lineRule="auto"/>
        <w:rPr>
          <w:rFonts w:ascii="Arial" w:hAnsi="Arial" w:cs="Arial"/>
        </w:rPr>
      </w:pPr>
      <w:r>
        <w:rPr>
          <w:rFonts w:ascii="Arial" w:hAnsi="Arial" w:cs="Arial"/>
        </w:rPr>
        <w:t xml:space="preserve">We have considered options for buildings which have lease breaks due. This includes offices in Edinburgh, Kirkwall, Glenrothes, and Perth. We held a workshop for our Edinburgh office staff to discuss plans to reduce our floorspace from August 2022. In November </w:t>
      </w:r>
      <w:r w:rsidR="00255BD0">
        <w:rPr>
          <w:rFonts w:ascii="Arial" w:hAnsi="Arial" w:cs="Arial"/>
        </w:rPr>
        <w:t xml:space="preserve">2021, </w:t>
      </w:r>
      <w:r>
        <w:rPr>
          <w:rFonts w:ascii="Arial" w:hAnsi="Arial" w:cs="Arial"/>
        </w:rPr>
        <w:t xml:space="preserve">we held six workshops for staff based in these offices to review what we need from our workspaces in these locations. The information gathered is helping discussions and commercial searches. </w:t>
      </w:r>
    </w:p>
    <w:p w14:paraId="1321B268" w14:textId="55282014" w:rsidR="00255BD0" w:rsidRDefault="00255BD0" w:rsidP="004E144D">
      <w:pPr>
        <w:spacing w:line="360" w:lineRule="auto"/>
        <w:rPr>
          <w:rFonts w:ascii="Arial" w:eastAsia="Calibri" w:hAnsi="Arial" w:cs="Arial"/>
          <w:b/>
        </w:rPr>
      </w:pPr>
      <w:r>
        <w:rPr>
          <w:rFonts w:ascii="Arial" w:eastAsia="Calibri" w:hAnsi="Arial" w:cs="Arial"/>
          <w:b/>
        </w:rPr>
        <w:br w:type="page"/>
      </w:r>
    </w:p>
    <w:p w14:paraId="633797B5" w14:textId="77777777" w:rsidR="003C56EE" w:rsidRDefault="003C56EE" w:rsidP="004E144D">
      <w:pPr>
        <w:spacing w:line="360" w:lineRule="auto"/>
        <w:rPr>
          <w:rFonts w:ascii="Arial" w:eastAsia="Calibri" w:hAnsi="Arial" w:cs="Arial"/>
          <w:b/>
        </w:rPr>
      </w:pPr>
      <w:r>
        <w:rPr>
          <w:rFonts w:ascii="Arial" w:eastAsia="Calibri" w:hAnsi="Arial" w:cs="Arial"/>
          <w:b/>
        </w:rPr>
        <w:lastRenderedPageBreak/>
        <w:t>Pilot &amp; Learn</w:t>
      </w:r>
    </w:p>
    <w:p w14:paraId="66C3E84C" w14:textId="0EC6070B" w:rsidR="003C56EE" w:rsidRDefault="003C56EE" w:rsidP="004E144D">
      <w:pPr>
        <w:spacing w:line="360" w:lineRule="auto"/>
        <w:rPr>
          <w:rFonts w:ascii="Arial" w:eastAsia="Calibri" w:hAnsi="Arial" w:cs="Arial"/>
        </w:rPr>
      </w:pPr>
      <w:r>
        <w:rPr>
          <w:rFonts w:ascii="Arial" w:eastAsia="Calibri" w:hAnsi="Arial" w:cs="Arial"/>
        </w:rPr>
        <w:t xml:space="preserve">We have set up a staff user group, which includes UNISON, to work through the reconfiguration of some of our Aberdeen office space to trial new ways of working which will be aligned to the Future of Work vision.  </w:t>
      </w:r>
    </w:p>
    <w:p w14:paraId="5E08DA81" w14:textId="77777777" w:rsidR="00512196" w:rsidRDefault="00512196" w:rsidP="004E144D">
      <w:pPr>
        <w:spacing w:line="360" w:lineRule="auto"/>
        <w:rPr>
          <w:rFonts w:ascii="Arial" w:eastAsia="Calibri" w:hAnsi="Arial" w:cs="Arial"/>
        </w:rPr>
      </w:pPr>
    </w:p>
    <w:p w14:paraId="04B39AE2" w14:textId="77777777" w:rsidR="003C56EE" w:rsidRDefault="003C56EE" w:rsidP="004E144D">
      <w:pPr>
        <w:pStyle w:val="xmsonormal"/>
        <w:spacing w:line="360" w:lineRule="auto"/>
        <w:rPr>
          <w:rFonts w:ascii="Arial" w:eastAsia="Times New Roman" w:hAnsi="Arial" w:cs="Arial"/>
          <w:b/>
          <w:bCs/>
          <w:sz w:val="24"/>
          <w:szCs w:val="24"/>
        </w:rPr>
      </w:pPr>
      <w:r>
        <w:rPr>
          <w:rFonts w:ascii="Arial" w:hAnsi="Arial" w:cs="Arial"/>
          <w:b/>
          <w:bCs/>
          <w:sz w:val="24"/>
          <w:szCs w:val="24"/>
        </w:rPr>
        <w:t>Phased re-opening of SEPA workspaces</w:t>
      </w:r>
    </w:p>
    <w:p w14:paraId="79497975" w14:textId="5D8DB344" w:rsidR="003C56EE" w:rsidRDefault="003C56EE" w:rsidP="004E144D">
      <w:pPr>
        <w:pStyle w:val="xmsonormal"/>
        <w:spacing w:line="360" w:lineRule="auto"/>
        <w:rPr>
          <w:rFonts w:ascii="Arial" w:hAnsi="Arial" w:cs="Arial"/>
          <w:sz w:val="24"/>
          <w:szCs w:val="24"/>
        </w:rPr>
      </w:pPr>
      <w:r>
        <w:rPr>
          <w:rFonts w:ascii="Arial" w:eastAsia="Calibri" w:hAnsi="Arial" w:cs="Arial"/>
          <w:sz w:val="24"/>
        </w:rPr>
        <w:t>At the end of November</w:t>
      </w:r>
      <w:r w:rsidR="00C112FD">
        <w:rPr>
          <w:rFonts w:ascii="Arial" w:eastAsia="Calibri" w:hAnsi="Arial" w:cs="Arial"/>
          <w:sz w:val="24"/>
        </w:rPr>
        <w:t xml:space="preserve"> 2021</w:t>
      </w:r>
      <w:r>
        <w:rPr>
          <w:rFonts w:ascii="Arial" w:eastAsia="Calibri" w:hAnsi="Arial" w:cs="Arial"/>
          <w:sz w:val="24"/>
        </w:rPr>
        <w:t xml:space="preserve">, we let staff know we were planning for a phased reopening of our buildings in the new financial year. </w:t>
      </w:r>
      <w:r>
        <w:rPr>
          <w:rFonts w:ascii="Arial" w:hAnsi="Arial" w:cs="Arial"/>
          <w:sz w:val="24"/>
          <w:szCs w:val="24"/>
        </w:rPr>
        <w:t>A phased workspace re-opening plan will be available in April 2022. In the meantime, all our buildings continue to be statutorily maintained.</w:t>
      </w:r>
    </w:p>
    <w:p w14:paraId="20232075" w14:textId="77777777" w:rsidR="00B81F45" w:rsidRDefault="00B81F45" w:rsidP="004E144D">
      <w:pPr>
        <w:pStyle w:val="xmsonormal"/>
        <w:spacing w:line="360" w:lineRule="auto"/>
        <w:rPr>
          <w:rFonts w:ascii="Arial" w:hAnsi="Arial" w:cs="Arial"/>
          <w:sz w:val="24"/>
          <w:szCs w:val="24"/>
        </w:rPr>
      </w:pPr>
    </w:p>
    <w:p w14:paraId="12C587E6" w14:textId="3623A310" w:rsidR="003C56EE" w:rsidRDefault="003C56EE" w:rsidP="004E144D">
      <w:pPr>
        <w:pStyle w:val="xmsonormal"/>
        <w:spacing w:line="360" w:lineRule="auto"/>
        <w:rPr>
          <w:rFonts w:ascii="Arial" w:hAnsi="Arial" w:cs="Arial"/>
          <w:sz w:val="24"/>
          <w:szCs w:val="24"/>
        </w:rPr>
      </w:pPr>
      <w:r>
        <w:rPr>
          <w:rFonts w:ascii="Arial" w:hAnsi="Arial" w:cs="Arial"/>
          <w:sz w:val="24"/>
          <w:szCs w:val="24"/>
        </w:rPr>
        <w:t>Our Angus Smith Building, Aberdeen office</w:t>
      </w:r>
      <w:r w:rsidR="00B81F45">
        <w:rPr>
          <w:rFonts w:ascii="Arial" w:hAnsi="Arial" w:cs="Arial"/>
          <w:sz w:val="24"/>
          <w:szCs w:val="24"/>
        </w:rPr>
        <w:t>,</w:t>
      </w:r>
      <w:r>
        <w:rPr>
          <w:rFonts w:ascii="Arial" w:hAnsi="Arial" w:cs="Arial"/>
          <w:sz w:val="24"/>
          <w:szCs w:val="24"/>
        </w:rPr>
        <w:t xml:space="preserve"> and stores are COVID</w:t>
      </w:r>
      <w:r w:rsidR="00B81F45">
        <w:rPr>
          <w:rFonts w:ascii="Arial" w:hAnsi="Arial" w:cs="Arial"/>
          <w:sz w:val="24"/>
          <w:szCs w:val="24"/>
        </w:rPr>
        <w:t>-19</w:t>
      </w:r>
      <w:r>
        <w:rPr>
          <w:rFonts w:ascii="Arial" w:hAnsi="Arial" w:cs="Arial"/>
          <w:sz w:val="24"/>
          <w:szCs w:val="24"/>
        </w:rPr>
        <w:t xml:space="preserve"> secure. This allows access for priority essential services. We have established COVID</w:t>
      </w:r>
      <w:r w:rsidR="00B81F45">
        <w:rPr>
          <w:rFonts w:ascii="Arial" w:hAnsi="Arial" w:cs="Arial"/>
          <w:sz w:val="24"/>
          <w:szCs w:val="24"/>
        </w:rPr>
        <w:t xml:space="preserve">-19 </w:t>
      </w:r>
      <w:r>
        <w:rPr>
          <w:rFonts w:ascii="Arial" w:hAnsi="Arial" w:cs="Arial"/>
          <w:sz w:val="24"/>
          <w:szCs w:val="24"/>
        </w:rPr>
        <w:t>secure Science Support Centres and Regulatory Incident Hubs at the Angus Smith Building, Aberdeen, Perth, Dingwall, and Dumfries. Safe access to our other buildings is available to staff in exceptional cases. This can be to collect kit and equipment, or to undertake short term activities in support of priority essential services and field work.</w:t>
      </w:r>
    </w:p>
    <w:p w14:paraId="442F416B" w14:textId="77777777" w:rsidR="00512196" w:rsidRDefault="00512196" w:rsidP="004E144D">
      <w:pPr>
        <w:pStyle w:val="xmsonormal"/>
        <w:spacing w:line="360" w:lineRule="auto"/>
        <w:rPr>
          <w:rFonts w:ascii="Arial" w:hAnsi="Arial" w:cs="Arial"/>
          <w:sz w:val="24"/>
          <w:szCs w:val="24"/>
        </w:rPr>
      </w:pPr>
    </w:p>
    <w:p w14:paraId="3EFB48EA" w14:textId="7EABF3BC" w:rsidR="003C56EE" w:rsidRDefault="003C56EE" w:rsidP="004E144D">
      <w:pPr>
        <w:spacing w:line="360" w:lineRule="auto"/>
        <w:rPr>
          <w:rFonts w:asciiTheme="minorHAnsi" w:eastAsiaTheme="minorHAnsi" w:hAnsiTheme="minorHAnsi" w:cstheme="minorBidi"/>
          <w:sz w:val="22"/>
          <w:lang w:val="en-US" w:eastAsia="en-US"/>
        </w:rPr>
      </w:pPr>
      <w:r>
        <w:rPr>
          <w:rFonts w:ascii="Arial" w:hAnsi="Arial" w:cs="Arial"/>
        </w:rPr>
        <w:t>We continue to support staff who find it difficult to work from home, by providing access to our COVID</w:t>
      </w:r>
      <w:r w:rsidR="007B47AA">
        <w:rPr>
          <w:rFonts w:ascii="Arial" w:hAnsi="Arial" w:cs="Arial"/>
        </w:rPr>
        <w:t>-19</w:t>
      </w:r>
      <w:r>
        <w:rPr>
          <w:rFonts w:ascii="Arial" w:hAnsi="Arial" w:cs="Arial"/>
        </w:rPr>
        <w:t xml:space="preserve"> secure buildings. Where our buildings are not open, we have arranged for some staff to access our public sector partners’ buildings.</w:t>
      </w:r>
    </w:p>
    <w:p w14:paraId="492901FD" w14:textId="77777777" w:rsidR="003C56EE" w:rsidRPr="00512196" w:rsidRDefault="003C56EE" w:rsidP="004E144D">
      <w:pPr>
        <w:spacing w:line="360" w:lineRule="auto"/>
        <w:rPr>
          <w:rFonts w:ascii="Arial" w:eastAsiaTheme="minorHAnsi" w:hAnsi="Arial" w:cs="Arial"/>
          <w:lang w:val="en-US" w:eastAsia="en-US"/>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7B027CDA" w14:textId="77777777" w:rsidTr="00DE32C3">
        <w:trPr>
          <w:trHeight w:val="611"/>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453E1D9A" w14:textId="77777777" w:rsidR="003C56EE" w:rsidRDefault="003C56EE" w:rsidP="004E144D">
            <w:pPr>
              <w:overflowPunct w:val="0"/>
              <w:autoSpaceDE w:val="0"/>
              <w:autoSpaceDN w:val="0"/>
              <w:adjustRightInd w:val="0"/>
              <w:spacing w:line="360" w:lineRule="auto"/>
              <w:textAlignment w:val="baseline"/>
              <w:rPr>
                <w:rFonts w:eastAsia="Arial"/>
              </w:rPr>
            </w:pPr>
            <w:r>
              <w:rPr>
                <w:rFonts w:eastAsia="Arial"/>
              </w:rPr>
              <w:t>Corporate</w:t>
            </w:r>
          </w:p>
        </w:tc>
      </w:tr>
      <w:tr w:rsidR="003C56EE" w14:paraId="08D9D5D3" w14:textId="77777777" w:rsidTr="00600F56">
        <w:tc>
          <w:tcPr>
            <w:tcW w:w="4011" w:type="pct"/>
            <w:tcBorders>
              <w:top w:val="single" w:sz="24" w:space="0" w:color="00526F"/>
              <w:left w:val="single" w:sz="24" w:space="0" w:color="00526F"/>
              <w:bottom w:val="single" w:sz="24" w:space="0" w:color="00526F"/>
              <w:right w:val="single" w:sz="24" w:space="0" w:color="00526F"/>
            </w:tcBorders>
            <w:hideMark/>
          </w:tcPr>
          <w:p w14:paraId="297CA438" w14:textId="44EA3BC0" w:rsidR="003C56EE" w:rsidRDefault="003C56EE" w:rsidP="004E144D">
            <w:pPr>
              <w:overflowPunct w:val="0"/>
              <w:autoSpaceDE w:val="0"/>
              <w:autoSpaceDN w:val="0"/>
              <w:adjustRightInd w:val="0"/>
              <w:spacing w:line="360" w:lineRule="auto"/>
              <w:textAlignment w:val="baseline"/>
              <w:rPr>
                <w:b/>
                <w:bCs/>
              </w:rPr>
            </w:pPr>
            <w:r>
              <w:rPr>
                <w:rFonts w:eastAsia="Arial"/>
                <w:b/>
                <w:bCs/>
              </w:rPr>
              <w:t>Measure 17: Solve at least five long-standing information challenges</w:t>
            </w:r>
            <w:r w:rsidR="006F4477">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2DB4B6E9" w14:textId="77777777" w:rsidR="003C56EE" w:rsidRDefault="003C56EE" w:rsidP="004E144D">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27ECB694" w14:textId="77777777" w:rsidR="003C56EE" w:rsidRPr="00512196" w:rsidRDefault="003C56EE" w:rsidP="004E144D">
      <w:pPr>
        <w:spacing w:line="360" w:lineRule="auto"/>
        <w:rPr>
          <w:rFonts w:ascii="Arial" w:eastAsia="MS Gothic" w:hAnsi="Arial"/>
          <w:bCs/>
          <w:color w:val="00526F"/>
          <w:lang w:eastAsia="en-US"/>
        </w:rPr>
      </w:pPr>
    </w:p>
    <w:p w14:paraId="3F2504B6" w14:textId="113BE1B6" w:rsidR="003C56EE" w:rsidRDefault="003C56EE" w:rsidP="004E144D">
      <w:pPr>
        <w:spacing w:line="360" w:lineRule="auto"/>
        <w:rPr>
          <w:rFonts w:ascii="Arial" w:eastAsia="Calibri" w:hAnsi="Arial" w:cs="Arial"/>
          <w:color w:val="000000"/>
        </w:rPr>
      </w:pPr>
      <w:r>
        <w:rPr>
          <w:rFonts w:ascii="Arial" w:eastAsia="Calibri" w:hAnsi="Arial" w:cs="Arial"/>
          <w:color w:val="000000"/>
        </w:rPr>
        <w:t>We have achieved this measure as we have solved the following long-standing information challenges:</w:t>
      </w:r>
    </w:p>
    <w:p w14:paraId="414EB3AC" w14:textId="77777777" w:rsidR="00512196" w:rsidRDefault="00512196" w:rsidP="004E144D">
      <w:pPr>
        <w:spacing w:line="360" w:lineRule="auto"/>
        <w:rPr>
          <w:rFonts w:ascii="Arial" w:eastAsia="Arial" w:hAnsi="Arial" w:cs="Arial"/>
          <w:color w:val="000000"/>
        </w:rPr>
      </w:pPr>
    </w:p>
    <w:p w14:paraId="0A3295C2" w14:textId="77777777" w:rsidR="003C56EE" w:rsidRDefault="003C56EE" w:rsidP="00512196">
      <w:pPr>
        <w:overflowPunct w:val="0"/>
        <w:autoSpaceDE w:val="0"/>
        <w:autoSpaceDN w:val="0"/>
        <w:spacing w:line="360" w:lineRule="auto"/>
        <w:textAlignment w:val="baseline"/>
        <w:rPr>
          <w:rFonts w:ascii="Arial" w:hAnsi="Arial" w:cs="Arial"/>
          <w:b/>
          <w:lang w:val="en-US"/>
        </w:rPr>
      </w:pPr>
      <w:r>
        <w:rPr>
          <w:rFonts w:ascii="Arial" w:hAnsi="Arial" w:cs="Arial"/>
          <w:b/>
        </w:rPr>
        <w:t>Information classification</w:t>
      </w:r>
    </w:p>
    <w:p w14:paraId="51A7EC92" w14:textId="72BC04AB"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 xml:space="preserve">We launched a new Information Classification Standard in January 2021 to help staff understand which information needs protecting and how to protect it. In April 2021, we rolled out staff training on the standard. Our new system enforces the labelling of all information with the appropriate classification. This ensures staff understand the classification of the information and can use it to handle information properly. </w:t>
      </w:r>
    </w:p>
    <w:p w14:paraId="320BF887" w14:textId="77777777" w:rsidR="00512196" w:rsidRDefault="00512196" w:rsidP="00512196">
      <w:pPr>
        <w:overflowPunct w:val="0"/>
        <w:autoSpaceDE w:val="0"/>
        <w:autoSpaceDN w:val="0"/>
        <w:spacing w:line="360" w:lineRule="auto"/>
        <w:textAlignment w:val="baseline"/>
        <w:rPr>
          <w:rFonts w:ascii="Arial" w:hAnsi="Arial" w:cs="Arial"/>
        </w:rPr>
      </w:pPr>
    </w:p>
    <w:p w14:paraId="322B869D" w14:textId="39A1E4A2" w:rsidR="003C56EE" w:rsidRPr="005C2A35" w:rsidRDefault="003C56EE" w:rsidP="00512196">
      <w:pPr>
        <w:overflowPunct w:val="0"/>
        <w:autoSpaceDE w:val="0"/>
        <w:autoSpaceDN w:val="0"/>
        <w:spacing w:line="360" w:lineRule="auto"/>
        <w:textAlignment w:val="baseline"/>
        <w:rPr>
          <w:rFonts w:ascii="Arial" w:hAnsi="Arial" w:cs="Arial"/>
        </w:rPr>
      </w:pPr>
      <w:r>
        <w:rPr>
          <w:rFonts w:ascii="Arial" w:hAnsi="Arial" w:cs="Arial"/>
        </w:rPr>
        <w:t>We have reviewed and updated the standard as we continue our recovery from the cyber-attack. In October</w:t>
      </w:r>
      <w:r w:rsidR="00153E27">
        <w:rPr>
          <w:rFonts w:ascii="Arial" w:hAnsi="Arial" w:cs="Arial"/>
        </w:rPr>
        <w:t xml:space="preserve"> 2021</w:t>
      </w:r>
      <w:r>
        <w:rPr>
          <w:rFonts w:ascii="Arial" w:hAnsi="Arial" w:cs="Arial"/>
        </w:rPr>
        <w:t xml:space="preserve">, we refreshed its format to make it more user-friendly. This has helped to raise awareness of the standard and embed information classification across the organisation. The Information Classification Standard, combined with our new system’s labelling capability, has proved to be a powerful governance tool. </w:t>
      </w:r>
    </w:p>
    <w:p w14:paraId="4AD80C40" w14:textId="77777777" w:rsidR="003C56EE" w:rsidRPr="005C2A35" w:rsidRDefault="003C56EE" w:rsidP="00512196">
      <w:pPr>
        <w:overflowPunct w:val="0"/>
        <w:autoSpaceDE w:val="0"/>
        <w:autoSpaceDN w:val="0"/>
        <w:spacing w:line="360" w:lineRule="auto"/>
        <w:textAlignment w:val="baseline"/>
        <w:rPr>
          <w:rFonts w:ascii="Arial" w:hAnsi="Arial" w:cs="Arial"/>
        </w:rPr>
      </w:pPr>
    </w:p>
    <w:p w14:paraId="5D5ADD92" w14:textId="77777777" w:rsidR="003C56EE" w:rsidRDefault="003C56EE" w:rsidP="00512196">
      <w:pPr>
        <w:overflowPunct w:val="0"/>
        <w:autoSpaceDE w:val="0"/>
        <w:autoSpaceDN w:val="0"/>
        <w:spacing w:line="360" w:lineRule="auto"/>
        <w:textAlignment w:val="baseline"/>
        <w:rPr>
          <w:rFonts w:ascii="Arial" w:hAnsi="Arial" w:cs="Arial"/>
          <w:b/>
          <w:bCs/>
        </w:rPr>
      </w:pPr>
      <w:r>
        <w:rPr>
          <w:rFonts w:ascii="Arial" w:hAnsi="Arial" w:cs="Arial"/>
          <w:b/>
          <w:bCs/>
        </w:rPr>
        <w:t>Official sensitive information</w:t>
      </w:r>
    </w:p>
    <w:p w14:paraId="01F32094" w14:textId="104A15CF"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We launched a new system capability to handle official sensitive information. This allows us to protect sensitive information using encryption. We provided mandatory training to our Senior Leadership Team and groups of high priority staff on the use of the system. We also asked Information Asset Owners to formally authorise staff before they handle this level of information.</w:t>
      </w:r>
    </w:p>
    <w:p w14:paraId="0533539C" w14:textId="77777777" w:rsidR="00512196" w:rsidRDefault="00512196" w:rsidP="00512196">
      <w:pPr>
        <w:overflowPunct w:val="0"/>
        <w:autoSpaceDE w:val="0"/>
        <w:autoSpaceDN w:val="0"/>
        <w:spacing w:line="360" w:lineRule="auto"/>
        <w:textAlignment w:val="baseline"/>
        <w:rPr>
          <w:rFonts w:ascii="Arial" w:hAnsi="Arial" w:cs="Arial"/>
        </w:rPr>
      </w:pPr>
    </w:p>
    <w:p w14:paraId="67358EE0" w14:textId="1D1B3DFF"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 xml:space="preserve">We identified some challenges when sharing this type of information with external organisations. We are continuing to make modifications to the system to address challenges without reducing the security of the information. </w:t>
      </w:r>
    </w:p>
    <w:p w14:paraId="39262D90" w14:textId="77777777" w:rsidR="00512196" w:rsidRDefault="00512196" w:rsidP="00512196">
      <w:pPr>
        <w:overflowPunct w:val="0"/>
        <w:autoSpaceDE w:val="0"/>
        <w:autoSpaceDN w:val="0"/>
        <w:spacing w:line="360" w:lineRule="auto"/>
        <w:textAlignment w:val="baseline"/>
        <w:rPr>
          <w:rFonts w:ascii="Arial" w:hAnsi="Arial" w:cs="Arial"/>
          <w:b/>
          <w:bCs/>
        </w:rPr>
      </w:pPr>
    </w:p>
    <w:p w14:paraId="0CB721AA" w14:textId="126DAC9A" w:rsidR="003C56EE" w:rsidRDefault="003C56EE" w:rsidP="00512196">
      <w:pPr>
        <w:overflowPunct w:val="0"/>
        <w:autoSpaceDE w:val="0"/>
        <w:autoSpaceDN w:val="0"/>
        <w:spacing w:line="360" w:lineRule="auto"/>
        <w:textAlignment w:val="baseline"/>
        <w:rPr>
          <w:rFonts w:ascii="Arial" w:hAnsi="Arial" w:cs="Arial"/>
          <w:b/>
          <w:bCs/>
        </w:rPr>
      </w:pPr>
      <w:r>
        <w:rPr>
          <w:rFonts w:ascii="Arial" w:hAnsi="Arial" w:cs="Arial"/>
          <w:b/>
          <w:bCs/>
        </w:rPr>
        <w:t xml:space="preserve">Information Champions </w:t>
      </w:r>
      <w:r w:rsidR="004E0EE7">
        <w:rPr>
          <w:rFonts w:ascii="Arial" w:hAnsi="Arial" w:cs="Arial"/>
          <w:b/>
          <w:bCs/>
        </w:rPr>
        <w:t>N</w:t>
      </w:r>
      <w:r>
        <w:rPr>
          <w:rFonts w:ascii="Arial" w:hAnsi="Arial" w:cs="Arial"/>
          <w:b/>
          <w:bCs/>
        </w:rPr>
        <w:t>etwork</w:t>
      </w:r>
    </w:p>
    <w:p w14:paraId="68932BA8" w14:textId="14B31310"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We established a new network of Information Champions in September</w:t>
      </w:r>
      <w:r w:rsidR="003A45E3">
        <w:rPr>
          <w:rFonts w:ascii="Arial" w:hAnsi="Arial" w:cs="Arial"/>
        </w:rPr>
        <w:t xml:space="preserve"> 2021</w:t>
      </w:r>
      <w:r>
        <w:rPr>
          <w:rFonts w:ascii="Arial" w:hAnsi="Arial" w:cs="Arial"/>
        </w:rPr>
        <w:t>. We also gathered insights into the information challenges that exist across the organisation. We held monthly workshops to develop the network and build understanding and support for the ways we manage information. The network initially focussed on information classification, official sensitive information, and data protection. Later, the network focussed on two long-standing information challenges, retention, and document naming.</w:t>
      </w:r>
    </w:p>
    <w:p w14:paraId="3390FB0C" w14:textId="77777777" w:rsidR="00512196" w:rsidRDefault="00512196" w:rsidP="00512196">
      <w:pPr>
        <w:overflowPunct w:val="0"/>
        <w:autoSpaceDE w:val="0"/>
        <w:autoSpaceDN w:val="0"/>
        <w:spacing w:line="360" w:lineRule="auto"/>
        <w:textAlignment w:val="baseline"/>
        <w:rPr>
          <w:rFonts w:ascii="Arial" w:hAnsi="Arial" w:cs="Arial"/>
        </w:rPr>
      </w:pPr>
    </w:p>
    <w:p w14:paraId="70FEAF02" w14:textId="77777777" w:rsidR="003C56EE" w:rsidRDefault="003C56EE" w:rsidP="00512196">
      <w:pPr>
        <w:overflowPunct w:val="0"/>
        <w:autoSpaceDE w:val="0"/>
        <w:autoSpaceDN w:val="0"/>
        <w:spacing w:line="360" w:lineRule="auto"/>
        <w:textAlignment w:val="baseline"/>
        <w:rPr>
          <w:rFonts w:ascii="Arial" w:hAnsi="Arial" w:cs="Arial"/>
          <w:b/>
          <w:bCs/>
        </w:rPr>
      </w:pPr>
      <w:r>
        <w:rPr>
          <w:rFonts w:ascii="Arial" w:hAnsi="Arial" w:cs="Arial"/>
          <w:b/>
          <w:bCs/>
        </w:rPr>
        <w:t>Retention</w:t>
      </w:r>
    </w:p>
    <w:p w14:paraId="758CDDE7" w14:textId="30E212D5"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 xml:space="preserve">Our Information Champions </w:t>
      </w:r>
      <w:r w:rsidR="00973AFC">
        <w:rPr>
          <w:rFonts w:ascii="Arial" w:hAnsi="Arial" w:cs="Arial"/>
        </w:rPr>
        <w:t>N</w:t>
      </w:r>
      <w:r>
        <w:rPr>
          <w:rFonts w:ascii="Arial" w:hAnsi="Arial" w:cs="Arial"/>
        </w:rPr>
        <w:t>etwork developed a guide to retention and disposal of information and records.</w:t>
      </w:r>
    </w:p>
    <w:p w14:paraId="68038DA0" w14:textId="77777777" w:rsidR="00512196" w:rsidRDefault="00512196" w:rsidP="00512196">
      <w:pPr>
        <w:overflowPunct w:val="0"/>
        <w:autoSpaceDE w:val="0"/>
        <w:autoSpaceDN w:val="0"/>
        <w:spacing w:line="360" w:lineRule="auto"/>
        <w:textAlignment w:val="baseline"/>
        <w:rPr>
          <w:rFonts w:ascii="Arial" w:hAnsi="Arial" w:cs="Arial"/>
          <w:b/>
          <w:bCs/>
        </w:rPr>
      </w:pPr>
    </w:p>
    <w:p w14:paraId="3829E2A0" w14:textId="77777777" w:rsidR="003C56EE" w:rsidRDefault="003C56EE" w:rsidP="00512196">
      <w:pPr>
        <w:overflowPunct w:val="0"/>
        <w:autoSpaceDE w:val="0"/>
        <w:autoSpaceDN w:val="0"/>
        <w:spacing w:line="360" w:lineRule="auto"/>
        <w:textAlignment w:val="baseline"/>
        <w:rPr>
          <w:rFonts w:ascii="Arial" w:hAnsi="Arial" w:cs="Arial"/>
          <w:b/>
          <w:bCs/>
        </w:rPr>
      </w:pPr>
      <w:r>
        <w:rPr>
          <w:rFonts w:ascii="Arial" w:hAnsi="Arial" w:cs="Arial"/>
          <w:b/>
          <w:bCs/>
        </w:rPr>
        <w:t>Document naming</w:t>
      </w:r>
    </w:p>
    <w:p w14:paraId="39E7E9C5" w14:textId="56D6DAB7"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 xml:space="preserve">Our Information Champions </w:t>
      </w:r>
      <w:r w:rsidR="00973AFC">
        <w:rPr>
          <w:rFonts w:ascii="Arial" w:hAnsi="Arial" w:cs="Arial"/>
        </w:rPr>
        <w:t>N</w:t>
      </w:r>
      <w:r>
        <w:rPr>
          <w:rFonts w:ascii="Arial" w:hAnsi="Arial" w:cs="Arial"/>
        </w:rPr>
        <w:t>etwork developed a guide to document and file naming, including the use of metadata.</w:t>
      </w:r>
    </w:p>
    <w:p w14:paraId="39910394" w14:textId="43882D93" w:rsidR="00512196" w:rsidRDefault="00973AFC" w:rsidP="00512196">
      <w:pPr>
        <w:overflowPunct w:val="0"/>
        <w:autoSpaceDE w:val="0"/>
        <w:autoSpaceDN w:val="0"/>
        <w:spacing w:line="360" w:lineRule="auto"/>
        <w:textAlignment w:val="baseline"/>
        <w:rPr>
          <w:rFonts w:ascii="Arial" w:hAnsi="Arial" w:cs="Arial"/>
        </w:rPr>
      </w:pPr>
      <w:r>
        <w:rPr>
          <w:rFonts w:ascii="Arial" w:hAnsi="Arial" w:cs="Arial"/>
        </w:rPr>
        <w:br w:type="page"/>
      </w:r>
    </w:p>
    <w:p w14:paraId="10FFF5A6" w14:textId="77777777" w:rsidR="003C56EE" w:rsidRDefault="003C56EE" w:rsidP="00512196">
      <w:pPr>
        <w:overflowPunct w:val="0"/>
        <w:autoSpaceDE w:val="0"/>
        <w:autoSpaceDN w:val="0"/>
        <w:spacing w:line="360" w:lineRule="auto"/>
        <w:textAlignment w:val="baseline"/>
        <w:rPr>
          <w:rFonts w:ascii="Arial" w:hAnsi="Arial" w:cs="Arial"/>
          <w:b/>
        </w:rPr>
      </w:pPr>
      <w:r>
        <w:rPr>
          <w:rFonts w:ascii="Arial" w:hAnsi="Arial" w:cs="Arial"/>
          <w:b/>
        </w:rPr>
        <w:lastRenderedPageBreak/>
        <w:t>Information Oversight Group</w:t>
      </w:r>
    </w:p>
    <w:p w14:paraId="467F94EE" w14:textId="7E1323C9" w:rsidR="003C56EE" w:rsidRDefault="003C56EE" w:rsidP="00512196">
      <w:pPr>
        <w:spacing w:line="360" w:lineRule="auto"/>
        <w:rPr>
          <w:rFonts w:ascii="Arial" w:hAnsi="Arial" w:cs="Arial"/>
        </w:rPr>
      </w:pPr>
      <w:r>
        <w:rPr>
          <w:rFonts w:ascii="Arial" w:hAnsi="Arial" w:cs="Arial"/>
        </w:rPr>
        <w:t>Our next step for strengthening information governance standards is the creation of an Information Oversight Group to co-ordinate our work and develop future information plans.</w:t>
      </w:r>
    </w:p>
    <w:p w14:paraId="3F50E01D" w14:textId="77777777" w:rsidR="00512196" w:rsidRPr="00512196" w:rsidRDefault="00512196" w:rsidP="00512196">
      <w:pPr>
        <w:spacing w:line="360" w:lineRule="auto"/>
        <w:rPr>
          <w:rFonts w:ascii="Arial" w:eastAsia="MS Gothic" w:hAnsi="Arial"/>
          <w:bCs/>
          <w:color w:val="00526F"/>
        </w:rPr>
      </w:pP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0C11E1CE" w14:textId="77777777" w:rsidTr="00DE32C3">
        <w:trPr>
          <w:trHeight w:val="613"/>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037073AA" w14:textId="77777777" w:rsidR="003C56EE" w:rsidRDefault="003C56EE" w:rsidP="00512196">
            <w:pPr>
              <w:overflowPunct w:val="0"/>
              <w:autoSpaceDE w:val="0"/>
              <w:autoSpaceDN w:val="0"/>
              <w:adjustRightInd w:val="0"/>
              <w:spacing w:line="360" w:lineRule="auto"/>
              <w:textAlignment w:val="baseline"/>
              <w:rPr>
                <w:rFonts w:eastAsia="Arial"/>
              </w:rPr>
            </w:pPr>
            <w:r>
              <w:rPr>
                <w:rFonts w:eastAsia="Arial"/>
              </w:rPr>
              <w:t>Co</w:t>
            </w:r>
            <w:r w:rsidRPr="001E1842">
              <w:rPr>
                <w:rFonts w:eastAsia="Arial"/>
                <w:shd w:val="clear" w:color="auto" w:fill="EAF1DE"/>
              </w:rPr>
              <w:t>rporate</w:t>
            </w:r>
          </w:p>
        </w:tc>
      </w:tr>
      <w:tr w:rsidR="003C56EE" w14:paraId="0B74CEE5" w14:textId="77777777" w:rsidTr="00600F56">
        <w:trPr>
          <w:trHeight w:val="390"/>
        </w:trPr>
        <w:tc>
          <w:tcPr>
            <w:tcW w:w="4011" w:type="pct"/>
            <w:tcBorders>
              <w:top w:val="single" w:sz="24" w:space="0" w:color="00526F"/>
              <w:left w:val="single" w:sz="24" w:space="0" w:color="00526F"/>
              <w:bottom w:val="single" w:sz="24" w:space="0" w:color="00526F"/>
              <w:right w:val="single" w:sz="24" w:space="0" w:color="00526F"/>
            </w:tcBorders>
            <w:hideMark/>
          </w:tcPr>
          <w:p w14:paraId="25105349" w14:textId="77777777" w:rsidR="003C56EE" w:rsidRDefault="003C56EE" w:rsidP="00512196">
            <w:pPr>
              <w:overflowPunct w:val="0"/>
              <w:autoSpaceDE w:val="0"/>
              <w:autoSpaceDN w:val="0"/>
              <w:adjustRightInd w:val="0"/>
              <w:spacing w:line="360" w:lineRule="auto"/>
              <w:textAlignment w:val="baseline"/>
              <w:rPr>
                <w:rFonts w:eastAsia="Arial"/>
                <w:b/>
                <w:bCs/>
              </w:rPr>
            </w:pPr>
            <w:r>
              <w:rPr>
                <w:rFonts w:eastAsia="Arial"/>
                <w:b/>
                <w:bCs/>
              </w:rPr>
              <w:t>Measure 18: Regenerative SEPA route map prepared and agreed</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7E57DAE0" w14:textId="77777777" w:rsidR="003C56EE" w:rsidRDefault="003C56EE" w:rsidP="00512196">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1B31E310" w14:textId="77777777" w:rsidR="003C56EE" w:rsidRDefault="003C56EE" w:rsidP="00512196">
      <w:pPr>
        <w:spacing w:line="360" w:lineRule="auto"/>
        <w:rPr>
          <w:rFonts w:ascii="Arial" w:hAnsi="Arial"/>
          <w:lang w:eastAsia="en-US"/>
        </w:rPr>
      </w:pPr>
    </w:p>
    <w:p w14:paraId="39CCCFE4" w14:textId="7CAD2822" w:rsidR="003C56EE" w:rsidRDefault="003C56EE" w:rsidP="00512196">
      <w:pPr>
        <w:spacing w:line="360" w:lineRule="auto"/>
        <w:rPr>
          <w:rFonts w:ascii="Arial" w:hAnsi="Arial" w:cs="Arial"/>
          <w:color w:val="000000" w:themeColor="text1"/>
          <w:lang w:val="en"/>
        </w:rPr>
      </w:pPr>
      <w:r>
        <w:rPr>
          <w:rFonts w:ascii="Arial" w:eastAsia="Calibri" w:hAnsi="Arial" w:cs="Arial"/>
        </w:rPr>
        <w:t xml:space="preserve">We achieved this measure. </w:t>
      </w:r>
      <w:r w:rsidRPr="00070702">
        <w:rPr>
          <w:rFonts w:ascii="Arial" w:hAnsi="Arial" w:cs="Arial"/>
          <w:color w:val="000000" w:themeColor="text1"/>
          <w:lang w:val="en"/>
        </w:rPr>
        <w:t xml:space="preserve">We have made significant progress in reducing our greenhouse gas emissions (53% reduction since 2007). </w:t>
      </w:r>
      <w:r>
        <w:rPr>
          <w:rFonts w:ascii="Arial" w:hAnsi="Arial" w:cs="Arial"/>
          <w:color w:val="000000" w:themeColor="text1"/>
          <w:lang w:val="en"/>
        </w:rPr>
        <w:t xml:space="preserve">However, we are keen to go further than this and become a regenerative </w:t>
      </w:r>
      <w:proofErr w:type="spellStart"/>
      <w:r>
        <w:rPr>
          <w:rFonts w:ascii="Arial" w:hAnsi="Arial" w:cs="Arial"/>
          <w:color w:val="000000" w:themeColor="text1"/>
          <w:lang w:val="en"/>
        </w:rPr>
        <w:t>organisation</w:t>
      </w:r>
      <w:proofErr w:type="spellEnd"/>
      <w:r>
        <w:rPr>
          <w:rFonts w:ascii="Arial" w:hAnsi="Arial" w:cs="Arial"/>
          <w:color w:val="000000" w:themeColor="text1"/>
          <w:lang w:val="en"/>
        </w:rPr>
        <w:t>.</w:t>
      </w:r>
    </w:p>
    <w:p w14:paraId="19E9A042" w14:textId="77777777" w:rsidR="00F423F8" w:rsidRPr="00F423F8" w:rsidRDefault="00F423F8" w:rsidP="00512196">
      <w:pPr>
        <w:spacing w:line="360" w:lineRule="auto"/>
        <w:rPr>
          <w:rFonts w:ascii="Arial" w:eastAsia="Calibri" w:hAnsi="Arial" w:cs="Arial"/>
        </w:rPr>
      </w:pPr>
    </w:p>
    <w:p w14:paraId="01502FA7" w14:textId="32B5B9DA" w:rsidR="003C56EE" w:rsidRDefault="003C56EE" w:rsidP="00512196">
      <w:pPr>
        <w:pStyle w:val="paragraph"/>
        <w:spacing w:before="0" w:beforeAutospacing="0" w:after="0" w:afterAutospacing="0" w:line="360" w:lineRule="auto"/>
        <w:rPr>
          <w:rFonts w:ascii="Arial" w:eastAsia="Arial" w:hAnsi="Arial" w:cs="Arial"/>
          <w:color w:val="000000" w:themeColor="text1"/>
        </w:rPr>
      </w:pPr>
      <w:r>
        <w:rPr>
          <w:rFonts w:ascii="Arial" w:eastAsia="Arial" w:hAnsi="Arial" w:cs="Arial"/>
        </w:rPr>
        <w:t xml:space="preserve">Initial considerations </w:t>
      </w:r>
      <w:r>
        <w:rPr>
          <w:rFonts w:ascii="Arial" w:eastAsia="Arial" w:hAnsi="Arial" w:cs="Arial"/>
          <w:color w:val="000000" w:themeColor="text1"/>
        </w:rPr>
        <w:t xml:space="preserve">on draft proposals for our approach to becoming a regenerative organisation included: </w:t>
      </w:r>
    </w:p>
    <w:p w14:paraId="00A7AAAE" w14:textId="77777777" w:rsidR="00F423F8" w:rsidRDefault="00F423F8" w:rsidP="00512196">
      <w:pPr>
        <w:pStyle w:val="paragraph"/>
        <w:spacing w:before="0" w:beforeAutospacing="0" w:after="0" w:afterAutospacing="0" w:line="360" w:lineRule="auto"/>
        <w:rPr>
          <w:rFonts w:ascii="Arial" w:eastAsia="Arial" w:hAnsi="Arial" w:cs="Arial"/>
          <w:color w:val="000000" w:themeColor="text1"/>
        </w:rPr>
      </w:pPr>
    </w:p>
    <w:p w14:paraId="3DCDBF1D" w14:textId="6C9EE356" w:rsidR="00ED1E39" w:rsidRPr="006C3CA3" w:rsidRDefault="003C56EE" w:rsidP="006C3CA3">
      <w:pPr>
        <w:pStyle w:val="ListParagraph"/>
        <w:numPr>
          <w:ilvl w:val="0"/>
          <w:numId w:val="40"/>
        </w:numPr>
        <w:spacing w:line="360" w:lineRule="auto"/>
        <w:rPr>
          <w:rFonts w:ascii="Arial" w:hAnsi="Arial" w:cs="Arial"/>
        </w:rPr>
      </w:pPr>
      <w:r w:rsidRPr="00ED1E39">
        <w:rPr>
          <w:rFonts w:ascii="Arial" w:hAnsi="Arial" w:cs="Arial"/>
        </w:rPr>
        <w:t>what environmental impacts should be included in the scope of Regenerative SEPA, including aiming to reduce our greenhouse gas emissions, our water use, our materials use</w:t>
      </w:r>
      <w:r w:rsidR="00D2135B">
        <w:rPr>
          <w:rFonts w:ascii="Arial" w:hAnsi="Arial" w:cs="Arial"/>
        </w:rPr>
        <w:t>,</w:t>
      </w:r>
      <w:r w:rsidRPr="00ED1E39">
        <w:rPr>
          <w:rFonts w:ascii="Arial" w:hAnsi="Arial" w:cs="Arial"/>
        </w:rPr>
        <w:t xml:space="preserve"> and our waste;</w:t>
      </w:r>
    </w:p>
    <w:p w14:paraId="6A713FC3" w14:textId="7075A95E" w:rsidR="00ED1E39" w:rsidRPr="006C3CA3" w:rsidRDefault="003C56EE" w:rsidP="00ED1E39">
      <w:pPr>
        <w:pStyle w:val="ListParagraph"/>
        <w:numPr>
          <w:ilvl w:val="0"/>
          <w:numId w:val="40"/>
        </w:numPr>
        <w:spacing w:line="360" w:lineRule="auto"/>
        <w:rPr>
          <w:rFonts w:ascii="Arial" w:hAnsi="Arial" w:cs="Arial"/>
        </w:rPr>
      </w:pPr>
      <w:r w:rsidRPr="00ED1E39">
        <w:rPr>
          <w:rFonts w:ascii="Arial" w:hAnsi="Arial" w:cs="Arial"/>
        </w:rPr>
        <w:t>draft long-term goal and targets that we should set to ensure that we keep on track with our goal to become a regenerative organisation; and</w:t>
      </w:r>
    </w:p>
    <w:p w14:paraId="0D476FC9" w14:textId="103DA4FF" w:rsidR="003C56EE" w:rsidRPr="00ED1E39" w:rsidRDefault="00EB0F9D" w:rsidP="00802A98">
      <w:pPr>
        <w:pStyle w:val="ListParagraph"/>
        <w:numPr>
          <w:ilvl w:val="0"/>
          <w:numId w:val="40"/>
        </w:numPr>
        <w:spacing w:line="360" w:lineRule="auto"/>
        <w:rPr>
          <w:rFonts w:ascii="Arial" w:hAnsi="Arial" w:cs="Arial"/>
        </w:rPr>
      </w:pPr>
      <w:r>
        <w:rPr>
          <w:rFonts w:ascii="Arial" w:hAnsi="Arial" w:cs="Arial"/>
        </w:rPr>
        <w:t>a</w:t>
      </w:r>
      <w:r w:rsidR="003C56EE" w:rsidRPr="00ED1E39">
        <w:rPr>
          <w:rFonts w:ascii="Arial" w:hAnsi="Arial" w:cs="Arial"/>
        </w:rPr>
        <w:t>n initial list of priority work areas that we will aim to embed a regenerative approach into.</w:t>
      </w:r>
    </w:p>
    <w:p w14:paraId="5932775B" w14:textId="77777777" w:rsidR="00F423F8" w:rsidRDefault="00F423F8" w:rsidP="00ED1E39">
      <w:pPr>
        <w:pStyle w:val="paragraph"/>
        <w:spacing w:before="0" w:beforeAutospacing="0" w:after="0" w:afterAutospacing="0" w:line="360" w:lineRule="auto"/>
        <w:ind w:left="360"/>
        <w:rPr>
          <w:rFonts w:ascii="Arial" w:eastAsia="Arial" w:hAnsi="Arial" w:cs="Arial"/>
          <w:color w:val="000000" w:themeColor="text1"/>
        </w:rPr>
      </w:pPr>
    </w:p>
    <w:p w14:paraId="089835E9" w14:textId="2D455CF9" w:rsidR="003C56EE" w:rsidRDefault="003C56EE" w:rsidP="00512196">
      <w:pPr>
        <w:spacing w:line="360" w:lineRule="auto"/>
        <w:rPr>
          <w:rFonts w:ascii="Arial" w:eastAsia="Arial" w:hAnsi="Arial" w:cs="Arial"/>
        </w:rPr>
      </w:pPr>
      <w:r>
        <w:rPr>
          <w:rFonts w:ascii="Arial" w:eastAsia="Arial" w:hAnsi="Arial" w:cs="Arial"/>
        </w:rPr>
        <w:t>We began to introduce the concept of Regenerative SEPA to staff through conversation sessions in August</w:t>
      </w:r>
      <w:r w:rsidR="00B4679E">
        <w:rPr>
          <w:rFonts w:ascii="Arial" w:eastAsia="Arial" w:hAnsi="Arial" w:cs="Arial"/>
        </w:rPr>
        <w:t xml:space="preserve"> 2021</w:t>
      </w:r>
      <w:r>
        <w:rPr>
          <w:rFonts w:ascii="Arial" w:eastAsia="Arial" w:hAnsi="Arial" w:cs="Arial"/>
        </w:rPr>
        <w:t>. During these sessions we encouraged staff to think about actions which will help us deliver our goals.</w:t>
      </w:r>
    </w:p>
    <w:p w14:paraId="75A8249D" w14:textId="77777777" w:rsidR="00F423F8" w:rsidRDefault="00F423F8" w:rsidP="00512196">
      <w:pPr>
        <w:spacing w:line="360" w:lineRule="auto"/>
        <w:rPr>
          <w:rFonts w:ascii="Arial" w:eastAsia="Arial" w:hAnsi="Arial" w:cs="Arial"/>
        </w:rPr>
      </w:pPr>
    </w:p>
    <w:p w14:paraId="5258CE7C" w14:textId="5B9B9052" w:rsidR="003C56EE" w:rsidRDefault="003C56EE" w:rsidP="00512196">
      <w:pPr>
        <w:spacing w:line="360" w:lineRule="auto"/>
        <w:rPr>
          <w:rFonts w:ascii="Arial" w:eastAsia="Arial" w:hAnsi="Arial" w:cs="Arial"/>
        </w:rPr>
      </w:pPr>
      <w:r>
        <w:rPr>
          <w:rFonts w:ascii="Arial" w:eastAsia="Arial" w:hAnsi="Arial" w:cs="Arial"/>
        </w:rPr>
        <w:t>The Agency Board approved a goal and five targets</w:t>
      </w:r>
      <w:r w:rsidR="00C644F4">
        <w:rPr>
          <w:rFonts w:ascii="Arial" w:eastAsia="Arial" w:hAnsi="Arial" w:cs="Arial"/>
        </w:rPr>
        <w:t xml:space="preserve"> (outlined below)</w:t>
      </w:r>
      <w:r>
        <w:rPr>
          <w:rFonts w:ascii="Arial" w:eastAsia="Arial" w:hAnsi="Arial" w:cs="Arial"/>
        </w:rPr>
        <w:t xml:space="preserve"> in October</w:t>
      </w:r>
      <w:r w:rsidR="00536707">
        <w:rPr>
          <w:rFonts w:ascii="Arial" w:eastAsia="Arial" w:hAnsi="Arial" w:cs="Arial"/>
        </w:rPr>
        <w:t xml:space="preserve"> 2021</w:t>
      </w:r>
      <w:r>
        <w:rPr>
          <w:rFonts w:ascii="Arial" w:eastAsia="Arial" w:hAnsi="Arial" w:cs="Arial"/>
        </w:rPr>
        <w:t>. These targets give us a wide-ranging and ambitious direction, encouraging us to consider our impacts wherever they occur.</w:t>
      </w:r>
    </w:p>
    <w:p w14:paraId="7EAF08FF" w14:textId="57ECC97F" w:rsidR="00536707" w:rsidRDefault="00536707" w:rsidP="00512196">
      <w:pPr>
        <w:spacing w:line="360" w:lineRule="auto"/>
        <w:rPr>
          <w:rFonts w:ascii="Arial" w:eastAsia="Arial" w:hAnsi="Arial" w:cs="Arial"/>
        </w:rPr>
      </w:pPr>
      <w:r>
        <w:rPr>
          <w:rFonts w:ascii="Arial" w:eastAsia="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95"/>
        <w:gridCol w:w="2310"/>
        <w:gridCol w:w="2503"/>
        <w:gridCol w:w="2263"/>
      </w:tblGrid>
      <w:tr w:rsidR="003C56EE" w14:paraId="76FD1704" w14:textId="77777777" w:rsidTr="00ED1E39">
        <w:trPr>
          <w:trHeight w:val="349"/>
        </w:trPr>
        <w:tc>
          <w:tcPr>
            <w:tcW w:w="5000" w:type="pct"/>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4EE65FFC" w14:textId="77777777" w:rsidR="003C56EE" w:rsidRDefault="003C56EE" w:rsidP="00512196">
            <w:pPr>
              <w:overflowPunct w:val="0"/>
              <w:autoSpaceDE w:val="0"/>
              <w:autoSpaceDN w:val="0"/>
              <w:spacing w:line="360" w:lineRule="auto"/>
              <w:jc w:val="center"/>
              <w:textAlignment w:val="baseline"/>
              <w:rPr>
                <w:rFonts w:ascii="Arial" w:eastAsiaTheme="minorHAnsi" w:hAnsi="Arial" w:cs="Arial"/>
                <w:b/>
                <w:bCs/>
                <w:lang w:val="en-US"/>
              </w:rPr>
            </w:pPr>
            <w:r>
              <w:rPr>
                <w:rFonts w:ascii="Arial" w:hAnsi="Arial" w:cs="Arial"/>
                <w:b/>
                <w:bCs/>
              </w:rPr>
              <w:lastRenderedPageBreak/>
              <w:t>Goal</w:t>
            </w:r>
          </w:p>
        </w:tc>
      </w:tr>
      <w:tr w:rsidR="003C56EE" w14:paraId="63F75D58" w14:textId="77777777" w:rsidTr="00CF1904">
        <w:trPr>
          <w:trHeight w:val="349"/>
        </w:trPr>
        <w:tc>
          <w:tcPr>
            <w:tcW w:w="5000" w:type="pct"/>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668F7CD"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rPr>
              <w:t>By 2030 SEPA will be a regenerative organisation</w:t>
            </w:r>
          </w:p>
        </w:tc>
      </w:tr>
      <w:tr w:rsidR="003C56EE" w14:paraId="54A0D54A" w14:textId="77777777" w:rsidTr="00ED1E39">
        <w:trPr>
          <w:trHeight w:val="349"/>
        </w:trPr>
        <w:tc>
          <w:tcPr>
            <w:tcW w:w="5000" w:type="pct"/>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23C4EC10"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b/>
                <w:bCs/>
              </w:rPr>
              <w:t>Targets</w:t>
            </w:r>
          </w:p>
        </w:tc>
      </w:tr>
      <w:tr w:rsidR="003C56EE" w14:paraId="152FC284" w14:textId="77777777" w:rsidTr="00ED1E39">
        <w:trPr>
          <w:trHeight w:val="349"/>
        </w:trPr>
        <w:tc>
          <w:tcPr>
            <w:tcW w:w="1379"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3923498E"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b/>
                <w:bCs/>
              </w:rPr>
              <w:t>Greenhouse Gas emissions</w:t>
            </w:r>
          </w:p>
        </w:tc>
        <w:tc>
          <w:tcPr>
            <w:tcW w:w="1182"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19C9A5FA"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b/>
                <w:bCs/>
              </w:rPr>
              <w:t>Water</w:t>
            </w:r>
          </w:p>
        </w:tc>
        <w:tc>
          <w:tcPr>
            <w:tcW w:w="1281"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67F1360B"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b/>
                <w:bCs/>
              </w:rPr>
              <w:t>Materials</w:t>
            </w:r>
          </w:p>
        </w:tc>
        <w:tc>
          <w:tcPr>
            <w:tcW w:w="1158"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2BB3361D" w14:textId="77777777" w:rsidR="003C56EE" w:rsidRDefault="003C56EE" w:rsidP="00512196">
            <w:pPr>
              <w:overflowPunct w:val="0"/>
              <w:autoSpaceDE w:val="0"/>
              <w:autoSpaceDN w:val="0"/>
              <w:spacing w:line="360" w:lineRule="auto"/>
              <w:jc w:val="center"/>
              <w:textAlignment w:val="baseline"/>
              <w:rPr>
                <w:rFonts w:ascii="Arial" w:hAnsi="Arial" w:cs="Arial"/>
                <w:b/>
                <w:bCs/>
              </w:rPr>
            </w:pPr>
            <w:r>
              <w:rPr>
                <w:rFonts w:ascii="Arial" w:hAnsi="Arial" w:cs="Arial"/>
                <w:b/>
                <w:bCs/>
              </w:rPr>
              <w:t>Waste</w:t>
            </w:r>
          </w:p>
        </w:tc>
      </w:tr>
      <w:tr w:rsidR="003C56EE" w14:paraId="6B8069DF" w14:textId="77777777" w:rsidTr="00CF1904">
        <w:trPr>
          <w:trHeight w:val="20"/>
        </w:trPr>
        <w:tc>
          <w:tcPr>
            <w:tcW w:w="1379"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445FC78" w14:textId="4E8FCB55"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Net zero direct emissions by 2025</w:t>
            </w:r>
            <w:r w:rsidR="00536707">
              <w:rPr>
                <w:rFonts w:ascii="Arial" w:hAnsi="Arial" w:cs="Arial"/>
              </w:rPr>
              <w:t>.</w:t>
            </w:r>
          </w:p>
          <w:p w14:paraId="6BF38279" w14:textId="7D784FA5"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Net zero all emissions by 2030</w:t>
            </w:r>
            <w:r w:rsidR="00536707">
              <w:rPr>
                <w:rFonts w:ascii="Arial" w:hAnsi="Arial" w:cs="Arial"/>
              </w:rPr>
              <w:t>.</w:t>
            </w:r>
          </w:p>
        </w:tc>
        <w:tc>
          <w:tcPr>
            <w:tcW w:w="118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7E157F6" w14:textId="0B946FFF"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Net zero water use by 2030</w:t>
            </w:r>
            <w:r w:rsidR="00536707">
              <w:rPr>
                <w:rFonts w:ascii="Arial" w:hAnsi="Arial" w:cs="Arial"/>
              </w:rPr>
              <w:t>.</w:t>
            </w:r>
          </w:p>
          <w:p w14:paraId="1AF869E3" w14:textId="77777777" w:rsidR="003C56EE" w:rsidRDefault="003C56EE" w:rsidP="00512196">
            <w:pPr>
              <w:overflowPunct w:val="0"/>
              <w:autoSpaceDE w:val="0"/>
              <w:autoSpaceDN w:val="0"/>
              <w:spacing w:line="360" w:lineRule="auto"/>
              <w:textAlignment w:val="baseline"/>
              <w:rPr>
                <w:rFonts w:ascii="Arial" w:hAnsi="Arial" w:cs="Arial"/>
              </w:rPr>
            </w:pPr>
          </w:p>
        </w:tc>
        <w:tc>
          <w:tcPr>
            <w:tcW w:w="1281"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702E422" w14:textId="58993146"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Net zero material use by 2030</w:t>
            </w:r>
            <w:r w:rsidR="00536707">
              <w:rPr>
                <w:rFonts w:ascii="Arial" w:hAnsi="Arial" w:cs="Arial"/>
              </w:rPr>
              <w:t>.</w:t>
            </w:r>
          </w:p>
          <w:p w14:paraId="54F6CECE" w14:textId="77777777" w:rsidR="003C56EE" w:rsidRDefault="003C56EE" w:rsidP="00512196">
            <w:pPr>
              <w:overflowPunct w:val="0"/>
              <w:autoSpaceDE w:val="0"/>
              <w:autoSpaceDN w:val="0"/>
              <w:spacing w:line="360" w:lineRule="auto"/>
              <w:textAlignment w:val="baseline"/>
              <w:rPr>
                <w:rFonts w:ascii="Arial" w:hAnsi="Arial" w:cs="Arial"/>
              </w:rPr>
            </w:pPr>
          </w:p>
        </w:tc>
        <w:tc>
          <w:tcPr>
            <w:tcW w:w="115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B68A89A" w14:textId="080427A5" w:rsidR="003C56EE" w:rsidRDefault="003C56EE" w:rsidP="00512196">
            <w:pPr>
              <w:overflowPunct w:val="0"/>
              <w:autoSpaceDE w:val="0"/>
              <w:autoSpaceDN w:val="0"/>
              <w:spacing w:line="360" w:lineRule="auto"/>
              <w:textAlignment w:val="baseline"/>
              <w:rPr>
                <w:rFonts w:ascii="Arial" w:hAnsi="Arial" w:cs="Arial"/>
              </w:rPr>
            </w:pPr>
            <w:r>
              <w:rPr>
                <w:rFonts w:ascii="Arial" w:hAnsi="Arial" w:cs="Arial"/>
              </w:rPr>
              <w:t>Zero waste by 2030</w:t>
            </w:r>
            <w:r w:rsidR="00536707">
              <w:rPr>
                <w:rFonts w:ascii="Arial" w:hAnsi="Arial" w:cs="Arial"/>
              </w:rPr>
              <w:t>.</w:t>
            </w:r>
          </w:p>
          <w:p w14:paraId="1918E7C7" w14:textId="77777777" w:rsidR="003C56EE" w:rsidRDefault="003C56EE" w:rsidP="00512196">
            <w:pPr>
              <w:overflowPunct w:val="0"/>
              <w:autoSpaceDE w:val="0"/>
              <w:autoSpaceDN w:val="0"/>
              <w:spacing w:line="360" w:lineRule="auto"/>
              <w:textAlignment w:val="baseline"/>
              <w:rPr>
                <w:rFonts w:ascii="Arial" w:hAnsi="Arial" w:cs="Arial"/>
              </w:rPr>
            </w:pPr>
          </w:p>
        </w:tc>
      </w:tr>
    </w:tbl>
    <w:p w14:paraId="386A9323" w14:textId="77777777" w:rsidR="003C56EE" w:rsidRDefault="003C56EE" w:rsidP="00512196">
      <w:pPr>
        <w:overflowPunct w:val="0"/>
        <w:autoSpaceDE w:val="0"/>
        <w:autoSpaceDN w:val="0"/>
        <w:spacing w:line="360" w:lineRule="auto"/>
        <w:textAlignment w:val="baseline"/>
        <w:rPr>
          <w:rFonts w:ascii="Arial" w:hAnsi="Arial" w:cs="Arial"/>
          <w:lang w:val="en-US"/>
        </w:rPr>
      </w:pPr>
    </w:p>
    <w:p w14:paraId="6B9B7AC2" w14:textId="57B8676A" w:rsidR="003C56EE" w:rsidRDefault="003C56EE" w:rsidP="00512196">
      <w:pPr>
        <w:spacing w:line="360" w:lineRule="auto"/>
        <w:rPr>
          <w:rFonts w:ascii="Arial" w:eastAsia="Arial" w:hAnsi="Arial" w:cs="Arial"/>
        </w:rPr>
      </w:pPr>
      <w:r>
        <w:rPr>
          <w:rFonts w:ascii="Arial" w:eastAsia="Arial" w:hAnsi="Arial" w:cs="Arial"/>
        </w:rPr>
        <w:t xml:space="preserve">We completed a draft route map in December and used it as the basis for discussion and development. In February </w:t>
      </w:r>
      <w:r w:rsidR="00DB1E78">
        <w:rPr>
          <w:rFonts w:ascii="Arial" w:eastAsia="Arial" w:hAnsi="Arial" w:cs="Arial"/>
        </w:rPr>
        <w:t xml:space="preserve">2022, </w:t>
      </w:r>
      <w:r>
        <w:rPr>
          <w:rFonts w:ascii="Arial" w:eastAsia="Arial" w:hAnsi="Arial" w:cs="Arial"/>
        </w:rPr>
        <w:t xml:space="preserve">we consulted on the draft, hosting drop-in sessions which were open for all staff to attend. We also engaged with partners in the </w:t>
      </w:r>
      <w:hyperlink r:id="rId41" w:history="1">
        <w:r>
          <w:rPr>
            <w:rStyle w:val="Hyperlink"/>
            <w:rFonts w:ascii="Arial" w:eastAsia="Arial" w:hAnsi="Arial" w:cs="Arial"/>
          </w:rPr>
          <w:t>Environment and Economy Leaders Group</w:t>
        </w:r>
      </w:hyperlink>
      <w:r>
        <w:rPr>
          <w:rFonts w:ascii="Arial" w:eastAsia="Arial" w:hAnsi="Arial" w:cs="Arial"/>
        </w:rPr>
        <w:t xml:space="preserve"> as well as private and third sector organisations.</w:t>
      </w:r>
    </w:p>
    <w:p w14:paraId="560A7055" w14:textId="77777777" w:rsidR="00ED1E39" w:rsidRDefault="00ED1E39" w:rsidP="00512196">
      <w:pPr>
        <w:spacing w:line="360" w:lineRule="auto"/>
        <w:rPr>
          <w:rFonts w:ascii="Arial" w:eastAsia="Arial" w:hAnsi="Arial" w:cs="Arial"/>
          <w:lang w:eastAsia="en-US"/>
        </w:rPr>
      </w:pPr>
    </w:p>
    <w:p w14:paraId="46C14489" w14:textId="1CF4EEEB" w:rsidR="003C56EE" w:rsidRDefault="003C56EE" w:rsidP="00512196">
      <w:pPr>
        <w:spacing w:line="360" w:lineRule="auto"/>
        <w:rPr>
          <w:rFonts w:ascii="Arial" w:eastAsia="Arial" w:hAnsi="Arial" w:cs="Arial"/>
        </w:rPr>
      </w:pPr>
      <w:r>
        <w:rPr>
          <w:rFonts w:ascii="Arial" w:eastAsia="Arial" w:hAnsi="Arial" w:cs="Arial"/>
        </w:rPr>
        <w:t>The route map was finalised in March</w:t>
      </w:r>
      <w:r w:rsidR="00690700">
        <w:rPr>
          <w:rFonts w:ascii="Arial" w:eastAsia="Arial" w:hAnsi="Arial" w:cs="Arial"/>
        </w:rPr>
        <w:t xml:space="preserve"> 2022</w:t>
      </w:r>
      <w:r>
        <w:rPr>
          <w:rFonts w:ascii="Arial" w:eastAsia="Arial" w:hAnsi="Arial" w:cs="Arial"/>
        </w:rPr>
        <w:t>. It will focus our work around three main aims over the next two years:</w:t>
      </w:r>
    </w:p>
    <w:p w14:paraId="1676A608" w14:textId="77777777" w:rsidR="00ED1E39" w:rsidRDefault="00ED1E39" w:rsidP="00512196">
      <w:pPr>
        <w:spacing w:line="360" w:lineRule="auto"/>
        <w:rPr>
          <w:rFonts w:ascii="Arial" w:eastAsia="Arial" w:hAnsi="Arial" w:cs="Arial"/>
        </w:rPr>
      </w:pPr>
    </w:p>
    <w:p w14:paraId="433A752A" w14:textId="664688D8" w:rsidR="00ED1E39" w:rsidRPr="00BC7E3E" w:rsidRDefault="003C56EE" w:rsidP="00BC7E3E">
      <w:pPr>
        <w:pStyle w:val="ListParagraph"/>
        <w:numPr>
          <w:ilvl w:val="0"/>
          <w:numId w:val="40"/>
        </w:numPr>
        <w:spacing w:line="360" w:lineRule="auto"/>
        <w:rPr>
          <w:rFonts w:ascii="Arial" w:hAnsi="Arial" w:cs="Arial"/>
        </w:rPr>
      </w:pPr>
      <w:r w:rsidRPr="00ED1E39">
        <w:rPr>
          <w:rFonts w:ascii="Arial" w:hAnsi="Arial" w:cs="Arial"/>
        </w:rPr>
        <w:t>Aim 1: To fully understand our main emissions and impacts and to establish ways to measure them.</w:t>
      </w:r>
    </w:p>
    <w:p w14:paraId="04AD200D" w14:textId="575DE932" w:rsidR="00ED1E39" w:rsidRPr="00BC7E3E" w:rsidRDefault="003C56EE" w:rsidP="00ED1E39">
      <w:pPr>
        <w:pStyle w:val="ListParagraph"/>
        <w:numPr>
          <w:ilvl w:val="0"/>
          <w:numId w:val="40"/>
        </w:numPr>
        <w:spacing w:line="360" w:lineRule="auto"/>
        <w:rPr>
          <w:rFonts w:ascii="Arial" w:hAnsi="Arial" w:cs="Arial"/>
        </w:rPr>
      </w:pPr>
      <w:r w:rsidRPr="00ED1E39">
        <w:rPr>
          <w:rFonts w:ascii="Arial" w:hAnsi="Arial" w:cs="Arial"/>
        </w:rPr>
        <w:t xml:space="preserve">Aim 2: To set SEPA up for successful long-term delivery of regenerative actions that reduce our impacts and emissions. </w:t>
      </w:r>
    </w:p>
    <w:p w14:paraId="47B08FF1" w14:textId="60CC35BB" w:rsidR="003C56EE" w:rsidRDefault="003C56EE" w:rsidP="00802A98">
      <w:pPr>
        <w:pStyle w:val="ListParagraph"/>
        <w:numPr>
          <w:ilvl w:val="0"/>
          <w:numId w:val="40"/>
        </w:numPr>
        <w:spacing w:line="360" w:lineRule="auto"/>
        <w:rPr>
          <w:rFonts w:ascii="Arial" w:hAnsi="Arial" w:cs="Arial"/>
        </w:rPr>
      </w:pPr>
      <w:r w:rsidRPr="00ED1E39">
        <w:rPr>
          <w:rFonts w:ascii="Arial" w:hAnsi="Arial" w:cs="Arial"/>
        </w:rPr>
        <w:t>Aim 3: To continue to take actions that reduce emissions and impacts where we can.</w:t>
      </w:r>
    </w:p>
    <w:p w14:paraId="153622F3" w14:textId="77777777" w:rsidR="00ED1E39" w:rsidRPr="00ED1E39" w:rsidRDefault="00ED1E39" w:rsidP="00ED1E39">
      <w:pPr>
        <w:pStyle w:val="ListParagraph"/>
        <w:spacing w:line="360" w:lineRule="auto"/>
        <w:rPr>
          <w:rFonts w:ascii="Arial" w:hAnsi="Arial" w:cs="Arial"/>
        </w:rPr>
      </w:pPr>
    </w:p>
    <w:p w14:paraId="63753A6B" w14:textId="77777777" w:rsidR="00ED1E39" w:rsidRDefault="003C56EE" w:rsidP="00512196">
      <w:pPr>
        <w:spacing w:line="360" w:lineRule="auto"/>
        <w:rPr>
          <w:rFonts w:ascii="Arial" w:eastAsia="Arial" w:hAnsi="Arial" w:cs="Arial"/>
        </w:rPr>
      </w:pPr>
      <w:r>
        <w:rPr>
          <w:rFonts w:ascii="Arial" w:eastAsia="Arial" w:hAnsi="Arial" w:cs="Arial"/>
        </w:rPr>
        <w:t xml:space="preserve">Delivering on these aims will give us clear baselines for our widened scope of impacts. We will also have established clear governance and policies that fully embed Regenerative SEPA into all our work. Finally, we will have made significant progress in reducing our impacts through focusing on priorities that include Future of Work, procurement, and Water Environment Fund implementation. </w:t>
      </w:r>
    </w:p>
    <w:p w14:paraId="5B8EF999" w14:textId="49693078" w:rsidR="003C56EE" w:rsidRDefault="003C56EE" w:rsidP="00512196">
      <w:pPr>
        <w:spacing w:line="360" w:lineRule="auto"/>
        <w:rPr>
          <w:rFonts w:ascii="Arial" w:eastAsia="Arial" w:hAnsi="Arial" w:cs="Arial"/>
        </w:rPr>
      </w:pPr>
      <w:r>
        <w:rPr>
          <w:rFonts w:ascii="Arial" w:eastAsia="Arial" w:hAnsi="Arial" w:cs="Arial"/>
        </w:rPr>
        <w:t xml:space="preserve"> </w:t>
      </w:r>
    </w:p>
    <w:p w14:paraId="170A55C0" w14:textId="77777777" w:rsidR="003C56EE" w:rsidRDefault="003C56EE" w:rsidP="00512196">
      <w:pPr>
        <w:spacing w:line="360" w:lineRule="auto"/>
        <w:rPr>
          <w:rFonts w:ascii="Arial" w:hAnsi="Arial" w:cs="Arial"/>
          <w:color w:val="000000" w:themeColor="text1"/>
        </w:rPr>
      </w:pPr>
      <w:r>
        <w:rPr>
          <w:rFonts w:ascii="Arial" w:hAnsi="Arial" w:cs="Arial"/>
        </w:rPr>
        <w:t xml:space="preserve">Work to implement the route map has now started. Our initial focus is on the </w:t>
      </w:r>
      <w:r>
        <w:rPr>
          <w:rFonts w:ascii="Arial" w:hAnsi="Arial" w:cs="Arial"/>
          <w:color w:val="000000" w:themeColor="text1"/>
        </w:rPr>
        <w:t>procurement of major contracts.</w:t>
      </w:r>
    </w:p>
    <w:p w14:paraId="02886133" w14:textId="3BAC3C40" w:rsidR="00BC7E3E" w:rsidRDefault="00BC7E3E" w:rsidP="00512196">
      <w:pPr>
        <w:spacing w:line="360" w:lineRule="auto"/>
        <w:rPr>
          <w:rFonts w:ascii="Arial" w:hAnsi="Arial"/>
        </w:rPr>
      </w:pPr>
      <w:r>
        <w:rPr>
          <w:rFonts w:ascii="Arial" w:hAnsi="Arial"/>
        </w:rPr>
        <w:br w:type="page"/>
      </w: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005AAE40" w14:textId="77777777" w:rsidTr="000D05A9">
        <w:trPr>
          <w:trHeight w:val="562"/>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450588B7" w14:textId="77777777" w:rsidR="003C56EE" w:rsidRDefault="003C56EE" w:rsidP="00512196">
            <w:pPr>
              <w:overflowPunct w:val="0"/>
              <w:autoSpaceDE w:val="0"/>
              <w:autoSpaceDN w:val="0"/>
              <w:adjustRightInd w:val="0"/>
              <w:spacing w:line="360" w:lineRule="auto"/>
              <w:textAlignment w:val="baseline"/>
              <w:rPr>
                <w:rFonts w:eastAsia="Arial"/>
              </w:rPr>
            </w:pPr>
            <w:r>
              <w:rPr>
                <w:rFonts w:eastAsia="Arial"/>
              </w:rPr>
              <w:lastRenderedPageBreak/>
              <w:t>Corporate</w:t>
            </w:r>
          </w:p>
        </w:tc>
      </w:tr>
      <w:tr w:rsidR="003C56EE" w14:paraId="70DD6DD1" w14:textId="77777777" w:rsidTr="00600F56">
        <w:trPr>
          <w:trHeight w:val="390"/>
        </w:trPr>
        <w:tc>
          <w:tcPr>
            <w:tcW w:w="4011" w:type="pct"/>
            <w:tcBorders>
              <w:top w:val="single" w:sz="24" w:space="0" w:color="00526F"/>
              <w:left w:val="single" w:sz="24" w:space="0" w:color="00526F"/>
              <w:bottom w:val="single" w:sz="24" w:space="0" w:color="00526F"/>
              <w:right w:val="single" w:sz="24" w:space="0" w:color="00526F"/>
            </w:tcBorders>
            <w:hideMark/>
          </w:tcPr>
          <w:p w14:paraId="31DB8898" w14:textId="456B3B46" w:rsidR="003C56EE" w:rsidRDefault="003C56EE" w:rsidP="00512196">
            <w:pPr>
              <w:overflowPunct w:val="0"/>
              <w:autoSpaceDE w:val="0"/>
              <w:autoSpaceDN w:val="0"/>
              <w:adjustRightInd w:val="0"/>
              <w:spacing w:line="360" w:lineRule="auto"/>
              <w:textAlignment w:val="baseline"/>
              <w:rPr>
                <w:rFonts w:eastAsia="Arial"/>
                <w:b/>
                <w:bCs/>
              </w:rPr>
            </w:pPr>
            <w:r>
              <w:rPr>
                <w:rFonts w:eastAsia="Arial"/>
                <w:b/>
                <w:bCs/>
              </w:rPr>
              <w:t>Measure 19: The software and hardware required to enable staff to safely work from anywhere will be available by the end of March 2022</w:t>
            </w:r>
            <w:r w:rsidR="0012204C">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4E1403AA" w14:textId="77777777" w:rsidR="003C56EE" w:rsidRDefault="003C56EE" w:rsidP="00512196">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79CADBB1" w14:textId="77777777" w:rsidR="003C56EE" w:rsidRDefault="003C56EE" w:rsidP="00512196">
      <w:pPr>
        <w:spacing w:line="360" w:lineRule="auto"/>
        <w:rPr>
          <w:rFonts w:ascii="Arial" w:hAnsi="Arial"/>
          <w:lang w:eastAsia="en-US"/>
        </w:rPr>
      </w:pPr>
    </w:p>
    <w:p w14:paraId="765AFD60" w14:textId="21A8A44A" w:rsidR="003C56EE" w:rsidRDefault="003C56EE" w:rsidP="00512196">
      <w:pPr>
        <w:spacing w:line="360" w:lineRule="auto"/>
        <w:rPr>
          <w:rFonts w:ascii="Arial" w:eastAsia="Calibri" w:hAnsi="Arial" w:cs="Arial"/>
          <w:color w:val="000000"/>
        </w:rPr>
      </w:pPr>
      <w:r>
        <w:rPr>
          <w:rFonts w:ascii="Arial" w:eastAsia="Calibri" w:hAnsi="Arial" w:cs="Arial"/>
          <w:color w:val="000000"/>
        </w:rPr>
        <w:t>We achieved this measure, delivering the four areas of work described below.</w:t>
      </w:r>
    </w:p>
    <w:p w14:paraId="5DB3697C" w14:textId="77777777" w:rsidR="00ED1E39" w:rsidRDefault="00ED1E39" w:rsidP="00512196">
      <w:pPr>
        <w:spacing w:line="360" w:lineRule="auto"/>
        <w:rPr>
          <w:rFonts w:ascii="Arial" w:eastAsia="Arial" w:hAnsi="Arial" w:cs="Arial"/>
          <w:color w:val="000000"/>
        </w:rPr>
      </w:pPr>
    </w:p>
    <w:p w14:paraId="1BB73141" w14:textId="77777777" w:rsidR="003C56EE" w:rsidRDefault="003C56EE" w:rsidP="00802A98">
      <w:pPr>
        <w:numPr>
          <w:ilvl w:val="0"/>
          <w:numId w:val="43"/>
        </w:numPr>
        <w:overflowPunct w:val="0"/>
        <w:autoSpaceDE w:val="0"/>
        <w:autoSpaceDN w:val="0"/>
        <w:adjustRightInd w:val="0"/>
        <w:spacing w:line="360" w:lineRule="auto"/>
        <w:ind w:left="357" w:hanging="357"/>
        <w:textAlignment w:val="baseline"/>
        <w:rPr>
          <w:rFonts w:ascii="Arial" w:hAnsi="Arial" w:cs="Arial"/>
          <w:b/>
          <w:bCs/>
          <w:szCs w:val="20"/>
        </w:rPr>
      </w:pPr>
      <w:r>
        <w:rPr>
          <w:rFonts w:ascii="Arial" w:hAnsi="Arial" w:cs="Arial"/>
          <w:b/>
          <w:bCs/>
          <w:szCs w:val="20"/>
        </w:rPr>
        <w:t>Provide all members of staff with a laptop.</w:t>
      </w:r>
    </w:p>
    <w:p w14:paraId="5DE95B4F" w14:textId="6C8BFD23" w:rsidR="003C56EE" w:rsidRDefault="003C56EE" w:rsidP="00512196">
      <w:pPr>
        <w:overflowPunct w:val="0"/>
        <w:autoSpaceDE w:val="0"/>
        <w:autoSpaceDN w:val="0"/>
        <w:adjustRightInd w:val="0"/>
        <w:spacing w:line="360" w:lineRule="auto"/>
        <w:ind w:left="357"/>
        <w:textAlignment w:val="baseline"/>
        <w:rPr>
          <w:rFonts w:ascii="Arial" w:hAnsi="Arial" w:cs="Arial"/>
        </w:rPr>
      </w:pPr>
      <w:r>
        <w:rPr>
          <w:rFonts w:ascii="Arial" w:hAnsi="Arial" w:cs="Arial"/>
        </w:rPr>
        <w:t>We provided all members of staff with a laptop installed with the new M</w:t>
      </w:r>
      <w:r w:rsidR="00E06CFE">
        <w:rPr>
          <w:rFonts w:ascii="Arial" w:hAnsi="Arial" w:cs="Arial"/>
        </w:rPr>
        <w:t xml:space="preserve">icrosoft </w:t>
      </w:r>
      <w:r>
        <w:rPr>
          <w:rFonts w:ascii="Arial" w:hAnsi="Arial" w:cs="Arial"/>
        </w:rPr>
        <w:t>365 build. This was challenging to achieve due to the impact of the global shortage of electronic equipment. We trained all staff on the use of Microsoft 365 through drop-in sessions.</w:t>
      </w:r>
    </w:p>
    <w:p w14:paraId="7ECFFBE8" w14:textId="77777777" w:rsidR="00ED1E39" w:rsidRDefault="00ED1E39" w:rsidP="00512196">
      <w:pPr>
        <w:overflowPunct w:val="0"/>
        <w:autoSpaceDE w:val="0"/>
        <w:autoSpaceDN w:val="0"/>
        <w:adjustRightInd w:val="0"/>
        <w:spacing w:line="360" w:lineRule="auto"/>
        <w:ind w:left="357"/>
        <w:textAlignment w:val="baseline"/>
        <w:rPr>
          <w:rFonts w:ascii="Arial" w:hAnsi="Arial" w:cs="Arial"/>
        </w:rPr>
      </w:pPr>
    </w:p>
    <w:p w14:paraId="5C60D797" w14:textId="77777777" w:rsidR="003C56EE" w:rsidRDefault="003C56EE" w:rsidP="00802A98">
      <w:pPr>
        <w:numPr>
          <w:ilvl w:val="0"/>
          <w:numId w:val="43"/>
        </w:numPr>
        <w:overflowPunct w:val="0"/>
        <w:autoSpaceDE w:val="0"/>
        <w:autoSpaceDN w:val="0"/>
        <w:adjustRightInd w:val="0"/>
        <w:spacing w:line="360" w:lineRule="auto"/>
        <w:ind w:left="363" w:hanging="357"/>
        <w:textAlignment w:val="baseline"/>
        <w:rPr>
          <w:rFonts w:ascii="Arial" w:hAnsi="Arial" w:cs="Arial"/>
          <w:b/>
          <w:bCs/>
          <w:szCs w:val="20"/>
        </w:rPr>
      </w:pPr>
      <w:r>
        <w:rPr>
          <w:rFonts w:ascii="Arial" w:hAnsi="Arial" w:cs="Arial"/>
          <w:b/>
          <w:bCs/>
          <w:szCs w:val="20"/>
        </w:rPr>
        <w:t>Provide mobile phones to members of staff who require them as part of their role.</w:t>
      </w:r>
    </w:p>
    <w:p w14:paraId="0A3B994B" w14:textId="0BFFE972" w:rsidR="003C56EE" w:rsidRDefault="003C56EE" w:rsidP="00512196">
      <w:pPr>
        <w:overflowPunct w:val="0"/>
        <w:autoSpaceDE w:val="0"/>
        <w:autoSpaceDN w:val="0"/>
        <w:adjustRightInd w:val="0"/>
        <w:spacing w:line="360" w:lineRule="auto"/>
        <w:ind w:left="357"/>
        <w:textAlignment w:val="baseline"/>
        <w:rPr>
          <w:rFonts w:ascii="Arial" w:hAnsi="Arial" w:cs="Arial"/>
        </w:rPr>
      </w:pPr>
      <w:r>
        <w:rPr>
          <w:rFonts w:ascii="Arial" w:hAnsi="Arial" w:cs="Arial"/>
        </w:rPr>
        <w:t xml:space="preserve">We provided a mobile phone to all members of staff who need one for their job. </w:t>
      </w:r>
    </w:p>
    <w:p w14:paraId="73AB7F1F" w14:textId="77777777" w:rsidR="00ED1E39" w:rsidRDefault="00ED1E39" w:rsidP="00512196">
      <w:pPr>
        <w:overflowPunct w:val="0"/>
        <w:autoSpaceDE w:val="0"/>
        <w:autoSpaceDN w:val="0"/>
        <w:adjustRightInd w:val="0"/>
        <w:spacing w:line="360" w:lineRule="auto"/>
        <w:ind w:left="357"/>
        <w:textAlignment w:val="baseline"/>
        <w:rPr>
          <w:rFonts w:ascii="Arial" w:hAnsi="Arial" w:cs="Arial"/>
        </w:rPr>
      </w:pPr>
    </w:p>
    <w:p w14:paraId="2B749921" w14:textId="77777777" w:rsidR="003C56EE" w:rsidRDefault="003C56EE" w:rsidP="00802A98">
      <w:pPr>
        <w:numPr>
          <w:ilvl w:val="0"/>
          <w:numId w:val="43"/>
        </w:numPr>
        <w:overflowPunct w:val="0"/>
        <w:autoSpaceDE w:val="0"/>
        <w:autoSpaceDN w:val="0"/>
        <w:adjustRightInd w:val="0"/>
        <w:spacing w:line="360" w:lineRule="auto"/>
        <w:ind w:left="363" w:hanging="357"/>
        <w:textAlignment w:val="baseline"/>
        <w:rPr>
          <w:rFonts w:ascii="Arial" w:hAnsi="Arial" w:cs="Arial"/>
          <w:b/>
          <w:bCs/>
          <w:szCs w:val="20"/>
        </w:rPr>
      </w:pPr>
      <w:r>
        <w:rPr>
          <w:rFonts w:ascii="Arial" w:hAnsi="Arial" w:cs="Arial"/>
          <w:b/>
          <w:bCs/>
          <w:szCs w:val="20"/>
        </w:rPr>
        <w:t>Provide staff with the hardware and software assistive technologies they need.</w:t>
      </w:r>
    </w:p>
    <w:p w14:paraId="33235A62" w14:textId="77777777" w:rsidR="003C56EE" w:rsidRDefault="003C56EE" w:rsidP="00512196">
      <w:pPr>
        <w:overflowPunct w:val="0"/>
        <w:autoSpaceDE w:val="0"/>
        <w:autoSpaceDN w:val="0"/>
        <w:adjustRightInd w:val="0"/>
        <w:spacing w:line="360" w:lineRule="auto"/>
        <w:ind w:left="357"/>
        <w:textAlignment w:val="baseline"/>
        <w:rPr>
          <w:rFonts w:ascii="Arial" w:hAnsi="Arial" w:cs="Arial"/>
        </w:rPr>
      </w:pPr>
      <w:r>
        <w:rPr>
          <w:rFonts w:ascii="Arial" w:hAnsi="Arial" w:cs="Arial"/>
        </w:rPr>
        <w:t xml:space="preserve">We provided all staff who requested peripheral equipment including monitors, keyboards, and mice with the equipment they need to work safely from home. </w:t>
      </w:r>
    </w:p>
    <w:p w14:paraId="6E4F41CF" w14:textId="1538B7C2" w:rsidR="003C56EE" w:rsidRDefault="003C56EE" w:rsidP="00512196">
      <w:pPr>
        <w:overflowPunct w:val="0"/>
        <w:autoSpaceDE w:val="0"/>
        <w:autoSpaceDN w:val="0"/>
        <w:adjustRightInd w:val="0"/>
        <w:spacing w:line="360" w:lineRule="auto"/>
        <w:ind w:left="357"/>
        <w:textAlignment w:val="baseline"/>
        <w:rPr>
          <w:rFonts w:ascii="Arial" w:hAnsi="Arial" w:cs="Arial"/>
        </w:rPr>
      </w:pPr>
      <w:r>
        <w:rPr>
          <w:rFonts w:ascii="Arial" w:hAnsi="Arial" w:cs="Arial"/>
        </w:rPr>
        <w:t>A total of 23 members of staff requested assistive technologies. These included dictation software and other aids to facilitate safe working from home. We met all their needs. We also set up a process for future requests to ensure staff receive what they need quickly.</w:t>
      </w:r>
    </w:p>
    <w:p w14:paraId="3BEE4BBE" w14:textId="77777777" w:rsidR="00ED1E39" w:rsidRDefault="00ED1E39" w:rsidP="00512196">
      <w:pPr>
        <w:overflowPunct w:val="0"/>
        <w:autoSpaceDE w:val="0"/>
        <w:autoSpaceDN w:val="0"/>
        <w:adjustRightInd w:val="0"/>
        <w:spacing w:line="360" w:lineRule="auto"/>
        <w:ind w:left="357"/>
        <w:textAlignment w:val="baseline"/>
        <w:rPr>
          <w:rFonts w:ascii="Arial" w:hAnsi="Arial" w:cs="Arial"/>
        </w:rPr>
      </w:pPr>
    </w:p>
    <w:p w14:paraId="719C84BA" w14:textId="77777777" w:rsidR="003C56EE" w:rsidRDefault="003C56EE" w:rsidP="00802A98">
      <w:pPr>
        <w:numPr>
          <w:ilvl w:val="0"/>
          <w:numId w:val="43"/>
        </w:numPr>
        <w:overflowPunct w:val="0"/>
        <w:autoSpaceDE w:val="0"/>
        <w:autoSpaceDN w:val="0"/>
        <w:adjustRightInd w:val="0"/>
        <w:spacing w:line="360" w:lineRule="auto"/>
        <w:ind w:left="363" w:hanging="357"/>
        <w:textAlignment w:val="baseline"/>
        <w:rPr>
          <w:rFonts w:ascii="Arial" w:eastAsia="Arial" w:hAnsi="Arial" w:cs="Arial"/>
          <w:b/>
          <w:bCs/>
          <w:color w:val="000000"/>
          <w:szCs w:val="20"/>
        </w:rPr>
      </w:pPr>
      <w:r>
        <w:rPr>
          <w:rFonts w:ascii="Arial" w:hAnsi="Arial" w:cs="Arial"/>
          <w:b/>
          <w:bCs/>
          <w:szCs w:val="20"/>
        </w:rPr>
        <w:t>Work with staff to identify what they need to work anywhere in their specific roles and meet these needs.</w:t>
      </w:r>
    </w:p>
    <w:p w14:paraId="1C9CCE61" w14:textId="051DE479" w:rsidR="003C56EE" w:rsidRDefault="003C56EE" w:rsidP="00512196">
      <w:pPr>
        <w:spacing w:line="360" w:lineRule="auto"/>
        <w:ind w:left="363"/>
        <w:rPr>
          <w:rFonts w:ascii="Arial" w:hAnsi="Arial" w:cs="Arial"/>
        </w:rPr>
      </w:pPr>
      <w:r>
        <w:rPr>
          <w:rFonts w:ascii="Arial" w:hAnsi="Arial" w:cs="Arial"/>
        </w:rPr>
        <w:t>We implemented software to help staff work from any location. This included installation of Microsoft 365 with capabilities such as Microsoft Forms, Laboratory systems</w:t>
      </w:r>
      <w:r w:rsidR="008457F4">
        <w:rPr>
          <w:rFonts w:ascii="Arial" w:hAnsi="Arial" w:cs="Arial"/>
        </w:rPr>
        <w:t>,</w:t>
      </w:r>
      <w:r>
        <w:rPr>
          <w:rFonts w:ascii="Arial" w:hAnsi="Arial" w:cs="Arial"/>
        </w:rPr>
        <w:t xml:space="preserve"> and Co-Fax PDF software to allow the use of PDF documents, including redaction. We have put in place a process to ensure future needs are captured and addressed.</w:t>
      </w:r>
    </w:p>
    <w:p w14:paraId="05D036A0" w14:textId="7D450704" w:rsidR="003C56EE" w:rsidRDefault="008457F4" w:rsidP="00512196">
      <w:pPr>
        <w:spacing w:line="360" w:lineRule="auto"/>
        <w:rPr>
          <w:rFonts w:ascii="Arial" w:hAnsi="Arial"/>
        </w:rPr>
      </w:pPr>
      <w:r>
        <w:rPr>
          <w:rFonts w:ascii="Arial" w:hAnsi="Arial"/>
        </w:rPr>
        <w:br w:type="page"/>
      </w:r>
    </w:p>
    <w:tbl>
      <w:tblPr>
        <w:tblStyle w:val="TableGrid1"/>
        <w:tblW w:w="5000" w:type="pct"/>
        <w:tblBorders>
          <w:top w:val="single" w:sz="24" w:space="0" w:color="00526F"/>
          <w:left w:val="single" w:sz="24" w:space="0" w:color="00526F"/>
          <w:bottom w:val="single" w:sz="24" w:space="0" w:color="00526F"/>
          <w:right w:val="single" w:sz="24" w:space="0" w:color="00526F"/>
          <w:insideH w:val="single" w:sz="6" w:space="0" w:color="00526F"/>
          <w:insideV w:val="single" w:sz="24" w:space="0" w:color="00526F"/>
        </w:tblBorders>
        <w:tblCellMar>
          <w:top w:w="57" w:type="dxa"/>
          <w:bottom w:w="57" w:type="dxa"/>
        </w:tblCellMar>
        <w:tblLook w:val="04A0" w:firstRow="1" w:lastRow="0" w:firstColumn="1" w:lastColumn="0" w:noHBand="0" w:noVBand="1"/>
      </w:tblPr>
      <w:tblGrid>
        <w:gridCol w:w="7798"/>
        <w:gridCol w:w="1923"/>
      </w:tblGrid>
      <w:tr w:rsidR="003C56EE" w14:paraId="49E93842" w14:textId="77777777" w:rsidTr="000D05A9">
        <w:trPr>
          <w:trHeight w:val="563"/>
        </w:trPr>
        <w:tc>
          <w:tcPr>
            <w:tcW w:w="5000" w:type="pct"/>
            <w:gridSpan w:val="2"/>
            <w:tcBorders>
              <w:top w:val="single" w:sz="24" w:space="0" w:color="00526F"/>
              <w:left w:val="single" w:sz="24" w:space="0" w:color="00526F"/>
              <w:bottom w:val="single" w:sz="24" w:space="0" w:color="00526F"/>
              <w:right w:val="single" w:sz="24" w:space="0" w:color="00526F"/>
            </w:tcBorders>
            <w:shd w:val="clear" w:color="auto" w:fill="E4EEDB"/>
            <w:hideMark/>
          </w:tcPr>
          <w:p w14:paraId="66865149" w14:textId="77777777" w:rsidR="003C56EE" w:rsidRDefault="003C56EE" w:rsidP="00512196">
            <w:pPr>
              <w:overflowPunct w:val="0"/>
              <w:autoSpaceDE w:val="0"/>
              <w:autoSpaceDN w:val="0"/>
              <w:adjustRightInd w:val="0"/>
              <w:spacing w:line="360" w:lineRule="auto"/>
              <w:textAlignment w:val="baseline"/>
              <w:rPr>
                <w:rFonts w:eastAsia="Arial"/>
              </w:rPr>
            </w:pPr>
            <w:r>
              <w:lastRenderedPageBreak/>
              <w:br w:type="page"/>
            </w:r>
            <w:r>
              <w:br w:type="page"/>
            </w:r>
            <w:r>
              <w:rPr>
                <w:rFonts w:eastAsia="Arial"/>
              </w:rPr>
              <w:t>Corporate</w:t>
            </w:r>
          </w:p>
        </w:tc>
      </w:tr>
      <w:tr w:rsidR="003C56EE" w14:paraId="1362F2D5" w14:textId="77777777" w:rsidTr="00600F56">
        <w:trPr>
          <w:trHeight w:val="737"/>
        </w:trPr>
        <w:tc>
          <w:tcPr>
            <w:tcW w:w="4011" w:type="pct"/>
            <w:tcBorders>
              <w:top w:val="single" w:sz="24" w:space="0" w:color="00526F"/>
              <w:left w:val="single" w:sz="24" w:space="0" w:color="00526F"/>
              <w:bottom w:val="single" w:sz="24" w:space="0" w:color="00526F"/>
              <w:right w:val="single" w:sz="24" w:space="0" w:color="00526F"/>
            </w:tcBorders>
            <w:hideMark/>
          </w:tcPr>
          <w:p w14:paraId="1320148B" w14:textId="66D2AADB" w:rsidR="003C56EE" w:rsidRDefault="003C56EE" w:rsidP="00512196">
            <w:pPr>
              <w:overflowPunct w:val="0"/>
              <w:autoSpaceDE w:val="0"/>
              <w:autoSpaceDN w:val="0"/>
              <w:adjustRightInd w:val="0"/>
              <w:spacing w:line="360" w:lineRule="auto"/>
              <w:textAlignment w:val="baseline"/>
              <w:rPr>
                <w:rFonts w:eastAsia="Arial"/>
                <w:b/>
                <w:bCs/>
              </w:rPr>
            </w:pPr>
            <w:r>
              <w:rPr>
                <w:rFonts w:eastAsia="Arial"/>
                <w:b/>
                <w:bCs/>
              </w:rPr>
              <w:t>Measure 20: Launch four online permit application services</w:t>
            </w:r>
            <w:r w:rsidR="008457F4">
              <w:rPr>
                <w:rFonts w:eastAsia="Arial"/>
                <w:b/>
                <w:bCs/>
              </w:rPr>
              <w:t>.</w:t>
            </w:r>
          </w:p>
        </w:tc>
        <w:tc>
          <w:tcPr>
            <w:tcW w:w="989" w:type="pct"/>
            <w:tcBorders>
              <w:top w:val="single" w:sz="24" w:space="0" w:color="00526F"/>
              <w:left w:val="single" w:sz="24" w:space="0" w:color="00526F"/>
              <w:bottom w:val="single" w:sz="24" w:space="0" w:color="00526F"/>
              <w:right w:val="single" w:sz="24" w:space="0" w:color="00526F"/>
            </w:tcBorders>
            <w:shd w:val="clear" w:color="auto" w:fill="57C4AD"/>
            <w:vAlign w:val="center"/>
            <w:hideMark/>
          </w:tcPr>
          <w:p w14:paraId="50C0E6CC" w14:textId="77777777" w:rsidR="003C56EE" w:rsidRDefault="003C56EE" w:rsidP="00512196">
            <w:pPr>
              <w:overflowPunct w:val="0"/>
              <w:autoSpaceDE w:val="0"/>
              <w:autoSpaceDN w:val="0"/>
              <w:adjustRightInd w:val="0"/>
              <w:spacing w:line="360" w:lineRule="auto"/>
              <w:jc w:val="center"/>
              <w:textAlignment w:val="baseline"/>
              <w:rPr>
                <w:rFonts w:eastAsia="Arial"/>
              </w:rPr>
            </w:pPr>
            <w:r>
              <w:rPr>
                <w:rFonts w:eastAsia="Arial"/>
              </w:rPr>
              <w:t>Achieved</w:t>
            </w:r>
          </w:p>
        </w:tc>
      </w:tr>
    </w:tbl>
    <w:p w14:paraId="560A9D3C" w14:textId="77777777" w:rsidR="003C56EE" w:rsidRDefault="003C56EE" w:rsidP="00512196">
      <w:pPr>
        <w:pStyle w:val="01bSubheader"/>
        <w:rPr>
          <w:lang w:eastAsia="en-US"/>
        </w:rPr>
      </w:pPr>
    </w:p>
    <w:p w14:paraId="703EE80D" w14:textId="3FDC8FB1" w:rsidR="003C56EE" w:rsidRDefault="003C56EE" w:rsidP="00512196">
      <w:pPr>
        <w:spacing w:line="360" w:lineRule="auto"/>
        <w:rPr>
          <w:rStyle w:val="normaltextrun"/>
          <w:rFonts w:ascii="Arial" w:eastAsiaTheme="majorEastAsia" w:hAnsi="Arial" w:cs="Arial"/>
          <w:color w:val="000000"/>
          <w:shd w:val="clear" w:color="auto" w:fill="FFFFFF"/>
        </w:rPr>
      </w:pPr>
      <w:r>
        <w:rPr>
          <w:rFonts w:ascii="Arial" w:eastAsia="Arial" w:hAnsi="Arial" w:cs="Arial"/>
          <w:color w:val="000000"/>
        </w:rPr>
        <w:t xml:space="preserve">We achieved this measure. </w:t>
      </w:r>
      <w:r>
        <w:rPr>
          <w:rFonts w:ascii="Arial" w:hAnsi="Arial" w:cs="Arial"/>
        </w:rPr>
        <w:t xml:space="preserve">Between June and August 2021, we relaunched three online registration services which had been affected by the cyber-attack, ahead of schedule. They can be seen in the table below. We also launched a service that allows customers to register activities that are exempt from waste management licensing. </w:t>
      </w:r>
      <w:r>
        <w:rPr>
          <w:rStyle w:val="normaltextrun"/>
          <w:rFonts w:ascii="Arial" w:eastAsiaTheme="majorEastAsia" w:hAnsi="Arial" w:cs="Arial"/>
          <w:color w:val="000000"/>
          <w:shd w:val="clear" w:color="auto" w:fill="FFFFFF"/>
        </w:rPr>
        <w:t xml:space="preserve">We successfully designed and built the Deposit Return Scheme </w:t>
      </w:r>
      <w:r>
        <w:rPr>
          <w:rStyle w:val="normaltextrun"/>
          <w:rFonts w:eastAsiaTheme="majorEastAsia"/>
          <w:sz w:val="20"/>
        </w:rPr>
        <w:t>-</w:t>
      </w:r>
      <w:r>
        <w:rPr>
          <w:rStyle w:val="normaltextrun"/>
          <w:rFonts w:ascii="Arial" w:eastAsiaTheme="majorEastAsia" w:hAnsi="Arial" w:cs="Arial"/>
          <w:color w:val="000000"/>
          <w:shd w:val="clear" w:color="auto" w:fill="FFFFFF"/>
        </w:rPr>
        <w:t xml:space="preserve"> Producer Registration online service. However, in accordance with the 2022 Digital Deposit Return Scheme </w:t>
      </w:r>
      <w:hyperlink r:id="rId42" w:history="1">
        <w:r>
          <w:rPr>
            <w:rStyle w:val="Hyperlink"/>
            <w:rFonts w:ascii="Arial" w:hAnsi="Arial" w:cs="Arial"/>
            <w:shd w:val="clear" w:color="auto" w:fill="FFFFFF"/>
          </w:rPr>
          <w:t>regulatory amendments</w:t>
        </w:r>
      </w:hyperlink>
      <w:r>
        <w:rPr>
          <w:rStyle w:val="normaltextrun"/>
          <w:rFonts w:ascii="Arial" w:eastAsiaTheme="majorEastAsia" w:hAnsi="Arial" w:cs="Arial"/>
          <w:color w:val="000000"/>
          <w:shd w:val="clear" w:color="auto" w:fill="FFFFFF"/>
        </w:rPr>
        <w:t xml:space="preserve"> to the scheme’s launch dates, we have delayed the launch of our online service until January 2023. </w:t>
      </w:r>
    </w:p>
    <w:p w14:paraId="0B8140B6" w14:textId="77777777" w:rsidR="00ED1E39" w:rsidRPr="005C3100" w:rsidRDefault="00ED1E39" w:rsidP="00512196">
      <w:pPr>
        <w:spacing w:line="360" w:lineRule="auto"/>
        <w:rPr>
          <w:rStyle w:val="normaltextrun"/>
          <w:rFonts w:ascii="Arial" w:hAnsi="Arial" w:cs="Arial"/>
          <w:shd w:val="clear" w:color="auto" w:fill="FFFFF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838"/>
        <w:gridCol w:w="2820"/>
        <w:gridCol w:w="3113"/>
      </w:tblGrid>
      <w:tr w:rsidR="003C56EE" w14:paraId="3C64FC32" w14:textId="77777777" w:rsidTr="009E622A">
        <w:trPr>
          <w:trHeight w:val="876"/>
        </w:trPr>
        <w:tc>
          <w:tcPr>
            <w:tcW w:w="1964"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0" w:type="dxa"/>
              <w:left w:w="108" w:type="dxa"/>
              <w:bottom w:w="0" w:type="dxa"/>
              <w:right w:w="108" w:type="dxa"/>
            </w:tcMar>
            <w:hideMark/>
          </w:tcPr>
          <w:p w14:paraId="38593216" w14:textId="77777777" w:rsidR="003C56EE" w:rsidRPr="00ED1E39" w:rsidRDefault="003C56EE" w:rsidP="00512196">
            <w:pPr>
              <w:overflowPunct w:val="0"/>
              <w:autoSpaceDE w:val="0"/>
              <w:autoSpaceDN w:val="0"/>
              <w:adjustRightInd w:val="0"/>
              <w:spacing w:line="360" w:lineRule="auto"/>
              <w:textAlignment w:val="baseline"/>
              <w:rPr>
                <w:b/>
                <w:bCs/>
                <w:szCs w:val="20"/>
              </w:rPr>
            </w:pPr>
            <w:r w:rsidRPr="00ED1E39">
              <w:rPr>
                <w:rFonts w:ascii="Arial" w:hAnsi="Arial"/>
                <w:b/>
                <w:bCs/>
                <w:szCs w:val="20"/>
              </w:rPr>
              <w:t>Service</w:t>
            </w:r>
          </w:p>
        </w:tc>
        <w:tc>
          <w:tcPr>
            <w:tcW w:w="1443"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0" w:type="dxa"/>
              <w:left w:w="108" w:type="dxa"/>
              <w:bottom w:w="0" w:type="dxa"/>
              <w:right w:w="108" w:type="dxa"/>
            </w:tcMar>
            <w:hideMark/>
          </w:tcPr>
          <w:p w14:paraId="50E3371B" w14:textId="77777777" w:rsidR="003C56EE" w:rsidRPr="00ED1E39" w:rsidRDefault="003C56EE" w:rsidP="00512196">
            <w:pPr>
              <w:overflowPunct w:val="0"/>
              <w:autoSpaceDE w:val="0"/>
              <w:autoSpaceDN w:val="0"/>
              <w:adjustRightInd w:val="0"/>
              <w:spacing w:line="360" w:lineRule="auto"/>
              <w:textAlignment w:val="baseline"/>
              <w:rPr>
                <w:rFonts w:ascii="Arial" w:hAnsi="Arial"/>
                <w:b/>
                <w:bCs/>
                <w:szCs w:val="20"/>
              </w:rPr>
            </w:pPr>
            <w:r w:rsidRPr="00ED1E39">
              <w:rPr>
                <w:rFonts w:ascii="Arial" w:hAnsi="Arial"/>
                <w:b/>
                <w:bCs/>
                <w:color w:val="000000"/>
                <w:szCs w:val="20"/>
              </w:rPr>
              <w:t>Target release date</w:t>
            </w:r>
          </w:p>
        </w:tc>
        <w:tc>
          <w:tcPr>
            <w:tcW w:w="1593" w:type="pct"/>
            <w:tcBorders>
              <w:top w:val="single" w:sz="4" w:space="0" w:color="auto"/>
              <w:left w:val="single" w:sz="4" w:space="0" w:color="auto"/>
              <w:bottom w:val="single" w:sz="4" w:space="0" w:color="auto"/>
              <w:right w:val="single" w:sz="4" w:space="0" w:color="auto"/>
            </w:tcBorders>
            <w:shd w:val="clear" w:color="auto" w:fill="EAF1DD" w:themeFill="accent3" w:themeFillTint="33"/>
            <w:tcMar>
              <w:top w:w="0" w:type="dxa"/>
              <w:left w:w="108" w:type="dxa"/>
              <w:bottom w:w="0" w:type="dxa"/>
              <w:right w:w="108" w:type="dxa"/>
            </w:tcMar>
            <w:hideMark/>
          </w:tcPr>
          <w:p w14:paraId="37C5DABB" w14:textId="77777777" w:rsidR="003C56EE" w:rsidRPr="00ED1E39" w:rsidRDefault="003C56EE" w:rsidP="00512196">
            <w:pPr>
              <w:overflowPunct w:val="0"/>
              <w:autoSpaceDE w:val="0"/>
              <w:autoSpaceDN w:val="0"/>
              <w:adjustRightInd w:val="0"/>
              <w:spacing w:line="360" w:lineRule="auto"/>
              <w:textAlignment w:val="baseline"/>
              <w:rPr>
                <w:rFonts w:ascii="Arial" w:hAnsi="Arial"/>
                <w:b/>
                <w:bCs/>
                <w:szCs w:val="20"/>
              </w:rPr>
            </w:pPr>
            <w:r w:rsidRPr="00ED1E39">
              <w:rPr>
                <w:rFonts w:ascii="Arial" w:hAnsi="Arial"/>
                <w:b/>
                <w:bCs/>
                <w:color w:val="000000"/>
                <w:szCs w:val="20"/>
              </w:rPr>
              <w:t>Actual release date</w:t>
            </w:r>
          </w:p>
        </w:tc>
      </w:tr>
      <w:tr w:rsidR="003C56EE" w14:paraId="4FCC3113" w14:textId="77777777" w:rsidTr="009E622A">
        <w:trPr>
          <w:trHeight w:val="876"/>
        </w:trPr>
        <w:tc>
          <w:tcPr>
            <w:tcW w:w="1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BCFDA"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Radioactive substances notifications</w:t>
            </w:r>
          </w:p>
        </w:tc>
        <w:tc>
          <w:tcPr>
            <w:tcW w:w="1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18ED2"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End July 2021</w:t>
            </w:r>
          </w:p>
        </w:tc>
        <w:tc>
          <w:tcPr>
            <w:tcW w:w="1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610A12"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22 June 2021</w:t>
            </w:r>
          </w:p>
        </w:tc>
      </w:tr>
      <w:tr w:rsidR="003C56EE" w14:paraId="6FED7C2C" w14:textId="77777777" w:rsidTr="009E622A">
        <w:trPr>
          <w:trHeight w:val="487"/>
        </w:trPr>
        <w:tc>
          <w:tcPr>
            <w:tcW w:w="1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838C41"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Private sewage treatment systems</w:t>
            </w:r>
          </w:p>
        </w:tc>
        <w:tc>
          <w:tcPr>
            <w:tcW w:w="1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87819"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End August 2021</w:t>
            </w:r>
          </w:p>
        </w:tc>
        <w:tc>
          <w:tcPr>
            <w:tcW w:w="1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432CC"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16 August 2021</w:t>
            </w:r>
          </w:p>
        </w:tc>
      </w:tr>
      <w:tr w:rsidR="003C56EE" w14:paraId="0CEBEBEF" w14:textId="77777777" w:rsidTr="009E622A">
        <w:trPr>
          <w:trHeight w:val="876"/>
        </w:trPr>
        <w:tc>
          <w:tcPr>
            <w:tcW w:w="1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C18971"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Waste carriers</w:t>
            </w:r>
          </w:p>
        </w:tc>
        <w:tc>
          <w:tcPr>
            <w:tcW w:w="1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C2656F"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End September 2021</w:t>
            </w:r>
          </w:p>
        </w:tc>
        <w:tc>
          <w:tcPr>
            <w:tcW w:w="1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9FB56"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23 August 2021</w:t>
            </w:r>
          </w:p>
        </w:tc>
      </w:tr>
      <w:tr w:rsidR="003C56EE" w14:paraId="10CAD01C" w14:textId="77777777" w:rsidTr="009E622A">
        <w:trPr>
          <w:trHeight w:val="1680"/>
        </w:trPr>
        <w:tc>
          <w:tcPr>
            <w:tcW w:w="1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6F38F"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Deposit Return Scheme Producer Registration</w:t>
            </w:r>
          </w:p>
        </w:tc>
        <w:tc>
          <w:tcPr>
            <w:tcW w:w="1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A9694" w14:textId="77777777" w:rsidR="003C56EE" w:rsidRDefault="003C56EE" w:rsidP="00512196">
            <w:pPr>
              <w:overflowPunct w:val="0"/>
              <w:autoSpaceDE w:val="0"/>
              <w:autoSpaceDN w:val="0"/>
              <w:adjustRightInd w:val="0"/>
              <w:spacing w:line="360" w:lineRule="auto"/>
              <w:textAlignment w:val="baseline"/>
              <w:rPr>
                <w:rFonts w:ascii="Arial" w:hAnsi="Arial"/>
                <w:szCs w:val="20"/>
              </w:rPr>
            </w:pPr>
            <w:r>
              <w:rPr>
                <w:rFonts w:ascii="Arial" w:hAnsi="Arial"/>
                <w:szCs w:val="20"/>
              </w:rPr>
              <w:t>End January 2022</w:t>
            </w:r>
          </w:p>
        </w:tc>
        <w:tc>
          <w:tcPr>
            <w:tcW w:w="1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F9F9A" w14:textId="68FCF679" w:rsidR="003C56EE" w:rsidRDefault="003C56EE" w:rsidP="00512196">
            <w:pPr>
              <w:overflowPunct w:val="0"/>
              <w:autoSpaceDE w:val="0"/>
              <w:autoSpaceDN w:val="0"/>
              <w:adjustRightInd w:val="0"/>
              <w:spacing w:line="360" w:lineRule="auto"/>
              <w:textAlignment w:val="baseline"/>
              <w:rPr>
                <w:rFonts w:ascii="Arial" w:hAnsi="Arial" w:cs="Arial"/>
              </w:rPr>
            </w:pPr>
            <w:r>
              <w:rPr>
                <w:rFonts w:ascii="Arial" w:hAnsi="Arial" w:cs="Arial"/>
              </w:rPr>
              <w:t>Service design and build has been completed. Product will not be released until 1 January 2023 following change in legislation go-live dates</w:t>
            </w:r>
            <w:r w:rsidR="00894D2C">
              <w:rPr>
                <w:rFonts w:ascii="Arial" w:hAnsi="Arial" w:cs="Arial"/>
              </w:rPr>
              <w:t>.</w:t>
            </w:r>
          </w:p>
        </w:tc>
      </w:tr>
    </w:tbl>
    <w:p w14:paraId="4F9E6AB5" w14:textId="77777777" w:rsidR="003C56EE" w:rsidRDefault="003C56EE" w:rsidP="00512196">
      <w:pPr>
        <w:spacing w:line="360" w:lineRule="auto"/>
        <w:rPr>
          <w:rFonts w:ascii="Arial" w:hAnsi="Arial" w:cs="Arial"/>
          <w:lang w:val="en-US"/>
        </w:rPr>
      </w:pPr>
    </w:p>
    <w:p w14:paraId="0B7085DD" w14:textId="1C741A03" w:rsidR="003C56EE" w:rsidRDefault="003C56EE" w:rsidP="00512196">
      <w:pPr>
        <w:spacing w:line="360" w:lineRule="auto"/>
        <w:rPr>
          <w:rFonts w:ascii="Arial" w:hAnsi="Arial" w:cs="Arial"/>
        </w:rPr>
      </w:pPr>
      <w:r>
        <w:rPr>
          <w:rFonts w:ascii="Arial" w:hAnsi="Arial" w:cs="Arial"/>
        </w:rPr>
        <w:t>We receive around 2,500 registrations for private sewage treatment systems and 2,500 waste carrier registrations each year. Businesses need these to operate legally. We receive fewer radioactive substances notifications, but this is still a crucial service.</w:t>
      </w:r>
    </w:p>
    <w:p w14:paraId="2D169725" w14:textId="77777777" w:rsidR="00ED1E39" w:rsidRDefault="00ED1E39" w:rsidP="00512196">
      <w:pPr>
        <w:spacing w:line="360" w:lineRule="auto"/>
        <w:rPr>
          <w:rFonts w:ascii="Arial" w:hAnsi="Arial" w:cs="Arial"/>
        </w:rPr>
      </w:pPr>
    </w:p>
    <w:p w14:paraId="76CC162C" w14:textId="2C2613C5" w:rsidR="003C56EE" w:rsidRDefault="003C56EE" w:rsidP="00512196">
      <w:pPr>
        <w:spacing w:line="360" w:lineRule="auto"/>
        <w:rPr>
          <w:rFonts w:ascii="Arial" w:hAnsi="Arial" w:cs="Arial"/>
        </w:rPr>
      </w:pPr>
      <w:r>
        <w:rPr>
          <w:rFonts w:ascii="Arial" w:hAnsi="Arial" w:cs="Arial"/>
        </w:rPr>
        <w:t xml:space="preserve">To our customers, the services we have launched look and feel the same as those that were in place before the cyber-attack. However, they are more robust and more secure. The new services have improved our response times to registration requests. For example, we </w:t>
      </w:r>
      <w:r>
        <w:rPr>
          <w:rFonts w:ascii="Arial" w:hAnsi="Arial" w:cs="Arial"/>
        </w:rPr>
        <w:lastRenderedPageBreak/>
        <w:t xml:space="preserve">previously worked to a four-week turnaround time for private sewage treatment systems. This was from when customers submitted their registration form to the point they received their permission. Our new online service has reduced this turnaround to about five minutes. </w:t>
      </w:r>
    </w:p>
    <w:p w14:paraId="0E7B7A3E" w14:textId="56B126CE" w:rsidR="003C56EE" w:rsidRDefault="003C56EE" w:rsidP="00512196">
      <w:pPr>
        <w:overflowPunct w:val="0"/>
        <w:autoSpaceDE w:val="0"/>
        <w:autoSpaceDN w:val="0"/>
        <w:adjustRightInd w:val="0"/>
        <w:spacing w:line="360" w:lineRule="auto"/>
        <w:textAlignment w:val="baseline"/>
        <w:rPr>
          <w:rFonts w:ascii="Arial" w:hAnsi="Arial" w:cs="Arial"/>
        </w:rPr>
      </w:pPr>
      <w:r>
        <w:rPr>
          <w:rFonts w:ascii="Arial" w:hAnsi="Arial" w:cs="Arial"/>
        </w:rPr>
        <w:t>We have built each service in line with the Scottish Government’s Digital First standards. This provides customers with consistency and familiarity. The services are accessible, clear, and easy to use.</w:t>
      </w:r>
    </w:p>
    <w:p w14:paraId="652A87CC" w14:textId="77777777" w:rsidR="00ED1E39" w:rsidRPr="00ED1E39" w:rsidRDefault="00ED1E39" w:rsidP="00512196">
      <w:pPr>
        <w:overflowPunct w:val="0"/>
        <w:autoSpaceDE w:val="0"/>
        <w:autoSpaceDN w:val="0"/>
        <w:adjustRightInd w:val="0"/>
        <w:spacing w:line="360" w:lineRule="auto"/>
        <w:textAlignment w:val="baseline"/>
        <w:rPr>
          <w:rFonts w:ascii="Arial" w:hAnsi="Arial"/>
          <w:b/>
          <w:bCs/>
        </w:rPr>
      </w:pPr>
    </w:p>
    <w:p w14:paraId="320D5180" w14:textId="77777777" w:rsidR="003C56EE" w:rsidRDefault="003C56EE" w:rsidP="00512196">
      <w:pPr>
        <w:spacing w:line="360" w:lineRule="auto"/>
        <w:rPr>
          <w:rFonts w:ascii="Arial" w:eastAsia="Arial" w:hAnsi="Arial" w:cs="Arial"/>
          <w:b/>
          <w:color w:val="66AA58"/>
          <w:sz w:val="28"/>
          <w:szCs w:val="28"/>
          <w:lang w:val="en-US" w:eastAsia="en-US"/>
        </w:rPr>
      </w:pPr>
      <w:r>
        <w:rPr>
          <w:rStyle w:val="normaltextrun"/>
          <w:rFonts w:ascii="Arial" w:eastAsiaTheme="majorEastAsia" w:hAnsi="Arial" w:cs="Arial"/>
          <w:color w:val="000000"/>
          <w:shd w:val="clear" w:color="auto" w:fill="FFFFFF"/>
        </w:rPr>
        <w:t>As we continue to develop our digital services, we are reusing components built for previous online services to help maintain pace of development and ensure consistency across our digital services.</w:t>
      </w:r>
    </w:p>
    <w:p w14:paraId="7CA8BDA7" w14:textId="0A60D161" w:rsidR="00850026" w:rsidRPr="00850026" w:rsidRDefault="00850026" w:rsidP="00654D7E">
      <w:pPr>
        <w:spacing w:line="360" w:lineRule="auto"/>
        <w:rPr>
          <w:rFonts w:ascii="Arial" w:eastAsia="Arial" w:hAnsi="Arial" w:cs="Arial"/>
          <w:lang w:eastAsia="en-US"/>
        </w:rPr>
      </w:pPr>
    </w:p>
    <w:p w14:paraId="0DD3C920" w14:textId="7D3AC759" w:rsidR="0085659A" w:rsidRPr="00FF1274" w:rsidRDefault="00436C6A" w:rsidP="00802A98">
      <w:pPr>
        <w:pStyle w:val="01bSubheader"/>
        <w:numPr>
          <w:ilvl w:val="2"/>
          <w:numId w:val="35"/>
        </w:numPr>
        <w:ind w:left="851" w:hanging="851"/>
      </w:pPr>
      <w:bookmarkStart w:id="24" w:name="_Toc119068082"/>
      <w:r w:rsidRPr="00FF1274">
        <w:t>Financial performance 20</w:t>
      </w:r>
      <w:r w:rsidR="00582D4D" w:rsidRPr="00FF1274">
        <w:t>2</w:t>
      </w:r>
      <w:r w:rsidR="00FF1274" w:rsidRPr="00FF1274">
        <w:t>1</w:t>
      </w:r>
      <w:r w:rsidR="007E23A2">
        <w:t>/</w:t>
      </w:r>
      <w:r w:rsidRPr="00FF1274">
        <w:t>202</w:t>
      </w:r>
      <w:r w:rsidR="00FF1274" w:rsidRPr="00FF1274">
        <w:t>2</w:t>
      </w:r>
      <w:bookmarkEnd w:id="24"/>
    </w:p>
    <w:p w14:paraId="594C9D7C" w14:textId="77777777" w:rsidR="00A44E82" w:rsidRPr="00855BE0" w:rsidRDefault="00A44E82" w:rsidP="00A44E82">
      <w:pPr>
        <w:pStyle w:val="01bSubheader"/>
        <w:rPr>
          <w:sz w:val="24"/>
          <w:szCs w:val="24"/>
        </w:rPr>
      </w:pPr>
    </w:p>
    <w:p w14:paraId="613C49A4" w14:textId="72FCB42F" w:rsidR="00161E3A" w:rsidRPr="00D40239" w:rsidRDefault="00E61B47" w:rsidP="00D40239">
      <w:pPr>
        <w:spacing w:line="360" w:lineRule="auto"/>
        <w:rPr>
          <w:rFonts w:ascii="Arial" w:hAnsi="Arial" w:cs="Arial"/>
        </w:rPr>
      </w:pPr>
      <w:r w:rsidRPr="008D45FE">
        <w:rPr>
          <w:rFonts w:ascii="Arial" w:hAnsi="Arial" w:cs="Arial"/>
        </w:rPr>
        <w:t xml:space="preserve">Following the </w:t>
      </w:r>
      <w:r w:rsidR="00161E3A" w:rsidRPr="008D45FE">
        <w:rPr>
          <w:rFonts w:ascii="Arial" w:hAnsi="Arial" w:cs="Arial"/>
        </w:rPr>
        <w:t>cyber-attack</w:t>
      </w:r>
      <w:r w:rsidRPr="008D45FE">
        <w:rPr>
          <w:rFonts w:ascii="Arial" w:hAnsi="Arial" w:cs="Arial"/>
        </w:rPr>
        <w:t xml:space="preserve"> in December 202</w:t>
      </w:r>
      <w:r w:rsidR="00A80A63" w:rsidRPr="008D45FE">
        <w:rPr>
          <w:rFonts w:ascii="Arial" w:hAnsi="Arial" w:cs="Arial"/>
        </w:rPr>
        <w:t>0</w:t>
      </w:r>
      <w:r w:rsidR="00805142" w:rsidRPr="008D45FE">
        <w:rPr>
          <w:rFonts w:ascii="Arial" w:hAnsi="Arial" w:cs="Arial"/>
        </w:rPr>
        <w:t xml:space="preserve">, </w:t>
      </w:r>
      <w:r w:rsidR="00D40239" w:rsidRPr="008D45FE">
        <w:rPr>
          <w:rFonts w:ascii="Arial" w:hAnsi="Arial" w:cs="Arial"/>
        </w:rPr>
        <w:t xml:space="preserve">we had to rebuild the core enterprise system SEPA uses to support </w:t>
      </w:r>
      <w:r w:rsidR="00513082" w:rsidRPr="008D45FE">
        <w:rPr>
          <w:rFonts w:ascii="Arial" w:hAnsi="Arial" w:cs="Arial"/>
        </w:rPr>
        <w:t>f</w:t>
      </w:r>
      <w:r w:rsidR="00797F6F" w:rsidRPr="008D45FE">
        <w:rPr>
          <w:rFonts w:ascii="Arial" w:hAnsi="Arial" w:cs="Arial"/>
        </w:rPr>
        <w:t>inance</w:t>
      </w:r>
      <w:r w:rsidR="00513082" w:rsidRPr="008D45FE">
        <w:rPr>
          <w:rFonts w:ascii="Arial" w:hAnsi="Arial" w:cs="Arial"/>
        </w:rPr>
        <w:t>,</w:t>
      </w:r>
      <w:r w:rsidR="00CB1ED8" w:rsidRPr="008D45FE">
        <w:rPr>
          <w:rFonts w:ascii="Arial" w:hAnsi="Arial" w:cs="Arial"/>
        </w:rPr>
        <w:t xml:space="preserve"> </w:t>
      </w:r>
      <w:r w:rsidR="00513082" w:rsidRPr="008D45FE">
        <w:rPr>
          <w:rFonts w:ascii="Arial" w:hAnsi="Arial" w:cs="Arial"/>
        </w:rPr>
        <w:t>p</w:t>
      </w:r>
      <w:r w:rsidR="00CB1ED8" w:rsidRPr="008D45FE">
        <w:rPr>
          <w:rFonts w:ascii="Arial" w:hAnsi="Arial" w:cs="Arial"/>
        </w:rPr>
        <w:t>rocurement</w:t>
      </w:r>
      <w:r w:rsidR="00F13EC8" w:rsidRPr="008D45FE">
        <w:rPr>
          <w:rFonts w:ascii="Arial" w:hAnsi="Arial" w:cs="Arial"/>
        </w:rPr>
        <w:t>,</w:t>
      </w:r>
      <w:r w:rsidR="00CB1ED8" w:rsidRPr="008D45FE">
        <w:rPr>
          <w:rFonts w:ascii="Arial" w:hAnsi="Arial" w:cs="Arial"/>
        </w:rPr>
        <w:t xml:space="preserve"> and </w:t>
      </w:r>
      <w:r w:rsidR="00513082" w:rsidRPr="008D45FE">
        <w:rPr>
          <w:rFonts w:ascii="Arial" w:hAnsi="Arial" w:cs="Arial"/>
        </w:rPr>
        <w:t>h</w:t>
      </w:r>
      <w:r w:rsidR="00CB1ED8" w:rsidRPr="008D45FE">
        <w:rPr>
          <w:rFonts w:ascii="Arial" w:hAnsi="Arial" w:cs="Arial"/>
        </w:rPr>
        <w:t xml:space="preserve">uman </w:t>
      </w:r>
      <w:r w:rsidR="00513082" w:rsidRPr="008D45FE">
        <w:rPr>
          <w:rFonts w:ascii="Arial" w:hAnsi="Arial" w:cs="Arial"/>
        </w:rPr>
        <w:t>r</w:t>
      </w:r>
      <w:r w:rsidR="00CB1ED8" w:rsidRPr="008D45FE">
        <w:rPr>
          <w:rFonts w:ascii="Arial" w:hAnsi="Arial" w:cs="Arial"/>
        </w:rPr>
        <w:t>esources</w:t>
      </w:r>
      <w:r w:rsidR="00CC415F" w:rsidRPr="008D45FE">
        <w:rPr>
          <w:rFonts w:ascii="Arial" w:hAnsi="Arial" w:cs="Arial"/>
        </w:rPr>
        <w:t>.  T</w:t>
      </w:r>
      <w:r w:rsidR="00CB1ED8" w:rsidRPr="008D45FE">
        <w:rPr>
          <w:rFonts w:ascii="Arial" w:hAnsi="Arial" w:cs="Arial"/>
        </w:rPr>
        <w:t>his was</w:t>
      </w:r>
      <w:r w:rsidR="00A80A63" w:rsidRPr="008D45FE">
        <w:rPr>
          <w:rFonts w:ascii="Arial" w:hAnsi="Arial" w:cs="Arial"/>
        </w:rPr>
        <w:t xml:space="preserve"> </w:t>
      </w:r>
      <w:r w:rsidR="00CB1ED8" w:rsidRPr="008D45FE">
        <w:rPr>
          <w:rFonts w:ascii="Arial" w:hAnsi="Arial" w:cs="Arial"/>
        </w:rPr>
        <w:t>implemented</w:t>
      </w:r>
      <w:r w:rsidR="004013BC" w:rsidRPr="008D45FE">
        <w:rPr>
          <w:rFonts w:ascii="Arial" w:hAnsi="Arial" w:cs="Arial"/>
        </w:rPr>
        <w:t xml:space="preserve"> in May 2022.  </w:t>
      </w:r>
      <w:r w:rsidR="0046316A" w:rsidRPr="008D45FE">
        <w:rPr>
          <w:rFonts w:ascii="Arial" w:hAnsi="Arial" w:cs="Arial"/>
        </w:rPr>
        <w:t>For the period April to May</w:t>
      </w:r>
      <w:r w:rsidR="00770FDD" w:rsidRPr="008D45FE">
        <w:rPr>
          <w:rFonts w:ascii="Arial" w:hAnsi="Arial" w:cs="Arial"/>
        </w:rPr>
        <w:t xml:space="preserve"> 2021</w:t>
      </w:r>
      <w:r w:rsidR="009B75AE" w:rsidRPr="008D45FE">
        <w:rPr>
          <w:rFonts w:ascii="Arial" w:hAnsi="Arial" w:cs="Arial"/>
        </w:rPr>
        <w:t>, SEPA kept</w:t>
      </w:r>
      <w:r w:rsidR="0046316A" w:rsidRPr="008D45FE">
        <w:rPr>
          <w:rFonts w:ascii="Arial" w:hAnsi="Arial" w:cs="Arial"/>
        </w:rPr>
        <w:t xml:space="preserve"> </w:t>
      </w:r>
      <w:r w:rsidR="00AE3292" w:rsidRPr="008D45FE">
        <w:rPr>
          <w:rFonts w:ascii="Arial" w:hAnsi="Arial" w:cs="Arial"/>
        </w:rPr>
        <w:t>manual financial records</w:t>
      </w:r>
      <w:r w:rsidR="009B75AE" w:rsidRPr="008D45FE">
        <w:rPr>
          <w:rFonts w:ascii="Arial" w:hAnsi="Arial" w:cs="Arial"/>
        </w:rPr>
        <w:t>,</w:t>
      </w:r>
      <w:r w:rsidR="00A70FD6" w:rsidRPr="008D45FE">
        <w:rPr>
          <w:rFonts w:ascii="Arial" w:hAnsi="Arial" w:cs="Arial"/>
        </w:rPr>
        <w:t xml:space="preserve"> </w:t>
      </w:r>
      <w:r w:rsidR="009B75AE" w:rsidRPr="008D45FE">
        <w:rPr>
          <w:rFonts w:ascii="Arial" w:hAnsi="Arial" w:cs="Arial"/>
        </w:rPr>
        <w:t>which</w:t>
      </w:r>
      <w:r w:rsidR="00AE3292" w:rsidRPr="008D45FE">
        <w:rPr>
          <w:rFonts w:ascii="Arial" w:hAnsi="Arial" w:cs="Arial"/>
        </w:rPr>
        <w:t xml:space="preserve"> were </w:t>
      </w:r>
      <w:r w:rsidR="007A243C" w:rsidRPr="008D45FE">
        <w:rPr>
          <w:rFonts w:ascii="Arial" w:hAnsi="Arial" w:cs="Arial"/>
        </w:rPr>
        <w:t>retrospectively</w:t>
      </w:r>
      <w:r w:rsidR="00AE3292" w:rsidRPr="008D45FE">
        <w:rPr>
          <w:rFonts w:ascii="Arial" w:hAnsi="Arial" w:cs="Arial"/>
        </w:rPr>
        <w:t xml:space="preserve"> processed through the </w:t>
      </w:r>
      <w:r w:rsidR="006856CA" w:rsidRPr="008D45FE">
        <w:rPr>
          <w:rFonts w:ascii="Arial" w:hAnsi="Arial" w:cs="Arial"/>
        </w:rPr>
        <w:t xml:space="preserve">system and </w:t>
      </w:r>
      <w:r w:rsidR="00C771AB" w:rsidRPr="008D45FE">
        <w:rPr>
          <w:rFonts w:ascii="Arial" w:hAnsi="Arial" w:cs="Arial"/>
        </w:rPr>
        <w:t xml:space="preserve">our </w:t>
      </w:r>
      <w:r w:rsidR="00726ED6" w:rsidRPr="008D45FE">
        <w:rPr>
          <w:rFonts w:ascii="Arial" w:hAnsi="Arial" w:cs="Arial"/>
        </w:rPr>
        <w:t xml:space="preserve">accounts </w:t>
      </w:r>
      <w:r w:rsidR="007A243C" w:rsidRPr="008D45FE">
        <w:rPr>
          <w:rFonts w:ascii="Arial" w:hAnsi="Arial" w:cs="Arial"/>
        </w:rPr>
        <w:t>and financial reports</w:t>
      </w:r>
      <w:r w:rsidR="006856CA" w:rsidRPr="008D45FE">
        <w:rPr>
          <w:rFonts w:ascii="Arial" w:hAnsi="Arial" w:cs="Arial"/>
        </w:rPr>
        <w:t xml:space="preserve"> for </w:t>
      </w:r>
      <w:r w:rsidR="000845C9" w:rsidRPr="008D45FE">
        <w:rPr>
          <w:rFonts w:ascii="Arial" w:hAnsi="Arial" w:cs="Arial"/>
        </w:rPr>
        <w:t>2021/22</w:t>
      </w:r>
      <w:r w:rsidR="007A243C" w:rsidRPr="008D45FE">
        <w:rPr>
          <w:rFonts w:ascii="Arial" w:hAnsi="Arial" w:cs="Arial"/>
        </w:rPr>
        <w:t xml:space="preserve"> </w:t>
      </w:r>
      <w:r w:rsidR="00726ED6" w:rsidRPr="008D45FE">
        <w:rPr>
          <w:rFonts w:ascii="Arial" w:hAnsi="Arial" w:cs="Arial"/>
        </w:rPr>
        <w:t>have all been prepared using</w:t>
      </w:r>
      <w:r w:rsidR="006856CA" w:rsidRPr="008D45FE">
        <w:rPr>
          <w:rFonts w:ascii="Arial" w:hAnsi="Arial" w:cs="Arial"/>
        </w:rPr>
        <w:t xml:space="preserve"> this system.</w:t>
      </w:r>
    </w:p>
    <w:p w14:paraId="55A601B4" w14:textId="77777777" w:rsidR="00230DF3" w:rsidRPr="00D40239" w:rsidRDefault="00230DF3" w:rsidP="00D40239">
      <w:pPr>
        <w:spacing w:line="360" w:lineRule="auto"/>
        <w:rPr>
          <w:rFonts w:ascii="Arial" w:hAnsi="Arial" w:cs="Arial"/>
        </w:rPr>
      </w:pPr>
    </w:p>
    <w:p w14:paraId="3B64E595" w14:textId="5CD4B68E" w:rsidR="00161E3A" w:rsidRPr="00D40239" w:rsidRDefault="00161E3A" w:rsidP="00D40239">
      <w:pPr>
        <w:spacing w:line="360" w:lineRule="auto"/>
        <w:rPr>
          <w:rFonts w:ascii="Arial" w:hAnsi="Arial" w:cs="Arial"/>
        </w:rPr>
      </w:pPr>
      <w:r w:rsidRPr="00D40239">
        <w:rPr>
          <w:rFonts w:ascii="Arial" w:hAnsi="Arial" w:cs="Arial"/>
        </w:rPr>
        <w:t xml:space="preserve">The </w:t>
      </w:r>
      <w:r w:rsidR="008960BC" w:rsidRPr="00D40239">
        <w:rPr>
          <w:rFonts w:ascii="Arial" w:hAnsi="Arial" w:cs="Arial"/>
        </w:rPr>
        <w:t xml:space="preserve">following section provides a summary of our financial performance for the </w:t>
      </w:r>
      <w:r w:rsidR="00C935FF" w:rsidRPr="00D40239">
        <w:rPr>
          <w:rFonts w:ascii="Arial" w:hAnsi="Arial" w:cs="Arial"/>
        </w:rPr>
        <w:t>year</w:t>
      </w:r>
      <w:r w:rsidR="00B57D76" w:rsidRPr="00D40239">
        <w:rPr>
          <w:rFonts w:ascii="Arial" w:hAnsi="Arial" w:cs="Arial"/>
        </w:rPr>
        <w:t xml:space="preserve"> against</w:t>
      </w:r>
      <w:r w:rsidR="00DE4F5C" w:rsidRPr="00D40239">
        <w:rPr>
          <w:rFonts w:ascii="Arial" w:hAnsi="Arial" w:cs="Arial"/>
        </w:rPr>
        <w:t xml:space="preserve"> </w:t>
      </w:r>
      <w:proofErr w:type="spellStart"/>
      <w:r w:rsidR="00DE4F5C" w:rsidRPr="00D40239">
        <w:rPr>
          <w:rFonts w:ascii="Arial" w:hAnsi="Arial" w:cs="Arial"/>
        </w:rPr>
        <w:t>he</w:t>
      </w:r>
      <w:proofErr w:type="spellEnd"/>
      <w:r w:rsidR="00DE4F5C" w:rsidRPr="00D40239">
        <w:rPr>
          <w:rFonts w:ascii="Arial" w:hAnsi="Arial" w:cs="Arial"/>
        </w:rPr>
        <w:t xml:space="preserve"> </w:t>
      </w:r>
      <w:r w:rsidR="00B57D76" w:rsidRPr="00D40239">
        <w:rPr>
          <w:rFonts w:ascii="Arial" w:hAnsi="Arial" w:cs="Arial"/>
        </w:rPr>
        <w:t xml:space="preserve">final </w:t>
      </w:r>
      <w:r w:rsidR="00DE4F5C" w:rsidRPr="00D40239">
        <w:rPr>
          <w:rFonts w:ascii="Arial" w:hAnsi="Arial" w:cs="Arial"/>
        </w:rPr>
        <w:t>budget</w:t>
      </w:r>
      <w:r w:rsidR="00513082">
        <w:rPr>
          <w:rFonts w:ascii="Arial" w:hAnsi="Arial" w:cs="Arial"/>
        </w:rPr>
        <w:t>.</w:t>
      </w:r>
      <w:r w:rsidR="00ED1E89">
        <w:rPr>
          <w:rFonts w:ascii="Arial" w:hAnsi="Arial" w:cs="Arial"/>
        </w:rPr>
        <w:br w:type="page"/>
      </w:r>
    </w:p>
    <w:tbl>
      <w:tblPr>
        <w:tblStyle w:val="TableGrid"/>
        <w:tblW w:w="0" w:type="auto"/>
        <w:tblLook w:val="04A0" w:firstRow="1" w:lastRow="0" w:firstColumn="1" w:lastColumn="0" w:noHBand="0" w:noVBand="1"/>
      </w:tblPr>
      <w:tblGrid>
        <w:gridCol w:w="4531"/>
        <w:gridCol w:w="1701"/>
        <w:gridCol w:w="1701"/>
        <w:gridCol w:w="1838"/>
      </w:tblGrid>
      <w:tr w:rsidR="00BD7F6D" w:rsidRPr="000845C9" w14:paraId="5EEF61AC" w14:textId="1AEFC415" w:rsidTr="00780770">
        <w:trPr>
          <w:trHeight w:val="1174"/>
        </w:trPr>
        <w:tc>
          <w:tcPr>
            <w:tcW w:w="4531" w:type="dxa"/>
            <w:shd w:val="clear" w:color="auto" w:fill="EAF1DD" w:themeFill="accent3" w:themeFillTint="33"/>
          </w:tcPr>
          <w:p w14:paraId="64C8743D" w14:textId="0C977977" w:rsidR="00D65B29" w:rsidRPr="000845C9" w:rsidRDefault="00D65B29" w:rsidP="003E1AF8">
            <w:pPr>
              <w:overflowPunct w:val="0"/>
              <w:autoSpaceDE w:val="0"/>
              <w:autoSpaceDN w:val="0"/>
              <w:adjustRightInd w:val="0"/>
              <w:spacing w:line="360" w:lineRule="auto"/>
              <w:textAlignment w:val="baseline"/>
              <w:rPr>
                <w:rFonts w:ascii="Arial" w:hAnsi="Arial" w:cs="Arial"/>
                <w:b/>
              </w:rPr>
            </w:pPr>
            <w:r w:rsidRPr="000845C9">
              <w:rPr>
                <w:rFonts w:ascii="Arial" w:hAnsi="Arial" w:cs="Arial"/>
                <w:b/>
              </w:rPr>
              <w:lastRenderedPageBreak/>
              <w:t xml:space="preserve">Income and Expenditure Account </w:t>
            </w:r>
          </w:p>
        </w:tc>
        <w:tc>
          <w:tcPr>
            <w:tcW w:w="1701" w:type="dxa"/>
            <w:shd w:val="clear" w:color="auto" w:fill="EAF1DD" w:themeFill="accent3" w:themeFillTint="33"/>
          </w:tcPr>
          <w:p w14:paraId="2593B859" w14:textId="00CC3FFD" w:rsidR="003E1AF8" w:rsidRPr="000845C9" w:rsidRDefault="000845C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2021/22</w:t>
            </w:r>
          </w:p>
          <w:p w14:paraId="31C216BD" w14:textId="472C60F0" w:rsidR="00D65B29" w:rsidRPr="000845C9" w:rsidRDefault="00BD7F6D"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Outturn</w:t>
            </w:r>
          </w:p>
          <w:p w14:paraId="0C8FBD78" w14:textId="77777777" w:rsidR="00760FD3" w:rsidRPr="000845C9" w:rsidRDefault="00760FD3" w:rsidP="001B4373">
            <w:pPr>
              <w:overflowPunct w:val="0"/>
              <w:autoSpaceDE w:val="0"/>
              <w:autoSpaceDN w:val="0"/>
              <w:adjustRightInd w:val="0"/>
              <w:jc w:val="center"/>
              <w:textAlignment w:val="baseline"/>
              <w:rPr>
                <w:rFonts w:ascii="Arial" w:hAnsi="Arial" w:cs="Arial"/>
                <w:b/>
              </w:rPr>
            </w:pPr>
          </w:p>
          <w:p w14:paraId="792043B7" w14:textId="4CD0B6D3" w:rsidR="00D65B29" w:rsidRPr="000845C9" w:rsidRDefault="00D65B2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£’000</w:t>
            </w:r>
          </w:p>
        </w:tc>
        <w:tc>
          <w:tcPr>
            <w:tcW w:w="1701" w:type="dxa"/>
            <w:shd w:val="clear" w:color="auto" w:fill="EAF1DD" w:themeFill="accent3" w:themeFillTint="33"/>
          </w:tcPr>
          <w:p w14:paraId="29BE537A" w14:textId="6DA43101" w:rsidR="003E1AF8" w:rsidRPr="000845C9" w:rsidRDefault="000845C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2021/22</w:t>
            </w:r>
          </w:p>
          <w:p w14:paraId="42FB40F7" w14:textId="016455C0" w:rsidR="00D65B29" w:rsidRPr="000845C9" w:rsidRDefault="00BD7F6D"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Budget</w:t>
            </w:r>
          </w:p>
          <w:p w14:paraId="013A6039" w14:textId="77777777" w:rsidR="00760FD3" w:rsidRPr="000845C9" w:rsidRDefault="00760FD3" w:rsidP="001B4373">
            <w:pPr>
              <w:overflowPunct w:val="0"/>
              <w:autoSpaceDE w:val="0"/>
              <w:autoSpaceDN w:val="0"/>
              <w:adjustRightInd w:val="0"/>
              <w:jc w:val="center"/>
              <w:textAlignment w:val="baseline"/>
              <w:rPr>
                <w:rFonts w:ascii="Arial" w:hAnsi="Arial" w:cs="Arial"/>
                <w:b/>
              </w:rPr>
            </w:pPr>
          </w:p>
          <w:p w14:paraId="65D2B179" w14:textId="7B11823C" w:rsidR="00D65B29" w:rsidRPr="000845C9" w:rsidRDefault="00D65B2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£’000</w:t>
            </w:r>
          </w:p>
        </w:tc>
        <w:tc>
          <w:tcPr>
            <w:tcW w:w="1838" w:type="dxa"/>
            <w:shd w:val="clear" w:color="auto" w:fill="EAF1DD" w:themeFill="accent3" w:themeFillTint="33"/>
          </w:tcPr>
          <w:p w14:paraId="3E04B160" w14:textId="378A2A66" w:rsidR="00D65B29" w:rsidRPr="000845C9" w:rsidRDefault="00D65B2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Variance</w:t>
            </w:r>
          </w:p>
          <w:p w14:paraId="4A89592A" w14:textId="3AF94CDA" w:rsidR="00760FD3" w:rsidRPr="000845C9" w:rsidRDefault="00760FD3" w:rsidP="001B4373">
            <w:pPr>
              <w:overflowPunct w:val="0"/>
              <w:autoSpaceDE w:val="0"/>
              <w:autoSpaceDN w:val="0"/>
              <w:adjustRightInd w:val="0"/>
              <w:jc w:val="center"/>
              <w:textAlignment w:val="baseline"/>
              <w:rPr>
                <w:rFonts w:ascii="Arial" w:hAnsi="Arial" w:cs="Arial"/>
                <w:b/>
              </w:rPr>
            </w:pPr>
          </w:p>
          <w:p w14:paraId="09062143" w14:textId="77777777" w:rsidR="00760FD3" w:rsidRPr="000845C9" w:rsidRDefault="00760FD3" w:rsidP="001B4373">
            <w:pPr>
              <w:overflowPunct w:val="0"/>
              <w:autoSpaceDE w:val="0"/>
              <w:autoSpaceDN w:val="0"/>
              <w:adjustRightInd w:val="0"/>
              <w:jc w:val="center"/>
              <w:textAlignment w:val="baseline"/>
              <w:rPr>
                <w:rFonts w:ascii="Arial" w:hAnsi="Arial" w:cs="Arial"/>
                <w:b/>
              </w:rPr>
            </w:pPr>
          </w:p>
          <w:p w14:paraId="7B420F33" w14:textId="2E84687E" w:rsidR="00D65B29" w:rsidRPr="000845C9" w:rsidRDefault="00D65B29" w:rsidP="001B4373">
            <w:pPr>
              <w:overflowPunct w:val="0"/>
              <w:autoSpaceDE w:val="0"/>
              <w:autoSpaceDN w:val="0"/>
              <w:adjustRightInd w:val="0"/>
              <w:jc w:val="center"/>
              <w:textAlignment w:val="baseline"/>
              <w:rPr>
                <w:rFonts w:ascii="Arial" w:hAnsi="Arial" w:cs="Arial"/>
                <w:b/>
              </w:rPr>
            </w:pPr>
            <w:r w:rsidRPr="000845C9">
              <w:rPr>
                <w:rFonts w:ascii="Arial" w:hAnsi="Arial" w:cs="Arial"/>
                <w:b/>
              </w:rPr>
              <w:t>£’000</w:t>
            </w:r>
          </w:p>
        </w:tc>
      </w:tr>
      <w:tr w:rsidR="00D65B29" w:rsidRPr="000845C9" w14:paraId="20101FC1" w14:textId="46541A8C" w:rsidTr="000845C9">
        <w:tc>
          <w:tcPr>
            <w:tcW w:w="4531" w:type="dxa"/>
            <w:vAlign w:val="bottom"/>
          </w:tcPr>
          <w:p w14:paraId="2082E0D9" w14:textId="45A352F3" w:rsidR="00D65B29" w:rsidRPr="000845C9" w:rsidRDefault="003E1AF8" w:rsidP="000845C9">
            <w:pPr>
              <w:spacing w:line="360" w:lineRule="auto"/>
              <w:ind w:right="-425"/>
              <w:rPr>
                <w:rFonts w:ascii="Arial" w:hAnsi="Arial" w:cs="Arial"/>
                <w:lang w:val="en"/>
              </w:rPr>
            </w:pPr>
            <w:r w:rsidRPr="000845C9">
              <w:rPr>
                <w:rFonts w:ascii="Arial" w:hAnsi="Arial" w:cs="Arial"/>
                <w:lang w:val="en"/>
              </w:rPr>
              <w:t>Grant</w:t>
            </w:r>
            <w:r w:rsidR="00D9687D" w:rsidRPr="000845C9">
              <w:rPr>
                <w:rFonts w:ascii="Arial" w:hAnsi="Arial" w:cs="Arial"/>
                <w:lang w:val="en"/>
              </w:rPr>
              <w:t>-in-Aid</w:t>
            </w:r>
          </w:p>
        </w:tc>
        <w:tc>
          <w:tcPr>
            <w:tcW w:w="1701" w:type="dxa"/>
            <w:vAlign w:val="bottom"/>
          </w:tcPr>
          <w:p w14:paraId="57F8A4BF" w14:textId="3D73D944" w:rsidR="00D65B29" w:rsidRPr="000845C9" w:rsidRDefault="00BD7F6D" w:rsidP="000845C9">
            <w:pPr>
              <w:spacing w:line="360" w:lineRule="auto"/>
              <w:jc w:val="right"/>
              <w:rPr>
                <w:rFonts w:ascii="Arial" w:hAnsi="Arial" w:cs="Arial"/>
                <w:lang w:val="en"/>
              </w:rPr>
            </w:pPr>
            <w:r w:rsidRPr="000845C9">
              <w:rPr>
                <w:rFonts w:ascii="Arial" w:hAnsi="Arial" w:cs="Arial"/>
                <w:lang w:val="en"/>
              </w:rPr>
              <w:t>4</w:t>
            </w:r>
            <w:r w:rsidR="003216F0" w:rsidRPr="000845C9">
              <w:rPr>
                <w:rFonts w:ascii="Arial" w:hAnsi="Arial" w:cs="Arial"/>
                <w:lang w:val="en"/>
              </w:rPr>
              <w:t>3</w:t>
            </w:r>
            <w:r w:rsidRPr="000845C9">
              <w:rPr>
                <w:rFonts w:ascii="Arial" w:hAnsi="Arial" w:cs="Arial"/>
                <w:lang w:val="en"/>
              </w:rPr>
              <w:t>,</w:t>
            </w:r>
            <w:r w:rsidR="003216F0" w:rsidRPr="000845C9">
              <w:rPr>
                <w:rFonts w:ascii="Arial" w:hAnsi="Arial" w:cs="Arial"/>
                <w:lang w:val="en"/>
              </w:rPr>
              <w:t>071</w:t>
            </w:r>
          </w:p>
        </w:tc>
        <w:tc>
          <w:tcPr>
            <w:tcW w:w="1701" w:type="dxa"/>
            <w:vAlign w:val="bottom"/>
          </w:tcPr>
          <w:p w14:paraId="78D50AE6" w14:textId="46B3DD17" w:rsidR="00D65B29" w:rsidRPr="000845C9" w:rsidRDefault="00FF35B6" w:rsidP="000845C9">
            <w:pPr>
              <w:spacing w:line="360" w:lineRule="auto"/>
              <w:jc w:val="right"/>
              <w:rPr>
                <w:rFonts w:ascii="Arial" w:hAnsi="Arial" w:cs="Arial"/>
                <w:lang w:val="en"/>
              </w:rPr>
            </w:pPr>
            <w:r w:rsidRPr="000845C9">
              <w:rPr>
                <w:rFonts w:ascii="Arial" w:hAnsi="Arial" w:cs="Arial"/>
                <w:lang w:val="en"/>
              </w:rPr>
              <w:t>4</w:t>
            </w:r>
            <w:r w:rsidR="003216F0" w:rsidRPr="000845C9">
              <w:rPr>
                <w:rFonts w:ascii="Arial" w:hAnsi="Arial" w:cs="Arial"/>
                <w:lang w:val="en"/>
              </w:rPr>
              <w:t>3</w:t>
            </w:r>
            <w:r w:rsidRPr="000845C9">
              <w:rPr>
                <w:rFonts w:ascii="Arial" w:hAnsi="Arial" w:cs="Arial"/>
                <w:lang w:val="en"/>
              </w:rPr>
              <w:t>,</w:t>
            </w:r>
            <w:r w:rsidR="003216F0" w:rsidRPr="000845C9">
              <w:rPr>
                <w:rFonts w:ascii="Arial" w:hAnsi="Arial" w:cs="Arial"/>
                <w:lang w:val="en"/>
              </w:rPr>
              <w:t>071</w:t>
            </w:r>
          </w:p>
        </w:tc>
        <w:tc>
          <w:tcPr>
            <w:tcW w:w="1838" w:type="dxa"/>
            <w:vAlign w:val="bottom"/>
          </w:tcPr>
          <w:p w14:paraId="238B40DB" w14:textId="067C7649" w:rsidR="00D65B29" w:rsidRPr="000845C9" w:rsidRDefault="00FF35B6" w:rsidP="000845C9">
            <w:pPr>
              <w:spacing w:line="360" w:lineRule="auto"/>
              <w:jc w:val="right"/>
              <w:rPr>
                <w:rFonts w:ascii="Arial" w:hAnsi="Arial" w:cs="Arial"/>
                <w:lang w:val="en"/>
              </w:rPr>
            </w:pPr>
            <w:r w:rsidRPr="000845C9">
              <w:rPr>
                <w:rFonts w:ascii="Arial" w:hAnsi="Arial" w:cs="Arial"/>
                <w:lang w:val="en"/>
              </w:rPr>
              <w:t>0</w:t>
            </w:r>
          </w:p>
        </w:tc>
      </w:tr>
      <w:tr w:rsidR="00D65B29" w:rsidRPr="000845C9" w14:paraId="26A601CE" w14:textId="7F6A0547" w:rsidTr="000845C9">
        <w:tc>
          <w:tcPr>
            <w:tcW w:w="4531" w:type="dxa"/>
            <w:vAlign w:val="bottom"/>
          </w:tcPr>
          <w:p w14:paraId="259EEEE1" w14:textId="64AFC9E6" w:rsidR="00D65B29" w:rsidRPr="000845C9" w:rsidRDefault="00D9687D" w:rsidP="000845C9">
            <w:pPr>
              <w:spacing w:line="360" w:lineRule="auto"/>
              <w:ind w:right="-425"/>
              <w:rPr>
                <w:rFonts w:ascii="Arial" w:hAnsi="Arial" w:cs="Arial"/>
                <w:lang w:val="en"/>
              </w:rPr>
            </w:pPr>
            <w:r w:rsidRPr="000845C9">
              <w:rPr>
                <w:rFonts w:ascii="Arial" w:hAnsi="Arial" w:cs="Arial"/>
                <w:lang w:val="en"/>
              </w:rPr>
              <w:t>Charging Schemes</w:t>
            </w:r>
          </w:p>
        </w:tc>
        <w:tc>
          <w:tcPr>
            <w:tcW w:w="1701" w:type="dxa"/>
            <w:vAlign w:val="bottom"/>
          </w:tcPr>
          <w:p w14:paraId="5D3EF751" w14:textId="6204F57C" w:rsidR="00D65B29" w:rsidRPr="000845C9" w:rsidRDefault="007216AD" w:rsidP="000845C9">
            <w:pPr>
              <w:spacing w:line="360" w:lineRule="auto"/>
              <w:jc w:val="right"/>
              <w:rPr>
                <w:rFonts w:ascii="Arial" w:hAnsi="Arial" w:cs="Arial"/>
                <w:lang w:val="en"/>
              </w:rPr>
            </w:pPr>
            <w:r>
              <w:rPr>
                <w:rFonts w:ascii="Arial" w:hAnsi="Arial" w:cs="Arial"/>
                <w:lang w:val="en"/>
              </w:rPr>
              <w:t>4</w:t>
            </w:r>
            <w:r w:rsidR="00CE2C09">
              <w:rPr>
                <w:rFonts w:ascii="Arial" w:hAnsi="Arial" w:cs="Arial"/>
                <w:lang w:val="en"/>
              </w:rPr>
              <w:t>2</w:t>
            </w:r>
            <w:r w:rsidR="00BD7F6D" w:rsidRPr="000845C9">
              <w:rPr>
                <w:rFonts w:ascii="Arial" w:hAnsi="Arial" w:cs="Arial"/>
                <w:lang w:val="en"/>
              </w:rPr>
              <w:t>,70</w:t>
            </w:r>
            <w:r w:rsidR="004E670C">
              <w:rPr>
                <w:rFonts w:ascii="Arial" w:hAnsi="Arial" w:cs="Arial"/>
                <w:lang w:val="en"/>
              </w:rPr>
              <w:t>5</w:t>
            </w:r>
          </w:p>
        </w:tc>
        <w:tc>
          <w:tcPr>
            <w:tcW w:w="1701" w:type="dxa"/>
            <w:vAlign w:val="bottom"/>
          </w:tcPr>
          <w:p w14:paraId="53A2C680" w14:textId="772B7A3E" w:rsidR="00D65B29" w:rsidRPr="000845C9" w:rsidRDefault="00FF35B6" w:rsidP="000845C9">
            <w:pPr>
              <w:spacing w:line="360" w:lineRule="auto"/>
              <w:jc w:val="right"/>
              <w:rPr>
                <w:rFonts w:ascii="Arial" w:hAnsi="Arial" w:cs="Arial"/>
                <w:lang w:val="en"/>
              </w:rPr>
            </w:pPr>
            <w:r w:rsidRPr="000845C9">
              <w:rPr>
                <w:rFonts w:ascii="Arial" w:hAnsi="Arial" w:cs="Arial"/>
                <w:lang w:val="en"/>
              </w:rPr>
              <w:t>41,988</w:t>
            </w:r>
          </w:p>
        </w:tc>
        <w:tc>
          <w:tcPr>
            <w:tcW w:w="1838" w:type="dxa"/>
            <w:vAlign w:val="bottom"/>
          </w:tcPr>
          <w:p w14:paraId="21596D0E" w14:textId="0AC71CBA" w:rsidR="00D65B29" w:rsidRPr="000845C9" w:rsidRDefault="00FF35B6" w:rsidP="000845C9">
            <w:pPr>
              <w:spacing w:line="360" w:lineRule="auto"/>
              <w:jc w:val="right"/>
              <w:rPr>
                <w:rFonts w:ascii="Arial" w:hAnsi="Arial" w:cs="Arial"/>
                <w:lang w:val="en"/>
              </w:rPr>
            </w:pPr>
            <w:r w:rsidRPr="000845C9">
              <w:rPr>
                <w:rFonts w:ascii="Arial" w:hAnsi="Arial" w:cs="Arial"/>
                <w:lang w:val="en"/>
              </w:rPr>
              <w:t>71</w:t>
            </w:r>
            <w:r w:rsidR="004E670C">
              <w:rPr>
                <w:rFonts w:ascii="Arial" w:hAnsi="Arial" w:cs="Arial"/>
                <w:lang w:val="en"/>
              </w:rPr>
              <w:t>7</w:t>
            </w:r>
          </w:p>
        </w:tc>
      </w:tr>
      <w:tr w:rsidR="00D65B29" w:rsidRPr="000845C9" w14:paraId="0870242F" w14:textId="532DF0FA" w:rsidTr="000845C9">
        <w:tc>
          <w:tcPr>
            <w:tcW w:w="4531" w:type="dxa"/>
            <w:vAlign w:val="bottom"/>
          </w:tcPr>
          <w:p w14:paraId="49A0057D" w14:textId="5B4DCD57" w:rsidR="00D65B29" w:rsidRPr="000845C9" w:rsidRDefault="00D9687D" w:rsidP="000845C9">
            <w:pPr>
              <w:spacing w:line="360" w:lineRule="auto"/>
              <w:ind w:right="-425"/>
              <w:rPr>
                <w:rFonts w:ascii="Arial" w:hAnsi="Arial" w:cs="Arial"/>
                <w:lang w:val="en"/>
              </w:rPr>
            </w:pPr>
            <w:r w:rsidRPr="000845C9">
              <w:rPr>
                <w:rFonts w:ascii="Arial" w:hAnsi="Arial" w:cs="Arial"/>
                <w:lang w:val="en"/>
              </w:rPr>
              <w:t>Other</w:t>
            </w:r>
            <w:r w:rsidR="00F62A1B">
              <w:rPr>
                <w:rFonts w:ascii="Arial" w:hAnsi="Arial" w:cs="Arial"/>
                <w:lang w:val="en"/>
              </w:rPr>
              <w:t xml:space="preserve"> </w:t>
            </w:r>
            <w:r w:rsidRPr="000845C9">
              <w:rPr>
                <w:rFonts w:ascii="Arial" w:hAnsi="Arial" w:cs="Arial"/>
                <w:lang w:val="en"/>
              </w:rPr>
              <w:t>Income</w:t>
            </w:r>
          </w:p>
        </w:tc>
        <w:tc>
          <w:tcPr>
            <w:tcW w:w="1701" w:type="dxa"/>
            <w:vAlign w:val="bottom"/>
          </w:tcPr>
          <w:p w14:paraId="1AFF7B75" w14:textId="71051EE6" w:rsidR="00D65B29" w:rsidRPr="000845C9" w:rsidRDefault="00FF35B6" w:rsidP="000845C9">
            <w:pPr>
              <w:spacing w:line="360" w:lineRule="auto"/>
              <w:jc w:val="right"/>
              <w:rPr>
                <w:rFonts w:ascii="Arial" w:hAnsi="Arial" w:cs="Arial"/>
                <w:lang w:val="en"/>
              </w:rPr>
            </w:pPr>
            <w:r w:rsidRPr="000845C9">
              <w:rPr>
                <w:rFonts w:ascii="Arial" w:hAnsi="Arial" w:cs="Arial"/>
                <w:lang w:val="en"/>
              </w:rPr>
              <w:t>5,00</w:t>
            </w:r>
            <w:r w:rsidR="00877635" w:rsidRPr="000845C9">
              <w:rPr>
                <w:rFonts w:ascii="Arial" w:hAnsi="Arial" w:cs="Arial"/>
                <w:lang w:val="en"/>
              </w:rPr>
              <w:t>8</w:t>
            </w:r>
          </w:p>
        </w:tc>
        <w:tc>
          <w:tcPr>
            <w:tcW w:w="1701" w:type="dxa"/>
            <w:vAlign w:val="bottom"/>
          </w:tcPr>
          <w:p w14:paraId="562FF252" w14:textId="0E0C4552" w:rsidR="00D65B29" w:rsidRPr="000845C9" w:rsidRDefault="00FF35B6" w:rsidP="000845C9">
            <w:pPr>
              <w:spacing w:line="360" w:lineRule="auto"/>
              <w:jc w:val="right"/>
              <w:rPr>
                <w:rFonts w:ascii="Arial" w:hAnsi="Arial" w:cs="Arial"/>
                <w:lang w:val="en"/>
              </w:rPr>
            </w:pPr>
            <w:r w:rsidRPr="000845C9">
              <w:rPr>
                <w:rFonts w:ascii="Arial" w:hAnsi="Arial" w:cs="Arial"/>
                <w:lang w:val="en"/>
              </w:rPr>
              <w:t>4,405</w:t>
            </w:r>
          </w:p>
        </w:tc>
        <w:tc>
          <w:tcPr>
            <w:tcW w:w="1838" w:type="dxa"/>
            <w:vAlign w:val="bottom"/>
          </w:tcPr>
          <w:p w14:paraId="24828EF9" w14:textId="2E15E985" w:rsidR="00D65B29" w:rsidRPr="000845C9" w:rsidRDefault="008B2269" w:rsidP="000845C9">
            <w:pPr>
              <w:spacing w:line="360" w:lineRule="auto"/>
              <w:jc w:val="right"/>
              <w:rPr>
                <w:rFonts w:ascii="Arial" w:hAnsi="Arial" w:cs="Arial"/>
                <w:lang w:val="en"/>
              </w:rPr>
            </w:pPr>
            <w:r w:rsidRPr="000845C9">
              <w:rPr>
                <w:rFonts w:ascii="Arial" w:hAnsi="Arial" w:cs="Arial"/>
                <w:lang w:val="en"/>
              </w:rPr>
              <w:t>603</w:t>
            </w:r>
          </w:p>
        </w:tc>
      </w:tr>
      <w:tr w:rsidR="00D9687D" w:rsidRPr="000845C9" w14:paraId="3DEC43E8" w14:textId="77777777" w:rsidTr="000845C9">
        <w:tc>
          <w:tcPr>
            <w:tcW w:w="4531" w:type="dxa"/>
            <w:shd w:val="clear" w:color="auto" w:fill="EAF1DD" w:themeFill="accent3" w:themeFillTint="33"/>
            <w:vAlign w:val="bottom"/>
          </w:tcPr>
          <w:p w14:paraId="2DB613C3" w14:textId="4783A5A1" w:rsidR="00D9687D" w:rsidRPr="000845C9" w:rsidRDefault="00D9687D" w:rsidP="000845C9">
            <w:pPr>
              <w:overflowPunct w:val="0"/>
              <w:autoSpaceDE w:val="0"/>
              <w:autoSpaceDN w:val="0"/>
              <w:adjustRightInd w:val="0"/>
              <w:spacing w:line="360" w:lineRule="auto"/>
              <w:textAlignment w:val="baseline"/>
              <w:rPr>
                <w:rFonts w:ascii="Arial" w:hAnsi="Arial" w:cs="Arial"/>
                <w:b/>
                <w:color w:val="000000" w:themeColor="text1"/>
              </w:rPr>
            </w:pPr>
            <w:r w:rsidRPr="000845C9">
              <w:rPr>
                <w:rFonts w:ascii="Arial" w:hAnsi="Arial" w:cs="Arial"/>
                <w:b/>
                <w:color w:val="000000" w:themeColor="text1"/>
              </w:rPr>
              <w:t xml:space="preserve">Total Income </w:t>
            </w:r>
          </w:p>
        </w:tc>
        <w:tc>
          <w:tcPr>
            <w:tcW w:w="1701" w:type="dxa"/>
            <w:shd w:val="clear" w:color="auto" w:fill="EAF1DD" w:themeFill="accent3" w:themeFillTint="33"/>
            <w:vAlign w:val="bottom"/>
          </w:tcPr>
          <w:p w14:paraId="3D20FC9A" w14:textId="2CC0500A" w:rsidR="00D9687D" w:rsidRPr="000845C9" w:rsidRDefault="00FF35B6"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9</w:t>
            </w:r>
            <w:r w:rsidR="00DE4F5C" w:rsidRPr="000845C9">
              <w:rPr>
                <w:rFonts w:ascii="Arial" w:hAnsi="Arial" w:cs="Arial"/>
                <w:b/>
                <w:color w:val="000000" w:themeColor="text1"/>
              </w:rPr>
              <w:t>0</w:t>
            </w:r>
            <w:r w:rsidRPr="000845C9">
              <w:rPr>
                <w:rFonts w:ascii="Arial" w:hAnsi="Arial" w:cs="Arial"/>
                <w:b/>
                <w:color w:val="000000" w:themeColor="text1"/>
              </w:rPr>
              <w:t>,</w:t>
            </w:r>
            <w:r w:rsidR="00DE4F5C" w:rsidRPr="000845C9">
              <w:rPr>
                <w:rFonts w:ascii="Arial" w:hAnsi="Arial" w:cs="Arial"/>
                <w:b/>
                <w:color w:val="000000" w:themeColor="text1"/>
              </w:rPr>
              <w:t>7</w:t>
            </w:r>
            <w:r w:rsidR="008B2269" w:rsidRPr="000845C9">
              <w:rPr>
                <w:rFonts w:ascii="Arial" w:hAnsi="Arial" w:cs="Arial"/>
                <w:b/>
                <w:color w:val="000000" w:themeColor="text1"/>
              </w:rPr>
              <w:t>8</w:t>
            </w:r>
            <w:r w:rsidR="00121056">
              <w:rPr>
                <w:rFonts w:ascii="Arial" w:hAnsi="Arial" w:cs="Arial"/>
                <w:b/>
                <w:color w:val="000000" w:themeColor="text1"/>
              </w:rPr>
              <w:t>4</w:t>
            </w:r>
          </w:p>
        </w:tc>
        <w:tc>
          <w:tcPr>
            <w:tcW w:w="1701" w:type="dxa"/>
            <w:shd w:val="clear" w:color="auto" w:fill="EAF1DD" w:themeFill="accent3" w:themeFillTint="33"/>
            <w:vAlign w:val="bottom"/>
          </w:tcPr>
          <w:p w14:paraId="358774D7" w14:textId="05361A67" w:rsidR="00D9687D" w:rsidRPr="000845C9" w:rsidRDefault="003216F0"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89</w:t>
            </w:r>
            <w:r w:rsidR="00FF35B6" w:rsidRPr="000845C9">
              <w:rPr>
                <w:rFonts w:ascii="Arial" w:hAnsi="Arial" w:cs="Arial"/>
                <w:b/>
                <w:color w:val="000000" w:themeColor="text1"/>
              </w:rPr>
              <w:t>,</w:t>
            </w:r>
            <w:r w:rsidRPr="000845C9">
              <w:rPr>
                <w:rFonts w:ascii="Arial" w:hAnsi="Arial" w:cs="Arial"/>
                <w:b/>
                <w:color w:val="000000" w:themeColor="text1"/>
              </w:rPr>
              <w:t>464</w:t>
            </w:r>
          </w:p>
        </w:tc>
        <w:tc>
          <w:tcPr>
            <w:tcW w:w="1838" w:type="dxa"/>
            <w:shd w:val="clear" w:color="auto" w:fill="EAF1DD" w:themeFill="accent3" w:themeFillTint="33"/>
            <w:vAlign w:val="bottom"/>
          </w:tcPr>
          <w:p w14:paraId="289A2E3B" w14:textId="7F2974F3" w:rsidR="00D9687D" w:rsidRPr="000845C9" w:rsidRDefault="00780770"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1,3</w:t>
            </w:r>
            <w:r w:rsidR="00121056">
              <w:rPr>
                <w:rFonts w:ascii="Arial" w:hAnsi="Arial" w:cs="Arial"/>
                <w:b/>
                <w:color w:val="000000" w:themeColor="text1"/>
              </w:rPr>
              <w:t>20</w:t>
            </w:r>
          </w:p>
        </w:tc>
      </w:tr>
      <w:tr w:rsidR="00D9687D" w:rsidRPr="000845C9" w14:paraId="1485D99E" w14:textId="77777777" w:rsidTr="000845C9">
        <w:tc>
          <w:tcPr>
            <w:tcW w:w="4531" w:type="dxa"/>
            <w:shd w:val="clear" w:color="auto" w:fill="FFFFFF" w:themeFill="background1"/>
            <w:vAlign w:val="bottom"/>
          </w:tcPr>
          <w:p w14:paraId="2BD50E40" w14:textId="428826AC" w:rsidR="00D9687D" w:rsidRPr="000845C9" w:rsidRDefault="0013732F" w:rsidP="000845C9">
            <w:pPr>
              <w:spacing w:line="360" w:lineRule="auto"/>
              <w:ind w:right="-425"/>
              <w:rPr>
                <w:rFonts w:ascii="Arial" w:hAnsi="Arial" w:cs="Arial"/>
                <w:lang w:val="en"/>
              </w:rPr>
            </w:pPr>
            <w:r w:rsidRPr="000845C9">
              <w:rPr>
                <w:rFonts w:ascii="Arial" w:hAnsi="Arial" w:cs="Arial"/>
                <w:lang w:val="en"/>
              </w:rPr>
              <w:t>Staff Costs</w:t>
            </w:r>
            <w:r w:rsidR="00613F23" w:rsidRPr="000845C9">
              <w:rPr>
                <w:rStyle w:val="FootnoteReference"/>
                <w:rFonts w:ascii="Arial" w:hAnsi="Arial" w:cs="Arial"/>
                <w:lang w:val="en"/>
              </w:rPr>
              <w:footnoteReference w:id="8"/>
            </w:r>
          </w:p>
        </w:tc>
        <w:tc>
          <w:tcPr>
            <w:tcW w:w="1701" w:type="dxa"/>
            <w:shd w:val="clear" w:color="auto" w:fill="FFFFFF" w:themeFill="background1"/>
            <w:vAlign w:val="bottom"/>
          </w:tcPr>
          <w:p w14:paraId="27908212" w14:textId="5380F33D" w:rsidR="00D9687D" w:rsidRPr="000845C9" w:rsidRDefault="000845C9" w:rsidP="000845C9">
            <w:pPr>
              <w:spacing w:line="360" w:lineRule="auto"/>
              <w:jc w:val="right"/>
              <w:rPr>
                <w:rFonts w:ascii="Arial" w:hAnsi="Arial" w:cs="Arial"/>
                <w:lang w:val="en"/>
              </w:rPr>
            </w:pPr>
            <w:r w:rsidRPr="000845C9">
              <w:rPr>
                <w:rFonts w:ascii="Arial" w:hAnsi="Arial" w:cs="Arial"/>
                <w:lang w:val="en"/>
              </w:rPr>
              <w:t>60,</w:t>
            </w:r>
            <w:r w:rsidR="00560039" w:rsidRPr="00696106">
              <w:rPr>
                <w:rFonts w:ascii="Arial" w:hAnsi="Arial" w:cs="Arial"/>
                <w:lang w:val="en"/>
              </w:rPr>
              <w:t>21</w:t>
            </w:r>
            <w:r w:rsidR="008117AA" w:rsidRPr="00696106">
              <w:rPr>
                <w:rFonts w:ascii="Arial" w:hAnsi="Arial" w:cs="Arial"/>
                <w:lang w:val="en"/>
              </w:rPr>
              <w:t>2</w:t>
            </w:r>
          </w:p>
        </w:tc>
        <w:tc>
          <w:tcPr>
            <w:tcW w:w="1701" w:type="dxa"/>
            <w:shd w:val="clear" w:color="auto" w:fill="FFFFFF" w:themeFill="background1"/>
            <w:vAlign w:val="bottom"/>
          </w:tcPr>
          <w:p w14:paraId="6DDAB7B1" w14:textId="446F2E4D" w:rsidR="00D9687D" w:rsidRPr="000845C9" w:rsidRDefault="003641E7" w:rsidP="000845C9">
            <w:pPr>
              <w:spacing w:line="360" w:lineRule="auto"/>
              <w:jc w:val="right"/>
              <w:rPr>
                <w:rFonts w:ascii="Arial" w:hAnsi="Arial" w:cs="Arial"/>
                <w:lang w:val="en"/>
              </w:rPr>
            </w:pPr>
            <w:r w:rsidRPr="000845C9">
              <w:rPr>
                <w:rFonts w:ascii="Arial" w:hAnsi="Arial" w:cs="Arial"/>
                <w:lang w:val="en"/>
              </w:rPr>
              <w:t>60,957</w:t>
            </w:r>
          </w:p>
        </w:tc>
        <w:tc>
          <w:tcPr>
            <w:tcW w:w="1838" w:type="dxa"/>
            <w:shd w:val="clear" w:color="auto" w:fill="FFFFFF" w:themeFill="background1"/>
            <w:vAlign w:val="bottom"/>
          </w:tcPr>
          <w:p w14:paraId="7AC5E241" w14:textId="0BE17D9A" w:rsidR="00D9687D" w:rsidRPr="000845C9" w:rsidRDefault="005D198E" w:rsidP="000845C9">
            <w:pPr>
              <w:spacing w:line="360" w:lineRule="auto"/>
              <w:jc w:val="right"/>
              <w:rPr>
                <w:rFonts w:ascii="Arial" w:hAnsi="Arial" w:cs="Arial"/>
                <w:lang w:val="en"/>
              </w:rPr>
            </w:pPr>
            <w:r w:rsidRPr="00696106">
              <w:rPr>
                <w:rFonts w:ascii="Arial" w:hAnsi="Arial" w:cs="Arial"/>
                <w:lang w:val="en"/>
              </w:rPr>
              <w:t>74</w:t>
            </w:r>
            <w:r w:rsidR="005D0E87" w:rsidRPr="00696106">
              <w:rPr>
                <w:rFonts w:ascii="Arial" w:hAnsi="Arial" w:cs="Arial"/>
                <w:lang w:val="en"/>
              </w:rPr>
              <w:t>5</w:t>
            </w:r>
          </w:p>
        </w:tc>
      </w:tr>
      <w:tr w:rsidR="0013732F" w:rsidRPr="000845C9" w14:paraId="3A295E4C" w14:textId="77777777" w:rsidTr="000845C9">
        <w:tc>
          <w:tcPr>
            <w:tcW w:w="4531" w:type="dxa"/>
            <w:shd w:val="clear" w:color="auto" w:fill="FFFFFF" w:themeFill="background1"/>
            <w:vAlign w:val="bottom"/>
          </w:tcPr>
          <w:p w14:paraId="4B2C2691" w14:textId="0AD19ADB" w:rsidR="0013732F" w:rsidRPr="000845C9" w:rsidRDefault="0013732F" w:rsidP="000845C9">
            <w:pPr>
              <w:spacing w:line="360" w:lineRule="auto"/>
              <w:ind w:right="-425"/>
              <w:rPr>
                <w:rFonts w:ascii="Arial" w:hAnsi="Arial" w:cs="Arial"/>
                <w:lang w:val="en"/>
              </w:rPr>
            </w:pPr>
            <w:r w:rsidRPr="000845C9">
              <w:rPr>
                <w:rFonts w:ascii="Arial" w:hAnsi="Arial" w:cs="Arial"/>
                <w:lang w:val="en"/>
              </w:rPr>
              <w:t>Other Staff Costs</w:t>
            </w:r>
          </w:p>
        </w:tc>
        <w:tc>
          <w:tcPr>
            <w:tcW w:w="1701" w:type="dxa"/>
            <w:shd w:val="clear" w:color="auto" w:fill="FFFFFF" w:themeFill="background1"/>
            <w:vAlign w:val="bottom"/>
          </w:tcPr>
          <w:p w14:paraId="77D058FF" w14:textId="201D6DEA" w:rsidR="0013732F" w:rsidRPr="000845C9" w:rsidRDefault="00780770" w:rsidP="000845C9">
            <w:pPr>
              <w:spacing w:line="360" w:lineRule="auto"/>
              <w:jc w:val="right"/>
              <w:rPr>
                <w:rFonts w:ascii="Arial" w:hAnsi="Arial" w:cs="Arial"/>
                <w:lang w:val="en"/>
              </w:rPr>
            </w:pPr>
            <w:r w:rsidRPr="000845C9">
              <w:rPr>
                <w:rFonts w:ascii="Arial" w:hAnsi="Arial" w:cs="Arial"/>
                <w:lang w:val="en"/>
              </w:rPr>
              <w:t>393</w:t>
            </w:r>
          </w:p>
        </w:tc>
        <w:tc>
          <w:tcPr>
            <w:tcW w:w="1701" w:type="dxa"/>
            <w:shd w:val="clear" w:color="auto" w:fill="FFFFFF" w:themeFill="background1"/>
            <w:vAlign w:val="bottom"/>
          </w:tcPr>
          <w:p w14:paraId="0EF3240D" w14:textId="5115EA3A" w:rsidR="0013732F" w:rsidRPr="000845C9" w:rsidRDefault="003641E7" w:rsidP="000845C9">
            <w:pPr>
              <w:spacing w:line="360" w:lineRule="auto"/>
              <w:jc w:val="right"/>
              <w:rPr>
                <w:rFonts w:ascii="Arial" w:hAnsi="Arial" w:cs="Arial"/>
                <w:lang w:val="en"/>
              </w:rPr>
            </w:pPr>
            <w:r w:rsidRPr="000845C9">
              <w:rPr>
                <w:rFonts w:ascii="Arial" w:hAnsi="Arial" w:cs="Arial"/>
                <w:lang w:val="en"/>
              </w:rPr>
              <w:t>139</w:t>
            </w:r>
          </w:p>
        </w:tc>
        <w:tc>
          <w:tcPr>
            <w:tcW w:w="1838" w:type="dxa"/>
            <w:shd w:val="clear" w:color="auto" w:fill="FFFFFF" w:themeFill="background1"/>
            <w:vAlign w:val="bottom"/>
          </w:tcPr>
          <w:p w14:paraId="20BAD27A" w14:textId="2A9C845A" w:rsidR="0013732F" w:rsidRPr="000845C9" w:rsidRDefault="00966399" w:rsidP="000845C9">
            <w:pPr>
              <w:spacing w:line="360" w:lineRule="auto"/>
              <w:jc w:val="right"/>
              <w:rPr>
                <w:rFonts w:ascii="Arial" w:hAnsi="Arial" w:cs="Arial"/>
                <w:lang w:val="en"/>
              </w:rPr>
            </w:pPr>
            <w:r w:rsidRPr="000845C9">
              <w:rPr>
                <w:rFonts w:ascii="Arial" w:hAnsi="Arial" w:cs="Arial"/>
                <w:lang w:val="en"/>
              </w:rPr>
              <w:t>(254)</w:t>
            </w:r>
          </w:p>
        </w:tc>
      </w:tr>
      <w:tr w:rsidR="0013732F" w:rsidRPr="000845C9" w14:paraId="2B8908F3" w14:textId="77777777" w:rsidTr="000845C9">
        <w:tc>
          <w:tcPr>
            <w:tcW w:w="4531" w:type="dxa"/>
            <w:shd w:val="clear" w:color="auto" w:fill="FFFFFF" w:themeFill="background1"/>
            <w:vAlign w:val="bottom"/>
          </w:tcPr>
          <w:p w14:paraId="3C1AD945" w14:textId="5B33C9F7" w:rsidR="0013732F" w:rsidRPr="000845C9" w:rsidRDefault="0013732F" w:rsidP="000845C9">
            <w:pPr>
              <w:spacing w:line="360" w:lineRule="auto"/>
              <w:ind w:right="-425"/>
              <w:rPr>
                <w:rFonts w:ascii="Arial" w:hAnsi="Arial" w:cs="Arial"/>
                <w:lang w:val="en"/>
              </w:rPr>
            </w:pPr>
            <w:r w:rsidRPr="000845C9">
              <w:rPr>
                <w:rFonts w:ascii="Arial" w:hAnsi="Arial" w:cs="Arial"/>
                <w:lang w:val="en"/>
              </w:rPr>
              <w:t>Property Costs</w:t>
            </w:r>
          </w:p>
        </w:tc>
        <w:tc>
          <w:tcPr>
            <w:tcW w:w="1701" w:type="dxa"/>
            <w:shd w:val="clear" w:color="auto" w:fill="FFFFFF" w:themeFill="background1"/>
            <w:vAlign w:val="bottom"/>
          </w:tcPr>
          <w:p w14:paraId="6D0E0BBF" w14:textId="4B66C8FF" w:rsidR="0013732F" w:rsidRPr="000845C9" w:rsidRDefault="00780770" w:rsidP="000845C9">
            <w:pPr>
              <w:spacing w:line="360" w:lineRule="auto"/>
              <w:jc w:val="right"/>
              <w:rPr>
                <w:rFonts w:ascii="Arial" w:hAnsi="Arial" w:cs="Arial"/>
                <w:lang w:val="en"/>
              </w:rPr>
            </w:pPr>
            <w:r w:rsidRPr="000845C9">
              <w:rPr>
                <w:rFonts w:ascii="Arial" w:hAnsi="Arial" w:cs="Arial"/>
                <w:lang w:val="en"/>
              </w:rPr>
              <w:t>4,983</w:t>
            </w:r>
          </w:p>
        </w:tc>
        <w:tc>
          <w:tcPr>
            <w:tcW w:w="1701" w:type="dxa"/>
            <w:shd w:val="clear" w:color="auto" w:fill="FFFFFF" w:themeFill="background1"/>
            <w:vAlign w:val="bottom"/>
          </w:tcPr>
          <w:p w14:paraId="4EE59CDD" w14:textId="4513EA96" w:rsidR="0013732F" w:rsidRPr="000845C9" w:rsidRDefault="003641E7" w:rsidP="000845C9">
            <w:pPr>
              <w:spacing w:line="360" w:lineRule="auto"/>
              <w:jc w:val="right"/>
              <w:rPr>
                <w:rFonts w:ascii="Arial" w:hAnsi="Arial" w:cs="Arial"/>
                <w:lang w:val="en"/>
              </w:rPr>
            </w:pPr>
            <w:r w:rsidRPr="000845C9">
              <w:rPr>
                <w:rFonts w:ascii="Arial" w:hAnsi="Arial" w:cs="Arial"/>
                <w:lang w:val="en"/>
              </w:rPr>
              <w:t>4,925</w:t>
            </w:r>
          </w:p>
        </w:tc>
        <w:tc>
          <w:tcPr>
            <w:tcW w:w="1838" w:type="dxa"/>
            <w:shd w:val="clear" w:color="auto" w:fill="FFFFFF" w:themeFill="background1"/>
            <w:vAlign w:val="bottom"/>
          </w:tcPr>
          <w:p w14:paraId="59BFBB80" w14:textId="5CA7BD52" w:rsidR="0013732F" w:rsidRPr="000845C9" w:rsidRDefault="00966399" w:rsidP="000845C9">
            <w:pPr>
              <w:spacing w:line="360" w:lineRule="auto"/>
              <w:jc w:val="right"/>
              <w:rPr>
                <w:rFonts w:ascii="Arial" w:hAnsi="Arial" w:cs="Arial"/>
                <w:lang w:val="en"/>
              </w:rPr>
            </w:pPr>
            <w:r w:rsidRPr="000845C9">
              <w:rPr>
                <w:rFonts w:ascii="Arial" w:hAnsi="Arial" w:cs="Arial"/>
                <w:lang w:val="en"/>
              </w:rPr>
              <w:t>(58)</w:t>
            </w:r>
          </w:p>
        </w:tc>
      </w:tr>
      <w:tr w:rsidR="00780770" w:rsidRPr="000845C9" w14:paraId="3CC69E3D" w14:textId="77777777" w:rsidTr="000845C9">
        <w:tc>
          <w:tcPr>
            <w:tcW w:w="4531" w:type="dxa"/>
            <w:shd w:val="clear" w:color="auto" w:fill="FFFFFF" w:themeFill="background1"/>
            <w:vAlign w:val="bottom"/>
          </w:tcPr>
          <w:p w14:paraId="0253666F" w14:textId="5C307CB2" w:rsidR="00780770" w:rsidRPr="000845C9" w:rsidRDefault="00780770" w:rsidP="000845C9">
            <w:pPr>
              <w:spacing w:line="360" w:lineRule="auto"/>
              <w:ind w:right="-425"/>
              <w:rPr>
                <w:rFonts w:ascii="Arial" w:hAnsi="Arial" w:cs="Arial"/>
                <w:lang w:val="en"/>
              </w:rPr>
            </w:pPr>
            <w:r w:rsidRPr="000845C9">
              <w:rPr>
                <w:rFonts w:ascii="Arial" w:hAnsi="Arial" w:cs="Arial"/>
                <w:lang w:val="en"/>
              </w:rPr>
              <w:t>Transport costs</w:t>
            </w:r>
          </w:p>
        </w:tc>
        <w:tc>
          <w:tcPr>
            <w:tcW w:w="1701" w:type="dxa"/>
            <w:shd w:val="clear" w:color="auto" w:fill="FFFFFF" w:themeFill="background1"/>
            <w:vAlign w:val="bottom"/>
          </w:tcPr>
          <w:p w14:paraId="548D51D1" w14:textId="0CB1F0A3" w:rsidR="00780770" w:rsidRPr="000845C9" w:rsidRDefault="00B478BA" w:rsidP="000845C9">
            <w:pPr>
              <w:spacing w:line="360" w:lineRule="auto"/>
              <w:jc w:val="right"/>
              <w:rPr>
                <w:rFonts w:ascii="Arial" w:hAnsi="Arial" w:cs="Arial"/>
                <w:lang w:val="en"/>
              </w:rPr>
            </w:pPr>
            <w:r w:rsidRPr="000845C9">
              <w:rPr>
                <w:rFonts w:ascii="Arial" w:hAnsi="Arial" w:cs="Arial"/>
                <w:lang w:val="en"/>
              </w:rPr>
              <w:t>858</w:t>
            </w:r>
          </w:p>
        </w:tc>
        <w:tc>
          <w:tcPr>
            <w:tcW w:w="1701" w:type="dxa"/>
            <w:shd w:val="clear" w:color="auto" w:fill="FFFFFF" w:themeFill="background1"/>
            <w:vAlign w:val="bottom"/>
          </w:tcPr>
          <w:p w14:paraId="4C88A02F" w14:textId="33A1F064" w:rsidR="00780770" w:rsidRPr="000845C9" w:rsidRDefault="005E21C8" w:rsidP="000845C9">
            <w:pPr>
              <w:spacing w:line="360" w:lineRule="auto"/>
              <w:jc w:val="right"/>
              <w:rPr>
                <w:rFonts w:ascii="Arial" w:hAnsi="Arial" w:cs="Arial"/>
                <w:lang w:val="en"/>
              </w:rPr>
            </w:pPr>
            <w:r w:rsidRPr="000845C9">
              <w:rPr>
                <w:rFonts w:ascii="Arial" w:hAnsi="Arial" w:cs="Arial"/>
                <w:lang w:val="en"/>
              </w:rPr>
              <w:t>962</w:t>
            </w:r>
          </w:p>
        </w:tc>
        <w:tc>
          <w:tcPr>
            <w:tcW w:w="1838" w:type="dxa"/>
            <w:shd w:val="clear" w:color="auto" w:fill="FFFFFF" w:themeFill="background1"/>
            <w:vAlign w:val="bottom"/>
          </w:tcPr>
          <w:p w14:paraId="30761313" w14:textId="3114ECB2" w:rsidR="00780770" w:rsidRPr="000845C9" w:rsidRDefault="00966399" w:rsidP="000845C9">
            <w:pPr>
              <w:spacing w:line="360" w:lineRule="auto"/>
              <w:jc w:val="right"/>
              <w:rPr>
                <w:rFonts w:ascii="Arial" w:hAnsi="Arial" w:cs="Arial"/>
                <w:lang w:val="en"/>
              </w:rPr>
            </w:pPr>
            <w:r w:rsidRPr="000845C9">
              <w:rPr>
                <w:rFonts w:ascii="Arial" w:hAnsi="Arial" w:cs="Arial"/>
                <w:lang w:val="en"/>
              </w:rPr>
              <w:t>104</w:t>
            </w:r>
          </w:p>
        </w:tc>
      </w:tr>
      <w:tr w:rsidR="0013732F" w:rsidRPr="000845C9" w14:paraId="6ACE3F8F" w14:textId="77777777" w:rsidTr="000845C9">
        <w:tc>
          <w:tcPr>
            <w:tcW w:w="4531" w:type="dxa"/>
            <w:shd w:val="clear" w:color="auto" w:fill="FFFFFF" w:themeFill="background1"/>
            <w:vAlign w:val="bottom"/>
          </w:tcPr>
          <w:p w14:paraId="432917E3" w14:textId="53649E5D" w:rsidR="0013732F" w:rsidRPr="000845C9" w:rsidRDefault="00361A1B" w:rsidP="000845C9">
            <w:pPr>
              <w:spacing w:line="360" w:lineRule="auto"/>
              <w:ind w:right="-425"/>
              <w:rPr>
                <w:rFonts w:ascii="Arial" w:hAnsi="Arial" w:cs="Arial"/>
                <w:lang w:val="en"/>
              </w:rPr>
            </w:pPr>
            <w:r w:rsidRPr="000845C9">
              <w:rPr>
                <w:rFonts w:ascii="Arial" w:hAnsi="Arial" w:cs="Arial"/>
                <w:lang w:val="en"/>
              </w:rPr>
              <w:t>Supplies and Services</w:t>
            </w:r>
          </w:p>
        </w:tc>
        <w:tc>
          <w:tcPr>
            <w:tcW w:w="1701" w:type="dxa"/>
            <w:shd w:val="clear" w:color="auto" w:fill="FFFFFF" w:themeFill="background1"/>
            <w:vAlign w:val="bottom"/>
          </w:tcPr>
          <w:p w14:paraId="1A862F7E" w14:textId="5140C7F2" w:rsidR="0013732F" w:rsidRPr="000845C9" w:rsidRDefault="005433B6" w:rsidP="000845C9">
            <w:pPr>
              <w:spacing w:line="360" w:lineRule="auto"/>
              <w:jc w:val="right"/>
              <w:rPr>
                <w:rFonts w:ascii="Arial" w:hAnsi="Arial" w:cs="Arial"/>
                <w:lang w:val="en"/>
              </w:rPr>
            </w:pPr>
            <w:r>
              <w:rPr>
                <w:rFonts w:ascii="Arial" w:hAnsi="Arial" w:cs="Arial"/>
                <w:lang w:val="en"/>
              </w:rPr>
              <w:t>15</w:t>
            </w:r>
            <w:r w:rsidR="005B37D1" w:rsidRPr="000845C9">
              <w:rPr>
                <w:rFonts w:ascii="Arial" w:hAnsi="Arial" w:cs="Arial"/>
                <w:lang w:val="en"/>
              </w:rPr>
              <w:t>,</w:t>
            </w:r>
            <w:r w:rsidR="00B97875" w:rsidRPr="005433B6">
              <w:rPr>
                <w:rFonts w:ascii="Arial" w:hAnsi="Arial" w:cs="Arial"/>
                <w:lang w:val="en"/>
              </w:rPr>
              <w:t>30</w:t>
            </w:r>
            <w:r w:rsidR="00121056">
              <w:rPr>
                <w:rFonts w:ascii="Arial" w:hAnsi="Arial" w:cs="Arial"/>
                <w:lang w:val="en"/>
              </w:rPr>
              <w:t>3</w:t>
            </w:r>
          </w:p>
        </w:tc>
        <w:tc>
          <w:tcPr>
            <w:tcW w:w="1701" w:type="dxa"/>
            <w:shd w:val="clear" w:color="auto" w:fill="FFFFFF" w:themeFill="background1"/>
            <w:vAlign w:val="bottom"/>
          </w:tcPr>
          <w:p w14:paraId="28D8A7F4" w14:textId="01197B42" w:rsidR="0013732F" w:rsidRPr="000845C9" w:rsidRDefault="00081B34" w:rsidP="000845C9">
            <w:pPr>
              <w:spacing w:line="360" w:lineRule="auto"/>
              <w:jc w:val="right"/>
              <w:rPr>
                <w:rFonts w:ascii="Arial" w:hAnsi="Arial" w:cs="Arial"/>
                <w:lang w:val="en"/>
              </w:rPr>
            </w:pPr>
            <w:r w:rsidRPr="000845C9">
              <w:rPr>
                <w:rFonts w:ascii="Arial" w:hAnsi="Arial" w:cs="Arial"/>
                <w:lang w:val="en"/>
              </w:rPr>
              <w:t>1</w:t>
            </w:r>
            <w:r w:rsidR="005E21C8" w:rsidRPr="000845C9">
              <w:rPr>
                <w:rFonts w:ascii="Arial" w:hAnsi="Arial" w:cs="Arial"/>
                <w:lang w:val="en"/>
              </w:rPr>
              <w:t>7,225</w:t>
            </w:r>
          </w:p>
        </w:tc>
        <w:tc>
          <w:tcPr>
            <w:tcW w:w="1838" w:type="dxa"/>
            <w:shd w:val="clear" w:color="auto" w:fill="FFFFFF" w:themeFill="background1"/>
            <w:vAlign w:val="bottom"/>
          </w:tcPr>
          <w:p w14:paraId="1AAFF171" w14:textId="5EE57C79" w:rsidR="0013732F" w:rsidRPr="000845C9" w:rsidRDefault="00966399" w:rsidP="000845C9">
            <w:pPr>
              <w:spacing w:line="360" w:lineRule="auto"/>
              <w:jc w:val="right"/>
              <w:rPr>
                <w:rFonts w:ascii="Arial" w:hAnsi="Arial" w:cs="Arial"/>
                <w:lang w:val="en"/>
              </w:rPr>
            </w:pPr>
            <w:r w:rsidRPr="000845C9">
              <w:rPr>
                <w:rFonts w:ascii="Arial" w:hAnsi="Arial" w:cs="Arial"/>
                <w:lang w:val="en"/>
              </w:rPr>
              <w:t>1</w:t>
            </w:r>
            <w:r w:rsidR="005D198E" w:rsidRPr="000845C9">
              <w:rPr>
                <w:rFonts w:ascii="Arial" w:hAnsi="Arial" w:cs="Arial"/>
                <w:lang w:val="en"/>
              </w:rPr>
              <w:t>,</w:t>
            </w:r>
            <w:r w:rsidR="005D198E" w:rsidRPr="00696106">
              <w:rPr>
                <w:rFonts w:ascii="Arial" w:hAnsi="Arial" w:cs="Arial"/>
                <w:lang w:val="en"/>
              </w:rPr>
              <w:t>92</w:t>
            </w:r>
            <w:r w:rsidR="00121056">
              <w:rPr>
                <w:rFonts w:ascii="Arial" w:hAnsi="Arial" w:cs="Arial"/>
                <w:lang w:val="en"/>
              </w:rPr>
              <w:t>2</w:t>
            </w:r>
          </w:p>
        </w:tc>
      </w:tr>
      <w:tr w:rsidR="00361A1B" w:rsidRPr="000845C9" w14:paraId="48BB48C6" w14:textId="77777777" w:rsidTr="000845C9">
        <w:tc>
          <w:tcPr>
            <w:tcW w:w="4531" w:type="dxa"/>
            <w:shd w:val="clear" w:color="auto" w:fill="EAF1DD" w:themeFill="accent3" w:themeFillTint="33"/>
            <w:vAlign w:val="bottom"/>
          </w:tcPr>
          <w:p w14:paraId="12D0A459" w14:textId="28975007" w:rsidR="00361A1B" w:rsidRPr="000845C9" w:rsidRDefault="00361A1B" w:rsidP="000845C9">
            <w:pPr>
              <w:overflowPunct w:val="0"/>
              <w:autoSpaceDE w:val="0"/>
              <w:autoSpaceDN w:val="0"/>
              <w:adjustRightInd w:val="0"/>
              <w:spacing w:line="360" w:lineRule="auto"/>
              <w:textAlignment w:val="baseline"/>
              <w:rPr>
                <w:rFonts w:ascii="Arial" w:hAnsi="Arial" w:cs="Arial"/>
                <w:b/>
                <w:color w:val="000000" w:themeColor="text1"/>
              </w:rPr>
            </w:pPr>
            <w:r w:rsidRPr="000845C9">
              <w:rPr>
                <w:rFonts w:ascii="Arial" w:hAnsi="Arial" w:cs="Arial"/>
                <w:b/>
                <w:color w:val="000000" w:themeColor="text1"/>
              </w:rPr>
              <w:t>Total Expenditure</w:t>
            </w:r>
          </w:p>
        </w:tc>
        <w:tc>
          <w:tcPr>
            <w:tcW w:w="1701" w:type="dxa"/>
            <w:shd w:val="clear" w:color="auto" w:fill="EAF1DD" w:themeFill="accent3" w:themeFillTint="33"/>
            <w:vAlign w:val="bottom"/>
          </w:tcPr>
          <w:p w14:paraId="693D97E3" w14:textId="02DE9DF9" w:rsidR="00361A1B" w:rsidRPr="000845C9" w:rsidRDefault="000845C9"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81,</w:t>
            </w:r>
            <w:r w:rsidR="005C470D" w:rsidRPr="00696106">
              <w:rPr>
                <w:rFonts w:ascii="Arial" w:hAnsi="Arial" w:cs="Arial"/>
                <w:b/>
                <w:color w:val="000000" w:themeColor="text1"/>
              </w:rPr>
              <w:t>7</w:t>
            </w:r>
            <w:r w:rsidR="007106C2" w:rsidRPr="00696106">
              <w:rPr>
                <w:rFonts w:ascii="Arial" w:hAnsi="Arial" w:cs="Arial"/>
                <w:b/>
                <w:color w:val="000000" w:themeColor="text1"/>
              </w:rPr>
              <w:t>4</w:t>
            </w:r>
            <w:r w:rsidR="00121056">
              <w:rPr>
                <w:rFonts w:ascii="Arial" w:hAnsi="Arial" w:cs="Arial"/>
                <w:b/>
                <w:color w:val="000000" w:themeColor="text1"/>
              </w:rPr>
              <w:t>9</w:t>
            </w:r>
          </w:p>
        </w:tc>
        <w:tc>
          <w:tcPr>
            <w:tcW w:w="1701" w:type="dxa"/>
            <w:shd w:val="clear" w:color="auto" w:fill="EAF1DD" w:themeFill="accent3" w:themeFillTint="33"/>
            <w:vAlign w:val="bottom"/>
          </w:tcPr>
          <w:p w14:paraId="7AF8CA16" w14:textId="06888D74" w:rsidR="00361A1B" w:rsidRPr="000845C9" w:rsidRDefault="00185E85"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84,208</w:t>
            </w:r>
          </w:p>
        </w:tc>
        <w:tc>
          <w:tcPr>
            <w:tcW w:w="1838" w:type="dxa"/>
            <w:shd w:val="clear" w:color="auto" w:fill="EAF1DD" w:themeFill="accent3" w:themeFillTint="33"/>
            <w:vAlign w:val="bottom"/>
          </w:tcPr>
          <w:p w14:paraId="356D9A0A" w14:textId="329BC365" w:rsidR="00361A1B" w:rsidRPr="000845C9" w:rsidRDefault="000845C9"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2,</w:t>
            </w:r>
            <w:r w:rsidR="00185E85" w:rsidRPr="00696106">
              <w:rPr>
                <w:rFonts w:ascii="Arial" w:hAnsi="Arial" w:cs="Arial"/>
                <w:b/>
                <w:color w:val="000000" w:themeColor="text1"/>
              </w:rPr>
              <w:t>4</w:t>
            </w:r>
            <w:r w:rsidR="00121056">
              <w:rPr>
                <w:rFonts w:ascii="Arial" w:hAnsi="Arial" w:cs="Arial"/>
                <w:b/>
                <w:color w:val="000000" w:themeColor="text1"/>
              </w:rPr>
              <w:t>59</w:t>
            </w:r>
          </w:p>
        </w:tc>
      </w:tr>
      <w:tr w:rsidR="00361A1B" w:rsidRPr="000845C9" w14:paraId="150A4778" w14:textId="77777777" w:rsidTr="000845C9">
        <w:tc>
          <w:tcPr>
            <w:tcW w:w="4531" w:type="dxa"/>
            <w:shd w:val="clear" w:color="auto" w:fill="FFFFFF" w:themeFill="background1"/>
            <w:vAlign w:val="bottom"/>
          </w:tcPr>
          <w:p w14:paraId="53E3B749" w14:textId="0BF99549" w:rsidR="00361A1B" w:rsidRPr="000845C9" w:rsidRDefault="00361A1B" w:rsidP="000845C9">
            <w:pPr>
              <w:spacing w:line="360" w:lineRule="auto"/>
              <w:ind w:right="-425"/>
              <w:rPr>
                <w:rFonts w:ascii="Arial" w:hAnsi="Arial" w:cs="Arial"/>
                <w:lang w:val="en"/>
              </w:rPr>
            </w:pPr>
            <w:r w:rsidRPr="000845C9">
              <w:rPr>
                <w:rFonts w:ascii="Arial" w:hAnsi="Arial" w:cs="Arial"/>
                <w:lang w:val="en"/>
              </w:rPr>
              <w:t>Depreciation and Impairments</w:t>
            </w:r>
          </w:p>
        </w:tc>
        <w:tc>
          <w:tcPr>
            <w:tcW w:w="1701" w:type="dxa"/>
            <w:shd w:val="clear" w:color="auto" w:fill="FFFFFF" w:themeFill="background1"/>
            <w:vAlign w:val="bottom"/>
          </w:tcPr>
          <w:p w14:paraId="61FB3FD0" w14:textId="5198555D" w:rsidR="00361A1B" w:rsidRPr="000845C9" w:rsidRDefault="003641E7" w:rsidP="000845C9">
            <w:pPr>
              <w:spacing w:line="360" w:lineRule="auto"/>
              <w:jc w:val="right"/>
              <w:rPr>
                <w:rFonts w:ascii="Arial" w:hAnsi="Arial" w:cs="Arial"/>
                <w:lang w:val="en"/>
              </w:rPr>
            </w:pPr>
            <w:r w:rsidRPr="000845C9">
              <w:rPr>
                <w:rFonts w:ascii="Arial" w:hAnsi="Arial" w:cs="Arial"/>
                <w:lang w:val="en"/>
              </w:rPr>
              <w:t>3,33</w:t>
            </w:r>
            <w:r w:rsidR="00121056">
              <w:rPr>
                <w:rFonts w:ascii="Arial" w:hAnsi="Arial" w:cs="Arial"/>
                <w:lang w:val="en"/>
              </w:rPr>
              <w:t>4</w:t>
            </w:r>
          </w:p>
        </w:tc>
        <w:tc>
          <w:tcPr>
            <w:tcW w:w="1701" w:type="dxa"/>
            <w:shd w:val="clear" w:color="auto" w:fill="FFFFFF" w:themeFill="background1"/>
            <w:vAlign w:val="bottom"/>
          </w:tcPr>
          <w:p w14:paraId="7ECBF5A9" w14:textId="3ADDE83C" w:rsidR="00361A1B" w:rsidRPr="000845C9" w:rsidRDefault="005E21C8" w:rsidP="000845C9">
            <w:pPr>
              <w:spacing w:line="360" w:lineRule="auto"/>
              <w:jc w:val="right"/>
              <w:rPr>
                <w:rFonts w:ascii="Arial" w:hAnsi="Arial" w:cs="Arial"/>
                <w:lang w:val="en"/>
              </w:rPr>
            </w:pPr>
            <w:r w:rsidRPr="000845C9">
              <w:rPr>
                <w:rFonts w:ascii="Arial" w:hAnsi="Arial" w:cs="Arial"/>
                <w:lang w:val="en"/>
              </w:rPr>
              <w:t>5,256</w:t>
            </w:r>
          </w:p>
        </w:tc>
        <w:tc>
          <w:tcPr>
            <w:tcW w:w="1838" w:type="dxa"/>
            <w:shd w:val="clear" w:color="auto" w:fill="FFFFFF" w:themeFill="background1"/>
            <w:vAlign w:val="bottom"/>
          </w:tcPr>
          <w:p w14:paraId="719C5232" w14:textId="416CA7AA" w:rsidR="00361A1B" w:rsidRPr="000845C9" w:rsidRDefault="005E21C8" w:rsidP="000845C9">
            <w:pPr>
              <w:spacing w:line="360" w:lineRule="auto"/>
              <w:jc w:val="right"/>
              <w:rPr>
                <w:rFonts w:ascii="Arial" w:hAnsi="Arial" w:cs="Arial"/>
                <w:lang w:val="en"/>
              </w:rPr>
            </w:pPr>
            <w:r w:rsidRPr="000845C9">
              <w:rPr>
                <w:rFonts w:ascii="Arial" w:hAnsi="Arial" w:cs="Arial"/>
                <w:lang w:val="en"/>
              </w:rPr>
              <w:t>1,9</w:t>
            </w:r>
            <w:r w:rsidR="00EE4F73">
              <w:rPr>
                <w:rFonts w:ascii="Arial" w:hAnsi="Arial" w:cs="Arial"/>
                <w:lang w:val="en"/>
              </w:rPr>
              <w:t>22</w:t>
            </w:r>
          </w:p>
        </w:tc>
      </w:tr>
      <w:tr w:rsidR="00361A1B" w:rsidRPr="000845C9" w14:paraId="14BFB086" w14:textId="77777777" w:rsidTr="000845C9">
        <w:tc>
          <w:tcPr>
            <w:tcW w:w="4531" w:type="dxa"/>
            <w:shd w:val="clear" w:color="auto" w:fill="EAF1DD" w:themeFill="accent3" w:themeFillTint="33"/>
            <w:vAlign w:val="bottom"/>
          </w:tcPr>
          <w:p w14:paraId="46649172" w14:textId="3DE01048" w:rsidR="00361A1B" w:rsidRPr="000845C9" w:rsidRDefault="00361A1B" w:rsidP="000845C9">
            <w:pPr>
              <w:overflowPunct w:val="0"/>
              <w:autoSpaceDE w:val="0"/>
              <w:autoSpaceDN w:val="0"/>
              <w:adjustRightInd w:val="0"/>
              <w:spacing w:line="360" w:lineRule="auto"/>
              <w:textAlignment w:val="baseline"/>
              <w:rPr>
                <w:rFonts w:ascii="Arial" w:hAnsi="Arial" w:cs="Arial"/>
                <w:b/>
                <w:color w:val="000000" w:themeColor="text1"/>
              </w:rPr>
            </w:pPr>
            <w:r w:rsidRPr="000845C9">
              <w:rPr>
                <w:rFonts w:ascii="Arial" w:hAnsi="Arial" w:cs="Arial"/>
                <w:b/>
                <w:color w:val="000000" w:themeColor="text1"/>
              </w:rPr>
              <w:t>Total Operating Costs</w:t>
            </w:r>
          </w:p>
        </w:tc>
        <w:tc>
          <w:tcPr>
            <w:tcW w:w="1701" w:type="dxa"/>
            <w:shd w:val="clear" w:color="auto" w:fill="EAF1DD" w:themeFill="accent3" w:themeFillTint="33"/>
            <w:vAlign w:val="bottom"/>
          </w:tcPr>
          <w:p w14:paraId="1B2CADDD" w14:textId="26EAB07C" w:rsidR="00361A1B" w:rsidRPr="000845C9" w:rsidRDefault="000845C9"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85,08</w:t>
            </w:r>
            <w:r w:rsidR="00FF1CC2">
              <w:rPr>
                <w:rFonts w:ascii="Arial" w:hAnsi="Arial" w:cs="Arial"/>
                <w:b/>
                <w:color w:val="000000" w:themeColor="text1"/>
              </w:rPr>
              <w:t>3</w:t>
            </w:r>
          </w:p>
        </w:tc>
        <w:tc>
          <w:tcPr>
            <w:tcW w:w="1701" w:type="dxa"/>
            <w:shd w:val="clear" w:color="auto" w:fill="EAF1DD" w:themeFill="accent3" w:themeFillTint="33"/>
            <w:vAlign w:val="bottom"/>
          </w:tcPr>
          <w:p w14:paraId="1C16BCE5" w14:textId="5F7FA921" w:rsidR="00361A1B" w:rsidRPr="000845C9" w:rsidRDefault="005E21C8"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89,464</w:t>
            </w:r>
          </w:p>
        </w:tc>
        <w:tc>
          <w:tcPr>
            <w:tcW w:w="1838" w:type="dxa"/>
            <w:shd w:val="clear" w:color="auto" w:fill="EAF1DD" w:themeFill="accent3" w:themeFillTint="33"/>
            <w:vAlign w:val="bottom"/>
          </w:tcPr>
          <w:p w14:paraId="2F596D37" w14:textId="6D9399E9" w:rsidR="00361A1B" w:rsidRPr="000845C9" w:rsidRDefault="000845C9"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4,</w:t>
            </w:r>
            <w:r w:rsidR="008518BC" w:rsidRPr="00696106">
              <w:rPr>
                <w:rFonts w:ascii="Arial" w:hAnsi="Arial" w:cs="Arial"/>
                <w:b/>
                <w:color w:val="000000" w:themeColor="text1"/>
              </w:rPr>
              <w:t>3</w:t>
            </w:r>
            <w:r w:rsidR="00345BE1" w:rsidRPr="00696106">
              <w:rPr>
                <w:rFonts w:ascii="Arial" w:hAnsi="Arial" w:cs="Arial"/>
                <w:b/>
                <w:color w:val="000000" w:themeColor="text1"/>
              </w:rPr>
              <w:t>81</w:t>
            </w:r>
          </w:p>
        </w:tc>
      </w:tr>
      <w:tr w:rsidR="00361A1B" w:rsidRPr="000845C9" w14:paraId="243E222E" w14:textId="77777777" w:rsidTr="000845C9">
        <w:tc>
          <w:tcPr>
            <w:tcW w:w="4531" w:type="dxa"/>
            <w:shd w:val="clear" w:color="auto" w:fill="EAF1DD" w:themeFill="accent3" w:themeFillTint="33"/>
            <w:vAlign w:val="bottom"/>
          </w:tcPr>
          <w:p w14:paraId="6DABBACB" w14:textId="6A9E3C26" w:rsidR="00361A1B" w:rsidRPr="000845C9" w:rsidRDefault="00361A1B" w:rsidP="000845C9">
            <w:pPr>
              <w:overflowPunct w:val="0"/>
              <w:autoSpaceDE w:val="0"/>
              <w:autoSpaceDN w:val="0"/>
              <w:adjustRightInd w:val="0"/>
              <w:spacing w:line="360" w:lineRule="auto"/>
              <w:textAlignment w:val="baseline"/>
              <w:rPr>
                <w:rFonts w:ascii="Arial" w:hAnsi="Arial" w:cs="Arial"/>
                <w:b/>
                <w:color w:val="000000" w:themeColor="text1"/>
              </w:rPr>
            </w:pPr>
            <w:r w:rsidRPr="000845C9">
              <w:rPr>
                <w:rFonts w:ascii="Arial" w:hAnsi="Arial" w:cs="Arial"/>
                <w:b/>
                <w:color w:val="000000" w:themeColor="text1"/>
              </w:rPr>
              <w:t>Surplus</w:t>
            </w:r>
            <w:r w:rsidR="003641E7" w:rsidRPr="000845C9">
              <w:rPr>
                <w:rFonts w:ascii="Arial" w:hAnsi="Arial" w:cs="Arial"/>
                <w:b/>
                <w:color w:val="000000" w:themeColor="text1"/>
              </w:rPr>
              <w:t>/(Deficit) for the year</w:t>
            </w:r>
            <w:r w:rsidRPr="000845C9">
              <w:rPr>
                <w:rFonts w:ascii="Arial" w:hAnsi="Arial" w:cs="Arial"/>
                <w:b/>
                <w:color w:val="000000" w:themeColor="text1"/>
              </w:rPr>
              <w:t xml:space="preserve"> </w:t>
            </w:r>
          </w:p>
        </w:tc>
        <w:tc>
          <w:tcPr>
            <w:tcW w:w="1701" w:type="dxa"/>
            <w:shd w:val="clear" w:color="auto" w:fill="EAF1DD" w:themeFill="accent3" w:themeFillTint="33"/>
            <w:vAlign w:val="bottom"/>
          </w:tcPr>
          <w:p w14:paraId="7029E24C" w14:textId="2E8EB38B" w:rsidR="00361A1B" w:rsidRPr="000845C9" w:rsidRDefault="00606986"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696106">
              <w:rPr>
                <w:rFonts w:ascii="Arial" w:hAnsi="Arial" w:cs="Arial"/>
                <w:b/>
                <w:color w:val="000000" w:themeColor="text1"/>
              </w:rPr>
              <w:t xml:space="preserve">            </w:t>
            </w:r>
            <w:r w:rsidR="00DE4F5C" w:rsidRPr="00696106">
              <w:rPr>
                <w:rFonts w:ascii="Arial" w:hAnsi="Arial" w:cs="Arial"/>
                <w:b/>
                <w:color w:val="000000" w:themeColor="text1"/>
              </w:rPr>
              <w:t>5</w:t>
            </w:r>
            <w:r w:rsidR="003641E7" w:rsidRPr="00696106">
              <w:rPr>
                <w:rFonts w:ascii="Arial" w:hAnsi="Arial" w:cs="Arial"/>
                <w:b/>
                <w:color w:val="000000" w:themeColor="text1"/>
              </w:rPr>
              <w:t>,</w:t>
            </w:r>
            <w:r w:rsidR="00EE4F73">
              <w:rPr>
                <w:rFonts w:ascii="Arial" w:hAnsi="Arial" w:cs="Arial"/>
                <w:b/>
                <w:color w:val="000000" w:themeColor="text1"/>
              </w:rPr>
              <w:t>701</w:t>
            </w:r>
          </w:p>
        </w:tc>
        <w:tc>
          <w:tcPr>
            <w:tcW w:w="1701" w:type="dxa"/>
            <w:shd w:val="clear" w:color="auto" w:fill="EAF1DD" w:themeFill="accent3" w:themeFillTint="33"/>
            <w:vAlign w:val="bottom"/>
          </w:tcPr>
          <w:p w14:paraId="11DB74D3" w14:textId="181009B3" w:rsidR="00361A1B" w:rsidRPr="000845C9" w:rsidRDefault="003216F0"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0</w:t>
            </w:r>
          </w:p>
        </w:tc>
        <w:tc>
          <w:tcPr>
            <w:tcW w:w="1838" w:type="dxa"/>
            <w:shd w:val="clear" w:color="auto" w:fill="EAF1DD" w:themeFill="accent3" w:themeFillTint="33"/>
            <w:vAlign w:val="bottom"/>
          </w:tcPr>
          <w:p w14:paraId="2B1D75D4" w14:textId="33DFBEE4" w:rsidR="00361A1B" w:rsidRPr="000845C9" w:rsidRDefault="000845C9" w:rsidP="000845C9">
            <w:pPr>
              <w:overflowPunct w:val="0"/>
              <w:autoSpaceDE w:val="0"/>
              <w:autoSpaceDN w:val="0"/>
              <w:adjustRightInd w:val="0"/>
              <w:spacing w:line="360" w:lineRule="auto"/>
              <w:jc w:val="right"/>
              <w:textAlignment w:val="baseline"/>
              <w:rPr>
                <w:rFonts w:ascii="Arial" w:hAnsi="Arial" w:cs="Arial"/>
                <w:b/>
                <w:color w:val="000000" w:themeColor="text1"/>
              </w:rPr>
            </w:pPr>
            <w:r w:rsidRPr="000845C9">
              <w:rPr>
                <w:rFonts w:ascii="Arial" w:hAnsi="Arial" w:cs="Arial"/>
                <w:b/>
                <w:color w:val="000000" w:themeColor="text1"/>
              </w:rPr>
              <w:t>5,</w:t>
            </w:r>
            <w:r w:rsidR="00EE4F73">
              <w:rPr>
                <w:rFonts w:ascii="Arial" w:hAnsi="Arial" w:cs="Arial"/>
                <w:b/>
                <w:color w:val="000000" w:themeColor="text1"/>
              </w:rPr>
              <w:t>701</w:t>
            </w:r>
          </w:p>
        </w:tc>
      </w:tr>
    </w:tbl>
    <w:p w14:paraId="6C057930" w14:textId="77777777" w:rsidR="00FC5609" w:rsidRDefault="00FC5609" w:rsidP="005B0161">
      <w:pPr>
        <w:pStyle w:val="PlainText"/>
        <w:spacing w:line="360" w:lineRule="auto"/>
        <w:rPr>
          <w:rFonts w:ascii="Arial" w:eastAsia="Times New Roman" w:hAnsi="Arial" w:cs="Arial"/>
          <w:b/>
          <w:bCs/>
          <w:sz w:val="24"/>
          <w:szCs w:val="24"/>
          <w:lang w:val="en" w:eastAsia="en-GB"/>
        </w:rPr>
      </w:pPr>
    </w:p>
    <w:p w14:paraId="615440F7" w14:textId="4D7AC831" w:rsidR="00C72719" w:rsidRPr="000E39C4" w:rsidRDefault="00CF5475" w:rsidP="000845C9">
      <w:pPr>
        <w:pStyle w:val="PlainText"/>
        <w:spacing w:line="360" w:lineRule="auto"/>
        <w:ind w:right="-142"/>
        <w:rPr>
          <w:rFonts w:ascii="Arial" w:eastAsia="Times New Roman" w:hAnsi="Arial" w:cs="Arial"/>
          <w:b/>
          <w:bCs/>
          <w:sz w:val="24"/>
          <w:szCs w:val="24"/>
          <w:lang w:val="en" w:eastAsia="en-GB"/>
        </w:rPr>
      </w:pPr>
      <w:r w:rsidRPr="000E39C4">
        <w:rPr>
          <w:rFonts w:ascii="Arial" w:eastAsia="Times New Roman" w:hAnsi="Arial" w:cs="Arial"/>
          <w:b/>
          <w:bCs/>
          <w:sz w:val="24"/>
          <w:szCs w:val="24"/>
          <w:lang w:val="en" w:eastAsia="en-GB"/>
        </w:rPr>
        <w:t>Net Operating Expenditure</w:t>
      </w:r>
    </w:p>
    <w:p w14:paraId="529F69B3" w14:textId="5ABE7F1A" w:rsidR="00F31D70" w:rsidRPr="000E39C4" w:rsidRDefault="0038577C" w:rsidP="000845C9">
      <w:pPr>
        <w:pStyle w:val="PlainText"/>
        <w:spacing w:line="360" w:lineRule="auto"/>
        <w:ind w:right="-142"/>
        <w:rPr>
          <w:rFonts w:ascii="Arial" w:eastAsia="Times New Roman" w:hAnsi="Arial" w:cs="Arial"/>
          <w:sz w:val="24"/>
          <w:szCs w:val="24"/>
          <w:lang w:val="en" w:eastAsia="en-GB"/>
        </w:rPr>
      </w:pPr>
      <w:r w:rsidRPr="000E39C4">
        <w:rPr>
          <w:rFonts w:ascii="Arial" w:eastAsia="Times New Roman" w:hAnsi="Arial" w:cs="Arial"/>
          <w:sz w:val="24"/>
          <w:szCs w:val="24"/>
          <w:lang w:val="en" w:eastAsia="en-GB"/>
        </w:rPr>
        <w:t xml:space="preserve">In </w:t>
      </w:r>
      <w:r w:rsidR="000845C9" w:rsidRPr="000E39C4">
        <w:rPr>
          <w:rFonts w:ascii="Arial" w:eastAsia="Times New Roman" w:hAnsi="Arial" w:cs="Arial"/>
          <w:sz w:val="24"/>
          <w:szCs w:val="24"/>
          <w:lang w:val="en" w:eastAsia="en-GB"/>
        </w:rPr>
        <w:t>2021/22</w:t>
      </w:r>
      <w:r w:rsidRPr="000E39C4">
        <w:rPr>
          <w:rFonts w:ascii="Arial" w:eastAsia="Times New Roman" w:hAnsi="Arial" w:cs="Arial"/>
          <w:sz w:val="24"/>
          <w:szCs w:val="24"/>
          <w:lang w:val="en" w:eastAsia="en-GB"/>
        </w:rPr>
        <w:t>, SEPA spent £</w:t>
      </w:r>
      <w:r w:rsidR="009C3599" w:rsidRPr="000E39C4">
        <w:rPr>
          <w:rFonts w:ascii="Arial" w:eastAsia="Times New Roman" w:hAnsi="Arial" w:cs="Arial"/>
          <w:sz w:val="24"/>
          <w:szCs w:val="24"/>
          <w:lang w:val="en" w:eastAsia="en-GB"/>
        </w:rPr>
        <w:t xml:space="preserve">85.1m on operating costs, of these costs </w:t>
      </w:r>
      <w:r w:rsidR="00487F8C" w:rsidRPr="000E39C4">
        <w:rPr>
          <w:rFonts w:ascii="Arial" w:eastAsia="Times New Roman" w:hAnsi="Arial" w:cs="Arial"/>
          <w:sz w:val="24"/>
          <w:szCs w:val="24"/>
          <w:lang w:val="en" w:eastAsia="en-GB"/>
        </w:rPr>
        <w:t>£4</w:t>
      </w:r>
      <w:r w:rsidR="00A93175" w:rsidRPr="000E39C4">
        <w:rPr>
          <w:rFonts w:ascii="Arial" w:eastAsia="Times New Roman" w:hAnsi="Arial" w:cs="Arial"/>
          <w:sz w:val="24"/>
          <w:szCs w:val="24"/>
          <w:lang w:val="en" w:eastAsia="en-GB"/>
        </w:rPr>
        <w:t>2</w:t>
      </w:r>
      <w:r w:rsidR="00487F8C" w:rsidRPr="000E39C4">
        <w:rPr>
          <w:rFonts w:ascii="Arial" w:eastAsia="Times New Roman" w:hAnsi="Arial" w:cs="Arial"/>
          <w:sz w:val="24"/>
          <w:szCs w:val="24"/>
          <w:lang w:val="en" w:eastAsia="en-GB"/>
        </w:rPr>
        <w:t>.</w:t>
      </w:r>
      <w:r w:rsidR="00A93175" w:rsidRPr="000E39C4">
        <w:rPr>
          <w:rFonts w:ascii="Arial" w:eastAsia="Times New Roman" w:hAnsi="Arial" w:cs="Arial"/>
          <w:sz w:val="24"/>
          <w:szCs w:val="24"/>
          <w:lang w:val="en" w:eastAsia="en-GB"/>
        </w:rPr>
        <w:t>7</w:t>
      </w:r>
      <w:r w:rsidR="00487F8C" w:rsidRPr="000E39C4">
        <w:rPr>
          <w:rFonts w:ascii="Arial" w:eastAsia="Times New Roman" w:hAnsi="Arial" w:cs="Arial"/>
          <w:sz w:val="24"/>
          <w:szCs w:val="24"/>
          <w:lang w:val="en" w:eastAsia="en-GB"/>
        </w:rPr>
        <w:t xml:space="preserve">m was recovered from </w:t>
      </w:r>
      <w:r w:rsidR="008455A0" w:rsidRPr="000E39C4">
        <w:rPr>
          <w:rFonts w:ascii="Arial" w:eastAsia="Times New Roman" w:hAnsi="Arial" w:cs="Arial"/>
          <w:sz w:val="24"/>
          <w:szCs w:val="24"/>
          <w:lang w:val="en" w:eastAsia="en-GB"/>
        </w:rPr>
        <w:t xml:space="preserve">subsistence fees for </w:t>
      </w:r>
      <w:r w:rsidR="0002390A" w:rsidRPr="000E39C4">
        <w:rPr>
          <w:rFonts w:ascii="Arial" w:eastAsia="Times New Roman" w:hAnsi="Arial" w:cs="Arial"/>
          <w:sz w:val="24"/>
          <w:szCs w:val="24"/>
          <w:lang w:val="en" w:eastAsia="en-GB"/>
        </w:rPr>
        <w:t xml:space="preserve">environmental </w:t>
      </w:r>
      <w:proofErr w:type="spellStart"/>
      <w:r w:rsidR="0002390A" w:rsidRPr="000E39C4">
        <w:rPr>
          <w:rFonts w:ascii="Arial" w:eastAsia="Times New Roman" w:hAnsi="Arial" w:cs="Arial"/>
          <w:sz w:val="24"/>
          <w:szCs w:val="24"/>
          <w:lang w:val="en" w:eastAsia="en-GB"/>
        </w:rPr>
        <w:t>licences</w:t>
      </w:r>
      <w:proofErr w:type="spellEnd"/>
      <w:r w:rsidR="0002390A" w:rsidRPr="000E39C4">
        <w:rPr>
          <w:rFonts w:ascii="Arial" w:eastAsia="Times New Roman" w:hAnsi="Arial" w:cs="Arial"/>
          <w:sz w:val="24"/>
          <w:szCs w:val="24"/>
          <w:lang w:val="en" w:eastAsia="en-GB"/>
        </w:rPr>
        <w:t>,</w:t>
      </w:r>
      <w:r w:rsidR="00E946D0" w:rsidRPr="000E39C4">
        <w:rPr>
          <w:rFonts w:ascii="Arial" w:eastAsia="Times New Roman" w:hAnsi="Arial" w:cs="Arial"/>
          <w:sz w:val="24"/>
          <w:szCs w:val="24"/>
          <w:lang w:val="en" w:eastAsia="en-GB"/>
        </w:rPr>
        <w:t xml:space="preserve"> </w:t>
      </w:r>
      <w:r w:rsidR="00955AD7" w:rsidRPr="000E39C4">
        <w:rPr>
          <w:rFonts w:ascii="Arial" w:eastAsia="Times New Roman" w:hAnsi="Arial" w:cs="Arial"/>
          <w:sz w:val="24"/>
          <w:szCs w:val="24"/>
          <w:lang w:val="en" w:eastAsia="en-GB"/>
        </w:rPr>
        <w:t>registrations,</w:t>
      </w:r>
      <w:r w:rsidR="00A90E10" w:rsidRPr="000E39C4">
        <w:rPr>
          <w:rFonts w:ascii="Arial" w:eastAsia="Times New Roman" w:hAnsi="Arial" w:cs="Arial"/>
          <w:sz w:val="24"/>
          <w:szCs w:val="24"/>
          <w:lang w:val="en" w:eastAsia="en-GB"/>
        </w:rPr>
        <w:t xml:space="preserve"> and </w:t>
      </w:r>
      <w:r w:rsidR="0002390A" w:rsidRPr="000E39C4">
        <w:rPr>
          <w:rFonts w:ascii="Arial" w:eastAsia="Times New Roman" w:hAnsi="Arial" w:cs="Arial"/>
          <w:sz w:val="24"/>
          <w:szCs w:val="24"/>
          <w:lang w:val="en" w:eastAsia="en-GB"/>
        </w:rPr>
        <w:t>a</w:t>
      </w:r>
      <w:r w:rsidR="0019238D" w:rsidRPr="000E39C4">
        <w:rPr>
          <w:rFonts w:ascii="Arial" w:eastAsia="Times New Roman" w:hAnsi="Arial" w:cs="Arial"/>
          <w:sz w:val="24"/>
          <w:szCs w:val="24"/>
          <w:lang w:val="en" w:eastAsia="en-GB"/>
        </w:rPr>
        <w:t>pplication fees</w:t>
      </w:r>
      <w:r w:rsidR="007D6E3C" w:rsidRPr="000E39C4">
        <w:rPr>
          <w:rFonts w:ascii="Arial" w:eastAsia="Times New Roman" w:hAnsi="Arial" w:cs="Arial"/>
          <w:sz w:val="24"/>
          <w:szCs w:val="24"/>
          <w:lang w:val="en" w:eastAsia="en-GB"/>
        </w:rPr>
        <w:t xml:space="preserve"> and </w:t>
      </w:r>
      <w:r w:rsidR="00A93175" w:rsidRPr="000E39C4">
        <w:rPr>
          <w:rFonts w:ascii="Arial" w:eastAsia="Times New Roman" w:hAnsi="Arial" w:cs="Arial"/>
          <w:sz w:val="24"/>
          <w:szCs w:val="24"/>
          <w:lang w:val="en" w:eastAsia="en-GB"/>
        </w:rPr>
        <w:t xml:space="preserve">£5m in other </w:t>
      </w:r>
      <w:r w:rsidR="008B0687" w:rsidRPr="000E39C4">
        <w:rPr>
          <w:rFonts w:ascii="Arial" w:eastAsia="Times New Roman" w:hAnsi="Arial" w:cs="Arial"/>
          <w:sz w:val="24"/>
          <w:szCs w:val="24"/>
          <w:lang w:val="en" w:eastAsia="en-GB"/>
        </w:rPr>
        <w:t>income</w:t>
      </w:r>
      <w:r w:rsidR="00A817C0" w:rsidRPr="000E39C4">
        <w:rPr>
          <w:rFonts w:ascii="Arial" w:eastAsia="Times New Roman" w:hAnsi="Arial" w:cs="Arial"/>
          <w:sz w:val="24"/>
          <w:szCs w:val="24"/>
          <w:lang w:val="en" w:eastAsia="en-GB"/>
        </w:rPr>
        <w:t xml:space="preserve">. </w:t>
      </w:r>
      <w:r w:rsidR="0019238D" w:rsidRPr="000E39C4">
        <w:rPr>
          <w:rFonts w:ascii="Arial" w:eastAsia="Times New Roman" w:hAnsi="Arial" w:cs="Arial"/>
          <w:sz w:val="24"/>
          <w:szCs w:val="24"/>
          <w:lang w:val="en" w:eastAsia="en-GB"/>
        </w:rPr>
        <w:t>SEPA received £</w:t>
      </w:r>
      <w:r w:rsidR="00C01261" w:rsidRPr="000E39C4">
        <w:rPr>
          <w:rFonts w:ascii="Arial" w:eastAsia="Times New Roman" w:hAnsi="Arial" w:cs="Arial"/>
          <w:sz w:val="24"/>
          <w:szCs w:val="24"/>
          <w:lang w:val="en" w:eastAsia="en-GB"/>
        </w:rPr>
        <w:t>43.1m of Grant in Aid</w:t>
      </w:r>
      <w:r w:rsidR="00974AFD" w:rsidRPr="000E39C4">
        <w:rPr>
          <w:rFonts w:ascii="Arial" w:eastAsia="Times New Roman" w:hAnsi="Arial" w:cs="Arial"/>
          <w:sz w:val="24"/>
          <w:szCs w:val="24"/>
          <w:lang w:val="en" w:eastAsia="en-GB"/>
        </w:rPr>
        <w:t xml:space="preserve"> </w:t>
      </w:r>
      <w:r w:rsidR="00C01261" w:rsidRPr="000E39C4">
        <w:rPr>
          <w:rFonts w:ascii="Arial" w:eastAsia="Times New Roman" w:hAnsi="Arial" w:cs="Arial"/>
          <w:sz w:val="24"/>
          <w:szCs w:val="24"/>
          <w:lang w:val="en" w:eastAsia="en-GB"/>
        </w:rPr>
        <w:t xml:space="preserve">funding from the Scottish Government in </w:t>
      </w:r>
      <w:r w:rsidR="000845C9" w:rsidRPr="000E39C4">
        <w:rPr>
          <w:rFonts w:ascii="Arial" w:eastAsia="Times New Roman" w:hAnsi="Arial" w:cs="Arial"/>
          <w:sz w:val="24"/>
          <w:szCs w:val="24"/>
          <w:lang w:val="en" w:eastAsia="en-GB"/>
        </w:rPr>
        <w:t>2021/22</w:t>
      </w:r>
      <w:r w:rsidR="0010551A">
        <w:rPr>
          <w:rFonts w:ascii="Arial" w:eastAsia="Times New Roman" w:hAnsi="Arial" w:cs="Arial"/>
          <w:sz w:val="24"/>
          <w:szCs w:val="24"/>
          <w:lang w:val="en" w:eastAsia="en-GB"/>
        </w:rPr>
        <w:t>, which comprised</w:t>
      </w:r>
      <w:r w:rsidR="00C01261" w:rsidRPr="000E39C4">
        <w:rPr>
          <w:rFonts w:ascii="Arial" w:eastAsia="Times New Roman" w:hAnsi="Arial" w:cs="Arial"/>
          <w:sz w:val="24"/>
          <w:szCs w:val="24"/>
          <w:lang w:val="en" w:eastAsia="en-GB"/>
        </w:rPr>
        <w:t xml:space="preserve"> £5.3m in</w:t>
      </w:r>
      <w:r w:rsidR="007659DB" w:rsidRPr="000E39C4">
        <w:rPr>
          <w:rFonts w:ascii="Arial" w:eastAsia="Times New Roman" w:hAnsi="Arial" w:cs="Arial"/>
          <w:sz w:val="24"/>
          <w:szCs w:val="24"/>
          <w:lang w:val="en" w:eastAsia="en-GB"/>
        </w:rPr>
        <w:t xml:space="preserve"> ring fenced </w:t>
      </w:r>
      <w:r w:rsidR="00C01261" w:rsidRPr="000E39C4">
        <w:rPr>
          <w:rFonts w:ascii="Arial" w:eastAsia="Times New Roman" w:hAnsi="Arial" w:cs="Arial"/>
          <w:sz w:val="24"/>
          <w:szCs w:val="24"/>
          <w:lang w:val="en" w:eastAsia="en-GB"/>
        </w:rPr>
        <w:t>non-cash</w:t>
      </w:r>
      <w:r w:rsidR="00D522CF" w:rsidRPr="000E39C4">
        <w:rPr>
          <w:rFonts w:ascii="Arial" w:eastAsia="Times New Roman" w:hAnsi="Arial" w:cs="Arial"/>
          <w:sz w:val="24"/>
          <w:szCs w:val="24"/>
          <w:lang w:val="en" w:eastAsia="en-GB"/>
        </w:rPr>
        <w:t xml:space="preserve"> </w:t>
      </w:r>
      <w:r w:rsidR="000F49A8" w:rsidRPr="000E39C4">
        <w:rPr>
          <w:rFonts w:ascii="Arial" w:eastAsia="Times New Roman" w:hAnsi="Arial" w:cs="Arial"/>
          <w:sz w:val="24"/>
          <w:szCs w:val="24"/>
          <w:lang w:val="en" w:eastAsia="en-GB"/>
        </w:rPr>
        <w:t>Departmental Expenditure Limit (</w:t>
      </w:r>
      <w:r w:rsidR="00D522CF" w:rsidRPr="000E39C4">
        <w:rPr>
          <w:rFonts w:ascii="Arial" w:eastAsia="Times New Roman" w:hAnsi="Arial" w:cs="Arial"/>
          <w:sz w:val="24"/>
          <w:szCs w:val="24"/>
          <w:lang w:val="en" w:eastAsia="en-GB"/>
        </w:rPr>
        <w:t>DEL</w:t>
      </w:r>
      <w:r w:rsidR="000F49A8" w:rsidRPr="000E39C4">
        <w:rPr>
          <w:rFonts w:ascii="Arial" w:eastAsia="Times New Roman" w:hAnsi="Arial" w:cs="Arial"/>
          <w:sz w:val="24"/>
          <w:szCs w:val="24"/>
          <w:lang w:val="en" w:eastAsia="en-GB"/>
        </w:rPr>
        <w:t>)</w:t>
      </w:r>
      <w:r w:rsidR="00C01261" w:rsidRPr="000E39C4">
        <w:rPr>
          <w:rFonts w:ascii="Arial" w:eastAsia="Times New Roman" w:hAnsi="Arial" w:cs="Arial"/>
          <w:sz w:val="24"/>
          <w:szCs w:val="24"/>
          <w:lang w:val="en" w:eastAsia="en-GB"/>
        </w:rPr>
        <w:t xml:space="preserve"> to cover deprecation and impairment costs</w:t>
      </w:r>
      <w:r w:rsidR="003A26CF" w:rsidRPr="000E39C4">
        <w:rPr>
          <w:rFonts w:ascii="Arial" w:eastAsia="Times New Roman" w:hAnsi="Arial" w:cs="Arial"/>
          <w:sz w:val="24"/>
          <w:szCs w:val="24"/>
          <w:lang w:val="en" w:eastAsia="en-GB"/>
        </w:rPr>
        <w:t>,</w:t>
      </w:r>
      <w:r w:rsidR="00C01261" w:rsidRPr="000E39C4">
        <w:rPr>
          <w:rFonts w:ascii="Arial" w:eastAsia="Times New Roman" w:hAnsi="Arial" w:cs="Arial"/>
          <w:sz w:val="24"/>
          <w:szCs w:val="24"/>
          <w:lang w:val="en" w:eastAsia="en-GB"/>
        </w:rPr>
        <w:t xml:space="preserve"> and </w:t>
      </w:r>
      <w:r w:rsidR="005F1592" w:rsidRPr="000E39C4">
        <w:rPr>
          <w:rFonts w:ascii="Arial" w:eastAsia="Times New Roman" w:hAnsi="Arial" w:cs="Arial"/>
          <w:sz w:val="24"/>
          <w:szCs w:val="24"/>
          <w:lang w:val="en" w:eastAsia="en-GB"/>
        </w:rPr>
        <w:t>£37.8m in</w:t>
      </w:r>
      <w:r w:rsidR="004A72FC" w:rsidRPr="000E39C4">
        <w:rPr>
          <w:rFonts w:ascii="Arial" w:eastAsia="Times New Roman" w:hAnsi="Arial" w:cs="Arial"/>
          <w:sz w:val="24"/>
          <w:szCs w:val="24"/>
          <w:lang w:val="en" w:eastAsia="en-GB"/>
        </w:rPr>
        <w:t xml:space="preserve"> re</w:t>
      </w:r>
      <w:r w:rsidR="0099183B" w:rsidRPr="000E39C4">
        <w:rPr>
          <w:rFonts w:ascii="Arial" w:eastAsia="Times New Roman" w:hAnsi="Arial" w:cs="Arial"/>
          <w:sz w:val="24"/>
          <w:szCs w:val="24"/>
          <w:lang w:val="en" w:eastAsia="en-GB"/>
        </w:rPr>
        <w:t>s</w:t>
      </w:r>
      <w:r w:rsidR="004A72FC" w:rsidRPr="000E39C4">
        <w:rPr>
          <w:rFonts w:ascii="Arial" w:eastAsia="Times New Roman" w:hAnsi="Arial" w:cs="Arial"/>
          <w:sz w:val="24"/>
          <w:szCs w:val="24"/>
          <w:lang w:val="en" w:eastAsia="en-GB"/>
        </w:rPr>
        <w:t>ource</w:t>
      </w:r>
      <w:r w:rsidR="00AE5586" w:rsidRPr="000E39C4">
        <w:rPr>
          <w:rFonts w:ascii="Arial" w:eastAsia="Times New Roman" w:hAnsi="Arial" w:cs="Arial"/>
          <w:sz w:val="24"/>
          <w:szCs w:val="24"/>
          <w:lang w:val="en" w:eastAsia="en-GB"/>
        </w:rPr>
        <w:t xml:space="preserve"> </w:t>
      </w:r>
      <w:r w:rsidR="005F1592" w:rsidRPr="000E39C4">
        <w:rPr>
          <w:rFonts w:ascii="Arial" w:eastAsia="Times New Roman" w:hAnsi="Arial" w:cs="Arial"/>
          <w:sz w:val="24"/>
          <w:szCs w:val="24"/>
          <w:lang w:val="en" w:eastAsia="en-GB"/>
        </w:rPr>
        <w:t xml:space="preserve">cash </w:t>
      </w:r>
      <w:r w:rsidR="00D522CF" w:rsidRPr="000E39C4">
        <w:rPr>
          <w:rFonts w:ascii="Arial" w:eastAsia="Times New Roman" w:hAnsi="Arial" w:cs="Arial"/>
          <w:sz w:val="24"/>
          <w:szCs w:val="24"/>
          <w:lang w:val="en" w:eastAsia="en-GB"/>
        </w:rPr>
        <w:t xml:space="preserve">DEL </w:t>
      </w:r>
      <w:r w:rsidR="005F1592" w:rsidRPr="000E39C4">
        <w:rPr>
          <w:rFonts w:ascii="Arial" w:eastAsia="Times New Roman" w:hAnsi="Arial" w:cs="Arial"/>
          <w:sz w:val="24"/>
          <w:szCs w:val="24"/>
          <w:lang w:val="en" w:eastAsia="en-GB"/>
        </w:rPr>
        <w:t xml:space="preserve">to cover </w:t>
      </w:r>
      <w:r w:rsidR="00D13662" w:rsidRPr="000E39C4">
        <w:rPr>
          <w:rFonts w:ascii="Arial" w:eastAsia="Times New Roman" w:hAnsi="Arial" w:cs="Arial"/>
          <w:sz w:val="24"/>
          <w:szCs w:val="24"/>
          <w:lang w:val="en" w:eastAsia="en-GB"/>
        </w:rPr>
        <w:t>other operating costs</w:t>
      </w:r>
      <w:r w:rsidR="00A817C0" w:rsidRPr="000E39C4">
        <w:rPr>
          <w:rFonts w:ascii="Arial" w:eastAsia="Times New Roman" w:hAnsi="Arial" w:cs="Arial"/>
          <w:sz w:val="24"/>
          <w:szCs w:val="24"/>
          <w:lang w:val="en" w:eastAsia="en-GB"/>
        </w:rPr>
        <w:t xml:space="preserve">. </w:t>
      </w:r>
    </w:p>
    <w:p w14:paraId="0F32E3DB" w14:textId="77777777" w:rsidR="00F31D70" w:rsidRPr="000E39C4" w:rsidRDefault="00F31D70" w:rsidP="000845C9">
      <w:pPr>
        <w:spacing w:line="360" w:lineRule="auto"/>
        <w:ind w:right="-142"/>
        <w:rPr>
          <w:rFonts w:ascii="Arial" w:hAnsi="Arial" w:cs="Arial"/>
          <w:lang w:val="en"/>
        </w:rPr>
      </w:pPr>
    </w:p>
    <w:p w14:paraId="2BFFE420" w14:textId="62FF4F46" w:rsidR="00BB5E03" w:rsidRPr="000E39C4" w:rsidRDefault="00BB5E03" w:rsidP="000845C9">
      <w:pPr>
        <w:spacing w:line="360" w:lineRule="auto"/>
        <w:ind w:right="-142"/>
        <w:rPr>
          <w:rFonts w:ascii="Arial" w:hAnsi="Arial" w:cs="Arial"/>
          <w:lang w:val="en"/>
        </w:rPr>
      </w:pPr>
      <w:r w:rsidRPr="000E39C4">
        <w:rPr>
          <w:rFonts w:ascii="Arial" w:hAnsi="Arial" w:cs="Arial"/>
          <w:lang w:val="en"/>
        </w:rPr>
        <w:t>Overall, the surplus for the year was £</w:t>
      </w:r>
      <w:r w:rsidR="00F31D70" w:rsidRPr="000E39C4">
        <w:rPr>
          <w:rFonts w:ascii="Arial" w:hAnsi="Arial" w:cs="Arial"/>
          <w:lang w:val="en"/>
        </w:rPr>
        <w:t>5</w:t>
      </w:r>
      <w:r w:rsidRPr="000E39C4">
        <w:rPr>
          <w:rFonts w:ascii="Arial" w:hAnsi="Arial" w:cs="Arial"/>
          <w:lang w:val="en"/>
        </w:rPr>
        <w:t>.</w:t>
      </w:r>
      <w:r w:rsidR="008F723E" w:rsidRPr="000E39C4">
        <w:rPr>
          <w:rFonts w:ascii="Arial" w:hAnsi="Arial" w:cs="Arial"/>
          <w:lang w:val="en"/>
        </w:rPr>
        <w:t>7</w:t>
      </w:r>
      <w:r w:rsidRPr="000E39C4">
        <w:rPr>
          <w:rFonts w:ascii="Arial" w:hAnsi="Arial" w:cs="Arial"/>
          <w:lang w:val="en"/>
        </w:rPr>
        <w:t>m</w:t>
      </w:r>
      <w:r w:rsidR="00C174A7" w:rsidRPr="000E39C4">
        <w:rPr>
          <w:rFonts w:ascii="Arial" w:hAnsi="Arial" w:cs="Arial"/>
          <w:lang w:val="en"/>
        </w:rPr>
        <w:t>. T</w:t>
      </w:r>
      <w:r w:rsidRPr="000E39C4">
        <w:rPr>
          <w:rFonts w:ascii="Arial" w:hAnsi="Arial" w:cs="Arial"/>
          <w:lang w:val="en"/>
        </w:rPr>
        <w:t>his was due to increased income of £1.3m, lower operating costs of £2.5m</w:t>
      </w:r>
      <w:r w:rsidR="00161A3A" w:rsidRPr="000E39C4">
        <w:rPr>
          <w:rFonts w:ascii="Arial" w:hAnsi="Arial" w:cs="Arial"/>
          <w:lang w:val="en"/>
        </w:rPr>
        <w:t>,</w:t>
      </w:r>
      <w:r w:rsidRPr="000E39C4">
        <w:rPr>
          <w:rFonts w:ascii="Arial" w:hAnsi="Arial" w:cs="Arial"/>
          <w:lang w:val="en"/>
        </w:rPr>
        <w:t xml:space="preserve"> and lower than budgeted depreciation and impairment costs of £1.9m. </w:t>
      </w:r>
    </w:p>
    <w:p w14:paraId="12DF5EF1" w14:textId="77777777" w:rsidR="00BB5E03" w:rsidRPr="000E39C4" w:rsidRDefault="00BB5E03" w:rsidP="000845C9">
      <w:pPr>
        <w:spacing w:line="360" w:lineRule="auto"/>
        <w:ind w:right="-142"/>
        <w:rPr>
          <w:rFonts w:ascii="Arial" w:hAnsi="Arial" w:cs="Arial"/>
          <w:lang w:val="en"/>
        </w:rPr>
      </w:pPr>
    </w:p>
    <w:p w14:paraId="2C353ADE" w14:textId="04B352E8" w:rsidR="00FD761B" w:rsidRPr="000E39C4" w:rsidRDefault="00A81D8C" w:rsidP="000845C9">
      <w:pPr>
        <w:spacing w:line="360" w:lineRule="auto"/>
        <w:ind w:right="-142"/>
        <w:rPr>
          <w:rFonts w:ascii="Arial" w:hAnsi="Arial" w:cs="Arial"/>
          <w:lang w:val="en"/>
        </w:rPr>
      </w:pPr>
      <w:r w:rsidRPr="000E39C4">
        <w:rPr>
          <w:rFonts w:ascii="Arial" w:hAnsi="Arial" w:cs="Arial"/>
          <w:lang w:val="en"/>
        </w:rPr>
        <w:t>SEPA’s</w:t>
      </w:r>
      <w:r w:rsidR="000254AD" w:rsidRPr="000E39C4">
        <w:rPr>
          <w:rFonts w:ascii="Arial" w:hAnsi="Arial" w:cs="Arial"/>
          <w:lang w:val="en"/>
        </w:rPr>
        <w:t xml:space="preserve"> baseline allocation for </w:t>
      </w:r>
      <w:r w:rsidR="000845C9" w:rsidRPr="000E39C4">
        <w:rPr>
          <w:rFonts w:ascii="Arial" w:hAnsi="Arial" w:cs="Arial"/>
          <w:lang w:val="en"/>
        </w:rPr>
        <w:t>2021/22</w:t>
      </w:r>
      <w:r w:rsidR="00FF76BD" w:rsidRPr="000E39C4">
        <w:rPr>
          <w:rFonts w:ascii="Arial" w:hAnsi="Arial" w:cs="Arial"/>
          <w:lang w:val="en"/>
        </w:rPr>
        <w:t xml:space="preserve"> for</w:t>
      </w:r>
      <w:r w:rsidR="004A72FC" w:rsidRPr="000E39C4">
        <w:rPr>
          <w:rFonts w:ascii="Arial" w:hAnsi="Arial" w:cs="Arial"/>
          <w:lang w:val="en"/>
        </w:rPr>
        <w:t xml:space="preserve"> resource cash</w:t>
      </w:r>
      <w:r w:rsidR="000906B6" w:rsidRPr="000E39C4">
        <w:rPr>
          <w:rFonts w:ascii="Arial" w:hAnsi="Arial" w:cs="Arial"/>
          <w:lang w:val="en"/>
        </w:rPr>
        <w:t xml:space="preserve"> Grant in Aid </w:t>
      </w:r>
      <w:r w:rsidR="000254AD" w:rsidRPr="000E39C4">
        <w:rPr>
          <w:rFonts w:ascii="Arial" w:hAnsi="Arial" w:cs="Arial"/>
          <w:lang w:val="en"/>
        </w:rPr>
        <w:t>was</w:t>
      </w:r>
      <w:r w:rsidR="00733964" w:rsidRPr="000E39C4">
        <w:rPr>
          <w:rFonts w:ascii="Arial" w:hAnsi="Arial" w:cs="Arial"/>
          <w:lang w:val="en"/>
        </w:rPr>
        <w:t xml:space="preserve"> £3</w:t>
      </w:r>
      <w:r w:rsidR="00DE6D22" w:rsidRPr="000E39C4">
        <w:rPr>
          <w:rFonts w:ascii="Arial" w:hAnsi="Arial" w:cs="Arial"/>
          <w:lang w:val="en"/>
        </w:rPr>
        <w:t>3</w:t>
      </w:r>
      <w:r w:rsidR="009F6253" w:rsidRPr="000E39C4">
        <w:rPr>
          <w:rFonts w:ascii="Arial" w:hAnsi="Arial" w:cs="Arial"/>
          <w:lang w:val="en"/>
        </w:rPr>
        <w:t xml:space="preserve">m. </w:t>
      </w:r>
      <w:r w:rsidR="007E23A2" w:rsidRPr="000E39C4">
        <w:rPr>
          <w:rFonts w:ascii="Arial" w:hAnsi="Arial" w:cs="Arial"/>
          <w:lang w:val="en"/>
        </w:rPr>
        <w:t>We</w:t>
      </w:r>
      <w:r w:rsidR="00733964" w:rsidRPr="000E39C4">
        <w:rPr>
          <w:rFonts w:ascii="Arial" w:hAnsi="Arial" w:cs="Arial"/>
          <w:lang w:val="en"/>
        </w:rPr>
        <w:t xml:space="preserve"> received additional funding in year of £4.</w:t>
      </w:r>
      <w:r w:rsidR="00077B2A" w:rsidRPr="000E39C4">
        <w:rPr>
          <w:rFonts w:ascii="Arial" w:hAnsi="Arial" w:cs="Arial"/>
          <w:lang w:val="en"/>
        </w:rPr>
        <w:t>8</w:t>
      </w:r>
      <w:r w:rsidR="00733964" w:rsidRPr="000E39C4">
        <w:rPr>
          <w:rFonts w:ascii="Arial" w:hAnsi="Arial" w:cs="Arial"/>
          <w:lang w:val="en"/>
        </w:rPr>
        <w:t xml:space="preserve">m to fund </w:t>
      </w:r>
      <w:r w:rsidR="00CA2D61">
        <w:rPr>
          <w:rFonts w:ascii="Arial" w:hAnsi="Arial" w:cs="Arial"/>
          <w:lang w:val="en"/>
        </w:rPr>
        <w:t>several</w:t>
      </w:r>
      <w:r w:rsidR="00733964" w:rsidRPr="000E39C4">
        <w:rPr>
          <w:rFonts w:ascii="Arial" w:hAnsi="Arial" w:cs="Arial"/>
          <w:lang w:val="en"/>
        </w:rPr>
        <w:t xml:space="preserve"> </w:t>
      </w:r>
      <w:r w:rsidR="00077B2A" w:rsidRPr="000E39C4">
        <w:rPr>
          <w:rFonts w:ascii="Arial" w:hAnsi="Arial" w:cs="Arial"/>
          <w:lang w:val="en"/>
        </w:rPr>
        <w:t xml:space="preserve">key deliverables including Flood Forecasting, Flood Warning, Deposit Return </w:t>
      </w:r>
      <w:r w:rsidR="002958EA" w:rsidRPr="000E39C4">
        <w:rPr>
          <w:rFonts w:ascii="Arial" w:hAnsi="Arial" w:cs="Arial"/>
          <w:lang w:val="en"/>
        </w:rPr>
        <w:t>Scheme, administration</w:t>
      </w:r>
      <w:r w:rsidR="00077B2A" w:rsidRPr="000E39C4">
        <w:rPr>
          <w:rFonts w:ascii="Arial" w:hAnsi="Arial" w:cs="Arial"/>
          <w:lang w:val="en"/>
        </w:rPr>
        <w:t xml:space="preserve"> of the Water Environment Fund</w:t>
      </w:r>
      <w:r w:rsidR="00161A3A" w:rsidRPr="000E39C4">
        <w:rPr>
          <w:rFonts w:ascii="Arial" w:hAnsi="Arial" w:cs="Arial"/>
          <w:lang w:val="en"/>
        </w:rPr>
        <w:t>,</w:t>
      </w:r>
      <w:r w:rsidR="00077B2A" w:rsidRPr="000E39C4">
        <w:rPr>
          <w:rFonts w:ascii="Arial" w:hAnsi="Arial" w:cs="Arial"/>
          <w:lang w:val="en"/>
        </w:rPr>
        <w:t xml:space="preserve"> </w:t>
      </w:r>
      <w:r w:rsidR="00CB499E" w:rsidRPr="000E39C4">
        <w:rPr>
          <w:rFonts w:ascii="Arial" w:hAnsi="Arial" w:cs="Arial"/>
          <w:lang w:val="en"/>
        </w:rPr>
        <w:t>and C</w:t>
      </w:r>
      <w:r w:rsidR="00B7225F">
        <w:rPr>
          <w:rFonts w:ascii="Arial" w:hAnsi="Arial" w:cs="Arial"/>
          <w:lang w:val="en"/>
        </w:rPr>
        <w:t xml:space="preserve">OVID-19 </w:t>
      </w:r>
      <w:r w:rsidR="00955AD7" w:rsidRPr="000E39C4">
        <w:rPr>
          <w:rFonts w:ascii="Arial" w:hAnsi="Arial" w:cs="Arial"/>
          <w:lang w:val="en"/>
        </w:rPr>
        <w:t>Wastewater</w:t>
      </w:r>
      <w:r w:rsidR="00CB499E" w:rsidRPr="000E39C4">
        <w:rPr>
          <w:rFonts w:ascii="Arial" w:hAnsi="Arial" w:cs="Arial"/>
          <w:lang w:val="en"/>
        </w:rPr>
        <w:t xml:space="preserve"> Sampling</w:t>
      </w:r>
      <w:r w:rsidR="00FD761B" w:rsidRPr="000E39C4">
        <w:rPr>
          <w:rFonts w:ascii="Arial" w:hAnsi="Arial" w:cs="Arial"/>
          <w:lang w:val="en"/>
        </w:rPr>
        <w:t>.</w:t>
      </w:r>
    </w:p>
    <w:p w14:paraId="0F2013F8" w14:textId="5CAAC10C" w:rsidR="0099183B" w:rsidRPr="000E39C4" w:rsidRDefault="0099183B" w:rsidP="000845C9">
      <w:pPr>
        <w:spacing w:line="360" w:lineRule="auto"/>
        <w:ind w:right="-142"/>
        <w:rPr>
          <w:rFonts w:ascii="Arial" w:hAnsi="Arial" w:cs="Arial"/>
          <w:lang w:val="en"/>
        </w:rPr>
      </w:pPr>
    </w:p>
    <w:p w14:paraId="2B31792E" w14:textId="7E54BFBD" w:rsidR="00FF76BD" w:rsidRPr="000E39C4" w:rsidRDefault="0099183B" w:rsidP="000845C9">
      <w:pPr>
        <w:spacing w:line="360" w:lineRule="auto"/>
        <w:ind w:right="-142"/>
        <w:rPr>
          <w:rFonts w:ascii="Arial" w:hAnsi="Arial" w:cs="Arial"/>
          <w:lang w:val="en"/>
        </w:rPr>
      </w:pPr>
      <w:r w:rsidRPr="000E39C4">
        <w:rPr>
          <w:rFonts w:ascii="Arial" w:hAnsi="Arial" w:cs="Arial"/>
          <w:lang w:val="en"/>
        </w:rPr>
        <w:lastRenderedPageBreak/>
        <w:t xml:space="preserve">The baseline allocation for </w:t>
      </w:r>
      <w:r w:rsidR="000845C9" w:rsidRPr="000E39C4">
        <w:rPr>
          <w:rFonts w:ascii="Arial" w:hAnsi="Arial" w:cs="Arial"/>
          <w:lang w:val="en"/>
        </w:rPr>
        <w:t>2021/22</w:t>
      </w:r>
      <w:r w:rsidRPr="000E39C4">
        <w:rPr>
          <w:rFonts w:ascii="Arial" w:hAnsi="Arial" w:cs="Arial"/>
          <w:lang w:val="en"/>
        </w:rPr>
        <w:t xml:space="preserve"> for non</w:t>
      </w:r>
      <w:r w:rsidR="00DD7FE1" w:rsidRPr="000E39C4">
        <w:rPr>
          <w:rFonts w:ascii="Arial" w:hAnsi="Arial" w:cs="Arial"/>
          <w:lang w:val="en"/>
        </w:rPr>
        <w:t>-</w:t>
      </w:r>
      <w:r w:rsidRPr="000E39C4">
        <w:rPr>
          <w:rFonts w:ascii="Arial" w:hAnsi="Arial" w:cs="Arial"/>
          <w:lang w:val="en"/>
        </w:rPr>
        <w:t xml:space="preserve"> cash </w:t>
      </w:r>
      <w:r w:rsidR="000906B6" w:rsidRPr="000E39C4">
        <w:rPr>
          <w:rFonts w:ascii="Arial" w:hAnsi="Arial" w:cs="Arial"/>
          <w:lang w:val="en"/>
        </w:rPr>
        <w:t xml:space="preserve">Grant in Aid </w:t>
      </w:r>
      <w:r w:rsidR="00DD7FE1" w:rsidRPr="000E39C4">
        <w:rPr>
          <w:rFonts w:ascii="Arial" w:hAnsi="Arial" w:cs="Arial"/>
          <w:lang w:val="en"/>
        </w:rPr>
        <w:t xml:space="preserve">to cover depreciation and impairments was </w:t>
      </w:r>
      <w:r w:rsidR="0018560E" w:rsidRPr="000E39C4">
        <w:rPr>
          <w:rFonts w:ascii="Arial" w:hAnsi="Arial" w:cs="Arial"/>
          <w:lang w:val="en"/>
        </w:rPr>
        <w:t>£5.</w:t>
      </w:r>
      <w:r w:rsidR="00496CC4" w:rsidRPr="000E39C4">
        <w:rPr>
          <w:rFonts w:ascii="Arial" w:hAnsi="Arial" w:cs="Arial"/>
          <w:lang w:val="en"/>
        </w:rPr>
        <w:t>3</w:t>
      </w:r>
      <w:r w:rsidR="0018560E" w:rsidRPr="000E39C4">
        <w:rPr>
          <w:rFonts w:ascii="Arial" w:hAnsi="Arial" w:cs="Arial"/>
          <w:lang w:val="en"/>
        </w:rPr>
        <w:t>m</w:t>
      </w:r>
      <w:r w:rsidR="00FF76BD" w:rsidRPr="000E39C4">
        <w:rPr>
          <w:rFonts w:ascii="Arial" w:hAnsi="Arial" w:cs="Arial"/>
          <w:lang w:val="en"/>
        </w:rPr>
        <w:t>,</w:t>
      </w:r>
      <w:r w:rsidR="0018560E" w:rsidRPr="000E39C4">
        <w:rPr>
          <w:rFonts w:ascii="Arial" w:hAnsi="Arial" w:cs="Arial"/>
          <w:lang w:val="en"/>
        </w:rPr>
        <w:t xml:space="preserve"> this included an additional £2m to cover expected increases in depreciation </w:t>
      </w:r>
      <w:r w:rsidR="00B7225F">
        <w:rPr>
          <w:rFonts w:ascii="Arial" w:hAnsi="Arial" w:cs="Arial"/>
          <w:lang w:val="en"/>
        </w:rPr>
        <w:t>due to</w:t>
      </w:r>
      <w:r w:rsidR="0018560E" w:rsidRPr="000E39C4">
        <w:rPr>
          <w:rFonts w:ascii="Arial" w:hAnsi="Arial" w:cs="Arial"/>
          <w:lang w:val="en"/>
        </w:rPr>
        <w:t xml:space="preserve"> the </w:t>
      </w:r>
      <w:r w:rsidR="004521A1" w:rsidRPr="000E39C4">
        <w:rPr>
          <w:rFonts w:ascii="Arial" w:hAnsi="Arial" w:cs="Arial"/>
          <w:lang w:val="en"/>
        </w:rPr>
        <w:t xml:space="preserve">implementation of the </w:t>
      </w:r>
      <w:r w:rsidR="0018560E" w:rsidRPr="000E39C4">
        <w:rPr>
          <w:rFonts w:ascii="Arial" w:hAnsi="Arial" w:cs="Arial"/>
          <w:lang w:val="en"/>
        </w:rPr>
        <w:t>new accounting standard IFRS</w:t>
      </w:r>
      <w:r w:rsidR="00D570D7" w:rsidRPr="000E39C4">
        <w:rPr>
          <w:rFonts w:ascii="Arial" w:hAnsi="Arial" w:cs="Arial"/>
          <w:lang w:val="en"/>
        </w:rPr>
        <w:t>16 “Lease Accounting”</w:t>
      </w:r>
      <w:r w:rsidR="004F3E78" w:rsidRPr="000E39C4">
        <w:rPr>
          <w:rFonts w:ascii="Arial" w:hAnsi="Arial" w:cs="Arial"/>
          <w:lang w:val="en"/>
        </w:rPr>
        <w:t xml:space="preserve">. </w:t>
      </w:r>
      <w:r w:rsidR="00D570D7" w:rsidRPr="000E39C4">
        <w:rPr>
          <w:rFonts w:ascii="Arial" w:hAnsi="Arial" w:cs="Arial"/>
          <w:lang w:val="en"/>
        </w:rPr>
        <w:t xml:space="preserve">This </w:t>
      </w:r>
      <w:r w:rsidR="0065307E" w:rsidRPr="000E39C4">
        <w:rPr>
          <w:rFonts w:ascii="Arial" w:hAnsi="Arial" w:cs="Arial"/>
          <w:lang w:val="en"/>
        </w:rPr>
        <w:t>was subsequently</w:t>
      </w:r>
      <w:r w:rsidR="0018560E" w:rsidRPr="000E39C4">
        <w:rPr>
          <w:rFonts w:ascii="Arial" w:hAnsi="Arial" w:cs="Arial"/>
          <w:lang w:val="en"/>
        </w:rPr>
        <w:t xml:space="preserve"> delayed</w:t>
      </w:r>
      <w:r w:rsidR="00FF76BD" w:rsidRPr="000E39C4">
        <w:rPr>
          <w:rFonts w:ascii="Arial" w:hAnsi="Arial" w:cs="Arial"/>
          <w:lang w:val="en"/>
        </w:rPr>
        <w:t xml:space="preserve"> resulting in an under</w:t>
      </w:r>
      <w:r w:rsidR="002958EA" w:rsidRPr="000E39C4">
        <w:rPr>
          <w:rFonts w:ascii="Arial" w:hAnsi="Arial" w:cs="Arial"/>
          <w:lang w:val="en"/>
        </w:rPr>
        <w:t>spend of £1.9m.</w:t>
      </w:r>
    </w:p>
    <w:p w14:paraId="11A4C755" w14:textId="77777777" w:rsidR="0065307E" w:rsidRPr="000E39C4" w:rsidRDefault="0065307E" w:rsidP="00A35648">
      <w:pPr>
        <w:spacing w:line="360" w:lineRule="auto"/>
        <w:rPr>
          <w:rFonts w:ascii="Arial" w:hAnsi="Arial" w:cs="Arial"/>
          <w:lang w:val="en"/>
        </w:rPr>
      </w:pPr>
    </w:p>
    <w:p w14:paraId="1E4A09B0" w14:textId="3016A218" w:rsidR="00BB5E03" w:rsidRPr="000E39C4" w:rsidRDefault="00BB5E03" w:rsidP="00A35648">
      <w:pPr>
        <w:spacing w:line="360" w:lineRule="auto"/>
        <w:rPr>
          <w:rFonts w:ascii="Arial" w:hAnsi="Arial" w:cs="Arial"/>
          <w:lang w:val="en"/>
        </w:rPr>
      </w:pPr>
      <w:r w:rsidRPr="000E39C4">
        <w:rPr>
          <w:rFonts w:ascii="Arial" w:hAnsi="Arial" w:cs="Arial"/>
          <w:lang w:val="en"/>
        </w:rPr>
        <w:t>Charging Scheme income was £42</w:t>
      </w:r>
      <w:r w:rsidR="008F723E" w:rsidRPr="000E39C4">
        <w:rPr>
          <w:rFonts w:ascii="Arial" w:hAnsi="Arial" w:cs="Arial"/>
          <w:lang w:val="en"/>
        </w:rPr>
        <w:t>.7m</w:t>
      </w:r>
      <w:r w:rsidRPr="000E39C4">
        <w:rPr>
          <w:rFonts w:ascii="Arial" w:hAnsi="Arial" w:cs="Arial"/>
          <w:lang w:val="en"/>
        </w:rPr>
        <w:t xml:space="preserve">, which </w:t>
      </w:r>
      <w:r w:rsidR="00166183" w:rsidRPr="000E39C4">
        <w:rPr>
          <w:rFonts w:ascii="Arial" w:hAnsi="Arial" w:cs="Arial"/>
          <w:lang w:val="en"/>
        </w:rPr>
        <w:t>was</w:t>
      </w:r>
      <w:r w:rsidRPr="000E39C4">
        <w:rPr>
          <w:rFonts w:ascii="Arial" w:hAnsi="Arial" w:cs="Arial"/>
          <w:lang w:val="en"/>
        </w:rPr>
        <w:t xml:space="preserve"> £</w:t>
      </w:r>
      <w:r w:rsidR="0097175C" w:rsidRPr="000E39C4">
        <w:rPr>
          <w:rFonts w:ascii="Arial" w:hAnsi="Arial" w:cs="Arial"/>
          <w:lang w:val="en"/>
        </w:rPr>
        <w:t>0.7m</w:t>
      </w:r>
      <w:r w:rsidRPr="000E39C4">
        <w:rPr>
          <w:rFonts w:ascii="Arial" w:hAnsi="Arial" w:cs="Arial"/>
          <w:lang w:val="en"/>
        </w:rPr>
        <w:t xml:space="preserve"> more than budget.</w:t>
      </w:r>
      <w:r w:rsidR="00161BE4" w:rsidRPr="000E39C4">
        <w:rPr>
          <w:rFonts w:ascii="Arial" w:hAnsi="Arial" w:cs="Arial"/>
          <w:lang w:val="en"/>
        </w:rPr>
        <w:t xml:space="preserve"> </w:t>
      </w:r>
      <w:r w:rsidRPr="000E39C4">
        <w:rPr>
          <w:rFonts w:ascii="Arial" w:hAnsi="Arial" w:cs="Arial"/>
          <w:lang w:val="en"/>
        </w:rPr>
        <w:t>Application income was £</w:t>
      </w:r>
      <w:r w:rsidR="0097175C" w:rsidRPr="000E39C4">
        <w:rPr>
          <w:rFonts w:ascii="Arial" w:hAnsi="Arial" w:cs="Arial"/>
          <w:lang w:val="en"/>
        </w:rPr>
        <w:t>0.8m</w:t>
      </w:r>
      <w:r w:rsidRPr="000E39C4">
        <w:rPr>
          <w:rFonts w:ascii="Arial" w:hAnsi="Arial" w:cs="Arial"/>
          <w:lang w:val="en"/>
        </w:rPr>
        <w:t xml:space="preserve"> more than budget</w:t>
      </w:r>
      <w:r w:rsidR="00610307" w:rsidRPr="000E39C4">
        <w:rPr>
          <w:rFonts w:ascii="Arial" w:hAnsi="Arial" w:cs="Arial"/>
          <w:lang w:val="en"/>
        </w:rPr>
        <w:t>,</w:t>
      </w:r>
      <w:r w:rsidRPr="000E39C4">
        <w:rPr>
          <w:rFonts w:ascii="Arial" w:hAnsi="Arial" w:cs="Arial"/>
          <w:lang w:val="en"/>
        </w:rPr>
        <w:t xml:space="preserve"> this was offset by a £</w:t>
      </w:r>
      <w:r w:rsidR="0097175C" w:rsidRPr="000E39C4">
        <w:rPr>
          <w:rFonts w:ascii="Arial" w:hAnsi="Arial" w:cs="Arial"/>
          <w:lang w:val="en"/>
        </w:rPr>
        <w:t>0.1m</w:t>
      </w:r>
      <w:r w:rsidRPr="000E39C4">
        <w:rPr>
          <w:rFonts w:ascii="Arial" w:hAnsi="Arial" w:cs="Arial"/>
          <w:lang w:val="en"/>
        </w:rPr>
        <w:t xml:space="preserve"> reduction in subsistence income.</w:t>
      </w:r>
    </w:p>
    <w:p w14:paraId="12B6F571" w14:textId="77777777" w:rsidR="00161BE4" w:rsidRPr="000E39C4" w:rsidRDefault="00161BE4" w:rsidP="00A35648">
      <w:pPr>
        <w:spacing w:line="360" w:lineRule="auto"/>
        <w:rPr>
          <w:rFonts w:ascii="Arial" w:hAnsi="Arial" w:cs="Arial"/>
          <w:lang w:val="en"/>
        </w:rPr>
      </w:pPr>
    </w:p>
    <w:p w14:paraId="6CFDAB25" w14:textId="2EF1854B" w:rsidR="00BB5E03" w:rsidRPr="000E39C4" w:rsidRDefault="00BB5E03" w:rsidP="00A35648">
      <w:pPr>
        <w:spacing w:line="360" w:lineRule="auto"/>
        <w:rPr>
          <w:rFonts w:ascii="Arial" w:hAnsi="Arial" w:cs="Arial"/>
          <w:lang w:val="en"/>
        </w:rPr>
      </w:pPr>
      <w:r w:rsidRPr="000E39C4">
        <w:rPr>
          <w:rFonts w:ascii="Arial" w:hAnsi="Arial" w:cs="Arial"/>
          <w:lang w:val="en"/>
        </w:rPr>
        <w:t xml:space="preserve">Other </w:t>
      </w:r>
      <w:r w:rsidR="0093441C" w:rsidRPr="000E39C4">
        <w:rPr>
          <w:rFonts w:ascii="Arial" w:hAnsi="Arial" w:cs="Arial"/>
          <w:lang w:val="en"/>
        </w:rPr>
        <w:t>i</w:t>
      </w:r>
      <w:r w:rsidRPr="000E39C4">
        <w:rPr>
          <w:rFonts w:ascii="Arial" w:hAnsi="Arial" w:cs="Arial"/>
          <w:lang w:val="en"/>
        </w:rPr>
        <w:t>ncome was £</w:t>
      </w:r>
      <w:r w:rsidR="0097175C" w:rsidRPr="000E39C4">
        <w:rPr>
          <w:rFonts w:ascii="Arial" w:hAnsi="Arial" w:cs="Arial"/>
          <w:lang w:val="en"/>
        </w:rPr>
        <w:t>0.6m</w:t>
      </w:r>
      <w:r w:rsidRPr="000E39C4">
        <w:rPr>
          <w:rFonts w:ascii="Arial" w:hAnsi="Arial" w:cs="Arial"/>
          <w:lang w:val="en"/>
        </w:rPr>
        <w:t xml:space="preserve"> higher than budgeted, this was mainly a result of higher than budgeted income from International Services of £</w:t>
      </w:r>
      <w:r w:rsidR="0097175C" w:rsidRPr="000E39C4">
        <w:rPr>
          <w:rFonts w:ascii="Arial" w:hAnsi="Arial" w:cs="Arial"/>
          <w:lang w:val="en"/>
        </w:rPr>
        <w:t>0.4m</w:t>
      </w:r>
      <w:r w:rsidR="000845C9" w:rsidRPr="000E39C4">
        <w:rPr>
          <w:rFonts w:ascii="Arial" w:hAnsi="Arial" w:cs="Arial"/>
          <w:lang w:val="en"/>
        </w:rPr>
        <w:t xml:space="preserve"> and</w:t>
      </w:r>
      <w:r w:rsidRPr="000E39C4">
        <w:rPr>
          <w:rFonts w:ascii="Arial" w:hAnsi="Arial" w:cs="Arial"/>
          <w:lang w:val="en"/>
        </w:rPr>
        <w:t xml:space="preserve"> £</w:t>
      </w:r>
      <w:r w:rsidR="005C7421" w:rsidRPr="000E39C4">
        <w:rPr>
          <w:rFonts w:ascii="Arial" w:hAnsi="Arial" w:cs="Arial"/>
          <w:lang w:val="en"/>
        </w:rPr>
        <w:t>0.2m</w:t>
      </w:r>
      <w:r w:rsidRPr="000E39C4">
        <w:rPr>
          <w:rFonts w:ascii="Arial" w:hAnsi="Arial" w:cs="Arial"/>
          <w:lang w:val="en"/>
        </w:rPr>
        <w:t xml:space="preserve"> from the</w:t>
      </w:r>
      <w:r w:rsidR="000845C9" w:rsidRPr="000E39C4">
        <w:rPr>
          <w:rFonts w:ascii="Arial" w:hAnsi="Arial" w:cs="Arial"/>
          <w:lang w:val="en"/>
        </w:rPr>
        <w:t xml:space="preserve"> </w:t>
      </w:r>
      <w:r w:rsidRPr="000E39C4">
        <w:rPr>
          <w:rFonts w:ascii="Arial" w:hAnsi="Arial" w:cs="Arial"/>
          <w:lang w:val="en"/>
        </w:rPr>
        <w:t>EU</w:t>
      </w:r>
      <w:r w:rsidR="007E23A2" w:rsidRPr="000E39C4">
        <w:rPr>
          <w:rFonts w:ascii="Arial" w:hAnsi="Arial" w:cs="Arial"/>
          <w:lang w:val="en"/>
        </w:rPr>
        <w:t xml:space="preserve"> </w:t>
      </w:r>
      <w:proofErr w:type="spellStart"/>
      <w:r w:rsidR="000845C9" w:rsidRPr="000E39C4">
        <w:rPr>
          <w:rFonts w:ascii="Arial" w:hAnsi="Arial" w:cs="Arial"/>
          <w:lang w:val="en"/>
        </w:rPr>
        <w:t>LiFE</w:t>
      </w:r>
      <w:proofErr w:type="spellEnd"/>
      <w:r w:rsidR="000845C9" w:rsidRPr="000E39C4">
        <w:rPr>
          <w:rFonts w:ascii="Arial" w:hAnsi="Arial" w:cs="Arial"/>
          <w:lang w:val="en"/>
        </w:rPr>
        <w:t xml:space="preserve"> SMART Waste</w:t>
      </w:r>
      <w:r w:rsidRPr="000E39C4">
        <w:rPr>
          <w:rFonts w:ascii="Arial" w:hAnsi="Arial" w:cs="Arial"/>
          <w:lang w:val="en"/>
        </w:rPr>
        <w:t xml:space="preserve">. The additional income from International Services is primarily due to grants from the Regulators Pioneers Fund for projects undertaken in </w:t>
      </w:r>
      <w:r w:rsidR="000845C9" w:rsidRPr="000E39C4">
        <w:rPr>
          <w:rFonts w:ascii="Arial" w:hAnsi="Arial" w:cs="Arial"/>
          <w:lang w:val="en"/>
        </w:rPr>
        <w:t>2021/22</w:t>
      </w:r>
      <w:r w:rsidR="007D23D2" w:rsidRPr="000E39C4">
        <w:rPr>
          <w:rFonts w:ascii="Arial" w:hAnsi="Arial" w:cs="Arial"/>
          <w:lang w:val="en"/>
        </w:rPr>
        <w:t xml:space="preserve">. </w:t>
      </w:r>
      <w:r w:rsidR="00E922D9" w:rsidRPr="000E39C4">
        <w:rPr>
          <w:rFonts w:ascii="Arial" w:hAnsi="Arial" w:cs="Arial"/>
          <w:lang w:val="en"/>
        </w:rPr>
        <w:t>Most of</w:t>
      </w:r>
      <w:r w:rsidR="00F547EC" w:rsidRPr="000E39C4">
        <w:rPr>
          <w:rFonts w:ascii="Arial" w:hAnsi="Arial" w:cs="Arial"/>
          <w:lang w:val="en"/>
        </w:rPr>
        <w:t xml:space="preserve"> our other income</w:t>
      </w:r>
      <w:r w:rsidR="005C7421" w:rsidRPr="000E39C4">
        <w:rPr>
          <w:rFonts w:ascii="Arial" w:hAnsi="Arial" w:cs="Arial"/>
          <w:lang w:val="en"/>
        </w:rPr>
        <w:t xml:space="preserve"> (</w:t>
      </w:r>
      <w:r w:rsidR="00F547EC" w:rsidRPr="000E39C4">
        <w:rPr>
          <w:rFonts w:ascii="Arial" w:hAnsi="Arial" w:cs="Arial"/>
          <w:lang w:val="en"/>
        </w:rPr>
        <w:t>£3.4m</w:t>
      </w:r>
      <w:r w:rsidR="005C7421" w:rsidRPr="000E39C4">
        <w:rPr>
          <w:rFonts w:ascii="Arial" w:hAnsi="Arial" w:cs="Arial"/>
          <w:lang w:val="en"/>
        </w:rPr>
        <w:t>)</w:t>
      </w:r>
      <w:r w:rsidR="00F547EC" w:rsidRPr="000E39C4">
        <w:rPr>
          <w:rFonts w:ascii="Arial" w:hAnsi="Arial" w:cs="Arial"/>
          <w:lang w:val="en"/>
        </w:rPr>
        <w:t xml:space="preserve"> is for grants to cover projects and initiatives including £2.</w:t>
      </w:r>
      <w:r w:rsidR="00BA78F0" w:rsidRPr="000E39C4">
        <w:rPr>
          <w:rFonts w:ascii="Arial" w:hAnsi="Arial" w:cs="Arial"/>
          <w:lang w:val="en"/>
        </w:rPr>
        <w:t>3m for the Scottish Government to</w:t>
      </w:r>
      <w:r w:rsidR="00933ED2" w:rsidRPr="000E39C4">
        <w:rPr>
          <w:rFonts w:ascii="Arial" w:hAnsi="Arial" w:cs="Arial"/>
          <w:lang w:val="en"/>
        </w:rPr>
        <w:t xml:space="preserve"> re</w:t>
      </w:r>
      <w:r w:rsidR="00F40CEC" w:rsidRPr="000E39C4">
        <w:rPr>
          <w:rFonts w:ascii="Arial" w:hAnsi="Arial" w:cs="Arial"/>
          <w:lang w:val="en"/>
        </w:rPr>
        <w:t>store Scotland’s rivers.</w:t>
      </w:r>
    </w:p>
    <w:p w14:paraId="5A9B8939" w14:textId="77777777" w:rsidR="00BB5E03" w:rsidRPr="000E39C4" w:rsidRDefault="00BB5E03" w:rsidP="00A35648">
      <w:pPr>
        <w:spacing w:line="360" w:lineRule="auto"/>
        <w:rPr>
          <w:rFonts w:ascii="Arial" w:hAnsi="Arial" w:cs="Arial"/>
          <w:lang w:val="en"/>
        </w:rPr>
      </w:pPr>
    </w:p>
    <w:p w14:paraId="6FD8D81B" w14:textId="444606E8" w:rsidR="009141A9" w:rsidRPr="000E39C4" w:rsidRDefault="00CD36A1" w:rsidP="00A35648">
      <w:pPr>
        <w:spacing w:line="360" w:lineRule="auto"/>
        <w:rPr>
          <w:rFonts w:ascii="Arial" w:hAnsi="Arial" w:cs="Arial"/>
          <w:lang w:val="en"/>
        </w:rPr>
      </w:pPr>
      <w:r w:rsidRPr="000E39C4">
        <w:rPr>
          <w:rFonts w:ascii="Arial" w:hAnsi="Arial" w:cs="Arial"/>
          <w:lang w:val="en"/>
        </w:rPr>
        <w:t xml:space="preserve">Overall expenditure </w:t>
      </w:r>
      <w:r w:rsidR="0028729B" w:rsidRPr="000E39C4">
        <w:rPr>
          <w:rFonts w:ascii="Arial" w:hAnsi="Arial" w:cs="Arial"/>
          <w:lang w:val="en"/>
        </w:rPr>
        <w:t>(excluding depreciat</w:t>
      </w:r>
      <w:r w:rsidR="00082A40" w:rsidRPr="000E39C4">
        <w:rPr>
          <w:rFonts w:ascii="Arial" w:hAnsi="Arial" w:cs="Arial"/>
          <w:lang w:val="en"/>
        </w:rPr>
        <w:t>ion)</w:t>
      </w:r>
      <w:r w:rsidRPr="000E39C4">
        <w:rPr>
          <w:rFonts w:ascii="Arial" w:hAnsi="Arial" w:cs="Arial"/>
          <w:lang w:val="en"/>
        </w:rPr>
        <w:t xml:space="preserve"> was </w:t>
      </w:r>
      <w:r w:rsidR="00912DD7" w:rsidRPr="000E39C4">
        <w:rPr>
          <w:rFonts w:ascii="Arial" w:hAnsi="Arial" w:cs="Arial"/>
          <w:lang w:val="en"/>
        </w:rPr>
        <w:t>£2.5m less than budgeted</w:t>
      </w:r>
      <w:r w:rsidR="00FF3C3D">
        <w:rPr>
          <w:rFonts w:ascii="Arial" w:hAnsi="Arial" w:cs="Arial"/>
          <w:lang w:val="en"/>
        </w:rPr>
        <w:t xml:space="preserve">.  </w:t>
      </w:r>
      <w:r w:rsidR="000845C9" w:rsidRPr="000E39C4">
        <w:rPr>
          <w:rFonts w:ascii="Arial" w:hAnsi="Arial" w:cs="Arial"/>
          <w:lang w:val="en"/>
        </w:rPr>
        <w:t>2021/22</w:t>
      </w:r>
      <w:r w:rsidR="00C14E7E" w:rsidRPr="000E39C4">
        <w:rPr>
          <w:rFonts w:ascii="Arial" w:hAnsi="Arial" w:cs="Arial"/>
          <w:lang w:val="en"/>
        </w:rPr>
        <w:t xml:space="preserve"> continued to be a challenging time for SEPA as we</w:t>
      </w:r>
      <w:r w:rsidR="00CD1B6B" w:rsidRPr="000E39C4">
        <w:rPr>
          <w:rFonts w:ascii="Arial" w:hAnsi="Arial" w:cs="Arial"/>
          <w:lang w:val="en"/>
        </w:rPr>
        <w:t xml:space="preserve"> focused on restoring key services following the </w:t>
      </w:r>
      <w:r w:rsidR="00DB63D5" w:rsidRPr="000E39C4">
        <w:rPr>
          <w:rFonts w:ascii="Arial" w:hAnsi="Arial" w:cs="Arial"/>
          <w:lang w:val="en"/>
        </w:rPr>
        <w:t>cyber-attack</w:t>
      </w:r>
      <w:r w:rsidR="00C14E7E" w:rsidRPr="000E39C4">
        <w:rPr>
          <w:rFonts w:ascii="Arial" w:hAnsi="Arial" w:cs="Arial"/>
          <w:lang w:val="en"/>
        </w:rPr>
        <w:t xml:space="preserve"> </w:t>
      </w:r>
      <w:r w:rsidR="001A46AC" w:rsidRPr="000E39C4">
        <w:rPr>
          <w:rFonts w:ascii="Arial" w:hAnsi="Arial" w:cs="Arial"/>
          <w:lang w:val="en"/>
        </w:rPr>
        <w:t>in December 2020</w:t>
      </w:r>
      <w:r w:rsidR="007D23D2" w:rsidRPr="000E39C4">
        <w:rPr>
          <w:rFonts w:ascii="Arial" w:hAnsi="Arial" w:cs="Arial"/>
          <w:lang w:val="en"/>
        </w:rPr>
        <w:t xml:space="preserve">. </w:t>
      </w:r>
      <w:r w:rsidR="0063440F" w:rsidRPr="000E39C4">
        <w:rPr>
          <w:rFonts w:ascii="Arial" w:hAnsi="Arial" w:cs="Arial"/>
          <w:lang w:val="en"/>
        </w:rPr>
        <w:t>T</w:t>
      </w:r>
      <w:r w:rsidR="003E3DCD" w:rsidRPr="000E39C4">
        <w:rPr>
          <w:rFonts w:ascii="Arial" w:hAnsi="Arial" w:cs="Arial"/>
          <w:lang w:val="en"/>
        </w:rPr>
        <w:t xml:space="preserve">his was aggravated by a challenging and competitive </w:t>
      </w:r>
      <w:r w:rsidRPr="000E39C4">
        <w:rPr>
          <w:rFonts w:ascii="Arial" w:hAnsi="Arial" w:cs="Arial"/>
          <w:lang w:val="en"/>
        </w:rPr>
        <w:t>employment market and supply cha</w:t>
      </w:r>
      <w:r w:rsidR="001E61C5" w:rsidRPr="000E39C4">
        <w:rPr>
          <w:rFonts w:ascii="Arial" w:hAnsi="Arial" w:cs="Arial"/>
          <w:lang w:val="en"/>
        </w:rPr>
        <w:t>in</w:t>
      </w:r>
      <w:r w:rsidRPr="000E39C4">
        <w:rPr>
          <w:rFonts w:ascii="Arial" w:hAnsi="Arial" w:cs="Arial"/>
          <w:lang w:val="en"/>
        </w:rPr>
        <w:t xml:space="preserve"> issues </w:t>
      </w:r>
      <w:r w:rsidR="00BB5E03" w:rsidRPr="000E39C4">
        <w:rPr>
          <w:rFonts w:ascii="Arial" w:hAnsi="Arial" w:cs="Arial"/>
          <w:lang w:val="en"/>
        </w:rPr>
        <w:t xml:space="preserve">due to </w:t>
      </w:r>
      <w:r w:rsidR="00912DD7" w:rsidRPr="000E39C4">
        <w:rPr>
          <w:rFonts w:ascii="Arial" w:hAnsi="Arial" w:cs="Arial"/>
          <w:lang w:val="en"/>
        </w:rPr>
        <w:t>Brexit</w:t>
      </w:r>
      <w:r w:rsidR="00E0552E" w:rsidRPr="000E39C4">
        <w:rPr>
          <w:rFonts w:ascii="Arial" w:hAnsi="Arial" w:cs="Arial"/>
          <w:lang w:val="en"/>
        </w:rPr>
        <w:t xml:space="preserve"> </w:t>
      </w:r>
      <w:r w:rsidR="0063440F" w:rsidRPr="000E39C4">
        <w:rPr>
          <w:rFonts w:ascii="Arial" w:hAnsi="Arial" w:cs="Arial"/>
          <w:lang w:val="en"/>
        </w:rPr>
        <w:t>and COVID-19.</w:t>
      </w:r>
    </w:p>
    <w:p w14:paraId="75E19D2D" w14:textId="77777777" w:rsidR="009141A9" w:rsidRDefault="009141A9" w:rsidP="00A35648">
      <w:pPr>
        <w:spacing w:line="360" w:lineRule="auto"/>
        <w:rPr>
          <w:rFonts w:ascii="Arial" w:hAnsi="Arial" w:cs="Arial"/>
          <w:highlight w:val="yellow"/>
          <w:lang w:val="en"/>
        </w:rPr>
      </w:pPr>
    </w:p>
    <w:p w14:paraId="5D1A7E0C" w14:textId="4D2B317C" w:rsidR="00CF5475" w:rsidRDefault="00CF5475" w:rsidP="00A35648">
      <w:pPr>
        <w:spacing w:line="360" w:lineRule="auto"/>
        <w:rPr>
          <w:rFonts w:ascii="Arial" w:hAnsi="Arial" w:cs="Arial"/>
          <w:b/>
          <w:bCs/>
          <w:lang w:val="en"/>
        </w:rPr>
      </w:pPr>
      <w:r w:rsidRPr="00E20E00">
        <w:rPr>
          <w:rFonts w:ascii="Arial" w:hAnsi="Arial" w:cs="Arial"/>
          <w:b/>
          <w:bCs/>
          <w:lang w:val="en"/>
        </w:rPr>
        <w:t xml:space="preserve">Capital </w:t>
      </w:r>
      <w:r w:rsidR="007E23A2">
        <w:rPr>
          <w:rFonts w:ascii="Arial" w:hAnsi="Arial" w:cs="Arial"/>
          <w:b/>
          <w:bCs/>
          <w:lang w:val="en"/>
        </w:rPr>
        <w:t>e</w:t>
      </w:r>
      <w:r w:rsidRPr="00E20E00">
        <w:rPr>
          <w:rFonts w:ascii="Arial" w:hAnsi="Arial" w:cs="Arial"/>
          <w:b/>
          <w:bCs/>
          <w:lang w:val="en"/>
        </w:rPr>
        <w:t xml:space="preserve">xpenditure </w:t>
      </w:r>
    </w:p>
    <w:p w14:paraId="448453DD" w14:textId="4D3ABFEC" w:rsidR="00E20E00" w:rsidRDefault="00E20E00" w:rsidP="00A35648">
      <w:pPr>
        <w:spacing w:line="360" w:lineRule="auto"/>
        <w:rPr>
          <w:rFonts w:ascii="Arial" w:hAnsi="Arial" w:cs="Arial"/>
          <w:lang w:val="en"/>
        </w:rPr>
      </w:pPr>
      <w:r w:rsidRPr="00AC016C">
        <w:rPr>
          <w:rFonts w:ascii="Arial" w:hAnsi="Arial" w:cs="Arial"/>
          <w:lang w:val="en"/>
        </w:rPr>
        <w:t xml:space="preserve">SEPA also received </w:t>
      </w:r>
      <w:r w:rsidR="00004A86" w:rsidRPr="00AC016C">
        <w:rPr>
          <w:rFonts w:ascii="Arial" w:hAnsi="Arial" w:cs="Arial"/>
          <w:lang w:val="en"/>
        </w:rPr>
        <w:t xml:space="preserve">a budget allocation of £6.2m </w:t>
      </w:r>
      <w:r w:rsidR="00E90868" w:rsidRPr="00AC016C">
        <w:rPr>
          <w:rFonts w:ascii="Arial" w:hAnsi="Arial" w:cs="Arial"/>
          <w:lang w:val="en"/>
        </w:rPr>
        <w:t xml:space="preserve">capital Grant </w:t>
      </w:r>
      <w:r w:rsidR="00AC016C" w:rsidRPr="00AC016C">
        <w:rPr>
          <w:rFonts w:ascii="Arial" w:hAnsi="Arial" w:cs="Arial"/>
          <w:lang w:val="en"/>
        </w:rPr>
        <w:t>in</w:t>
      </w:r>
      <w:r w:rsidR="00E90868" w:rsidRPr="00AC016C">
        <w:rPr>
          <w:rFonts w:ascii="Arial" w:hAnsi="Arial" w:cs="Arial"/>
          <w:lang w:val="en"/>
        </w:rPr>
        <w:t xml:space="preserve"> Aid to</w:t>
      </w:r>
      <w:r w:rsidR="00AC016C" w:rsidRPr="00AC016C">
        <w:rPr>
          <w:rFonts w:ascii="Arial" w:hAnsi="Arial" w:cs="Arial"/>
          <w:lang w:val="en"/>
        </w:rPr>
        <w:t xml:space="preserve"> purchase assets</w:t>
      </w:r>
      <w:r w:rsidR="004718C4">
        <w:rPr>
          <w:rFonts w:ascii="Arial" w:hAnsi="Arial" w:cs="Arial"/>
          <w:lang w:val="en"/>
        </w:rPr>
        <w:t>;</w:t>
      </w:r>
      <w:r w:rsidR="001B1B1E">
        <w:rPr>
          <w:rFonts w:ascii="Arial" w:hAnsi="Arial" w:cs="Arial"/>
          <w:lang w:val="en"/>
        </w:rPr>
        <w:t xml:space="preserve"> </w:t>
      </w:r>
      <w:r w:rsidR="00077CB1">
        <w:rPr>
          <w:rFonts w:ascii="Arial" w:hAnsi="Arial" w:cs="Arial"/>
          <w:lang w:val="en"/>
        </w:rPr>
        <w:t xml:space="preserve">in year expenditure on assets was </w:t>
      </w:r>
      <w:r w:rsidR="008A7C35">
        <w:rPr>
          <w:rFonts w:ascii="Arial" w:hAnsi="Arial" w:cs="Arial"/>
          <w:lang w:val="en"/>
        </w:rPr>
        <w:t>£5.2</w:t>
      </w:r>
      <w:r w:rsidR="007D23D2">
        <w:rPr>
          <w:rFonts w:ascii="Arial" w:hAnsi="Arial" w:cs="Arial"/>
          <w:lang w:val="en"/>
        </w:rPr>
        <w:t xml:space="preserve">m. </w:t>
      </w:r>
      <w:r w:rsidR="00E67067">
        <w:rPr>
          <w:rFonts w:ascii="Arial" w:hAnsi="Arial" w:cs="Arial"/>
          <w:lang w:val="en"/>
        </w:rPr>
        <w:t xml:space="preserve">Spend mainly covered our digital transformation </w:t>
      </w:r>
      <w:r w:rsidR="00506BD9">
        <w:rPr>
          <w:rFonts w:ascii="Arial" w:hAnsi="Arial" w:cs="Arial"/>
          <w:lang w:val="en"/>
        </w:rPr>
        <w:t>as we recover from the cyber-attack, upgrade</w:t>
      </w:r>
      <w:r w:rsidR="004718C4">
        <w:rPr>
          <w:rFonts w:ascii="Arial" w:hAnsi="Arial" w:cs="Arial"/>
          <w:lang w:val="en"/>
        </w:rPr>
        <w:t xml:space="preserve"> to</w:t>
      </w:r>
      <w:r w:rsidR="00506BD9">
        <w:rPr>
          <w:rFonts w:ascii="Arial" w:hAnsi="Arial" w:cs="Arial"/>
          <w:lang w:val="en"/>
        </w:rPr>
        <w:t xml:space="preserve"> our hydrometric </w:t>
      </w:r>
      <w:r w:rsidR="0086283E">
        <w:rPr>
          <w:rFonts w:ascii="Arial" w:hAnsi="Arial" w:cs="Arial"/>
          <w:lang w:val="en"/>
        </w:rPr>
        <w:t>network,</w:t>
      </w:r>
      <w:r w:rsidR="00506BD9">
        <w:rPr>
          <w:rFonts w:ascii="Arial" w:hAnsi="Arial" w:cs="Arial"/>
          <w:lang w:val="en"/>
        </w:rPr>
        <w:t xml:space="preserve"> and </w:t>
      </w:r>
      <w:r w:rsidR="007B253D">
        <w:rPr>
          <w:rFonts w:ascii="Arial" w:hAnsi="Arial" w:cs="Arial"/>
          <w:lang w:val="en"/>
        </w:rPr>
        <w:t xml:space="preserve">the </w:t>
      </w:r>
      <w:r w:rsidR="00506BD9">
        <w:rPr>
          <w:rFonts w:ascii="Arial" w:hAnsi="Arial" w:cs="Arial"/>
          <w:lang w:val="en"/>
        </w:rPr>
        <w:t>replace</w:t>
      </w:r>
      <w:r w:rsidR="007B253D">
        <w:rPr>
          <w:rFonts w:ascii="Arial" w:hAnsi="Arial" w:cs="Arial"/>
          <w:lang w:val="en"/>
        </w:rPr>
        <w:t xml:space="preserve">ment of </w:t>
      </w:r>
      <w:r w:rsidR="0034502D">
        <w:rPr>
          <w:rFonts w:ascii="Arial" w:hAnsi="Arial" w:cs="Arial"/>
          <w:lang w:val="en"/>
        </w:rPr>
        <w:t>end-of-life</w:t>
      </w:r>
      <w:r w:rsidR="00506BD9">
        <w:rPr>
          <w:rFonts w:ascii="Arial" w:hAnsi="Arial" w:cs="Arial"/>
          <w:lang w:val="en"/>
        </w:rPr>
        <w:t xml:space="preserve"> plant and equipment.  </w:t>
      </w:r>
      <w:r w:rsidR="00E87776">
        <w:rPr>
          <w:rFonts w:ascii="Arial" w:hAnsi="Arial" w:cs="Arial"/>
          <w:lang w:val="en"/>
        </w:rPr>
        <w:t>W</w:t>
      </w:r>
      <w:r w:rsidR="00194BC7">
        <w:rPr>
          <w:rFonts w:ascii="Arial" w:hAnsi="Arial" w:cs="Arial"/>
          <w:lang w:val="en"/>
        </w:rPr>
        <w:t xml:space="preserve">e did not </w:t>
      </w:r>
      <w:proofErr w:type="spellStart"/>
      <w:r w:rsidR="00194BC7">
        <w:rPr>
          <w:rFonts w:ascii="Arial" w:hAnsi="Arial" w:cs="Arial"/>
          <w:lang w:val="en"/>
        </w:rPr>
        <w:t>utilise</w:t>
      </w:r>
      <w:proofErr w:type="spellEnd"/>
      <w:r w:rsidR="00194BC7">
        <w:rPr>
          <w:rFonts w:ascii="Arial" w:hAnsi="Arial" w:cs="Arial"/>
          <w:lang w:val="en"/>
        </w:rPr>
        <w:t xml:space="preserve"> the full budget as some items were less expensive than budgeted and </w:t>
      </w:r>
      <w:r w:rsidR="009D1162">
        <w:rPr>
          <w:rFonts w:ascii="Arial" w:hAnsi="Arial" w:cs="Arial"/>
          <w:lang w:val="en"/>
        </w:rPr>
        <w:t xml:space="preserve">other items were delayed due to </w:t>
      </w:r>
      <w:r w:rsidR="001E43AD">
        <w:rPr>
          <w:rFonts w:ascii="Arial" w:hAnsi="Arial" w:cs="Arial"/>
          <w:lang w:val="en"/>
        </w:rPr>
        <w:t>cyber related procurement delays or supply chain issues.</w:t>
      </w:r>
    </w:p>
    <w:p w14:paraId="71D09300" w14:textId="69A44B1A" w:rsidR="00EC6090" w:rsidRDefault="00EC6090" w:rsidP="00A35648">
      <w:pPr>
        <w:spacing w:line="360" w:lineRule="auto"/>
        <w:rPr>
          <w:rFonts w:ascii="Arial" w:hAnsi="Arial" w:cs="Arial"/>
          <w:lang w:val="en"/>
        </w:rPr>
      </w:pPr>
    </w:p>
    <w:p w14:paraId="28A3964B" w14:textId="70A455A9" w:rsidR="00CF5475" w:rsidRDefault="00EC6090" w:rsidP="00A35648">
      <w:pPr>
        <w:spacing w:line="360" w:lineRule="auto"/>
        <w:rPr>
          <w:rFonts w:ascii="Arial" w:hAnsi="Arial" w:cs="Arial"/>
          <w:lang w:val="en"/>
        </w:rPr>
      </w:pPr>
      <w:r>
        <w:rPr>
          <w:rFonts w:ascii="Arial" w:hAnsi="Arial" w:cs="Arial"/>
          <w:lang w:val="en"/>
        </w:rPr>
        <w:t xml:space="preserve">More detail regarding SEPA’s income and expenditure can be found in the </w:t>
      </w:r>
      <w:r w:rsidRPr="00C16ED3">
        <w:rPr>
          <w:rFonts w:ascii="Arial" w:hAnsi="Arial" w:cs="Arial"/>
          <w:lang w:val="en"/>
        </w:rPr>
        <w:t>financial statements section</w:t>
      </w:r>
      <w:r w:rsidR="00C16ED3">
        <w:rPr>
          <w:rFonts w:ascii="Arial" w:hAnsi="Arial" w:cs="Arial"/>
          <w:lang w:val="en"/>
        </w:rPr>
        <w:t xml:space="preserve"> (see section 3)</w:t>
      </w:r>
      <w:r w:rsidRPr="00C16ED3">
        <w:rPr>
          <w:rFonts w:ascii="Arial" w:hAnsi="Arial" w:cs="Arial"/>
          <w:lang w:val="en"/>
        </w:rPr>
        <w:t>.</w:t>
      </w:r>
    </w:p>
    <w:p w14:paraId="494BC12A" w14:textId="77777777" w:rsidR="00997A92" w:rsidRPr="00873612" w:rsidRDefault="00997A92" w:rsidP="00A35648">
      <w:pPr>
        <w:spacing w:line="360" w:lineRule="auto"/>
        <w:rPr>
          <w:rFonts w:ascii="Arial" w:hAnsi="Arial" w:cs="Arial"/>
          <w:lang w:val="en"/>
        </w:rPr>
      </w:pPr>
    </w:p>
    <w:p w14:paraId="7EFF173E" w14:textId="243956DB" w:rsidR="00997A92" w:rsidRDefault="00997A92" w:rsidP="000845C9">
      <w:pPr>
        <w:spacing w:line="360" w:lineRule="auto"/>
        <w:ind w:right="-142"/>
        <w:rPr>
          <w:rFonts w:ascii="Arial" w:hAnsi="Arial" w:cs="Arial"/>
          <w:lang w:val="en"/>
        </w:rPr>
      </w:pPr>
      <w:r w:rsidRPr="00873612">
        <w:rPr>
          <w:rFonts w:ascii="Arial" w:hAnsi="Arial" w:cs="Arial"/>
          <w:lang w:val="en"/>
        </w:rPr>
        <w:t>The Statement of Net Comprehensive Expenditure</w:t>
      </w:r>
      <w:r w:rsidR="00582D4D" w:rsidRPr="00873612">
        <w:rPr>
          <w:rFonts w:ascii="Arial" w:hAnsi="Arial" w:cs="Arial"/>
          <w:lang w:val="en"/>
        </w:rPr>
        <w:t xml:space="preserve"> </w:t>
      </w:r>
      <w:r w:rsidRPr="00873612">
        <w:rPr>
          <w:rFonts w:ascii="Arial" w:hAnsi="Arial" w:cs="Arial"/>
          <w:lang w:val="en"/>
        </w:rPr>
        <w:t>shows net expenditure for the year of £</w:t>
      </w:r>
      <w:r w:rsidR="00AB3455">
        <w:rPr>
          <w:rFonts w:ascii="Arial" w:hAnsi="Arial" w:cs="Arial"/>
          <w:lang w:val="en"/>
        </w:rPr>
        <w:t>57.2</w:t>
      </w:r>
      <w:r w:rsidRPr="00873612">
        <w:rPr>
          <w:rFonts w:ascii="Arial" w:hAnsi="Arial" w:cs="Arial"/>
          <w:lang w:val="en"/>
        </w:rPr>
        <w:t xml:space="preserve">m </w:t>
      </w:r>
      <w:r w:rsidR="00147439">
        <w:rPr>
          <w:rFonts w:ascii="Arial" w:hAnsi="Arial" w:cs="Arial"/>
          <w:lang w:val="en"/>
        </w:rPr>
        <w:t xml:space="preserve">this </w:t>
      </w:r>
      <w:r w:rsidRPr="00873612">
        <w:rPr>
          <w:rFonts w:ascii="Arial" w:hAnsi="Arial" w:cs="Arial"/>
          <w:lang w:val="en"/>
        </w:rPr>
        <w:t>includ</w:t>
      </w:r>
      <w:r w:rsidR="00147439">
        <w:rPr>
          <w:rFonts w:ascii="Arial" w:hAnsi="Arial" w:cs="Arial"/>
          <w:lang w:val="en"/>
        </w:rPr>
        <w:t>es</w:t>
      </w:r>
      <w:r w:rsidRPr="00873612">
        <w:rPr>
          <w:rFonts w:ascii="Arial" w:hAnsi="Arial" w:cs="Arial"/>
          <w:lang w:val="en"/>
        </w:rPr>
        <w:t xml:space="preserve"> pensions and life assurance costs of £</w:t>
      </w:r>
      <w:r w:rsidR="005F27FC">
        <w:rPr>
          <w:rFonts w:ascii="Arial" w:hAnsi="Arial" w:cs="Arial"/>
          <w:lang w:val="en"/>
        </w:rPr>
        <w:t>20</w:t>
      </w:r>
      <w:r w:rsidR="007228FE">
        <w:rPr>
          <w:rFonts w:ascii="Arial" w:hAnsi="Arial" w:cs="Arial"/>
          <w:lang w:val="en"/>
        </w:rPr>
        <w:t>m</w:t>
      </w:r>
      <w:r w:rsidR="00E54BF6">
        <w:rPr>
          <w:rFonts w:ascii="Arial" w:hAnsi="Arial" w:cs="Arial"/>
          <w:lang w:val="en"/>
        </w:rPr>
        <w:t>,</w:t>
      </w:r>
      <w:r w:rsidR="002D5029">
        <w:rPr>
          <w:rFonts w:ascii="Arial" w:hAnsi="Arial" w:cs="Arial"/>
          <w:lang w:val="en"/>
        </w:rPr>
        <w:t xml:space="preserve"> </w:t>
      </w:r>
      <w:r w:rsidR="003732AC">
        <w:rPr>
          <w:rFonts w:ascii="Arial" w:hAnsi="Arial" w:cs="Arial"/>
          <w:lang w:val="en"/>
        </w:rPr>
        <w:t>however</w:t>
      </w:r>
      <w:r w:rsidRPr="00873612">
        <w:rPr>
          <w:rFonts w:ascii="Arial" w:hAnsi="Arial" w:cs="Arial"/>
          <w:lang w:val="en"/>
        </w:rPr>
        <w:t xml:space="preserve"> it excludes </w:t>
      </w:r>
      <w:r w:rsidR="000A1F17">
        <w:rPr>
          <w:rFonts w:ascii="Arial" w:hAnsi="Arial" w:cs="Arial"/>
          <w:lang w:val="en"/>
        </w:rPr>
        <w:t xml:space="preserve">the revaluation gain on the revaluation of </w:t>
      </w:r>
      <w:r w:rsidR="00A333F2">
        <w:rPr>
          <w:rFonts w:ascii="Arial" w:hAnsi="Arial" w:cs="Arial"/>
          <w:lang w:val="en"/>
        </w:rPr>
        <w:t xml:space="preserve">property of </w:t>
      </w:r>
      <w:r w:rsidR="00834BEB">
        <w:rPr>
          <w:rFonts w:ascii="Arial" w:hAnsi="Arial" w:cs="Arial"/>
          <w:lang w:val="en"/>
        </w:rPr>
        <w:t>£0.3m</w:t>
      </w:r>
      <w:r w:rsidR="00822F9E">
        <w:rPr>
          <w:rFonts w:ascii="Arial" w:hAnsi="Arial" w:cs="Arial"/>
          <w:lang w:val="en"/>
        </w:rPr>
        <w:t>,</w:t>
      </w:r>
      <w:r w:rsidR="00BF7FF1">
        <w:rPr>
          <w:rFonts w:ascii="Arial" w:hAnsi="Arial" w:cs="Arial"/>
          <w:lang w:val="en"/>
        </w:rPr>
        <w:t xml:space="preserve"> </w:t>
      </w:r>
      <w:r w:rsidRPr="00873612">
        <w:rPr>
          <w:rFonts w:ascii="Arial" w:hAnsi="Arial" w:cs="Arial"/>
          <w:lang w:val="en"/>
        </w:rPr>
        <w:t xml:space="preserve">Grant in Aid </w:t>
      </w:r>
      <w:r w:rsidR="00902FC2">
        <w:rPr>
          <w:rFonts w:ascii="Arial" w:hAnsi="Arial" w:cs="Arial"/>
          <w:lang w:val="en"/>
        </w:rPr>
        <w:t xml:space="preserve">revenue cash </w:t>
      </w:r>
      <w:r w:rsidR="001619E0">
        <w:rPr>
          <w:rFonts w:ascii="Arial" w:hAnsi="Arial" w:cs="Arial"/>
          <w:lang w:val="en"/>
        </w:rPr>
        <w:t>of</w:t>
      </w:r>
      <w:r w:rsidRPr="00873612">
        <w:rPr>
          <w:rFonts w:ascii="Arial" w:hAnsi="Arial" w:cs="Arial"/>
          <w:lang w:val="en"/>
        </w:rPr>
        <w:t xml:space="preserve"> £</w:t>
      </w:r>
      <w:r w:rsidR="001619E0">
        <w:rPr>
          <w:rFonts w:ascii="Arial" w:hAnsi="Arial" w:cs="Arial"/>
          <w:lang w:val="en"/>
        </w:rPr>
        <w:t>3</w:t>
      </w:r>
      <w:r w:rsidR="005B5182">
        <w:rPr>
          <w:rFonts w:ascii="Arial" w:hAnsi="Arial" w:cs="Arial"/>
          <w:lang w:val="en"/>
        </w:rPr>
        <w:t>5</w:t>
      </w:r>
      <w:r w:rsidR="001619E0">
        <w:rPr>
          <w:rFonts w:ascii="Arial" w:hAnsi="Arial" w:cs="Arial"/>
          <w:lang w:val="en"/>
        </w:rPr>
        <w:t>.8</w:t>
      </w:r>
      <w:r w:rsidR="001F6664">
        <w:rPr>
          <w:rFonts w:ascii="Arial" w:hAnsi="Arial" w:cs="Arial"/>
          <w:lang w:val="en"/>
        </w:rPr>
        <w:t>m</w:t>
      </w:r>
      <w:r w:rsidR="00822F9E">
        <w:rPr>
          <w:rFonts w:ascii="Arial" w:hAnsi="Arial" w:cs="Arial"/>
          <w:lang w:val="en"/>
        </w:rPr>
        <w:t>,</w:t>
      </w:r>
      <w:r w:rsidR="001619E0">
        <w:rPr>
          <w:rFonts w:ascii="Arial" w:hAnsi="Arial" w:cs="Arial"/>
          <w:lang w:val="en"/>
        </w:rPr>
        <w:t xml:space="preserve"> and capital cash of £6m received in year</w:t>
      </w:r>
      <w:r w:rsidR="00B86023">
        <w:rPr>
          <w:rFonts w:ascii="Arial" w:hAnsi="Arial" w:cs="Arial"/>
          <w:lang w:val="en"/>
        </w:rPr>
        <w:t>.</w:t>
      </w:r>
      <w:r w:rsidRPr="00873612">
        <w:rPr>
          <w:rFonts w:ascii="Arial" w:hAnsi="Arial" w:cs="Arial"/>
          <w:lang w:val="en"/>
        </w:rPr>
        <w:t xml:space="preserve"> </w:t>
      </w:r>
      <w:r w:rsidR="00B86023">
        <w:rPr>
          <w:rFonts w:ascii="Arial" w:hAnsi="Arial" w:cs="Arial"/>
          <w:lang w:val="en"/>
        </w:rPr>
        <w:t>Un</w:t>
      </w:r>
      <w:r w:rsidRPr="00873612">
        <w:rPr>
          <w:rFonts w:ascii="Arial" w:hAnsi="Arial" w:cs="Arial"/>
          <w:lang w:val="en"/>
        </w:rPr>
        <w:t xml:space="preserve">der </w:t>
      </w:r>
      <w:r w:rsidR="00BC6E4C" w:rsidRPr="00873612">
        <w:rPr>
          <w:rFonts w:ascii="Arial" w:hAnsi="Arial" w:cs="Arial"/>
          <w:lang w:val="en"/>
        </w:rPr>
        <w:t>I</w:t>
      </w:r>
      <w:r w:rsidRPr="00873612">
        <w:rPr>
          <w:rFonts w:ascii="Arial" w:hAnsi="Arial" w:cs="Arial"/>
          <w:lang w:val="en"/>
        </w:rPr>
        <w:t xml:space="preserve">nternational </w:t>
      </w:r>
      <w:r w:rsidR="00BC6E4C" w:rsidRPr="00873612">
        <w:rPr>
          <w:rFonts w:ascii="Arial" w:hAnsi="Arial" w:cs="Arial"/>
          <w:lang w:val="en"/>
        </w:rPr>
        <w:t>A</w:t>
      </w:r>
      <w:r w:rsidRPr="00873612">
        <w:rPr>
          <w:rFonts w:ascii="Arial" w:hAnsi="Arial" w:cs="Arial"/>
          <w:lang w:val="en"/>
        </w:rPr>
        <w:t xml:space="preserve">ccounting </w:t>
      </w:r>
      <w:r w:rsidR="00BC6E4C" w:rsidRPr="00873612">
        <w:rPr>
          <w:rFonts w:ascii="Arial" w:hAnsi="Arial" w:cs="Arial"/>
          <w:lang w:val="en"/>
        </w:rPr>
        <w:t>S</w:t>
      </w:r>
      <w:r w:rsidRPr="00873612">
        <w:rPr>
          <w:rFonts w:ascii="Arial" w:hAnsi="Arial" w:cs="Arial"/>
          <w:lang w:val="en"/>
        </w:rPr>
        <w:t xml:space="preserve">tandards </w:t>
      </w:r>
      <w:r w:rsidRPr="00873612">
        <w:rPr>
          <w:rFonts w:ascii="Arial" w:hAnsi="Arial" w:cs="Arial"/>
          <w:lang w:val="en"/>
        </w:rPr>
        <w:lastRenderedPageBreak/>
        <w:t xml:space="preserve">this income is assumed as financing and taken directly to the general reserves in the </w:t>
      </w:r>
      <w:r w:rsidR="00C51B06" w:rsidRPr="00873612">
        <w:rPr>
          <w:rFonts w:ascii="Arial" w:hAnsi="Arial" w:cs="Arial"/>
          <w:lang w:val="en"/>
        </w:rPr>
        <w:t>S</w:t>
      </w:r>
      <w:r w:rsidRPr="00873612">
        <w:rPr>
          <w:rFonts w:ascii="Arial" w:hAnsi="Arial" w:cs="Arial"/>
          <w:lang w:val="en"/>
        </w:rPr>
        <w:t xml:space="preserve">tatement of </w:t>
      </w:r>
      <w:r w:rsidR="00C51B06" w:rsidRPr="00873612">
        <w:rPr>
          <w:rFonts w:ascii="Arial" w:hAnsi="Arial" w:cs="Arial"/>
          <w:lang w:val="en"/>
        </w:rPr>
        <w:t>C</w:t>
      </w:r>
      <w:r w:rsidRPr="00873612">
        <w:rPr>
          <w:rFonts w:ascii="Arial" w:hAnsi="Arial" w:cs="Arial"/>
          <w:lang w:val="en"/>
        </w:rPr>
        <w:t xml:space="preserve">hanges in </w:t>
      </w:r>
      <w:r w:rsidR="00BC6E4C" w:rsidRPr="00873612">
        <w:rPr>
          <w:rFonts w:ascii="Arial" w:hAnsi="Arial" w:cs="Arial"/>
          <w:lang w:val="en"/>
        </w:rPr>
        <w:t>T</w:t>
      </w:r>
      <w:r w:rsidR="002070E2" w:rsidRPr="00873612">
        <w:rPr>
          <w:rFonts w:ascii="Arial" w:hAnsi="Arial" w:cs="Arial"/>
          <w:lang w:val="en"/>
        </w:rPr>
        <w:t>axpayers’</w:t>
      </w:r>
      <w:r w:rsidRPr="00873612">
        <w:rPr>
          <w:rFonts w:ascii="Arial" w:hAnsi="Arial" w:cs="Arial"/>
          <w:lang w:val="en"/>
        </w:rPr>
        <w:t xml:space="preserve"> </w:t>
      </w:r>
      <w:r w:rsidR="00BC6E4C" w:rsidRPr="00873612">
        <w:rPr>
          <w:rFonts w:ascii="Arial" w:hAnsi="Arial" w:cs="Arial"/>
          <w:lang w:val="en"/>
        </w:rPr>
        <w:t>E</w:t>
      </w:r>
      <w:r w:rsidRPr="00873612">
        <w:rPr>
          <w:rFonts w:ascii="Arial" w:hAnsi="Arial" w:cs="Arial"/>
          <w:lang w:val="en"/>
        </w:rPr>
        <w:t>quity.</w:t>
      </w:r>
    </w:p>
    <w:p w14:paraId="599234B9" w14:textId="77777777" w:rsidR="007E23A2" w:rsidRPr="00873612" w:rsidRDefault="007E23A2" w:rsidP="000845C9">
      <w:pPr>
        <w:spacing w:line="360" w:lineRule="auto"/>
        <w:ind w:right="-142"/>
        <w:rPr>
          <w:rFonts w:ascii="Arial" w:hAnsi="Arial" w:cs="Arial"/>
          <w:lang w:val="en"/>
        </w:rPr>
      </w:pPr>
    </w:p>
    <w:p w14:paraId="7498A148" w14:textId="27AEA2AB" w:rsidR="00997A92" w:rsidRPr="00873612" w:rsidRDefault="00997A92" w:rsidP="000845C9">
      <w:pPr>
        <w:spacing w:line="360" w:lineRule="auto"/>
        <w:ind w:right="-142"/>
        <w:rPr>
          <w:rFonts w:ascii="Arial" w:hAnsi="Arial" w:cs="Arial"/>
          <w:lang w:val="en"/>
        </w:rPr>
      </w:pPr>
      <w:r w:rsidRPr="00873612">
        <w:rPr>
          <w:rFonts w:ascii="Arial" w:hAnsi="Arial" w:cs="Arial"/>
          <w:lang w:val="en"/>
        </w:rPr>
        <w:t>SEPA only draws down cash grant in aid from Scottish Government when it needs it</w:t>
      </w:r>
      <w:r w:rsidR="007D23D2">
        <w:rPr>
          <w:rFonts w:ascii="Arial" w:hAnsi="Arial" w:cs="Arial"/>
          <w:lang w:val="en"/>
        </w:rPr>
        <w:t xml:space="preserve">. </w:t>
      </w:r>
      <w:r w:rsidR="007E23A2">
        <w:rPr>
          <w:rFonts w:ascii="Arial" w:hAnsi="Arial" w:cs="Arial"/>
          <w:lang w:val="en"/>
        </w:rPr>
        <w:t>T</w:t>
      </w:r>
      <w:r w:rsidR="00D273B9">
        <w:rPr>
          <w:rFonts w:ascii="Arial" w:hAnsi="Arial" w:cs="Arial"/>
          <w:lang w:val="en"/>
        </w:rPr>
        <w:t>h</w:t>
      </w:r>
      <w:r w:rsidR="0070495E" w:rsidRPr="00873612">
        <w:rPr>
          <w:rFonts w:ascii="Arial" w:hAnsi="Arial" w:cs="Arial"/>
          <w:lang w:val="en"/>
        </w:rPr>
        <w:t xml:space="preserve">e total </w:t>
      </w:r>
      <w:r w:rsidR="00EF5220" w:rsidRPr="00873612">
        <w:rPr>
          <w:rFonts w:ascii="Arial" w:hAnsi="Arial" w:cs="Arial"/>
          <w:lang w:val="en"/>
        </w:rPr>
        <w:t>grant in aid budget</w:t>
      </w:r>
      <w:r w:rsidR="00A541C4" w:rsidRPr="00873612">
        <w:rPr>
          <w:rFonts w:ascii="Arial" w:hAnsi="Arial" w:cs="Arial"/>
          <w:lang w:val="en"/>
        </w:rPr>
        <w:t xml:space="preserve"> allocated to </w:t>
      </w:r>
      <w:r w:rsidR="000B735E" w:rsidRPr="00873612">
        <w:rPr>
          <w:rFonts w:ascii="Arial" w:hAnsi="Arial" w:cs="Arial"/>
          <w:lang w:val="en"/>
        </w:rPr>
        <w:t>SEPA</w:t>
      </w:r>
      <w:r w:rsidR="00EF5220" w:rsidRPr="00873612">
        <w:rPr>
          <w:rFonts w:ascii="Arial" w:hAnsi="Arial" w:cs="Arial"/>
          <w:lang w:val="en"/>
        </w:rPr>
        <w:t xml:space="preserve"> for the year was £4</w:t>
      </w:r>
      <w:r w:rsidR="002D5172">
        <w:rPr>
          <w:rFonts w:ascii="Arial" w:hAnsi="Arial" w:cs="Arial"/>
          <w:lang w:val="en"/>
        </w:rPr>
        <w:t>9</w:t>
      </w:r>
      <w:r w:rsidR="00EF5220" w:rsidRPr="00873612">
        <w:rPr>
          <w:rFonts w:ascii="Arial" w:hAnsi="Arial" w:cs="Arial"/>
          <w:lang w:val="en"/>
        </w:rPr>
        <w:t>.</w:t>
      </w:r>
      <w:r w:rsidR="002D5172">
        <w:rPr>
          <w:rFonts w:ascii="Arial" w:hAnsi="Arial" w:cs="Arial"/>
          <w:lang w:val="en"/>
        </w:rPr>
        <w:t>3</w:t>
      </w:r>
      <w:r w:rsidR="00EF5220" w:rsidRPr="00873612">
        <w:rPr>
          <w:rFonts w:ascii="Arial" w:hAnsi="Arial" w:cs="Arial"/>
          <w:lang w:val="en"/>
        </w:rPr>
        <w:t>m</w:t>
      </w:r>
      <w:r w:rsidR="006C2978">
        <w:rPr>
          <w:rFonts w:ascii="Arial" w:hAnsi="Arial" w:cs="Arial"/>
          <w:lang w:val="en"/>
        </w:rPr>
        <w:t>.</w:t>
      </w:r>
      <w:r w:rsidR="003F22F5" w:rsidRPr="00873612">
        <w:rPr>
          <w:rFonts w:ascii="Arial" w:hAnsi="Arial" w:cs="Arial"/>
          <w:lang w:val="en"/>
        </w:rPr>
        <w:t xml:space="preserve"> </w:t>
      </w:r>
      <w:r w:rsidR="00B850D4" w:rsidRPr="00493E99">
        <w:rPr>
          <w:rFonts w:ascii="Arial" w:hAnsi="Arial" w:cs="Arial"/>
          <w:lang w:val="en"/>
        </w:rPr>
        <w:t>Section 2</w:t>
      </w:r>
      <w:r w:rsidR="00FE3A54" w:rsidRPr="00493E99">
        <w:rPr>
          <w:rFonts w:ascii="Arial" w:hAnsi="Arial" w:cs="Arial"/>
          <w:lang w:val="en"/>
        </w:rPr>
        <w:t xml:space="preserve">.4 </w:t>
      </w:r>
      <w:r w:rsidR="00E00DA3" w:rsidRPr="00493E99">
        <w:rPr>
          <w:rFonts w:ascii="Arial" w:hAnsi="Arial" w:cs="Arial"/>
          <w:lang w:val="en"/>
        </w:rPr>
        <w:t>Parliamentary Accountability</w:t>
      </w:r>
      <w:r w:rsidR="00E00DA3">
        <w:rPr>
          <w:rFonts w:ascii="Arial" w:hAnsi="Arial" w:cs="Arial"/>
          <w:lang w:val="en"/>
        </w:rPr>
        <w:t xml:space="preserve"> </w:t>
      </w:r>
      <w:r w:rsidR="003F22F5" w:rsidRPr="00B14B5C">
        <w:rPr>
          <w:rFonts w:ascii="Arial" w:hAnsi="Arial" w:cs="Arial"/>
          <w:lang w:val="en"/>
        </w:rPr>
        <w:t>provides additional information</w:t>
      </w:r>
      <w:r w:rsidR="00A541C4" w:rsidRPr="00B14B5C">
        <w:rPr>
          <w:rFonts w:ascii="Arial" w:hAnsi="Arial" w:cs="Arial"/>
          <w:lang w:val="en"/>
        </w:rPr>
        <w:t>.</w:t>
      </w:r>
    </w:p>
    <w:p w14:paraId="1E702CE9" w14:textId="77777777" w:rsidR="00997A92" w:rsidRPr="00873612" w:rsidRDefault="00997A92" w:rsidP="000845C9">
      <w:pPr>
        <w:spacing w:line="360" w:lineRule="auto"/>
        <w:ind w:right="-142"/>
        <w:rPr>
          <w:rFonts w:ascii="Arial" w:hAnsi="Arial" w:cs="Arial"/>
          <w:lang w:val="en"/>
        </w:rPr>
      </w:pPr>
    </w:p>
    <w:p w14:paraId="43043BF5" w14:textId="4CB71B97" w:rsidR="00997A92" w:rsidRPr="00873612" w:rsidRDefault="00997A92" w:rsidP="000845C9">
      <w:pPr>
        <w:spacing w:line="360" w:lineRule="auto"/>
        <w:ind w:right="-142"/>
        <w:rPr>
          <w:rFonts w:ascii="Arial" w:hAnsi="Arial" w:cs="Arial"/>
          <w:lang w:val="en"/>
        </w:rPr>
      </w:pPr>
      <w:r w:rsidRPr="00873612">
        <w:rPr>
          <w:rFonts w:ascii="Arial" w:hAnsi="Arial" w:cs="Arial"/>
          <w:lang w:val="en"/>
        </w:rPr>
        <w:t>The Statement of Financial Position shows SEPA owes £</w:t>
      </w:r>
      <w:r w:rsidR="000B7181">
        <w:rPr>
          <w:rFonts w:ascii="Arial" w:hAnsi="Arial" w:cs="Arial"/>
          <w:lang w:val="en"/>
        </w:rPr>
        <w:t>83.8</w:t>
      </w:r>
      <w:r w:rsidRPr="00873612">
        <w:rPr>
          <w:rFonts w:ascii="Arial" w:hAnsi="Arial" w:cs="Arial"/>
          <w:lang w:val="en"/>
        </w:rPr>
        <w:t>m more than the value of its assets at 31 March 202</w:t>
      </w:r>
      <w:r w:rsidR="00223C36">
        <w:rPr>
          <w:rFonts w:ascii="Arial" w:hAnsi="Arial" w:cs="Arial"/>
          <w:lang w:val="en"/>
        </w:rPr>
        <w:t>2</w:t>
      </w:r>
      <w:r w:rsidRPr="00873612">
        <w:rPr>
          <w:rFonts w:ascii="Arial" w:hAnsi="Arial" w:cs="Arial"/>
          <w:lang w:val="en"/>
        </w:rPr>
        <w:t xml:space="preserve">. This is </w:t>
      </w:r>
      <w:r w:rsidR="006067C5">
        <w:rPr>
          <w:rFonts w:ascii="Arial" w:hAnsi="Arial" w:cs="Arial"/>
          <w:lang w:val="en"/>
        </w:rPr>
        <w:t xml:space="preserve">primarily </w:t>
      </w:r>
      <w:r w:rsidRPr="00873612">
        <w:rPr>
          <w:rFonts w:ascii="Arial" w:hAnsi="Arial" w:cs="Arial"/>
          <w:lang w:val="en"/>
        </w:rPr>
        <w:t xml:space="preserve">caused by a pension deficit at </w:t>
      </w:r>
      <w:r w:rsidR="00B834CA" w:rsidRPr="00873612">
        <w:rPr>
          <w:rFonts w:ascii="Arial" w:hAnsi="Arial" w:cs="Arial"/>
          <w:lang w:val="en"/>
        </w:rPr>
        <w:t xml:space="preserve">31 </w:t>
      </w:r>
      <w:r w:rsidR="00845473" w:rsidRPr="00873612">
        <w:rPr>
          <w:rFonts w:ascii="Arial" w:hAnsi="Arial" w:cs="Arial"/>
          <w:lang w:val="en"/>
        </w:rPr>
        <w:t>M</w:t>
      </w:r>
      <w:r w:rsidR="00B834CA" w:rsidRPr="00873612">
        <w:rPr>
          <w:rFonts w:ascii="Arial" w:hAnsi="Arial" w:cs="Arial"/>
          <w:lang w:val="en"/>
        </w:rPr>
        <w:t>arch 202</w:t>
      </w:r>
      <w:r w:rsidR="00223C36">
        <w:rPr>
          <w:rFonts w:ascii="Arial" w:hAnsi="Arial" w:cs="Arial"/>
          <w:lang w:val="en"/>
        </w:rPr>
        <w:t>2</w:t>
      </w:r>
      <w:r w:rsidRPr="00873612">
        <w:rPr>
          <w:rFonts w:ascii="Arial" w:hAnsi="Arial" w:cs="Arial"/>
          <w:lang w:val="en"/>
        </w:rPr>
        <w:t xml:space="preserve"> of</w:t>
      </w:r>
      <w:r w:rsidR="00B834CA" w:rsidRPr="00873612">
        <w:rPr>
          <w:rFonts w:ascii="Arial" w:hAnsi="Arial" w:cs="Arial"/>
          <w:lang w:val="en"/>
        </w:rPr>
        <w:t xml:space="preserve"> £</w:t>
      </w:r>
      <w:r w:rsidR="00C0186E" w:rsidRPr="00873612">
        <w:rPr>
          <w:rFonts w:ascii="Arial" w:hAnsi="Arial" w:cs="Arial"/>
          <w:lang w:val="en"/>
        </w:rPr>
        <w:t>1</w:t>
      </w:r>
      <w:r w:rsidR="00223C36">
        <w:rPr>
          <w:rFonts w:ascii="Arial" w:hAnsi="Arial" w:cs="Arial"/>
          <w:lang w:val="en"/>
        </w:rPr>
        <w:t>2</w:t>
      </w:r>
      <w:r w:rsidR="00850825">
        <w:rPr>
          <w:rFonts w:ascii="Arial" w:hAnsi="Arial" w:cs="Arial"/>
          <w:lang w:val="en"/>
        </w:rPr>
        <w:t>1</w:t>
      </w:r>
      <w:r w:rsidR="00C0186E" w:rsidRPr="00873612">
        <w:rPr>
          <w:rFonts w:ascii="Arial" w:hAnsi="Arial" w:cs="Arial"/>
          <w:lang w:val="en"/>
        </w:rPr>
        <w:t>m</w:t>
      </w:r>
      <w:r w:rsidR="005B5C5B" w:rsidRPr="00873612">
        <w:rPr>
          <w:rFonts w:ascii="Arial" w:hAnsi="Arial" w:cs="Arial"/>
          <w:lang w:val="en"/>
        </w:rPr>
        <w:t>;</w:t>
      </w:r>
      <w:r w:rsidR="00C0186E" w:rsidRPr="00873612">
        <w:rPr>
          <w:rFonts w:ascii="Arial" w:hAnsi="Arial" w:cs="Arial"/>
          <w:lang w:val="en"/>
        </w:rPr>
        <w:t xml:space="preserve"> a </w:t>
      </w:r>
      <w:r w:rsidR="00850825">
        <w:rPr>
          <w:rFonts w:ascii="Arial" w:hAnsi="Arial" w:cs="Arial"/>
          <w:lang w:val="en"/>
        </w:rPr>
        <w:t>decrease</w:t>
      </w:r>
      <w:r w:rsidR="00C0186E" w:rsidRPr="00873612">
        <w:rPr>
          <w:rFonts w:ascii="Arial" w:hAnsi="Arial" w:cs="Arial"/>
          <w:lang w:val="en"/>
        </w:rPr>
        <w:t xml:space="preserve"> of </w:t>
      </w:r>
      <w:r w:rsidR="007F6743" w:rsidRPr="00873612">
        <w:rPr>
          <w:rFonts w:ascii="Arial" w:hAnsi="Arial" w:cs="Arial"/>
          <w:lang w:val="en"/>
        </w:rPr>
        <w:t>£</w:t>
      </w:r>
      <w:r w:rsidR="00047337">
        <w:rPr>
          <w:rFonts w:ascii="Arial" w:hAnsi="Arial" w:cs="Arial"/>
          <w:lang w:val="en"/>
        </w:rPr>
        <w:t>68.7</w:t>
      </w:r>
      <w:r w:rsidR="007F6743" w:rsidRPr="00873612">
        <w:rPr>
          <w:rFonts w:ascii="Arial" w:hAnsi="Arial" w:cs="Arial"/>
          <w:lang w:val="en"/>
        </w:rPr>
        <w:t>m</w:t>
      </w:r>
      <w:r w:rsidR="00845473" w:rsidRPr="00873612">
        <w:rPr>
          <w:rFonts w:ascii="Arial" w:hAnsi="Arial" w:cs="Arial"/>
          <w:lang w:val="en"/>
        </w:rPr>
        <w:t xml:space="preserve"> in year</w:t>
      </w:r>
      <w:r w:rsidRPr="00873612">
        <w:rPr>
          <w:rFonts w:ascii="Arial" w:hAnsi="Arial" w:cs="Arial"/>
          <w:lang w:val="en"/>
        </w:rPr>
        <w:t xml:space="preserve">. The Financial Statements have been prepared on a going concern basis, as Board believe that SEPA will be able to pay its pension contributions in years to come from future income and </w:t>
      </w:r>
      <w:r w:rsidR="00CC6B8B">
        <w:rPr>
          <w:rFonts w:ascii="Arial" w:hAnsi="Arial" w:cs="Arial"/>
          <w:lang w:val="en"/>
        </w:rPr>
        <w:t>g</w:t>
      </w:r>
      <w:r w:rsidRPr="00873612">
        <w:rPr>
          <w:rFonts w:ascii="Arial" w:hAnsi="Arial" w:cs="Arial"/>
          <w:lang w:val="en"/>
        </w:rPr>
        <w:t xml:space="preserve">overnment grants. </w:t>
      </w:r>
      <w:r w:rsidRPr="008D0434">
        <w:rPr>
          <w:rFonts w:ascii="Arial" w:hAnsi="Arial" w:cs="Arial"/>
          <w:color w:val="000000" w:themeColor="text1"/>
          <w:lang w:val="en"/>
        </w:rPr>
        <w:t>The rate of employer’s contribution agreed</w:t>
      </w:r>
      <w:r w:rsidR="001A7EA7" w:rsidRPr="008D0434">
        <w:rPr>
          <w:rFonts w:ascii="Arial" w:hAnsi="Arial" w:cs="Arial"/>
          <w:color w:val="000000" w:themeColor="text1"/>
          <w:lang w:val="en"/>
        </w:rPr>
        <w:t xml:space="preserve"> and </w:t>
      </w:r>
      <w:r w:rsidR="00DA41E2" w:rsidRPr="008D0434">
        <w:rPr>
          <w:rFonts w:ascii="Arial" w:hAnsi="Arial" w:cs="Arial"/>
          <w:color w:val="000000" w:themeColor="text1"/>
          <w:lang w:val="en"/>
        </w:rPr>
        <w:t>included in future years cost projections</w:t>
      </w:r>
      <w:r w:rsidRPr="008D0434">
        <w:rPr>
          <w:rFonts w:ascii="Arial" w:hAnsi="Arial" w:cs="Arial"/>
          <w:color w:val="000000" w:themeColor="text1"/>
          <w:lang w:val="en"/>
        </w:rPr>
        <w:t xml:space="preserve"> </w:t>
      </w:r>
      <w:r w:rsidR="004373CE" w:rsidRPr="008D0434">
        <w:rPr>
          <w:rFonts w:ascii="Arial" w:hAnsi="Arial" w:cs="Arial"/>
          <w:color w:val="000000" w:themeColor="text1"/>
          <w:lang w:val="en"/>
        </w:rPr>
        <w:t>for 2021</w:t>
      </w:r>
      <w:r w:rsidRPr="008D0434">
        <w:rPr>
          <w:rFonts w:ascii="Arial" w:hAnsi="Arial" w:cs="Arial"/>
          <w:color w:val="000000" w:themeColor="text1"/>
          <w:lang w:val="en"/>
        </w:rPr>
        <w:t>-202</w:t>
      </w:r>
      <w:r w:rsidR="0022205F" w:rsidRPr="008D0434">
        <w:rPr>
          <w:rFonts w:ascii="Arial" w:hAnsi="Arial" w:cs="Arial"/>
          <w:color w:val="000000" w:themeColor="text1"/>
          <w:lang w:val="en"/>
        </w:rPr>
        <w:t>3</w:t>
      </w:r>
      <w:r w:rsidRPr="008D0434">
        <w:rPr>
          <w:rFonts w:ascii="Arial" w:hAnsi="Arial" w:cs="Arial"/>
          <w:color w:val="000000" w:themeColor="text1"/>
          <w:lang w:val="en"/>
        </w:rPr>
        <w:t xml:space="preserve"> is 20</w:t>
      </w:r>
      <w:r w:rsidR="00486AD0" w:rsidRPr="008D0434">
        <w:rPr>
          <w:rFonts w:ascii="Arial" w:hAnsi="Arial" w:cs="Arial"/>
          <w:color w:val="000000" w:themeColor="text1"/>
          <w:lang w:val="en"/>
        </w:rPr>
        <w:t>.0</w:t>
      </w:r>
      <w:r w:rsidRPr="008D0434">
        <w:rPr>
          <w:rFonts w:ascii="Arial" w:hAnsi="Arial" w:cs="Arial"/>
          <w:color w:val="000000" w:themeColor="text1"/>
          <w:lang w:val="en"/>
        </w:rPr>
        <w:t>%</w:t>
      </w:r>
      <w:r w:rsidR="0022205F" w:rsidRPr="008D0434">
        <w:rPr>
          <w:rFonts w:ascii="Arial" w:hAnsi="Arial" w:cs="Arial"/>
          <w:color w:val="000000" w:themeColor="text1"/>
          <w:lang w:val="en"/>
        </w:rPr>
        <w:t xml:space="preserve"> and for 2023</w:t>
      </w:r>
      <w:r w:rsidR="009505BB">
        <w:rPr>
          <w:rFonts w:ascii="Arial" w:hAnsi="Arial" w:cs="Arial"/>
          <w:color w:val="000000" w:themeColor="text1"/>
          <w:lang w:val="en"/>
        </w:rPr>
        <w:t>/</w:t>
      </w:r>
      <w:r w:rsidR="0022205F" w:rsidRPr="008D0434">
        <w:rPr>
          <w:rFonts w:ascii="Arial" w:hAnsi="Arial" w:cs="Arial"/>
          <w:color w:val="000000" w:themeColor="text1"/>
          <w:lang w:val="en"/>
        </w:rPr>
        <w:t>24 is 20.5%</w:t>
      </w:r>
      <w:r w:rsidRPr="008D0434">
        <w:rPr>
          <w:rFonts w:ascii="Arial" w:hAnsi="Arial" w:cs="Arial"/>
          <w:color w:val="000000" w:themeColor="text1"/>
          <w:lang w:val="en"/>
        </w:rPr>
        <w:t xml:space="preserve">. </w:t>
      </w:r>
    </w:p>
    <w:p w14:paraId="59A03D94" w14:textId="77777777" w:rsidR="0022205F" w:rsidRPr="00873612" w:rsidRDefault="0022205F" w:rsidP="000845C9">
      <w:pPr>
        <w:spacing w:line="360" w:lineRule="auto"/>
        <w:ind w:right="-142"/>
        <w:rPr>
          <w:rFonts w:ascii="Arial" w:hAnsi="Arial" w:cs="Arial"/>
        </w:rPr>
      </w:pPr>
    </w:p>
    <w:p w14:paraId="22C120BC" w14:textId="583DDFAE" w:rsidR="002B50F6" w:rsidRDefault="00997A92" w:rsidP="000845C9">
      <w:pPr>
        <w:spacing w:line="360" w:lineRule="auto"/>
        <w:ind w:right="-142"/>
        <w:rPr>
          <w:rFonts w:ascii="Arial" w:hAnsi="Arial" w:cs="Arial"/>
          <w:lang w:val="en"/>
        </w:rPr>
      </w:pPr>
      <w:r w:rsidRPr="00873612">
        <w:rPr>
          <w:rFonts w:ascii="Arial" w:hAnsi="Arial" w:cs="Arial"/>
        </w:rPr>
        <w:t xml:space="preserve">We carried out a </w:t>
      </w:r>
      <w:r w:rsidR="00047337">
        <w:rPr>
          <w:rFonts w:ascii="Arial" w:hAnsi="Arial" w:cs="Arial"/>
        </w:rPr>
        <w:t>full</w:t>
      </w:r>
      <w:r w:rsidRPr="00873612">
        <w:rPr>
          <w:rFonts w:ascii="Arial" w:hAnsi="Arial" w:cs="Arial"/>
        </w:rPr>
        <w:t xml:space="preserve"> market valuation of our land and buildings at 31 March </w:t>
      </w:r>
      <w:r w:rsidRPr="00873612">
        <w:rPr>
          <w:rFonts w:ascii="Arial" w:hAnsi="Arial" w:cs="Arial"/>
          <w:lang w:val="en"/>
        </w:rPr>
        <w:t>202</w:t>
      </w:r>
      <w:r w:rsidR="00367446">
        <w:rPr>
          <w:rFonts w:ascii="Arial" w:hAnsi="Arial" w:cs="Arial"/>
          <w:lang w:val="en"/>
        </w:rPr>
        <w:t>2</w:t>
      </w:r>
      <w:r w:rsidRPr="00873612">
        <w:rPr>
          <w:rFonts w:ascii="Arial" w:hAnsi="Arial" w:cs="Arial"/>
          <w:lang w:val="en"/>
        </w:rPr>
        <w:t xml:space="preserve"> (£</w:t>
      </w:r>
      <w:r w:rsidR="001A22B0" w:rsidRPr="00873612">
        <w:rPr>
          <w:rFonts w:ascii="Arial" w:hAnsi="Arial" w:cs="Arial"/>
          <w:lang w:val="en"/>
        </w:rPr>
        <w:t>4</w:t>
      </w:r>
      <w:r w:rsidR="00486AD0" w:rsidRPr="00873612">
        <w:rPr>
          <w:rFonts w:ascii="Arial" w:hAnsi="Arial" w:cs="Arial"/>
          <w:lang w:val="en"/>
        </w:rPr>
        <w:t>.</w:t>
      </w:r>
      <w:r w:rsidR="00CD56A9">
        <w:rPr>
          <w:rFonts w:ascii="Arial" w:hAnsi="Arial" w:cs="Arial"/>
          <w:lang w:val="en"/>
        </w:rPr>
        <w:t>8</w:t>
      </w:r>
      <w:r w:rsidRPr="00873612">
        <w:rPr>
          <w:rFonts w:ascii="Arial" w:hAnsi="Arial" w:cs="Arial"/>
          <w:lang w:val="en"/>
        </w:rPr>
        <w:t xml:space="preserve">m), </w:t>
      </w:r>
      <w:r w:rsidR="004324FF">
        <w:rPr>
          <w:rFonts w:ascii="Arial" w:hAnsi="Arial" w:cs="Arial"/>
          <w:lang w:val="en"/>
        </w:rPr>
        <w:t>which showed an</w:t>
      </w:r>
      <w:r w:rsidRPr="00873612">
        <w:rPr>
          <w:rFonts w:ascii="Arial" w:hAnsi="Arial" w:cs="Arial"/>
          <w:lang w:val="en"/>
        </w:rPr>
        <w:t xml:space="preserve"> </w:t>
      </w:r>
      <w:r w:rsidR="00E81031">
        <w:rPr>
          <w:rFonts w:ascii="Arial" w:hAnsi="Arial" w:cs="Arial"/>
          <w:lang w:val="en"/>
        </w:rPr>
        <w:t xml:space="preserve">upward </w:t>
      </w:r>
      <w:r w:rsidRPr="00873612">
        <w:rPr>
          <w:rFonts w:ascii="Arial" w:hAnsi="Arial" w:cs="Arial"/>
          <w:lang w:val="en"/>
        </w:rPr>
        <w:t>movement of £</w:t>
      </w:r>
      <w:r w:rsidR="00E81031">
        <w:rPr>
          <w:rFonts w:ascii="Arial" w:hAnsi="Arial" w:cs="Arial"/>
          <w:lang w:val="en"/>
        </w:rPr>
        <w:t>50k</w:t>
      </w:r>
      <w:r w:rsidRPr="00873612">
        <w:rPr>
          <w:rFonts w:ascii="Arial" w:hAnsi="Arial" w:cs="Arial"/>
          <w:lang w:val="en"/>
        </w:rPr>
        <w:t xml:space="preserve"> in year. </w:t>
      </w:r>
      <w:r w:rsidR="00973F86" w:rsidRPr="00873612">
        <w:rPr>
          <w:rFonts w:ascii="Arial" w:hAnsi="Arial" w:cs="Arial"/>
          <w:lang w:val="en"/>
        </w:rPr>
        <w:t xml:space="preserve"> </w:t>
      </w:r>
      <w:r w:rsidR="00475DE5" w:rsidRPr="00873612">
        <w:rPr>
          <w:rFonts w:ascii="Arial" w:hAnsi="Arial" w:cs="Arial"/>
          <w:lang w:val="en"/>
        </w:rPr>
        <w:t>Following full revaluation</w:t>
      </w:r>
      <w:r w:rsidR="00F74D4F" w:rsidRPr="00873612">
        <w:rPr>
          <w:rFonts w:ascii="Arial" w:hAnsi="Arial" w:cs="Arial"/>
          <w:lang w:val="en"/>
        </w:rPr>
        <w:t xml:space="preserve"> of the gauging stations</w:t>
      </w:r>
      <w:r w:rsidR="00475DE5" w:rsidRPr="00873612">
        <w:rPr>
          <w:rFonts w:ascii="Arial" w:hAnsi="Arial" w:cs="Arial"/>
          <w:lang w:val="en"/>
        </w:rPr>
        <w:t xml:space="preserve"> on 31 March 2018</w:t>
      </w:r>
      <w:r w:rsidR="00D05CA2" w:rsidRPr="00873612">
        <w:rPr>
          <w:rFonts w:ascii="Arial" w:hAnsi="Arial" w:cs="Arial"/>
          <w:lang w:val="en"/>
        </w:rPr>
        <w:t>,</w:t>
      </w:r>
      <w:r w:rsidR="00475DE5" w:rsidRPr="00873612">
        <w:rPr>
          <w:rFonts w:ascii="Arial" w:hAnsi="Arial" w:cs="Arial"/>
          <w:lang w:val="en"/>
        </w:rPr>
        <w:t xml:space="preserve"> </w:t>
      </w:r>
      <w:r w:rsidR="003977DB">
        <w:rPr>
          <w:rFonts w:ascii="Arial" w:hAnsi="Arial" w:cs="Arial"/>
          <w:lang w:val="en"/>
        </w:rPr>
        <w:t xml:space="preserve">they </w:t>
      </w:r>
      <w:r w:rsidR="00701DC8">
        <w:rPr>
          <w:rFonts w:ascii="Arial" w:hAnsi="Arial" w:cs="Arial"/>
          <w:lang w:val="en"/>
        </w:rPr>
        <w:t xml:space="preserve">have been </w:t>
      </w:r>
      <w:r w:rsidR="003977DB">
        <w:rPr>
          <w:rFonts w:ascii="Arial" w:hAnsi="Arial" w:cs="Arial"/>
          <w:lang w:val="en"/>
        </w:rPr>
        <w:t xml:space="preserve">indexed </w:t>
      </w:r>
      <w:r w:rsidR="00475DE5" w:rsidRPr="00873612">
        <w:rPr>
          <w:rFonts w:ascii="Arial" w:hAnsi="Arial" w:cs="Arial"/>
          <w:lang w:val="en"/>
        </w:rPr>
        <w:t>annually each year</w:t>
      </w:r>
      <w:r w:rsidR="00701DC8">
        <w:rPr>
          <w:rFonts w:ascii="Arial" w:hAnsi="Arial" w:cs="Arial"/>
          <w:lang w:val="en"/>
        </w:rPr>
        <w:t xml:space="preserve"> in line with the construction material price indices</w:t>
      </w:r>
      <w:r w:rsidR="009516FA">
        <w:rPr>
          <w:rFonts w:ascii="Arial" w:hAnsi="Arial" w:cs="Arial"/>
          <w:lang w:val="en"/>
        </w:rPr>
        <w:t xml:space="preserve"> as at 31</w:t>
      </w:r>
      <w:r w:rsidR="009516FA" w:rsidRPr="009516FA">
        <w:rPr>
          <w:rFonts w:ascii="Arial" w:hAnsi="Arial" w:cs="Arial"/>
          <w:vertAlign w:val="superscript"/>
          <w:lang w:val="en"/>
        </w:rPr>
        <w:t>st</w:t>
      </w:r>
      <w:r w:rsidR="009516FA">
        <w:rPr>
          <w:rFonts w:ascii="Arial" w:hAnsi="Arial" w:cs="Arial"/>
          <w:lang w:val="en"/>
        </w:rPr>
        <w:t xml:space="preserve"> March each year</w:t>
      </w:r>
      <w:r w:rsidR="00F40F2D">
        <w:rPr>
          <w:rFonts w:ascii="Arial" w:hAnsi="Arial" w:cs="Arial"/>
          <w:lang w:val="en"/>
        </w:rPr>
        <w:t xml:space="preserve">. </w:t>
      </w:r>
      <w:r w:rsidR="005E6151">
        <w:rPr>
          <w:rFonts w:ascii="Arial" w:hAnsi="Arial" w:cs="Arial"/>
          <w:lang w:val="en"/>
        </w:rPr>
        <w:t>In 2021</w:t>
      </w:r>
      <w:r w:rsidR="000B1F26">
        <w:rPr>
          <w:rFonts w:ascii="Arial" w:hAnsi="Arial" w:cs="Arial"/>
          <w:lang w:val="en"/>
        </w:rPr>
        <w:t>/</w:t>
      </w:r>
      <w:r w:rsidR="005E6151">
        <w:rPr>
          <w:rFonts w:ascii="Arial" w:hAnsi="Arial" w:cs="Arial"/>
          <w:lang w:val="en"/>
        </w:rPr>
        <w:t xml:space="preserve">22 this equated to an increase of </w:t>
      </w:r>
      <w:r w:rsidR="00114A14">
        <w:rPr>
          <w:rFonts w:ascii="Arial" w:hAnsi="Arial" w:cs="Arial"/>
          <w:lang w:val="en"/>
        </w:rPr>
        <w:t xml:space="preserve">24.5% </w:t>
      </w:r>
      <w:r w:rsidR="005E6151">
        <w:rPr>
          <w:rFonts w:ascii="Arial" w:hAnsi="Arial" w:cs="Arial"/>
          <w:lang w:val="en"/>
        </w:rPr>
        <w:t xml:space="preserve">increasing the value of the </w:t>
      </w:r>
      <w:r w:rsidR="000B4516">
        <w:rPr>
          <w:rFonts w:ascii="Arial" w:hAnsi="Arial" w:cs="Arial"/>
          <w:lang w:val="en"/>
        </w:rPr>
        <w:t xml:space="preserve">gauging stations by </w:t>
      </w:r>
      <w:r w:rsidR="00886821">
        <w:rPr>
          <w:rFonts w:ascii="Arial" w:hAnsi="Arial" w:cs="Arial"/>
          <w:lang w:val="en"/>
        </w:rPr>
        <w:t>£4.2m</w:t>
      </w:r>
      <w:r w:rsidR="00744D5E">
        <w:rPr>
          <w:rFonts w:ascii="Arial" w:hAnsi="Arial" w:cs="Arial"/>
          <w:lang w:val="en"/>
        </w:rPr>
        <w:t xml:space="preserve"> </w:t>
      </w:r>
      <w:r w:rsidR="002E1448">
        <w:rPr>
          <w:rFonts w:ascii="Arial" w:hAnsi="Arial" w:cs="Arial"/>
          <w:lang w:val="en"/>
        </w:rPr>
        <w:t>to</w:t>
      </w:r>
      <w:r w:rsidR="008619FE">
        <w:rPr>
          <w:rFonts w:ascii="Arial" w:hAnsi="Arial" w:cs="Arial"/>
          <w:lang w:val="en"/>
        </w:rPr>
        <w:t xml:space="preserve"> £21.2</w:t>
      </w:r>
      <w:r w:rsidR="00F40F2D">
        <w:rPr>
          <w:rFonts w:ascii="Arial" w:hAnsi="Arial" w:cs="Arial"/>
          <w:lang w:val="en"/>
        </w:rPr>
        <w:t xml:space="preserve">m. </w:t>
      </w:r>
      <w:r w:rsidR="00D128EA">
        <w:rPr>
          <w:rFonts w:ascii="Arial" w:hAnsi="Arial" w:cs="Arial"/>
          <w:lang w:val="en"/>
        </w:rPr>
        <w:t>A</w:t>
      </w:r>
      <w:r w:rsidR="00461237">
        <w:rPr>
          <w:rFonts w:ascii="Arial" w:hAnsi="Arial" w:cs="Arial"/>
          <w:lang w:val="en"/>
        </w:rPr>
        <w:t xml:space="preserve"> full </w:t>
      </w:r>
      <w:r w:rsidR="00475DE5" w:rsidRPr="00873612">
        <w:rPr>
          <w:rFonts w:ascii="Arial" w:hAnsi="Arial" w:cs="Arial"/>
          <w:lang w:val="en"/>
        </w:rPr>
        <w:t xml:space="preserve">revaluation will be undertaken </w:t>
      </w:r>
      <w:r w:rsidR="00D14E27">
        <w:rPr>
          <w:rFonts w:ascii="Arial" w:hAnsi="Arial" w:cs="Arial"/>
          <w:lang w:val="en"/>
        </w:rPr>
        <w:t xml:space="preserve">in </w:t>
      </w:r>
      <w:r w:rsidR="000845C9">
        <w:rPr>
          <w:rFonts w:ascii="Arial" w:hAnsi="Arial" w:cs="Arial"/>
          <w:lang w:val="en"/>
        </w:rPr>
        <w:t>2022/23</w:t>
      </w:r>
      <w:r w:rsidR="00264769">
        <w:rPr>
          <w:rFonts w:ascii="Arial" w:hAnsi="Arial" w:cs="Arial"/>
          <w:lang w:val="en"/>
        </w:rPr>
        <w:t>.</w:t>
      </w:r>
    </w:p>
    <w:p w14:paraId="774F5C4E" w14:textId="77777777" w:rsidR="00D14E27" w:rsidRPr="00873612" w:rsidRDefault="00D14E27" w:rsidP="000845C9">
      <w:pPr>
        <w:spacing w:line="360" w:lineRule="auto"/>
        <w:ind w:right="-142"/>
        <w:rPr>
          <w:b/>
        </w:rPr>
      </w:pPr>
    </w:p>
    <w:p w14:paraId="57AE9860" w14:textId="274EF6E5" w:rsidR="00997A92" w:rsidRPr="005E0F43" w:rsidRDefault="00997A92" w:rsidP="000845C9">
      <w:pPr>
        <w:pStyle w:val="Default"/>
        <w:spacing w:line="360" w:lineRule="auto"/>
        <w:ind w:right="-142"/>
        <w:jc w:val="both"/>
        <w:rPr>
          <w:b/>
        </w:rPr>
      </w:pPr>
      <w:r w:rsidRPr="005E0F43">
        <w:rPr>
          <w:b/>
        </w:rPr>
        <w:t>Anti-bribery and corruption</w:t>
      </w:r>
    </w:p>
    <w:p w14:paraId="60187589" w14:textId="20E5FA06" w:rsidR="00997A92" w:rsidRPr="005E0F43" w:rsidRDefault="00997A92" w:rsidP="000845C9">
      <w:pPr>
        <w:spacing w:line="360" w:lineRule="auto"/>
        <w:ind w:right="-142"/>
        <w:jc w:val="both"/>
        <w:rPr>
          <w:rFonts w:ascii="Arial" w:hAnsi="Arial" w:cs="Arial"/>
        </w:rPr>
      </w:pPr>
      <w:r w:rsidRPr="005E0F43">
        <w:rPr>
          <w:rFonts w:ascii="Arial" w:hAnsi="Arial" w:cs="Arial"/>
        </w:rPr>
        <w:t>SEPA has zero tolerance towards fraud, bribery</w:t>
      </w:r>
      <w:r w:rsidR="002070E2" w:rsidRPr="005E0F43">
        <w:rPr>
          <w:rFonts w:ascii="Arial" w:hAnsi="Arial" w:cs="Arial"/>
        </w:rPr>
        <w:t>,</w:t>
      </w:r>
      <w:r w:rsidRPr="005E0F43">
        <w:rPr>
          <w:rFonts w:ascii="Arial" w:hAnsi="Arial" w:cs="Arial"/>
        </w:rPr>
        <w:t xml:space="preserve"> and corruption. It has an employee code of conduct, whistle-blowers policy</w:t>
      </w:r>
      <w:r w:rsidR="002070E2" w:rsidRPr="005E0F43">
        <w:rPr>
          <w:rFonts w:ascii="Arial" w:hAnsi="Arial" w:cs="Arial"/>
        </w:rPr>
        <w:t>,</w:t>
      </w:r>
      <w:r w:rsidRPr="005E0F43">
        <w:rPr>
          <w:rFonts w:ascii="Arial" w:hAnsi="Arial" w:cs="Arial"/>
        </w:rPr>
        <w:t xml:space="preserve"> and clear policies regarding acceptable level of gifts and hospitality, both given and received. We actively encourage staff to be aware of appropriate behaviours with both customers and suppliers. We also maintain a gifts and hospitality register.</w:t>
      </w:r>
    </w:p>
    <w:p w14:paraId="256200BB" w14:textId="77777777" w:rsidR="00997A92" w:rsidRPr="005E0F43" w:rsidRDefault="00997A92" w:rsidP="000845C9">
      <w:pPr>
        <w:pStyle w:val="Default"/>
        <w:spacing w:line="360" w:lineRule="auto"/>
        <w:ind w:right="-142"/>
        <w:jc w:val="both"/>
      </w:pPr>
    </w:p>
    <w:p w14:paraId="30A9141E" w14:textId="77777777" w:rsidR="00696CEB" w:rsidRDefault="00997A92" w:rsidP="000845C9">
      <w:pPr>
        <w:spacing w:line="360" w:lineRule="auto"/>
        <w:ind w:right="-142"/>
        <w:jc w:val="both"/>
        <w:rPr>
          <w:rFonts w:ascii="Arial" w:hAnsi="Arial" w:cs="Arial"/>
          <w:lang w:eastAsia="en-US"/>
        </w:rPr>
      </w:pPr>
      <w:r w:rsidRPr="005E0F43">
        <w:rPr>
          <w:rFonts w:ascii="Arial" w:hAnsi="Arial" w:cs="Arial"/>
          <w:lang w:eastAsia="en-US"/>
        </w:rPr>
        <w:t xml:space="preserve">There were </w:t>
      </w:r>
      <w:r w:rsidR="00790F48" w:rsidRPr="005E0F43">
        <w:rPr>
          <w:rFonts w:ascii="Arial" w:hAnsi="Arial" w:cs="Arial"/>
          <w:lang w:eastAsia="en-US"/>
        </w:rPr>
        <w:t>four</w:t>
      </w:r>
      <w:r w:rsidRPr="005E0F43">
        <w:rPr>
          <w:rFonts w:ascii="Arial" w:hAnsi="Arial" w:cs="Arial"/>
          <w:lang w:eastAsia="en-US"/>
        </w:rPr>
        <w:t xml:space="preserve"> reports of fraud in </w:t>
      </w:r>
      <w:r w:rsidR="000845C9">
        <w:rPr>
          <w:rFonts w:ascii="Arial" w:hAnsi="Arial" w:cs="Arial"/>
          <w:lang w:eastAsia="en-US"/>
        </w:rPr>
        <w:t>2021/22</w:t>
      </w:r>
      <w:r w:rsidR="009036C3">
        <w:rPr>
          <w:rFonts w:ascii="Arial" w:hAnsi="Arial" w:cs="Arial"/>
          <w:lang w:eastAsia="en-US"/>
        </w:rPr>
        <w:t xml:space="preserve"> </w:t>
      </w:r>
      <w:r w:rsidR="00284EFC" w:rsidRPr="005E0F43">
        <w:rPr>
          <w:rFonts w:ascii="Arial" w:hAnsi="Arial" w:cs="Arial"/>
          <w:lang w:eastAsia="en-US"/>
        </w:rPr>
        <w:t xml:space="preserve">(in </w:t>
      </w:r>
      <w:r w:rsidR="00284EFC">
        <w:rPr>
          <w:rFonts w:ascii="Arial" w:hAnsi="Arial" w:cs="Arial"/>
          <w:lang w:eastAsia="en-US"/>
        </w:rPr>
        <w:t>2020/21</w:t>
      </w:r>
      <w:r w:rsidR="00284EFC" w:rsidRPr="005E0F43">
        <w:rPr>
          <w:rFonts w:ascii="Arial" w:hAnsi="Arial" w:cs="Arial"/>
          <w:lang w:eastAsia="en-US"/>
        </w:rPr>
        <w:t xml:space="preserve"> there were two reports</w:t>
      </w:r>
      <w:r w:rsidR="00284EFC">
        <w:rPr>
          <w:rFonts w:ascii="Arial" w:hAnsi="Arial" w:cs="Arial"/>
          <w:lang w:eastAsia="en-US"/>
        </w:rPr>
        <w:t>), there was</w:t>
      </w:r>
      <w:r w:rsidR="009036C3">
        <w:rPr>
          <w:rFonts w:ascii="Arial" w:hAnsi="Arial" w:cs="Arial"/>
          <w:lang w:eastAsia="en-US"/>
        </w:rPr>
        <w:t xml:space="preserve"> no direct financial value attributed to any of them</w:t>
      </w:r>
      <w:r w:rsidR="00FB4186">
        <w:rPr>
          <w:rFonts w:ascii="Arial" w:hAnsi="Arial" w:cs="Arial"/>
          <w:lang w:eastAsia="en-US"/>
        </w:rPr>
        <w:t xml:space="preserve">, </w:t>
      </w:r>
      <w:r w:rsidR="00696CEB">
        <w:rPr>
          <w:rFonts w:ascii="Arial" w:hAnsi="Arial" w:cs="Arial"/>
          <w:lang w:eastAsia="en-US"/>
        </w:rPr>
        <w:t xml:space="preserve">and they </w:t>
      </w:r>
      <w:r w:rsidR="00FB4186">
        <w:rPr>
          <w:rFonts w:ascii="Arial" w:hAnsi="Arial" w:cs="Arial"/>
          <w:lang w:eastAsia="en-US"/>
        </w:rPr>
        <w:t>were investigated as appropriate</w:t>
      </w:r>
      <w:r w:rsidR="00383648" w:rsidRPr="005E0F43">
        <w:rPr>
          <w:rFonts w:ascii="Arial" w:hAnsi="Arial" w:cs="Arial"/>
          <w:lang w:eastAsia="en-US"/>
        </w:rPr>
        <w:t xml:space="preserve">.  </w:t>
      </w:r>
    </w:p>
    <w:p w14:paraId="745BFABF" w14:textId="77777777" w:rsidR="00696CEB" w:rsidRDefault="00696CEB" w:rsidP="000845C9">
      <w:pPr>
        <w:spacing w:line="360" w:lineRule="auto"/>
        <w:ind w:right="-142"/>
        <w:jc w:val="both"/>
        <w:rPr>
          <w:rFonts w:ascii="Arial" w:hAnsi="Arial" w:cs="Arial"/>
          <w:lang w:eastAsia="en-US"/>
        </w:rPr>
      </w:pPr>
    </w:p>
    <w:p w14:paraId="7EAAC41C" w14:textId="455519FD" w:rsidR="004909C6" w:rsidRDefault="00383648" w:rsidP="000845C9">
      <w:pPr>
        <w:spacing w:line="360" w:lineRule="auto"/>
        <w:ind w:right="-142"/>
        <w:jc w:val="both"/>
        <w:rPr>
          <w:rFonts w:ascii="Arial" w:hAnsi="Arial" w:cs="Arial"/>
          <w:lang w:eastAsia="en-US"/>
        </w:rPr>
      </w:pPr>
      <w:r w:rsidRPr="005E0F43">
        <w:rPr>
          <w:rFonts w:ascii="Arial" w:hAnsi="Arial" w:cs="Arial"/>
          <w:lang w:eastAsia="en-US"/>
        </w:rPr>
        <w:t xml:space="preserve">We have a Risk Management Group and a Fraud </w:t>
      </w:r>
      <w:r w:rsidR="00A677F6" w:rsidRPr="005E0F43">
        <w:rPr>
          <w:rFonts w:ascii="Arial" w:hAnsi="Arial" w:cs="Arial"/>
          <w:lang w:eastAsia="en-US"/>
        </w:rPr>
        <w:t xml:space="preserve">Response Group.  Both groups are chaired by a member of the Agency Management Team.  Risk issues, including fraud, are escalated through these groups to the Agency Management Team.  The Audit Committee and the Chair of the Board are made aware of significant issues by the Chief Executive or the Clerk to the </w:t>
      </w:r>
      <w:r w:rsidR="00A677F6" w:rsidRPr="005E0F43">
        <w:rPr>
          <w:rFonts w:ascii="Arial" w:hAnsi="Arial" w:cs="Arial"/>
          <w:lang w:eastAsia="en-US"/>
        </w:rPr>
        <w:lastRenderedPageBreak/>
        <w:t>Board.  The Clerk to the Board is also the Corporate Solicitor, and a member of the Fraud Response Group.</w:t>
      </w:r>
    </w:p>
    <w:p w14:paraId="6CD2CC02" w14:textId="77777777" w:rsidR="00696CEB" w:rsidRPr="005E0F43" w:rsidRDefault="00696CEB" w:rsidP="000845C9">
      <w:pPr>
        <w:spacing w:line="360" w:lineRule="auto"/>
        <w:ind w:right="-142"/>
        <w:jc w:val="both"/>
      </w:pPr>
    </w:p>
    <w:p w14:paraId="2B2BC81D" w14:textId="72EADCA0" w:rsidR="00993B06" w:rsidRPr="00015573" w:rsidRDefault="00E61972" w:rsidP="00802A98">
      <w:pPr>
        <w:pStyle w:val="01aMainHeader"/>
        <w:numPr>
          <w:ilvl w:val="1"/>
          <w:numId w:val="34"/>
        </w:numPr>
        <w:spacing w:before="0" w:after="0"/>
      </w:pPr>
      <w:bookmarkStart w:id="25" w:name="_Toc119068083"/>
      <w:r w:rsidRPr="00015573">
        <w:t>Equality and diversity</w:t>
      </w:r>
      <w:bookmarkEnd w:id="25"/>
    </w:p>
    <w:p w14:paraId="371EC8A8" w14:textId="77777777" w:rsidR="009B184A" w:rsidRPr="009B184A" w:rsidRDefault="009B184A" w:rsidP="009B184A">
      <w:pPr>
        <w:pStyle w:val="01aMainHeader"/>
        <w:spacing w:before="0" w:after="0"/>
        <w:rPr>
          <w:b w:val="0"/>
          <w:bCs/>
          <w:sz w:val="24"/>
          <w:szCs w:val="24"/>
          <w:highlight w:val="yellow"/>
        </w:rPr>
      </w:pPr>
    </w:p>
    <w:p w14:paraId="19DFD8B1" w14:textId="3B0670ED" w:rsidR="00A7151A" w:rsidRDefault="00A7151A" w:rsidP="000845C9">
      <w:pPr>
        <w:spacing w:line="360" w:lineRule="auto"/>
        <w:rPr>
          <w:rFonts w:ascii="Arial" w:eastAsia="Arial" w:hAnsi="Arial" w:cs="Arial"/>
        </w:rPr>
      </w:pPr>
      <w:r w:rsidRPr="009E7232">
        <w:rPr>
          <w:rFonts w:ascii="Arial" w:hAnsi="Arial" w:cs="Arial"/>
          <w:color w:val="000000" w:themeColor="text1"/>
          <w:lang w:val="en"/>
        </w:rPr>
        <w:t>In 2021</w:t>
      </w:r>
      <w:r>
        <w:rPr>
          <w:rFonts w:ascii="Arial" w:hAnsi="Arial" w:cs="Arial"/>
          <w:color w:val="000000" w:themeColor="text1"/>
          <w:lang w:val="en"/>
        </w:rPr>
        <w:t>,</w:t>
      </w:r>
      <w:r w:rsidRPr="009E7232">
        <w:rPr>
          <w:rFonts w:ascii="Arial" w:hAnsi="Arial" w:cs="Arial"/>
          <w:color w:val="000000" w:themeColor="text1"/>
          <w:lang w:val="en"/>
        </w:rPr>
        <w:t xml:space="preserve"> we </w:t>
      </w:r>
      <w:r w:rsidRPr="009E7232">
        <w:rPr>
          <w:rFonts w:ascii="Arial" w:eastAsia="Arial" w:hAnsi="Arial" w:cs="Arial"/>
          <w:color w:val="000000" w:themeColor="text1"/>
          <w:lang w:val="en"/>
        </w:rPr>
        <w:t xml:space="preserve">published our </w:t>
      </w:r>
      <w:hyperlink r:id="rId43" w:history="1">
        <w:r w:rsidRPr="006F49AD">
          <w:rPr>
            <w:rStyle w:val="Hyperlink"/>
            <w:rFonts w:ascii="Arial" w:eastAsia="Arial" w:hAnsi="Arial" w:cs="Arial"/>
            <w:lang w:val="en"/>
          </w:rPr>
          <w:t xml:space="preserve">Equality Mainstreaming </w:t>
        </w:r>
        <w:r>
          <w:rPr>
            <w:rStyle w:val="Hyperlink"/>
            <w:rFonts w:ascii="Arial" w:eastAsia="Arial" w:hAnsi="Arial" w:cs="Arial"/>
            <w:lang w:val="en"/>
          </w:rPr>
          <w:t xml:space="preserve">and Outcome </w:t>
        </w:r>
        <w:r w:rsidRPr="006F49AD">
          <w:rPr>
            <w:rStyle w:val="Hyperlink"/>
            <w:rFonts w:ascii="Arial" w:hAnsi="Arial" w:cs="Arial"/>
            <w:lang w:val="en"/>
          </w:rPr>
          <w:t>report</w:t>
        </w:r>
      </w:hyperlink>
      <w:r>
        <w:rPr>
          <w:rFonts w:ascii="Arial" w:hAnsi="Arial" w:cs="Arial"/>
          <w:color w:val="000000" w:themeColor="text1"/>
          <w:lang w:val="en"/>
        </w:rPr>
        <w:t>. In that report we</w:t>
      </w:r>
      <w:r w:rsidRPr="001B1773">
        <w:rPr>
          <w:rFonts w:ascii="Arial" w:eastAsia="Arial" w:hAnsi="Arial" w:cs="Arial"/>
        </w:rPr>
        <w:t>:</w:t>
      </w:r>
    </w:p>
    <w:p w14:paraId="01270BEB" w14:textId="77777777" w:rsidR="009B184A" w:rsidRPr="00E94D9A" w:rsidRDefault="009B184A" w:rsidP="000845C9">
      <w:pPr>
        <w:spacing w:line="360" w:lineRule="auto"/>
        <w:rPr>
          <w:rFonts w:ascii="Arial" w:hAnsi="Arial" w:cs="Arial"/>
          <w:color w:val="000000" w:themeColor="text1"/>
          <w:lang w:val="en"/>
        </w:rPr>
      </w:pPr>
    </w:p>
    <w:p w14:paraId="3B88BE97" w14:textId="7525C8F3" w:rsidR="00A7151A" w:rsidRDefault="00A7151A" w:rsidP="000845C9">
      <w:pPr>
        <w:pStyle w:val="ListParagraph"/>
        <w:numPr>
          <w:ilvl w:val="0"/>
          <w:numId w:val="24"/>
        </w:numPr>
        <w:spacing w:line="360" w:lineRule="auto"/>
        <w:rPr>
          <w:rFonts w:ascii="Arial" w:eastAsia="Arial" w:hAnsi="Arial" w:cs="Arial"/>
        </w:rPr>
      </w:pPr>
      <w:r>
        <w:rPr>
          <w:rFonts w:ascii="Arial" w:eastAsia="Arial" w:hAnsi="Arial" w:cs="Arial"/>
        </w:rPr>
        <w:t>explained the steps we are taking to ma</w:t>
      </w:r>
      <w:r w:rsidRPr="00357603">
        <w:rPr>
          <w:rFonts w:ascii="Arial" w:eastAsia="Arial" w:hAnsi="Arial" w:cs="Arial"/>
        </w:rPr>
        <w:t>instream equality</w:t>
      </w:r>
      <w:r>
        <w:rPr>
          <w:rFonts w:ascii="Arial" w:eastAsia="Arial" w:hAnsi="Arial" w:cs="Arial"/>
        </w:rPr>
        <w:t>;</w:t>
      </w:r>
      <w:r w:rsidRPr="00357603">
        <w:rPr>
          <w:rFonts w:ascii="Arial" w:eastAsia="Arial" w:hAnsi="Arial" w:cs="Arial"/>
        </w:rPr>
        <w:t xml:space="preserve"> </w:t>
      </w:r>
    </w:p>
    <w:p w14:paraId="459B02D2" w14:textId="77777777" w:rsidR="009B184A" w:rsidRPr="00357603" w:rsidRDefault="009B184A" w:rsidP="000845C9">
      <w:pPr>
        <w:pStyle w:val="ListParagraph"/>
        <w:spacing w:line="360" w:lineRule="auto"/>
        <w:rPr>
          <w:rFonts w:ascii="Arial" w:eastAsia="Arial" w:hAnsi="Arial" w:cs="Arial"/>
        </w:rPr>
      </w:pPr>
    </w:p>
    <w:p w14:paraId="08047ADB" w14:textId="77777777" w:rsidR="00A7151A" w:rsidRPr="00357603" w:rsidRDefault="00A7151A" w:rsidP="000845C9">
      <w:pPr>
        <w:pStyle w:val="ListParagraph"/>
        <w:numPr>
          <w:ilvl w:val="0"/>
          <w:numId w:val="24"/>
        </w:numPr>
        <w:spacing w:line="360" w:lineRule="auto"/>
        <w:rPr>
          <w:rFonts w:ascii="Arial" w:eastAsia="Arial" w:hAnsi="Arial" w:cs="Arial"/>
        </w:rPr>
      </w:pPr>
      <w:r>
        <w:rPr>
          <w:rFonts w:ascii="Arial" w:eastAsia="Arial" w:hAnsi="Arial" w:cs="Arial"/>
        </w:rPr>
        <w:t xml:space="preserve">gave an update on progress with our two </w:t>
      </w:r>
      <w:r w:rsidRPr="00357603">
        <w:rPr>
          <w:rFonts w:ascii="Arial" w:eastAsia="Arial" w:hAnsi="Arial" w:cs="Arial"/>
        </w:rPr>
        <w:t>equality outcomes</w:t>
      </w:r>
      <w:r>
        <w:rPr>
          <w:rFonts w:ascii="Arial" w:eastAsia="Arial" w:hAnsi="Arial" w:cs="Arial"/>
        </w:rPr>
        <w:t>:</w:t>
      </w:r>
      <w:r w:rsidRPr="00357603">
        <w:rPr>
          <w:rFonts w:ascii="Arial" w:eastAsia="Arial" w:hAnsi="Arial" w:cs="Arial"/>
        </w:rPr>
        <w:t xml:space="preserve"> </w:t>
      </w:r>
    </w:p>
    <w:p w14:paraId="2EE9C86D" w14:textId="77777777" w:rsidR="00A7151A" w:rsidRDefault="00A7151A" w:rsidP="000845C9">
      <w:pPr>
        <w:pStyle w:val="ListParagraph"/>
        <w:numPr>
          <w:ilvl w:val="1"/>
          <w:numId w:val="44"/>
        </w:numPr>
        <w:overflowPunct w:val="0"/>
        <w:autoSpaceDE w:val="0"/>
        <w:autoSpaceDN w:val="0"/>
        <w:adjustRightInd w:val="0"/>
        <w:spacing w:line="360" w:lineRule="auto"/>
        <w:textAlignment w:val="baseline"/>
        <w:rPr>
          <w:rFonts w:ascii="Arial" w:eastAsia="Arial" w:hAnsi="Arial" w:cs="Arial"/>
        </w:rPr>
      </w:pPr>
      <w:r w:rsidRPr="00A9172E">
        <w:rPr>
          <w:rFonts w:ascii="Arial" w:eastAsia="Arial" w:hAnsi="Arial" w:cs="Arial"/>
        </w:rPr>
        <w:t>SEPA’s performance is enhanced by having a workforce whose diversity more closely reflects that of Scotland</w:t>
      </w:r>
      <w:r>
        <w:rPr>
          <w:rFonts w:ascii="Arial" w:eastAsia="Arial" w:hAnsi="Arial" w:cs="Arial"/>
        </w:rPr>
        <w:t>.</w:t>
      </w:r>
    </w:p>
    <w:p w14:paraId="59BABF29" w14:textId="66C80588" w:rsidR="00A7151A" w:rsidRDefault="00A7151A" w:rsidP="000845C9">
      <w:pPr>
        <w:pStyle w:val="ListParagraph"/>
        <w:numPr>
          <w:ilvl w:val="1"/>
          <w:numId w:val="44"/>
        </w:numPr>
        <w:overflowPunct w:val="0"/>
        <w:autoSpaceDE w:val="0"/>
        <w:autoSpaceDN w:val="0"/>
        <w:adjustRightInd w:val="0"/>
        <w:spacing w:line="360" w:lineRule="auto"/>
        <w:textAlignment w:val="baseline"/>
        <w:rPr>
          <w:rFonts w:ascii="Arial" w:eastAsia="Arial" w:hAnsi="Arial" w:cs="Arial"/>
        </w:rPr>
      </w:pPr>
      <w:r w:rsidRPr="00A9172E">
        <w:rPr>
          <w:rFonts w:ascii="Arial" w:eastAsia="Arial" w:hAnsi="Arial" w:cs="Arial"/>
        </w:rPr>
        <w:t>The people of Scotland, including minority communities, can readily access, understand and are enabled to act upon SEPA services</w:t>
      </w:r>
      <w:r>
        <w:rPr>
          <w:rFonts w:ascii="Arial" w:eastAsia="Arial" w:hAnsi="Arial" w:cs="Arial"/>
        </w:rPr>
        <w:t>.</w:t>
      </w:r>
    </w:p>
    <w:p w14:paraId="22892B0B" w14:textId="77777777" w:rsidR="009B184A" w:rsidRPr="00357603" w:rsidRDefault="009B184A" w:rsidP="000845C9">
      <w:pPr>
        <w:pStyle w:val="ListParagraph"/>
        <w:overflowPunct w:val="0"/>
        <w:autoSpaceDE w:val="0"/>
        <w:autoSpaceDN w:val="0"/>
        <w:adjustRightInd w:val="0"/>
        <w:spacing w:line="360" w:lineRule="auto"/>
        <w:ind w:left="1080"/>
        <w:textAlignment w:val="baseline"/>
        <w:rPr>
          <w:rFonts w:ascii="Arial" w:eastAsia="Arial" w:hAnsi="Arial" w:cs="Arial"/>
        </w:rPr>
      </w:pPr>
    </w:p>
    <w:p w14:paraId="6C445F42" w14:textId="502CC5B0" w:rsidR="00A7151A" w:rsidRDefault="00A7151A" w:rsidP="000845C9">
      <w:pPr>
        <w:pStyle w:val="ListParagraph"/>
        <w:numPr>
          <w:ilvl w:val="0"/>
          <w:numId w:val="24"/>
        </w:numPr>
        <w:spacing w:line="360" w:lineRule="auto"/>
        <w:rPr>
          <w:rFonts w:ascii="Arial" w:eastAsia="Arial" w:hAnsi="Arial" w:cs="Arial"/>
        </w:rPr>
      </w:pPr>
      <w:r>
        <w:rPr>
          <w:rFonts w:ascii="Arial" w:eastAsia="Arial" w:hAnsi="Arial" w:cs="Arial"/>
        </w:rPr>
        <w:t>provided data showing the profile of our staff in relation to the protected characteristics, as well as gender pay gap information; and</w:t>
      </w:r>
    </w:p>
    <w:p w14:paraId="60A8D93C" w14:textId="77777777" w:rsidR="009B184A" w:rsidRDefault="009B184A" w:rsidP="000845C9">
      <w:pPr>
        <w:pStyle w:val="ListParagraph"/>
        <w:spacing w:line="360" w:lineRule="auto"/>
        <w:rPr>
          <w:rFonts w:ascii="Arial" w:eastAsia="Arial" w:hAnsi="Arial" w:cs="Arial"/>
        </w:rPr>
      </w:pPr>
    </w:p>
    <w:p w14:paraId="16075F3D" w14:textId="5200E55A" w:rsidR="00A7151A" w:rsidRDefault="00A7151A" w:rsidP="000845C9">
      <w:pPr>
        <w:pStyle w:val="ListParagraph"/>
        <w:numPr>
          <w:ilvl w:val="0"/>
          <w:numId w:val="24"/>
        </w:numPr>
        <w:spacing w:line="360" w:lineRule="auto"/>
        <w:rPr>
          <w:rFonts w:ascii="Arial" w:eastAsia="Arial" w:hAnsi="Arial" w:cs="Arial"/>
        </w:rPr>
      </w:pPr>
      <w:r>
        <w:rPr>
          <w:rFonts w:ascii="Arial" w:eastAsia="Arial" w:hAnsi="Arial" w:cs="Arial"/>
        </w:rPr>
        <w:t>provided an update on the steps we have taken to ensure diversity on our Board.</w:t>
      </w:r>
    </w:p>
    <w:p w14:paraId="076B8345" w14:textId="77777777" w:rsidR="009B184A" w:rsidRPr="00357603" w:rsidRDefault="009B184A" w:rsidP="000845C9">
      <w:pPr>
        <w:pStyle w:val="ListParagraph"/>
        <w:overflowPunct w:val="0"/>
        <w:autoSpaceDE w:val="0"/>
        <w:autoSpaceDN w:val="0"/>
        <w:adjustRightInd w:val="0"/>
        <w:spacing w:line="360" w:lineRule="auto"/>
        <w:ind w:left="714"/>
        <w:textAlignment w:val="baseline"/>
        <w:rPr>
          <w:rFonts w:ascii="Arial" w:eastAsia="Arial" w:hAnsi="Arial" w:cs="Arial"/>
        </w:rPr>
      </w:pPr>
    </w:p>
    <w:p w14:paraId="33DD6F2B" w14:textId="5DF2F575" w:rsidR="00A7151A" w:rsidRDefault="00A7151A" w:rsidP="000845C9">
      <w:pPr>
        <w:spacing w:line="360" w:lineRule="auto"/>
        <w:rPr>
          <w:rFonts w:ascii="Arial" w:hAnsi="Arial" w:cs="Arial"/>
          <w:color w:val="000000" w:themeColor="text1"/>
          <w:lang w:val="en"/>
        </w:rPr>
      </w:pPr>
      <w:r>
        <w:rPr>
          <w:rFonts w:ascii="Arial" w:hAnsi="Arial" w:cs="Arial"/>
          <w:color w:val="000000" w:themeColor="text1"/>
          <w:lang w:val="en"/>
        </w:rPr>
        <w:t>Over</w:t>
      </w:r>
      <w:r>
        <w:rPr>
          <w:rFonts w:ascii="Arial" w:eastAsia="Arial" w:hAnsi="Arial" w:cs="Arial"/>
          <w:color w:val="000000" w:themeColor="text1"/>
          <w:lang w:val="en"/>
        </w:rPr>
        <w:t xml:space="preserve"> the</w:t>
      </w:r>
      <w:r>
        <w:rPr>
          <w:rFonts w:ascii="Arial" w:hAnsi="Arial" w:cs="Arial"/>
          <w:color w:val="000000" w:themeColor="text1"/>
          <w:lang w:val="en"/>
        </w:rPr>
        <w:t xml:space="preserve"> year</w:t>
      </w:r>
      <w:r>
        <w:rPr>
          <w:rFonts w:ascii="Arial" w:eastAsia="Arial" w:hAnsi="Arial" w:cs="Arial"/>
          <w:color w:val="000000" w:themeColor="text1"/>
          <w:lang w:val="en"/>
        </w:rPr>
        <w:t xml:space="preserve"> we</w:t>
      </w:r>
      <w:r w:rsidRPr="00070702">
        <w:rPr>
          <w:rFonts w:ascii="Arial" w:eastAsia="Arial" w:hAnsi="Arial" w:cs="Arial"/>
          <w:color w:val="000000" w:themeColor="text1"/>
          <w:lang w:val="en"/>
        </w:rPr>
        <w:t xml:space="preserve"> </w:t>
      </w:r>
      <w:r w:rsidRPr="00070702">
        <w:rPr>
          <w:rFonts w:ascii="Arial" w:hAnsi="Arial" w:cs="Arial"/>
          <w:color w:val="000000" w:themeColor="text1"/>
          <w:lang w:val="en"/>
        </w:rPr>
        <w:t>develop</w:t>
      </w:r>
      <w:r>
        <w:rPr>
          <w:rFonts w:ascii="Arial" w:hAnsi="Arial" w:cs="Arial"/>
          <w:color w:val="000000" w:themeColor="text1"/>
          <w:lang w:val="en"/>
        </w:rPr>
        <w:t>ed</w:t>
      </w:r>
      <w:r w:rsidRPr="00070702">
        <w:rPr>
          <w:rFonts w:ascii="Arial" w:hAnsi="Arial" w:cs="Arial"/>
          <w:color w:val="000000" w:themeColor="text1"/>
          <w:lang w:val="en"/>
        </w:rPr>
        <w:t xml:space="preserve"> new equality outcomes which will cover the period 2022-2026</w:t>
      </w:r>
      <w:r w:rsidR="0068651A">
        <w:rPr>
          <w:rFonts w:ascii="Arial" w:hAnsi="Arial" w:cs="Arial"/>
          <w:color w:val="000000" w:themeColor="text1"/>
          <w:lang w:val="en"/>
        </w:rPr>
        <w:t xml:space="preserve"> and</w:t>
      </w:r>
      <w:r w:rsidRPr="00070702">
        <w:rPr>
          <w:rFonts w:ascii="Arial" w:hAnsi="Arial" w:cs="Arial"/>
          <w:color w:val="000000" w:themeColor="text1"/>
          <w:lang w:val="en"/>
        </w:rPr>
        <w:t xml:space="preserve"> </w:t>
      </w:r>
      <w:r w:rsidR="0068651A">
        <w:rPr>
          <w:rFonts w:ascii="Arial" w:hAnsi="Arial" w:cs="Arial"/>
          <w:color w:val="000000" w:themeColor="text1"/>
          <w:lang w:val="en"/>
        </w:rPr>
        <w:t>w</w:t>
      </w:r>
      <w:r>
        <w:rPr>
          <w:rFonts w:ascii="Arial" w:hAnsi="Arial" w:cs="Arial"/>
          <w:color w:val="000000" w:themeColor="text1"/>
          <w:lang w:val="en"/>
        </w:rPr>
        <w:t>e set up a</w:t>
      </w:r>
      <w:r w:rsidRPr="00070702">
        <w:rPr>
          <w:rFonts w:ascii="Arial" w:hAnsi="Arial" w:cs="Arial"/>
          <w:color w:val="000000" w:themeColor="text1"/>
          <w:lang w:val="en"/>
        </w:rPr>
        <w:t xml:space="preserve"> staff idea</w:t>
      </w:r>
      <w:r>
        <w:rPr>
          <w:rFonts w:ascii="Arial" w:hAnsi="Arial" w:cs="Arial"/>
          <w:color w:val="000000" w:themeColor="text1"/>
          <w:lang w:val="en"/>
        </w:rPr>
        <w:t>s</w:t>
      </w:r>
      <w:r w:rsidRPr="00070702">
        <w:rPr>
          <w:rFonts w:ascii="Arial" w:hAnsi="Arial" w:cs="Arial"/>
          <w:color w:val="000000" w:themeColor="text1"/>
          <w:lang w:val="en"/>
        </w:rPr>
        <w:t xml:space="preserve"> group to </w:t>
      </w:r>
      <w:r>
        <w:rPr>
          <w:rFonts w:ascii="Arial" w:hAnsi="Arial" w:cs="Arial"/>
          <w:color w:val="000000" w:themeColor="text1"/>
          <w:lang w:val="en"/>
        </w:rPr>
        <w:t>inform</w:t>
      </w:r>
      <w:r w:rsidRPr="00070702">
        <w:rPr>
          <w:rFonts w:ascii="Arial" w:hAnsi="Arial" w:cs="Arial"/>
          <w:color w:val="000000" w:themeColor="text1"/>
          <w:lang w:val="en"/>
        </w:rPr>
        <w:t xml:space="preserve"> </w:t>
      </w:r>
      <w:r>
        <w:rPr>
          <w:rFonts w:ascii="Arial" w:hAnsi="Arial" w:cs="Arial"/>
          <w:color w:val="000000" w:themeColor="text1"/>
          <w:lang w:val="en"/>
        </w:rPr>
        <w:t>the new outcomes.</w:t>
      </w:r>
    </w:p>
    <w:p w14:paraId="4C9354E3" w14:textId="77777777" w:rsidR="009B184A" w:rsidRPr="00070702" w:rsidRDefault="009B184A" w:rsidP="000845C9">
      <w:pPr>
        <w:spacing w:line="360" w:lineRule="auto"/>
        <w:rPr>
          <w:rFonts w:ascii="Arial" w:hAnsi="Arial" w:cs="Arial"/>
          <w:color w:val="000000" w:themeColor="text1"/>
          <w:lang w:val="en"/>
        </w:rPr>
      </w:pPr>
    </w:p>
    <w:p w14:paraId="50FE8D73" w14:textId="4DB2D9AA" w:rsidR="00A7151A" w:rsidRDefault="00A7151A" w:rsidP="000845C9">
      <w:pPr>
        <w:spacing w:line="360" w:lineRule="auto"/>
        <w:rPr>
          <w:rFonts w:ascii="Arial" w:hAnsi="Arial" w:cs="Arial"/>
          <w:color w:val="000000" w:themeColor="text1"/>
          <w:lang w:val="en"/>
        </w:rPr>
      </w:pPr>
      <w:r>
        <w:rPr>
          <w:rFonts w:ascii="Arial" w:hAnsi="Arial" w:cs="Arial"/>
          <w:color w:val="000000" w:themeColor="text1"/>
          <w:lang w:val="en"/>
        </w:rPr>
        <w:t xml:space="preserve">We also set up </w:t>
      </w:r>
      <w:r w:rsidRPr="00070702">
        <w:rPr>
          <w:rFonts w:ascii="Arial" w:hAnsi="Arial" w:cs="Arial"/>
          <w:color w:val="000000" w:themeColor="text1"/>
          <w:lang w:val="en"/>
        </w:rPr>
        <w:t>a lived experience group for staff who face barriers accessing our digital services. The group helps us to understand where issues are, inform solutions</w:t>
      </w:r>
      <w:r w:rsidR="00ED211B">
        <w:rPr>
          <w:rFonts w:ascii="Arial" w:hAnsi="Arial" w:cs="Arial"/>
          <w:color w:val="000000" w:themeColor="text1"/>
          <w:lang w:val="en"/>
        </w:rPr>
        <w:t>,</w:t>
      </w:r>
      <w:r w:rsidRPr="00070702">
        <w:rPr>
          <w:rFonts w:ascii="Arial" w:hAnsi="Arial" w:cs="Arial"/>
          <w:color w:val="000000" w:themeColor="text1"/>
          <w:lang w:val="en"/>
        </w:rPr>
        <w:t xml:space="preserve"> and helps us build digital accessibility into future projects.</w:t>
      </w:r>
    </w:p>
    <w:p w14:paraId="7F120F88" w14:textId="77777777" w:rsidR="009B184A" w:rsidRPr="00F8145D" w:rsidRDefault="009B184A" w:rsidP="000845C9">
      <w:pPr>
        <w:spacing w:line="360" w:lineRule="auto"/>
        <w:rPr>
          <w:rFonts w:ascii="Arial" w:hAnsi="Arial" w:cs="Arial"/>
          <w:color w:val="000000" w:themeColor="text1"/>
          <w:lang w:val="en"/>
        </w:rPr>
      </w:pPr>
    </w:p>
    <w:p w14:paraId="508563E5" w14:textId="0A7220A0" w:rsidR="00A7151A" w:rsidRPr="006E6AD8" w:rsidRDefault="00A7151A" w:rsidP="000845C9">
      <w:pPr>
        <w:pStyle w:val="01aMainHeader"/>
        <w:numPr>
          <w:ilvl w:val="1"/>
          <w:numId w:val="34"/>
        </w:numPr>
        <w:spacing w:before="0" w:after="0"/>
      </w:pPr>
      <w:bookmarkStart w:id="26" w:name="_Toc119068084"/>
      <w:r w:rsidRPr="006E6AD8">
        <w:t>Sustainability</w:t>
      </w:r>
      <w:bookmarkEnd w:id="26"/>
      <w:r w:rsidRPr="006E6AD8">
        <w:t xml:space="preserve"> </w:t>
      </w:r>
    </w:p>
    <w:p w14:paraId="289F8305" w14:textId="77777777" w:rsidR="009B184A" w:rsidRPr="009B184A" w:rsidRDefault="009B184A" w:rsidP="000845C9">
      <w:pPr>
        <w:pStyle w:val="ListParagraph"/>
        <w:spacing w:line="360" w:lineRule="auto"/>
        <w:rPr>
          <w:rFonts w:ascii="Arial" w:hAnsi="Arial" w:cs="Arial"/>
          <w:color w:val="70AD47"/>
          <w:spacing w:val="-3"/>
          <w:bdr w:val="none" w:sz="0" w:space="0" w:color="auto" w:frame="1"/>
        </w:rPr>
      </w:pPr>
    </w:p>
    <w:p w14:paraId="28563058" w14:textId="4BA18CD0" w:rsidR="00A7151A" w:rsidRPr="00E949AA" w:rsidRDefault="00A7151A" w:rsidP="000845C9">
      <w:pPr>
        <w:spacing w:line="360" w:lineRule="auto"/>
        <w:rPr>
          <w:rFonts w:ascii="Arial" w:hAnsi="Arial" w:cs="Arial"/>
          <w:b/>
          <w:bCs/>
          <w:color w:val="000000"/>
        </w:rPr>
      </w:pPr>
      <w:r w:rsidRPr="0052232B">
        <w:rPr>
          <w:rFonts w:ascii="Arial" w:hAnsi="Arial" w:cs="Arial"/>
          <w:b/>
          <w:bCs/>
          <w:color w:val="000000"/>
        </w:rPr>
        <w:t>Mandatory greenhouse gas reporting</w:t>
      </w:r>
      <w:r>
        <w:rPr>
          <w:rFonts w:ascii="Arial" w:hAnsi="Arial" w:cs="Arial"/>
          <w:b/>
          <w:bCs/>
          <w:color w:val="000000"/>
        </w:rPr>
        <w:t xml:space="preserve"> </w:t>
      </w:r>
    </w:p>
    <w:p w14:paraId="0D8965E1" w14:textId="0166C5A0" w:rsidR="00A7151A" w:rsidRDefault="00A7151A" w:rsidP="000845C9">
      <w:pPr>
        <w:spacing w:line="360" w:lineRule="auto"/>
        <w:rPr>
          <w:rFonts w:ascii="Arial" w:hAnsi="Arial" w:cs="Arial"/>
        </w:rPr>
      </w:pPr>
      <w:r w:rsidRPr="00220637">
        <w:rPr>
          <w:rFonts w:ascii="Arial" w:hAnsi="Arial" w:cs="Arial"/>
          <w:color w:val="111111"/>
          <w:spacing w:val="-3"/>
          <w:bdr w:val="none" w:sz="0" w:space="0" w:color="auto" w:frame="1"/>
        </w:rPr>
        <w:t>We have a statutory duty to report on our climate change action</w:t>
      </w:r>
      <w:r>
        <w:rPr>
          <w:rFonts w:ascii="Arial" w:hAnsi="Arial" w:cs="Arial"/>
          <w:color w:val="111111"/>
          <w:spacing w:val="-3"/>
          <w:bdr w:val="none" w:sz="0" w:space="0" w:color="auto" w:frame="1"/>
        </w:rPr>
        <w:t xml:space="preserve"> under the Climate Change Scotland Act. </w:t>
      </w:r>
      <w:r w:rsidRPr="00220637">
        <w:rPr>
          <w:rFonts w:ascii="Arial" w:hAnsi="Arial" w:cs="Arial"/>
          <w:color w:val="111111"/>
          <w:spacing w:val="-3"/>
          <w:bdr w:val="none" w:sz="0" w:space="0" w:color="auto" w:frame="1"/>
        </w:rPr>
        <w:t>The report focuses on greenhouse gas emissions from our buildings and travel</w:t>
      </w:r>
      <w:r>
        <w:rPr>
          <w:rFonts w:ascii="Arial" w:hAnsi="Arial" w:cs="Arial"/>
          <w:color w:val="111111"/>
          <w:spacing w:val="-3"/>
          <w:bdr w:val="none" w:sz="0" w:space="0" w:color="auto" w:frame="1"/>
        </w:rPr>
        <w:t xml:space="preserve"> for the previous year</w:t>
      </w:r>
      <w:r w:rsidRPr="00220637">
        <w:rPr>
          <w:rFonts w:ascii="Arial" w:hAnsi="Arial" w:cs="Arial"/>
          <w:color w:val="111111"/>
          <w:spacing w:val="-3"/>
          <w:bdr w:val="none" w:sz="0" w:space="0" w:color="auto" w:frame="1"/>
        </w:rPr>
        <w:t xml:space="preserve">. </w:t>
      </w:r>
      <w:r>
        <w:rPr>
          <w:rFonts w:ascii="Arial" w:hAnsi="Arial" w:cs="Arial"/>
          <w:color w:val="111111"/>
          <w:spacing w:val="-3"/>
          <w:bdr w:val="none" w:sz="0" w:space="0" w:color="auto" w:frame="1"/>
        </w:rPr>
        <w:t xml:space="preserve">We submitted our report </w:t>
      </w:r>
      <w:r w:rsidRPr="00220637">
        <w:rPr>
          <w:rFonts w:ascii="Arial" w:hAnsi="Arial" w:cs="Arial"/>
        </w:rPr>
        <w:t>to the Sustainable Scotland Network</w:t>
      </w:r>
      <w:r>
        <w:rPr>
          <w:rFonts w:ascii="Arial" w:hAnsi="Arial" w:cs="Arial"/>
          <w:color w:val="111111"/>
          <w:spacing w:val="-3"/>
          <w:bdr w:val="none" w:sz="0" w:space="0" w:color="auto" w:frame="1"/>
        </w:rPr>
        <w:t xml:space="preserve"> in November </w:t>
      </w:r>
      <w:r w:rsidR="00577282">
        <w:rPr>
          <w:rFonts w:ascii="Arial" w:hAnsi="Arial" w:cs="Arial"/>
          <w:color w:val="111111"/>
          <w:spacing w:val="-3"/>
          <w:bdr w:val="none" w:sz="0" w:space="0" w:color="auto" w:frame="1"/>
        </w:rPr>
        <w:t>2021,</w:t>
      </w:r>
      <w:r>
        <w:rPr>
          <w:rFonts w:ascii="Arial" w:hAnsi="Arial" w:cs="Arial"/>
          <w:color w:val="111111"/>
          <w:spacing w:val="-3"/>
          <w:bdr w:val="none" w:sz="0" w:space="0" w:color="auto" w:frame="1"/>
        </w:rPr>
        <w:t xml:space="preserve"> and it</w:t>
      </w:r>
      <w:r w:rsidRPr="00220637">
        <w:rPr>
          <w:rFonts w:ascii="Arial" w:hAnsi="Arial" w:cs="Arial"/>
          <w:color w:val="111111"/>
          <w:spacing w:val="-3"/>
          <w:bdr w:val="none" w:sz="0" w:space="0" w:color="auto" w:frame="1"/>
        </w:rPr>
        <w:t xml:space="preserve"> can </w:t>
      </w:r>
      <w:r w:rsidRPr="00220637">
        <w:rPr>
          <w:rFonts w:ascii="Arial" w:hAnsi="Arial" w:cs="Arial"/>
        </w:rPr>
        <w:t>be viewed</w:t>
      </w:r>
      <w:r>
        <w:rPr>
          <w:rFonts w:ascii="Arial" w:hAnsi="Arial" w:cs="Arial"/>
        </w:rPr>
        <w:t xml:space="preserve"> </w:t>
      </w:r>
      <w:hyperlink r:id="rId44" w:history="1">
        <w:r w:rsidRPr="009F6226">
          <w:rPr>
            <w:rStyle w:val="Hyperlink"/>
            <w:rFonts w:ascii="Arial" w:hAnsi="Arial" w:cs="Arial"/>
          </w:rPr>
          <w:t>on their website</w:t>
        </w:r>
      </w:hyperlink>
      <w:r w:rsidRPr="009F6226">
        <w:rPr>
          <w:rFonts w:ascii="Arial" w:hAnsi="Arial" w:cs="Arial"/>
        </w:rPr>
        <w:t>.</w:t>
      </w:r>
    </w:p>
    <w:p w14:paraId="0794F837" w14:textId="724A9DBA" w:rsidR="009B184A" w:rsidRPr="00220637" w:rsidRDefault="00FE4414" w:rsidP="000845C9">
      <w:pPr>
        <w:spacing w:line="360" w:lineRule="auto"/>
        <w:rPr>
          <w:rFonts w:ascii="Arial" w:hAnsi="Arial" w:cs="Arial"/>
          <w:color w:val="111111"/>
          <w:spacing w:val="-3"/>
          <w:bdr w:val="none" w:sz="0" w:space="0" w:color="auto" w:frame="1"/>
        </w:rPr>
      </w:pPr>
      <w:r>
        <w:rPr>
          <w:rFonts w:ascii="Arial" w:hAnsi="Arial" w:cs="Arial"/>
          <w:color w:val="111111"/>
          <w:spacing w:val="-3"/>
          <w:bdr w:val="none" w:sz="0" w:space="0" w:color="auto" w:frame="1"/>
        </w:rPr>
        <w:br w:type="page"/>
      </w:r>
    </w:p>
    <w:p w14:paraId="6B162E45" w14:textId="3CEA936D" w:rsidR="00A7151A" w:rsidRDefault="00A7151A" w:rsidP="000845C9">
      <w:pPr>
        <w:spacing w:line="360" w:lineRule="auto"/>
        <w:rPr>
          <w:rFonts w:ascii="Arial" w:hAnsi="Arial" w:cs="Arial"/>
          <w:b/>
          <w:bCs/>
          <w:color w:val="000000"/>
        </w:rPr>
      </w:pPr>
      <w:r>
        <w:rPr>
          <w:rFonts w:ascii="Arial" w:hAnsi="Arial" w:cs="Arial"/>
          <w:b/>
          <w:bCs/>
          <w:color w:val="000000"/>
        </w:rPr>
        <w:lastRenderedPageBreak/>
        <w:t>Regenerative SEPA</w:t>
      </w:r>
    </w:p>
    <w:p w14:paraId="4CF9FC7C" w14:textId="27F54364" w:rsidR="00A7151A" w:rsidRDefault="00A7151A" w:rsidP="000845C9">
      <w:pPr>
        <w:spacing w:line="360" w:lineRule="auto"/>
        <w:rPr>
          <w:rFonts w:ascii="Arial" w:hAnsi="Arial" w:cs="Arial"/>
          <w:color w:val="000000" w:themeColor="text1"/>
          <w:lang w:val="en"/>
        </w:rPr>
      </w:pPr>
      <w:r w:rsidRPr="00070702">
        <w:rPr>
          <w:rFonts w:ascii="Arial" w:hAnsi="Arial" w:cs="Arial"/>
          <w:color w:val="000000" w:themeColor="text1"/>
          <w:lang w:val="en"/>
        </w:rPr>
        <w:t>We have made significant progress in reducing our greenhouse gas emissions</w:t>
      </w:r>
      <w:r>
        <w:rPr>
          <w:rFonts w:ascii="Arial" w:hAnsi="Arial" w:cs="Arial"/>
          <w:color w:val="000000" w:themeColor="text1"/>
          <w:lang w:val="en"/>
        </w:rPr>
        <w:t xml:space="preserve">, having achieved a </w:t>
      </w:r>
      <w:r w:rsidRPr="00070702">
        <w:rPr>
          <w:rFonts w:ascii="Arial" w:hAnsi="Arial" w:cs="Arial"/>
          <w:color w:val="000000" w:themeColor="text1"/>
          <w:lang w:val="en"/>
        </w:rPr>
        <w:t xml:space="preserve">53% reduction since 2007. </w:t>
      </w:r>
      <w:r>
        <w:rPr>
          <w:rFonts w:ascii="Arial" w:hAnsi="Arial" w:cs="Arial"/>
          <w:color w:val="000000" w:themeColor="text1"/>
          <w:lang w:val="en"/>
        </w:rPr>
        <w:t xml:space="preserve">However, we are keen to go further than this and become a regenerative </w:t>
      </w:r>
      <w:proofErr w:type="spellStart"/>
      <w:r>
        <w:rPr>
          <w:rFonts w:ascii="Arial" w:hAnsi="Arial" w:cs="Arial"/>
          <w:color w:val="000000" w:themeColor="text1"/>
          <w:lang w:val="en"/>
        </w:rPr>
        <w:t>organisation</w:t>
      </w:r>
      <w:proofErr w:type="spellEnd"/>
      <w:r>
        <w:rPr>
          <w:rFonts w:ascii="Arial" w:hAnsi="Arial" w:cs="Arial"/>
          <w:color w:val="000000" w:themeColor="text1"/>
          <w:lang w:val="en"/>
        </w:rPr>
        <w:t>. Our progress with this work is described in our performance report</w:t>
      </w:r>
      <w:r w:rsidR="003A3976">
        <w:rPr>
          <w:rFonts w:ascii="Arial" w:hAnsi="Arial" w:cs="Arial"/>
          <w:color w:val="000000" w:themeColor="text1"/>
          <w:lang w:val="en"/>
        </w:rPr>
        <w:t xml:space="preserve"> above</w:t>
      </w:r>
      <w:r>
        <w:rPr>
          <w:rFonts w:ascii="Arial" w:hAnsi="Arial" w:cs="Arial"/>
          <w:color w:val="000000" w:themeColor="text1"/>
          <w:lang w:val="en"/>
        </w:rPr>
        <w:t xml:space="preserve"> under Measure 18.</w:t>
      </w:r>
    </w:p>
    <w:p w14:paraId="72070596" w14:textId="77777777" w:rsidR="009B184A" w:rsidRDefault="009B184A" w:rsidP="000845C9">
      <w:pPr>
        <w:spacing w:line="360" w:lineRule="auto"/>
        <w:rPr>
          <w:rFonts w:ascii="Arial" w:eastAsia="Arial" w:hAnsi="Arial" w:cs="Arial"/>
        </w:rPr>
      </w:pPr>
    </w:p>
    <w:p w14:paraId="2D57FEC9" w14:textId="1A145AAA" w:rsidR="00A7151A" w:rsidRPr="009D61BA" w:rsidRDefault="00A7151A" w:rsidP="000845C9">
      <w:pPr>
        <w:spacing w:line="360" w:lineRule="auto"/>
        <w:rPr>
          <w:rFonts w:ascii="Arial" w:hAnsi="Arial" w:cs="Arial"/>
          <w:b/>
          <w:bCs/>
        </w:rPr>
      </w:pPr>
      <w:r w:rsidRPr="009D61BA">
        <w:rPr>
          <w:rFonts w:ascii="Arial" w:hAnsi="Arial" w:cs="Arial"/>
          <w:b/>
          <w:bCs/>
        </w:rPr>
        <w:t>COP26</w:t>
      </w:r>
    </w:p>
    <w:p w14:paraId="23D6216A" w14:textId="126E475A" w:rsidR="00A7151A" w:rsidRPr="009D61BA" w:rsidRDefault="00A7151A" w:rsidP="000845C9">
      <w:pPr>
        <w:spacing w:line="360" w:lineRule="auto"/>
        <w:rPr>
          <w:rFonts w:ascii="Arial" w:hAnsi="Arial" w:cs="Arial"/>
        </w:rPr>
      </w:pPr>
      <w:r w:rsidRPr="009D61BA">
        <w:rPr>
          <w:rFonts w:ascii="Arial" w:hAnsi="Arial" w:cs="Arial"/>
        </w:rPr>
        <w:t xml:space="preserve">COP26 took place at the Scottish Event Campus from 31 October 2021-12 November 2021. As a Category 1 responder under the Civil Contingencies Act, we contributed to the safe delivery of the event.  </w:t>
      </w:r>
    </w:p>
    <w:p w14:paraId="2BB404EA" w14:textId="77777777" w:rsidR="009B184A" w:rsidRPr="009D61BA" w:rsidRDefault="009B184A" w:rsidP="000845C9">
      <w:pPr>
        <w:spacing w:line="360" w:lineRule="auto"/>
        <w:rPr>
          <w:rFonts w:ascii="Arial" w:eastAsia="Calibri" w:hAnsi="Arial" w:cs="Arial"/>
          <w:color w:val="000000" w:themeColor="text1"/>
        </w:rPr>
      </w:pPr>
    </w:p>
    <w:p w14:paraId="68CCA26B" w14:textId="62CB2A91" w:rsidR="00A7151A" w:rsidRPr="009D61BA" w:rsidRDefault="00A7151A" w:rsidP="000845C9">
      <w:pPr>
        <w:spacing w:line="360" w:lineRule="auto"/>
        <w:rPr>
          <w:rFonts w:ascii="Arial" w:eastAsia="Calibri" w:hAnsi="Arial" w:cs="Arial"/>
          <w:color w:val="000000" w:themeColor="text1"/>
        </w:rPr>
      </w:pPr>
      <w:r w:rsidRPr="009D61BA">
        <w:rPr>
          <w:rFonts w:ascii="Arial" w:eastAsia="Calibri" w:hAnsi="Arial" w:cs="Arial"/>
          <w:color w:val="000000" w:themeColor="text1"/>
        </w:rPr>
        <w:t xml:space="preserve">We also contributed on panels and as speakers, at several COP26 fringe events and meetings. This provided the opportunity to showcase our work and to learn from others. </w:t>
      </w:r>
    </w:p>
    <w:p w14:paraId="482A0435" w14:textId="77777777" w:rsidR="009B184A" w:rsidRPr="009D61BA" w:rsidRDefault="009B184A" w:rsidP="000845C9">
      <w:pPr>
        <w:spacing w:line="360" w:lineRule="auto"/>
        <w:rPr>
          <w:rFonts w:ascii="Arial" w:eastAsia="Calibri" w:hAnsi="Arial" w:cs="Arial"/>
          <w:color w:val="000000" w:themeColor="text1"/>
        </w:rPr>
      </w:pPr>
    </w:p>
    <w:p w14:paraId="0D7FC495" w14:textId="1F385CD5" w:rsidR="00A7151A" w:rsidRPr="009D61BA" w:rsidRDefault="00A7151A" w:rsidP="000845C9">
      <w:pPr>
        <w:shd w:val="clear" w:color="auto" w:fill="FFFFFF" w:themeFill="background1"/>
        <w:spacing w:line="360" w:lineRule="auto"/>
        <w:rPr>
          <w:rFonts w:ascii="Arial" w:hAnsi="Arial" w:cs="Arial"/>
          <w:color w:val="111111"/>
          <w:spacing w:val="-3"/>
          <w:bdr w:val="none" w:sz="0" w:space="0" w:color="auto" w:frame="1"/>
        </w:rPr>
      </w:pPr>
      <w:r w:rsidRPr="009D61BA">
        <w:rPr>
          <w:rFonts w:ascii="Arial" w:hAnsi="Arial" w:cs="Arial"/>
          <w:color w:val="111111"/>
          <w:spacing w:val="-3"/>
          <w:bdr w:val="none" w:sz="0" w:space="0" w:color="auto" w:frame="1"/>
        </w:rPr>
        <w:t xml:space="preserve">We were a partner in the COP26 </w:t>
      </w:r>
      <w:hyperlink r:id="rId45" w:history="1">
        <w:r w:rsidRPr="009D61BA">
          <w:rPr>
            <w:rStyle w:val="Hyperlink"/>
            <w:rFonts w:ascii="Arial" w:hAnsi="Arial" w:cs="Arial"/>
            <w:spacing w:val="-3"/>
            <w:bdr w:val="none" w:sz="0" w:space="0" w:color="auto" w:frame="1"/>
          </w:rPr>
          <w:t xml:space="preserve">Finance for Nature </w:t>
        </w:r>
      </w:hyperlink>
      <w:r w:rsidRPr="009D61BA">
        <w:rPr>
          <w:rFonts w:ascii="Arial" w:hAnsi="Arial" w:cs="Arial"/>
          <w:color w:val="111111"/>
          <w:spacing w:val="-3"/>
          <w:bdr w:val="none" w:sz="0" w:space="0" w:color="auto" w:frame="1"/>
        </w:rPr>
        <w:t>event on 4 and 5 November 2021. Delivered by the Global Ethical</w:t>
      </w:r>
      <w:r w:rsidR="00DD3877">
        <w:rPr>
          <w:rFonts w:ascii="Arial" w:hAnsi="Arial" w:cs="Arial"/>
          <w:color w:val="111111"/>
          <w:spacing w:val="-3"/>
          <w:bdr w:val="none" w:sz="0" w:space="0" w:color="auto" w:frame="1"/>
        </w:rPr>
        <w:t xml:space="preserve"> Finance</w:t>
      </w:r>
      <w:r w:rsidRPr="009D61BA">
        <w:rPr>
          <w:rFonts w:ascii="Arial" w:hAnsi="Arial" w:cs="Arial"/>
          <w:color w:val="111111"/>
          <w:spacing w:val="-3"/>
          <w:bdr w:val="none" w:sz="0" w:space="0" w:color="auto" w:frame="1"/>
        </w:rPr>
        <w:t xml:space="preserve"> Initiative, the event brought together leading global experts. Discussion focussed on collaboration between nature and the global ethical finance community.  </w:t>
      </w:r>
    </w:p>
    <w:p w14:paraId="4D3399C0" w14:textId="77777777" w:rsidR="009B184A" w:rsidRPr="009D61BA" w:rsidRDefault="009B184A" w:rsidP="000845C9">
      <w:pPr>
        <w:shd w:val="clear" w:color="auto" w:fill="FFFFFF" w:themeFill="background1"/>
        <w:spacing w:line="360" w:lineRule="auto"/>
        <w:rPr>
          <w:rFonts w:ascii="Arial" w:hAnsi="Arial" w:cs="Arial"/>
          <w:color w:val="111111"/>
          <w:spacing w:val="-3"/>
          <w:bdr w:val="none" w:sz="0" w:space="0" w:color="auto" w:frame="1"/>
        </w:rPr>
      </w:pPr>
    </w:p>
    <w:p w14:paraId="79A53635" w14:textId="5E8C0915" w:rsidR="00A7151A" w:rsidRPr="009D61BA" w:rsidRDefault="00A7151A" w:rsidP="000845C9">
      <w:pPr>
        <w:spacing w:line="360" w:lineRule="auto"/>
        <w:textAlignment w:val="baseline"/>
        <w:rPr>
          <w:rFonts w:ascii="Arial" w:hAnsi="Arial" w:cs="Arial"/>
          <w:shd w:val="clear" w:color="auto" w:fill="FFFFFF"/>
        </w:rPr>
      </w:pPr>
      <w:r w:rsidRPr="009D61BA">
        <w:rPr>
          <w:rFonts w:ascii="Arial" w:hAnsi="Arial" w:cs="Arial"/>
          <w:color w:val="111111"/>
          <w:spacing w:val="-3"/>
          <w:bdr w:val="none" w:sz="0" w:space="0" w:color="auto" w:frame="1"/>
        </w:rPr>
        <w:t xml:space="preserve">The event showcased the Scottish Conservation Finance Initiative. </w:t>
      </w:r>
      <w:r w:rsidRPr="009D61BA">
        <w:rPr>
          <w:rFonts w:ascii="Arial" w:hAnsi="Arial" w:cs="Arial"/>
        </w:rPr>
        <w:t xml:space="preserve">The Scottish Wildlife Trust are the lead partner, and we are a key delivery partner. The initiative </w:t>
      </w:r>
      <w:r w:rsidRPr="009D61BA">
        <w:rPr>
          <w:rFonts w:ascii="Arial" w:hAnsi="Arial" w:cs="Arial"/>
          <w:color w:val="111111"/>
          <w:spacing w:val="-3"/>
          <w:bdr w:val="none" w:sz="0" w:space="0" w:color="auto" w:frame="1"/>
        </w:rPr>
        <w:t xml:space="preserve">aims to pioneer new ways of funding nature conservation in Scotland through the One Billion </w:t>
      </w:r>
      <w:r w:rsidR="004601AE">
        <w:rPr>
          <w:rFonts w:ascii="Arial" w:hAnsi="Arial" w:cs="Arial"/>
          <w:color w:val="111111"/>
          <w:spacing w:val="-3"/>
          <w:bdr w:val="none" w:sz="0" w:space="0" w:color="auto" w:frame="1"/>
        </w:rPr>
        <w:t xml:space="preserve">Pound </w:t>
      </w:r>
      <w:r w:rsidRPr="009D61BA">
        <w:rPr>
          <w:rFonts w:ascii="Arial" w:hAnsi="Arial" w:cs="Arial"/>
          <w:color w:val="111111"/>
          <w:spacing w:val="-3"/>
          <w:bdr w:val="none" w:sz="0" w:space="0" w:color="auto" w:frame="1"/>
        </w:rPr>
        <w:t xml:space="preserve">Challenge. </w:t>
      </w:r>
      <w:r w:rsidRPr="009D61BA">
        <w:rPr>
          <w:rFonts w:ascii="Arial" w:eastAsia="Calibri" w:hAnsi="Arial" w:cs="Arial"/>
        </w:rPr>
        <w:t xml:space="preserve">The One Billion </w:t>
      </w:r>
      <w:r w:rsidR="001527D4">
        <w:rPr>
          <w:rFonts w:ascii="Arial" w:eastAsia="Calibri" w:hAnsi="Arial" w:cs="Arial"/>
        </w:rPr>
        <w:t xml:space="preserve">Pound </w:t>
      </w:r>
      <w:r w:rsidRPr="009D61BA">
        <w:rPr>
          <w:rFonts w:ascii="Arial" w:eastAsia="Calibri" w:hAnsi="Arial" w:cs="Arial"/>
        </w:rPr>
        <w:t xml:space="preserve">Challenge </w:t>
      </w:r>
      <w:r w:rsidRPr="009D61BA">
        <w:rPr>
          <w:rFonts w:ascii="Arial" w:hAnsi="Arial" w:cs="Arial"/>
          <w:shd w:val="clear" w:color="auto" w:fill="FFFFFF"/>
        </w:rPr>
        <w:t>provides an opportunity to bring together projects that will regenerate communities, build green businesses, and create new jobs with investors.</w:t>
      </w:r>
    </w:p>
    <w:p w14:paraId="378DEE56" w14:textId="77777777" w:rsidR="009B184A" w:rsidRPr="009D61BA" w:rsidRDefault="009B184A" w:rsidP="000845C9">
      <w:pPr>
        <w:spacing w:line="360" w:lineRule="auto"/>
        <w:textAlignment w:val="baseline"/>
      </w:pPr>
    </w:p>
    <w:p w14:paraId="521D844B" w14:textId="5AFD37F3" w:rsidR="00A7151A" w:rsidRDefault="00A7151A" w:rsidP="000845C9">
      <w:pPr>
        <w:shd w:val="clear" w:color="auto" w:fill="FFFFFF" w:themeFill="background1"/>
        <w:spacing w:line="360" w:lineRule="auto"/>
      </w:pPr>
      <w:r w:rsidRPr="009D61BA">
        <w:rPr>
          <w:rFonts w:ascii="Arial" w:hAnsi="Arial" w:cs="Arial"/>
          <w:color w:val="333333"/>
          <w:shd w:val="clear" w:color="auto" w:fill="FFFFFF"/>
        </w:rPr>
        <w:t>The initiative also brings together a dynamic mix of organisations from the private, public, and non-profit sectors to develop cutting-edge investment and funding models for large-scale nature conservation activities, for example planting native woodlands, restoring oyster reefs, and creating urban green spaces.</w:t>
      </w:r>
      <w:r w:rsidRPr="0096074D">
        <w:t xml:space="preserve"> </w:t>
      </w:r>
    </w:p>
    <w:p w14:paraId="3F5855E5" w14:textId="77777777" w:rsidR="009B184A" w:rsidRPr="009B184A" w:rsidRDefault="009B184A" w:rsidP="000845C9">
      <w:pPr>
        <w:shd w:val="clear" w:color="auto" w:fill="FFFFFF" w:themeFill="background1"/>
        <w:spacing w:line="360" w:lineRule="auto"/>
        <w:rPr>
          <w:rFonts w:ascii="Arial" w:hAnsi="Arial" w:cs="Arial"/>
        </w:rPr>
      </w:pPr>
    </w:p>
    <w:p w14:paraId="51690098" w14:textId="69F3C147" w:rsidR="00A7151A" w:rsidRPr="007A28A1" w:rsidRDefault="00A7151A" w:rsidP="000845C9">
      <w:pPr>
        <w:pStyle w:val="NormalWeb"/>
        <w:spacing w:before="0" w:beforeAutospacing="0" w:after="0" w:afterAutospacing="0" w:line="360" w:lineRule="auto"/>
        <w:rPr>
          <w:rFonts w:ascii="Arial" w:hAnsi="Arial" w:cs="Arial"/>
          <w:b/>
          <w:bCs/>
          <w:color w:val="333333"/>
        </w:rPr>
      </w:pPr>
      <w:r w:rsidRPr="007A28A1">
        <w:rPr>
          <w:rFonts w:ascii="Arial" w:hAnsi="Arial" w:cs="Arial"/>
          <w:b/>
          <w:bCs/>
          <w:color w:val="333333"/>
        </w:rPr>
        <w:t>Earth Overshoot Day 2021</w:t>
      </w:r>
    </w:p>
    <w:p w14:paraId="4448AEC5" w14:textId="2E2C8AD9" w:rsidR="00A7151A" w:rsidRDefault="00A7151A" w:rsidP="000845C9">
      <w:pPr>
        <w:spacing w:line="360" w:lineRule="auto"/>
        <w:rPr>
          <w:rFonts w:ascii="Arial" w:hAnsi="Arial" w:cs="Arial"/>
          <w:color w:val="333333"/>
          <w:shd w:val="clear" w:color="auto" w:fill="FFFFFF"/>
        </w:rPr>
      </w:pPr>
      <w:r w:rsidRPr="002F0BFF">
        <w:rPr>
          <w:rFonts w:ascii="Arial" w:hAnsi="Arial" w:cs="Arial"/>
          <w:color w:val="333333"/>
        </w:rPr>
        <w:t>E</w:t>
      </w:r>
      <w:r>
        <w:rPr>
          <w:rFonts w:ascii="Arial" w:hAnsi="Arial" w:cs="Arial"/>
          <w:color w:val="333333"/>
        </w:rPr>
        <w:t>arth Overshoot Day</w:t>
      </w:r>
      <w:r w:rsidRPr="00921CD7">
        <w:rPr>
          <w:rFonts w:ascii="Arial" w:hAnsi="Arial" w:cs="Arial"/>
          <w:color w:val="333333"/>
        </w:rPr>
        <w:t xml:space="preserve"> </w:t>
      </w:r>
      <w:r w:rsidRPr="002F0BFF">
        <w:rPr>
          <w:rFonts w:ascii="Arial" w:hAnsi="Arial" w:cs="Arial"/>
          <w:color w:val="333333"/>
          <w:shd w:val="clear" w:color="auto" w:fill="FFFFFF"/>
        </w:rPr>
        <w:t>marks the date when humanity’s demand for ecological resources and services each year exceeds what the earth can regenerate in that year. In 2021, it took place on 29 July.</w:t>
      </w:r>
      <w:r>
        <w:rPr>
          <w:rFonts w:ascii="Arial" w:hAnsi="Arial" w:cs="Arial"/>
          <w:color w:val="333333"/>
          <w:shd w:val="clear" w:color="auto" w:fill="FFFFFF"/>
        </w:rPr>
        <w:t xml:space="preserve"> On that date we </w:t>
      </w:r>
      <w:r w:rsidRPr="007226D6">
        <w:rPr>
          <w:rFonts w:ascii="Arial" w:hAnsi="Arial" w:cs="Arial"/>
          <w:color w:val="333333"/>
          <w:shd w:val="clear" w:color="auto" w:fill="FFFFFF"/>
        </w:rPr>
        <w:t xml:space="preserve">jointly launched </w:t>
      </w:r>
      <w:hyperlink r:id="rId46" w:history="1">
        <w:r w:rsidRPr="00E8174F">
          <w:rPr>
            <w:rStyle w:val="Hyperlink"/>
            <w:rFonts w:ascii="Arial" w:hAnsi="Arial" w:cs="Arial"/>
            <w:shd w:val="clear" w:color="auto" w:fill="FFFFFF"/>
          </w:rPr>
          <w:t>#100DaysOfPossibility</w:t>
        </w:r>
      </w:hyperlink>
      <w:r w:rsidRPr="00CC7EEA">
        <w:rPr>
          <w:rFonts w:ascii="Arial" w:hAnsi="Arial" w:cs="Arial"/>
          <w:shd w:val="clear" w:color="auto" w:fill="FFFFFF"/>
        </w:rPr>
        <w:t xml:space="preserve"> wi</w:t>
      </w:r>
      <w:r>
        <w:rPr>
          <w:rFonts w:ascii="Arial" w:hAnsi="Arial" w:cs="Arial"/>
          <w:shd w:val="clear" w:color="auto" w:fill="FFFFFF"/>
        </w:rPr>
        <w:t xml:space="preserve">th the Californian-based </w:t>
      </w:r>
      <w:r w:rsidRPr="00F94735">
        <w:rPr>
          <w:rFonts w:ascii="Arial" w:hAnsi="Arial" w:cs="Arial"/>
          <w:color w:val="333333"/>
          <w:shd w:val="clear" w:color="auto" w:fill="FFFFFF"/>
        </w:rPr>
        <w:t>Global Footprint Network</w:t>
      </w:r>
      <w:r>
        <w:rPr>
          <w:rFonts w:ascii="Arial" w:hAnsi="Arial" w:cs="Arial"/>
          <w:color w:val="333333"/>
          <w:shd w:val="clear" w:color="auto" w:fill="FFFFFF"/>
        </w:rPr>
        <w:t xml:space="preserve">. </w:t>
      </w:r>
      <w:r w:rsidRPr="002F0BFF">
        <w:rPr>
          <w:rFonts w:ascii="Arial" w:hAnsi="Arial" w:cs="Arial"/>
          <w:color w:val="333333"/>
          <w:shd w:val="clear" w:color="auto" w:fill="FFFFFF"/>
        </w:rPr>
        <w:t xml:space="preserve">The </w:t>
      </w:r>
      <w:r>
        <w:rPr>
          <w:rFonts w:ascii="Arial" w:hAnsi="Arial" w:cs="Arial"/>
          <w:color w:val="333333"/>
          <w:shd w:val="clear" w:color="auto" w:fill="FFFFFF"/>
        </w:rPr>
        <w:t xml:space="preserve">focus of the </w:t>
      </w:r>
      <w:r w:rsidRPr="002F0BFF">
        <w:rPr>
          <w:rFonts w:ascii="Arial" w:hAnsi="Arial" w:cs="Arial"/>
          <w:color w:val="333333"/>
          <w:shd w:val="clear" w:color="auto" w:fill="FFFFFF"/>
        </w:rPr>
        <w:t xml:space="preserve">campaign was to promote </w:t>
      </w:r>
      <w:r w:rsidRPr="002F0BFF">
        <w:rPr>
          <w:rFonts w:ascii="Arial" w:hAnsi="Arial" w:cs="Arial"/>
          <w:color w:val="333333"/>
          <w:shd w:val="clear" w:color="auto" w:fill="FFFFFF"/>
        </w:rPr>
        <w:lastRenderedPageBreak/>
        <w:t>actions that individuals and businesses can take to reduce energy, water</w:t>
      </w:r>
      <w:r w:rsidR="00E54CBD">
        <w:rPr>
          <w:rFonts w:ascii="Arial" w:hAnsi="Arial" w:cs="Arial"/>
          <w:color w:val="333333"/>
          <w:shd w:val="clear" w:color="auto" w:fill="FFFFFF"/>
        </w:rPr>
        <w:t>,</w:t>
      </w:r>
      <w:r w:rsidRPr="002F0BFF">
        <w:rPr>
          <w:rFonts w:ascii="Arial" w:hAnsi="Arial" w:cs="Arial"/>
          <w:color w:val="333333"/>
          <w:shd w:val="clear" w:color="auto" w:fill="FFFFFF"/>
        </w:rPr>
        <w:t xml:space="preserve"> and materials use</w:t>
      </w:r>
      <w:r w:rsidR="004E0181">
        <w:rPr>
          <w:rFonts w:ascii="Arial" w:hAnsi="Arial" w:cs="Arial"/>
          <w:color w:val="333333"/>
          <w:shd w:val="clear" w:color="auto" w:fill="FFFFFF"/>
        </w:rPr>
        <w:t>,</w:t>
      </w:r>
      <w:r w:rsidRPr="002F0BFF">
        <w:rPr>
          <w:rFonts w:ascii="Arial" w:hAnsi="Arial" w:cs="Arial"/>
          <w:color w:val="333333"/>
          <w:shd w:val="clear" w:color="auto" w:fill="FFFFFF"/>
        </w:rPr>
        <w:t xml:space="preserve"> and create less waste.</w:t>
      </w:r>
    </w:p>
    <w:p w14:paraId="33659675" w14:textId="77777777" w:rsidR="00A7151A" w:rsidRPr="009B184A" w:rsidRDefault="00A7151A" w:rsidP="000845C9">
      <w:pPr>
        <w:spacing w:line="360" w:lineRule="auto"/>
        <w:rPr>
          <w:rFonts w:ascii="Arial" w:hAnsi="Arial" w:cs="Arial"/>
          <w:color w:val="000000" w:themeColor="text1"/>
        </w:rPr>
      </w:pPr>
    </w:p>
    <w:p w14:paraId="5B49C6A4" w14:textId="5628CEF1" w:rsidR="00A7151A" w:rsidRPr="00E8174F" w:rsidRDefault="00A7151A" w:rsidP="000845C9">
      <w:pPr>
        <w:spacing w:line="360" w:lineRule="auto"/>
        <w:rPr>
          <w:rFonts w:ascii="Arial" w:hAnsi="Arial" w:cs="Arial"/>
          <w:b/>
        </w:rPr>
      </w:pPr>
      <w:r w:rsidRPr="00E8174F">
        <w:rPr>
          <w:rFonts w:ascii="Arial" w:hAnsi="Arial" w:cs="Arial"/>
          <w:b/>
        </w:rPr>
        <w:t>The 2050 Climate Group</w:t>
      </w:r>
    </w:p>
    <w:p w14:paraId="38566E00" w14:textId="49A0B6C4" w:rsidR="00A7151A" w:rsidRDefault="00A7151A" w:rsidP="000845C9">
      <w:pPr>
        <w:spacing w:line="360" w:lineRule="auto"/>
        <w:rPr>
          <w:rFonts w:ascii="Arial" w:hAnsi="Arial" w:cs="Arial"/>
        </w:rPr>
      </w:pPr>
      <w:r w:rsidRPr="00E8174F">
        <w:rPr>
          <w:rFonts w:ascii="Arial" w:hAnsi="Arial" w:cs="Arial"/>
        </w:rPr>
        <w:t xml:space="preserve">The 2050 Climate Group comprises young professionals across Scotland who share a commitment to climate change mitigation and adaptation and accelerating Scotland’s transition to a low carbon economy. They aim to lead a social movement by engaging, educating, and empowering Scotland’s future leaders to act on climate change. </w:t>
      </w:r>
    </w:p>
    <w:p w14:paraId="35904C5E" w14:textId="77777777" w:rsidR="009B184A" w:rsidRPr="002F0BFF" w:rsidRDefault="009B184A" w:rsidP="000845C9">
      <w:pPr>
        <w:spacing w:line="360" w:lineRule="auto"/>
        <w:rPr>
          <w:rFonts w:ascii="Arial" w:eastAsia="Calibri" w:hAnsi="Arial" w:cs="Arial"/>
        </w:rPr>
      </w:pPr>
    </w:p>
    <w:p w14:paraId="66C6C978" w14:textId="7BCE7522" w:rsidR="00A7151A" w:rsidRDefault="00A7151A" w:rsidP="000845C9">
      <w:pPr>
        <w:pStyle w:val="default0"/>
        <w:shd w:val="clear" w:color="auto" w:fill="FFFFFF"/>
        <w:spacing w:before="0" w:beforeAutospacing="0" w:after="0" w:afterAutospacing="0" w:line="360" w:lineRule="auto"/>
        <w:rPr>
          <w:rFonts w:ascii="Arial" w:hAnsi="Arial" w:cs="Arial"/>
        </w:rPr>
      </w:pPr>
      <w:r w:rsidRPr="00E8174F">
        <w:rPr>
          <w:rFonts w:ascii="Arial" w:hAnsi="Arial" w:cs="Arial"/>
        </w:rPr>
        <w:t>We support the work of the 2050 Climate Group through our Sustainable Growth Agreement. Our support includes:</w:t>
      </w:r>
    </w:p>
    <w:p w14:paraId="3A708207" w14:textId="77777777" w:rsidR="009B184A" w:rsidRPr="00E8174F" w:rsidRDefault="009B184A" w:rsidP="000845C9">
      <w:pPr>
        <w:pStyle w:val="default0"/>
        <w:shd w:val="clear" w:color="auto" w:fill="FFFFFF"/>
        <w:spacing w:before="0" w:beforeAutospacing="0" w:after="0" w:afterAutospacing="0" w:line="360" w:lineRule="auto"/>
        <w:rPr>
          <w:rFonts w:ascii="Arial" w:hAnsi="Arial" w:cs="Arial"/>
        </w:rPr>
      </w:pPr>
    </w:p>
    <w:p w14:paraId="6C128589" w14:textId="0B79582F" w:rsidR="009B184A" w:rsidRPr="007B638C" w:rsidRDefault="00A7151A" w:rsidP="000845C9">
      <w:pPr>
        <w:pStyle w:val="ListParagraph"/>
        <w:numPr>
          <w:ilvl w:val="0"/>
          <w:numId w:val="24"/>
        </w:numPr>
        <w:spacing w:line="360" w:lineRule="auto"/>
        <w:rPr>
          <w:rFonts w:ascii="Arial" w:eastAsia="Arial" w:hAnsi="Arial" w:cs="Arial"/>
        </w:rPr>
      </w:pPr>
      <w:r w:rsidRPr="009B184A">
        <w:rPr>
          <w:rFonts w:ascii="Arial" w:eastAsia="Arial" w:hAnsi="Arial" w:cs="Arial"/>
        </w:rPr>
        <w:t>encouraging regulated businesses to consider working with the 2050 Climate Group;</w:t>
      </w:r>
    </w:p>
    <w:p w14:paraId="313CC4C1" w14:textId="7F9628D6" w:rsidR="009B184A" w:rsidRPr="007B638C" w:rsidRDefault="00A7151A" w:rsidP="000845C9">
      <w:pPr>
        <w:pStyle w:val="ListParagraph"/>
        <w:numPr>
          <w:ilvl w:val="0"/>
          <w:numId w:val="24"/>
        </w:numPr>
        <w:spacing w:line="360" w:lineRule="auto"/>
        <w:rPr>
          <w:rFonts w:ascii="Arial" w:eastAsia="Arial" w:hAnsi="Arial" w:cs="Arial"/>
        </w:rPr>
      </w:pPr>
      <w:r w:rsidRPr="009B184A">
        <w:rPr>
          <w:rFonts w:ascii="Arial" w:eastAsia="Arial" w:hAnsi="Arial" w:cs="Arial"/>
        </w:rPr>
        <w:t>offering young leaders</w:t>
      </w:r>
      <w:r w:rsidR="00677B0B">
        <w:rPr>
          <w:rFonts w:ascii="Arial" w:eastAsia="Arial" w:hAnsi="Arial" w:cs="Arial"/>
        </w:rPr>
        <w:t>’</w:t>
      </w:r>
      <w:r w:rsidRPr="009B184A">
        <w:rPr>
          <w:rFonts w:ascii="Arial" w:eastAsia="Arial" w:hAnsi="Arial" w:cs="Arial"/>
        </w:rPr>
        <w:t xml:space="preserve"> attendance at our events, training, and development opportunities; and</w:t>
      </w:r>
    </w:p>
    <w:p w14:paraId="744DA190" w14:textId="00D9B115" w:rsidR="00A7151A" w:rsidRDefault="00A7151A" w:rsidP="000845C9">
      <w:pPr>
        <w:pStyle w:val="ListParagraph"/>
        <w:numPr>
          <w:ilvl w:val="0"/>
          <w:numId w:val="24"/>
        </w:numPr>
        <w:spacing w:line="360" w:lineRule="auto"/>
        <w:rPr>
          <w:rFonts w:ascii="Arial" w:eastAsia="Arial" w:hAnsi="Arial" w:cs="Arial"/>
        </w:rPr>
      </w:pPr>
      <w:r w:rsidRPr="009B184A">
        <w:rPr>
          <w:rFonts w:ascii="Arial" w:eastAsia="Arial" w:hAnsi="Arial" w:cs="Arial"/>
        </w:rPr>
        <w:t xml:space="preserve">providing opportunities for young leaders to participate in focus groups and advisory panels. </w:t>
      </w:r>
    </w:p>
    <w:p w14:paraId="3A6B33D1" w14:textId="77777777" w:rsidR="009B184A" w:rsidRPr="009B184A" w:rsidRDefault="009B184A" w:rsidP="000845C9">
      <w:pPr>
        <w:pStyle w:val="ListParagraph"/>
        <w:spacing w:line="360" w:lineRule="auto"/>
        <w:rPr>
          <w:rFonts w:ascii="Arial" w:eastAsia="Arial" w:hAnsi="Arial" w:cs="Arial"/>
        </w:rPr>
      </w:pPr>
    </w:p>
    <w:p w14:paraId="613BFBEF" w14:textId="3DAFB3D1" w:rsidR="00A7151A" w:rsidRDefault="00A7151A" w:rsidP="000845C9">
      <w:pPr>
        <w:shd w:val="clear" w:color="auto" w:fill="FFFFFF"/>
        <w:spacing w:line="360" w:lineRule="auto"/>
        <w:rPr>
          <w:rFonts w:ascii="Arial" w:hAnsi="Arial" w:cs="Arial"/>
        </w:rPr>
      </w:pPr>
      <w:r w:rsidRPr="00E8174F">
        <w:rPr>
          <w:rFonts w:ascii="Arial" w:hAnsi="Arial" w:cs="Arial"/>
        </w:rPr>
        <w:t>This will allow young people’s views to be considered during decision making.</w:t>
      </w:r>
    </w:p>
    <w:p w14:paraId="18922488" w14:textId="77777777" w:rsidR="009B184A" w:rsidRPr="00E8174F" w:rsidRDefault="009B184A" w:rsidP="000845C9">
      <w:pPr>
        <w:shd w:val="clear" w:color="auto" w:fill="FFFFFF"/>
        <w:spacing w:line="360" w:lineRule="auto"/>
        <w:rPr>
          <w:rFonts w:ascii="Arial" w:hAnsi="Arial" w:cs="Arial"/>
        </w:rPr>
      </w:pPr>
    </w:p>
    <w:p w14:paraId="553CEBF2" w14:textId="61942EAF" w:rsidR="00A7151A" w:rsidRDefault="00A7151A" w:rsidP="000845C9">
      <w:pPr>
        <w:spacing w:line="360" w:lineRule="auto"/>
        <w:rPr>
          <w:rFonts w:ascii="Arial" w:eastAsia="Calibri" w:hAnsi="Arial" w:cs="Arial"/>
        </w:rPr>
      </w:pPr>
      <w:r>
        <w:rPr>
          <w:rFonts w:ascii="Arial" w:eastAsia="Calibri" w:hAnsi="Arial" w:cs="Arial"/>
          <w:b/>
          <w:bCs/>
        </w:rPr>
        <w:t>VIBES – Scottish Environment Business Awards</w:t>
      </w:r>
      <w:r>
        <w:rPr>
          <w:rFonts w:ascii="Arial" w:eastAsia="Calibri" w:hAnsi="Arial" w:cs="Arial"/>
        </w:rPr>
        <w:t xml:space="preserve"> </w:t>
      </w:r>
    </w:p>
    <w:p w14:paraId="1D3480E0" w14:textId="59808B52" w:rsidR="00A7151A" w:rsidRDefault="00A7151A" w:rsidP="000845C9">
      <w:pPr>
        <w:spacing w:line="360" w:lineRule="auto"/>
        <w:rPr>
          <w:rFonts w:ascii="Arial" w:eastAsia="Calibri" w:hAnsi="Arial" w:cs="Arial"/>
        </w:rPr>
      </w:pPr>
      <w:r>
        <w:rPr>
          <w:rFonts w:ascii="Arial" w:eastAsia="Calibri" w:hAnsi="Arial" w:cs="Arial"/>
        </w:rPr>
        <w:t>The VIBES – Scottish Environment Business Awards are a partnership between the Scottish Government, Energy Saving Trust, Highland &amp; Islands Enterprise, Scottish Enterprise, South of Scotland Enterprise, Scottish Water, Zero Waste Scotland, NatureScot</w:t>
      </w:r>
      <w:r w:rsidR="006F55D7">
        <w:rPr>
          <w:rFonts w:ascii="Arial" w:eastAsia="Calibri" w:hAnsi="Arial" w:cs="Arial"/>
        </w:rPr>
        <w:t>,</w:t>
      </w:r>
      <w:r>
        <w:rPr>
          <w:rFonts w:ascii="Arial" w:eastAsia="Calibri" w:hAnsi="Arial" w:cs="Arial"/>
        </w:rPr>
        <w:t xml:space="preserve"> and us.</w:t>
      </w:r>
    </w:p>
    <w:p w14:paraId="0B040EF2" w14:textId="77777777" w:rsidR="007B638C" w:rsidRDefault="007B638C" w:rsidP="000845C9">
      <w:pPr>
        <w:spacing w:line="360" w:lineRule="auto"/>
        <w:rPr>
          <w:rFonts w:ascii="Arial" w:eastAsia="Calibri" w:hAnsi="Arial" w:cs="Arial"/>
        </w:rPr>
      </w:pPr>
    </w:p>
    <w:p w14:paraId="0240E2AD" w14:textId="35BE0539" w:rsidR="00A7151A" w:rsidRDefault="00A7151A" w:rsidP="000845C9">
      <w:pPr>
        <w:spacing w:line="360" w:lineRule="auto"/>
        <w:rPr>
          <w:rFonts w:ascii="Arial" w:eastAsia="Calibri" w:hAnsi="Arial" w:cs="Arial"/>
        </w:rPr>
      </w:pPr>
      <w:r>
        <w:rPr>
          <w:rFonts w:ascii="Arial" w:eastAsia="Calibri" w:hAnsi="Arial" w:cs="Arial"/>
        </w:rPr>
        <w:t xml:space="preserve">A virtual awards ceremony took place on 19 October 2021. This celebrated the achievements of businesses that are demonstrating the benefits of going beyond environmental compliance requirements and are progressing towards reaching net zero carbon emissions. </w:t>
      </w:r>
    </w:p>
    <w:p w14:paraId="55DB3518" w14:textId="77777777" w:rsidR="007B638C" w:rsidRDefault="007B638C" w:rsidP="000845C9">
      <w:pPr>
        <w:spacing w:line="360" w:lineRule="auto"/>
        <w:rPr>
          <w:rFonts w:ascii="Arial" w:eastAsia="Calibri" w:hAnsi="Arial" w:cs="Arial"/>
        </w:rPr>
      </w:pPr>
    </w:p>
    <w:p w14:paraId="0E44BD66" w14:textId="5590CE4E" w:rsidR="00A7151A" w:rsidRDefault="00A7151A" w:rsidP="000845C9">
      <w:pPr>
        <w:spacing w:line="360" w:lineRule="auto"/>
        <w:rPr>
          <w:rFonts w:ascii="Arial" w:eastAsia="Calibri" w:hAnsi="Arial" w:cs="Arial"/>
        </w:rPr>
      </w:pPr>
      <w:r>
        <w:rPr>
          <w:rFonts w:ascii="Arial" w:eastAsia="Calibri" w:hAnsi="Arial" w:cs="Arial"/>
        </w:rPr>
        <w:t>The event was attended by around 100 delegates, with Richard Lochhead, Minister for Just Transition, Employment and Fair Work, delivering the keynote address and announcing the overall winners.</w:t>
      </w:r>
    </w:p>
    <w:p w14:paraId="2F477874" w14:textId="77777777" w:rsidR="007B638C" w:rsidRDefault="007B638C" w:rsidP="000845C9">
      <w:pPr>
        <w:spacing w:line="360" w:lineRule="auto"/>
        <w:rPr>
          <w:rFonts w:ascii="Arial" w:eastAsia="Calibri" w:hAnsi="Arial" w:cs="Arial"/>
        </w:rPr>
      </w:pPr>
    </w:p>
    <w:p w14:paraId="7E22AE85" w14:textId="0615A2C2" w:rsidR="00A7151A" w:rsidRDefault="00A7151A" w:rsidP="000845C9">
      <w:pPr>
        <w:spacing w:line="360" w:lineRule="auto"/>
        <w:rPr>
          <w:rFonts w:ascii="Arial" w:eastAsia="Calibri" w:hAnsi="Arial" w:cs="Arial"/>
        </w:rPr>
      </w:pPr>
      <w:r>
        <w:rPr>
          <w:rFonts w:ascii="Arial" w:eastAsia="Calibri" w:hAnsi="Arial" w:cs="Arial"/>
        </w:rPr>
        <w:lastRenderedPageBreak/>
        <w:t>Outstanding Achievement Awards were presented to ACS Clothing Ltd, Brewster Bros, The Ethical Dairy</w:t>
      </w:r>
      <w:r w:rsidR="002B11BC">
        <w:rPr>
          <w:rFonts w:ascii="Arial" w:eastAsia="Calibri" w:hAnsi="Arial" w:cs="Arial"/>
        </w:rPr>
        <w:t>,</w:t>
      </w:r>
      <w:r>
        <w:rPr>
          <w:rFonts w:ascii="Arial" w:eastAsia="Calibri" w:hAnsi="Arial" w:cs="Arial"/>
        </w:rPr>
        <w:t xml:space="preserve"> and </w:t>
      </w:r>
      <w:proofErr w:type="spellStart"/>
      <w:r>
        <w:rPr>
          <w:rFonts w:ascii="Arial" w:eastAsia="Calibri" w:hAnsi="Arial" w:cs="Arial"/>
        </w:rPr>
        <w:t>Polycrub</w:t>
      </w:r>
      <w:proofErr w:type="spellEnd"/>
      <w:r>
        <w:rPr>
          <w:rFonts w:ascii="Arial" w:eastAsia="Calibri" w:hAnsi="Arial" w:cs="Arial"/>
        </w:rPr>
        <w:t xml:space="preserve">. Thirty-five businesses were recognised for good practice and case studies are being produced to encourage wider action. </w:t>
      </w:r>
    </w:p>
    <w:p w14:paraId="138E2B91" w14:textId="77777777" w:rsidR="00A7151A" w:rsidRDefault="00A7151A" w:rsidP="000845C9">
      <w:pPr>
        <w:spacing w:line="360" w:lineRule="auto"/>
        <w:rPr>
          <w:rFonts w:ascii="Arial" w:eastAsia="Calibri" w:hAnsi="Arial" w:cs="Arial"/>
        </w:rPr>
      </w:pPr>
    </w:p>
    <w:p w14:paraId="502A07E8" w14:textId="0CCFCF43" w:rsidR="00A7151A" w:rsidRDefault="00A7151A" w:rsidP="000845C9">
      <w:pPr>
        <w:spacing w:line="360" w:lineRule="auto"/>
        <w:rPr>
          <w:rFonts w:ascii="Arial" w:eastAsia="Calibri" w:hAnsi="Arial" w:cs="Arial"/>
        </w:rPr>
      </w:pPr>
      <w:r>
        <w:rPr>
          <w:rFonts w:ascii="Arial" w:eastAsia="Calibri" w:hAnsi="Arial" w:cs="Arial"/>
        </w:rPr>
        <w:t>Tailored feedback was provided to all 82 applicants to highlight strengths and areas for improvement. These businesses have also been provided with guidance on the free support that is available from the Scottish Government agencies to help them achieve environmental excellence.</w:t>
      </w:r>
    </w:p>
    <w:p w14:paraId="01E59A1D" w14:textId="77777777" w:rsidR="000E0841" w:rsidRDefault="000E0841" w:rsidP="000845C9">
      <w:pPr>
        <w:spacing w:line="360" w:lineRule="auto"/>
        <w:rPr>
          <w:rFonts w:ascii="Arial" w:hAnsi="Arial" w:cs="Arial"/>
          <w:b/>
          <w:bCs/>
          <w:color w:val="000000" w:themeColor="text1"/>
          <w:lang w:val="en-US"/>
        </w:rPr>
      </w:pPr>
    </w:p>
    <w:p w14:paraId="777E2BE4" w14:textId="5B9518CF" w:rsidR="00A7151A" w:rsidRDefault="00A7151A" w:rsidP="000845C9">
      <w:pPr>
        <w:spacing w:line="360" w:lineRule="auto"/>
        <w:rPr>
          <w:rFonts w:ascii="Arial" w:hAnsi="Arial" w:cs="Arial"/>
          <w:b/>
          <w:bCs/>
          <w:lang w:val="en-US"/>
        </w:rPr>
      </w:pPr>
      <w:r w:rsidRPr="003E7B90">
        <w:rPr>
          <w:rFonts w:ascii="Arial" w:hAnsi="Arial" w:cs="Arial"/>
          <w:b/>
          <w:bCs/>
          <w:lang w:val="en-US"/>
        </w:rPr>
        <w:t xml:space="preserve">International </w:t>
      </w:r>
      <w:r>
        <w:rPr>
          <w:rFonts w:ascii="Arial" w:hAnsi="Arial" w:cs="Arial"/>
          <w:b/>
          <w:bCs/>
          <w:lang w:val="en-US"/>
        </w:rPr>
        <w:t>d</w:t>
      </w:r>
      <w:r w:rsidRPr="003E7B90">
        <w:rPr>
          <w:rFonts w:ascii="Arial" w:hAnsi="Arial" w:cs="Arial"/>
          <w:b/>
          <w:bCs/>
          <w:lang w:val="en-US"/>
        </w:rPr>
        <w:t>evelopment</w:t>
      </w:r>
    </w:p>
    <w:p w14:paraId="1D8CEB7D" w14:textId="77777777" w:rsidR="00863A79" w:rsidRPr="003E7B90" w:rsidRDefault="00863A79" w:rsidP="000845C9">
      <w:pPr>
        <w:spacing w:line="360" w:lineRule="auto"/>
        <w:rPr>
          <w:rFonts w:ascii="Arial" w:hAnsi="Arial" w:cs="Arial"/>
          <w:b/>
          <w:bCs/>
          <w:lang w:val="en-US"/>
        </w:rPr>
      </w:pPr>
    </w:p>
    <w:p w14:paraId="3E66B726" w14:textId="77777777" w:rsidR="00A7151A" w:rsidRPr="001F3247" w:rsidRDefault="00A7151A" w:rsidP="000845C9">
      <w:pPr>
        <w:spacing w:line="360" w:lineRule="auto"/>
        <w:rPr>
          <w:rFonts w:ascii="Arial" w:hAnsi="Arial" w:cs="Arial"/>
          <w:b/>
          <w:bCs/>
          <w:lang w:val="en-US"/>
        </w:rPr>
      </w:pPr>
      <w:r w:rsidRPr="001F3247">
        <w:rPr>
          <w:rFonts w:ascii="Arial" w:hAnsi="Arial" w:cs="Arial"/>
          <w:b/>
          <w:bCs/>
          <w:lang w:val="en-US"/>
        </w:rPr>
        <w:t xml:space="preserve">Cyprus – </w:t>
      </w:r>
      <w:r>
        <w:rPr>
          <w:rFonts w:ascii="Arial" w:hAnsi="Arial" w:cs="Arial"/>
          <w:b/>
          <w:bCs/>
          <w:lang w:val="en-US"/>
        </w:rPr>
        <w:t>Reform and capacity building</w:t>
      </w:r>
    </w:p>
    <w:p w14:paraId="058D073F" w14:textId="0F39BDEA" w:rsidR="00A7151A" w:rsidRDefault="00A7151A" w:rsidP="000845C9">
      <w:pPr>
        <w:spacing w:line="360" w:lineRule="auto"/>
        <w:rPr>
          <w:rFonts w:ascii="Arial" w:hAnsi="Arial" w:cs="Arial"/>
          <w:lang w:val="en-US"/>
        </w:rPr>
      </w:pPr>
      <w:r w:rsidRPr="008E6C4C">
        <w:rPr>
          <w:rFonts w:ascii="Arial" w:hAnsi="Arial" w:cs="Arial"/>
          <w:lang w:val="en-US"/>
        </w:rPr>
        <w:t xml:space="preserve">In April 2020, we collaborated with </w:t>
      </w:r>
      <w:r>
        <w:rPr>
          <w:rFonts w:ascii="Arial" w:hAnsi="Arial" w:cs="Arial"/>
          <w:lang w:val="en-US"/>
        </w:rPr>
        <w:t xml:space="preserve">the EU Network for the Implementation and Enforcement of Environmental Law </w:t>
      </w:r>
      <w:r w:rsidRPr="008E6C4C">
        <w:rPr>
          <w:rFonts w:ascii="Arial" w:hAnsi="Arial" w:cs="Arial"/>
          <w:lang w:val="en-US"/>
        </w:rPr>
        <w:t>on the project ‘Revising the National Strategy for the Management of Municipal Waste’</w:t>
      </w:r>
      <w:r w:rsidR="00023070" w:rsidRPr="008E6C4C">
        <w:rPr>
          <w:rFonts w:ascii="Arial" w:hAnsi="Arial" w:cs="Arial"/>
          <w:lang w:val="en-US"/>
        </w:rPr>
        <w:t xml:space="preserve">. </w:t>
      </w:r>
    </w:p>
    <w:p w14:paraId="3E200643" w14:textId="77777777" w:rsidR="007B638C" w:rsidRDefault="007B638C" w:rsidP="000845C9">
      <w:pPr>
        <w:spacing w:line="360" w:lineRule="auto"/>
        <w:rPr>
          <w:rFonts w:ascii="Arial" w:hAnsi="Arial" w:cs="Arial"/>
          <w:lang w:val="en-US"/>
        </w:rPr>
      </w:pPr>
    </w:p>
    <w:p w14:paraId="0E5BB895" w14:textId="6D9D0690" w:rsidR="00A7151A" w:rsidRDefault="00A7151A" w:rsidP="000845C9">
      <w:pPr>
        <w:spacing w:line="360" w:lineRule="auto"/>
        <w:rPr>
          <w:rFonts w:ascii="Arial" w:hAnsi="Arial" w:cs="Arial"/>
          <w:lang w:val="en-US"/>
        </w:rPr>
      </w:pPr>
      <w:r w:rsidRPr="008E6C4C">
        <w:rPr>
          <w:rFonts w:ascii="Arial" w:hAnsi="Arial" w:cs="Arial"/>
          <w:lang w:val="en-US"/>
        </w:rPr>
        <w:t>This project</w:t>
      </w:r>
      <w:r>
        <w:rPr>
          <w:rFonts w:ascii="Arial" w:hAnsi="Arial" w:cs="Arial"/>
          <w:lang w:val="en-US"/>
        </w:rPr>
        <w:t>, which</w:t>
      </w:r>
      <w:r w:rsidRPr="008E6C4C">
        <w:rPr>
          <w:rFonts w:ascii="Arial" w:hAnsi="Arial" w:cs="Arial"/>
          <w:lang w:val="en-US"/>
        </w:rPr>
        <w:t xml:space="preserve"> is funded by the European Commission</w:t>
      </w:r>
      <w:r>
        <w:rPr>
          <w:rFonts w:ascii="Arial" w:hAnsi="Arial" w:cs="Arial"/>
          <w:lang w:val="en-US"/>
        </w:rPr>
        <w:t xml:space="preserve">, is </w:t>
      </w:r>
      <w:r w:rsidRPr="008E6C4C">
        <w:rPr>
          <w:rFonts w:ascii="Arial" w:hAnsi="Arial" w:cs="Arial"/>
          <w:lang w:val="en-US"/>
        </w:rPr>
        <w:t>providing technical support to Cyprus in its efforts to progress towards resource efficiency and effective waste management. Municipal waste management is one of the major challenges faced by Cyprus</w:t>
      </w:r>
      <w:r>
        <w:rPr>
          <w:rFonts w:ascii="Arial" w:hAnsi="Arial" w:cs="Arial"/>
          <w:lang w:val="en-US"/>
        </w:rPr>
        <w:t xml:space="preserve">. </w:t>
      </w:r>
    </w:p>
    <w:p w14:paraId="3C11B46E" w14:textId="77777777" w:rsidR="007B638C" w:rsidRDefault="007B638C" w:rsidP="000845C9">
      <w:pPr>
        <w:spacing w:line="360" w:lineRule="auto"/>
        <w:rPr>
          <w:rFonts w:ascii="Arial" w:hAnsi="Arial" w:cs="Arial"/>
          <w:lang w:val="en-US"/>
        </w:rPr>
      </w:pPr>
    </w:p>
    <w:p w14:paraId="6FC4E48C" w14:textId="77777777" w:rsidR="00A7151A" w:rsidRPr="007D0E8E" w:rsidRDefault="00A7151A" w:rsidP="000845C9">
      <w:pPr>
        <w:spacing w:line="360" w:lineRule="auto"/>
        <w:rPr>
          <w:rFonts w:ascii="Arial" w:hAnsi="Arial" w:cs="Arial"/>
          <w:b/>
          <w:bCs/>
          <w:lang w:val="en-US"/>
        </w:rPr>
      </w:pPr>
      <w:r w:rsidRPr="007D0E8E">
        <w:rPr>
          <w:rFonts w:ascii="Arial" w:hAnsi="Arial" w:cs="Arial"/>
          <w:b/>
          <w:bCs/>
          <w:lang w:val="en-US"/>
        </w:rPr>
        <w:t xml:space="preserve">Malta </w:t>
      </w:r>
    </w:p>
    <w:p w14:paraId="6F80C671" w14:textId="0E43AC04" w:rsidR="00A7151A" w:rsidRDefault="00A7151A" w:rsidP="000845C9">
      <w:pPr>
        <w:spacing w:line="360" w:lineRule="auto"/>
        <w:rPr>
          <w:rFonts w:ascii="Arial" w:hAnsi="Arial" w:cs="Arial"/>
          <w:lang w:val="en-US"/>
        </w:rPr>
      </w:pPr>
      <w:r w:rsidRPr="00883FD4">
        <w:rPr>
          <w:rFonts w:ascii="Arial" w:hAnsi="Arial" w:cs="Arial"/>
          <w:lang w:val="en-US"/>
        </w:rPr>
        <w:t xml:space="preserve">In collaboration with </w:t>
      </w:r>
      <w:r>
        <w:rPr>
          <w:rFonts w:ascii="Arial" w:hAnsi="Arial" w:cs="Arial"/>
          <w:lang w:val="en-US"/>
        </w:rPr>
        <w:t>EU Network of the Implementation and Enforcement of Environmental Law</w:t>
      </w:r>
      <w:r w:rsidRPr="00883FD4">
        <w:rPr>
          <w:rFonts w:ascii="Arial" w:hAnsi="Arial" w:cs="Arial"/>
          <w:lang w:val="en-US"/>
        </w:rPr>
        <w:t>, we are providing support and guidance to the environmental</w:t>
      </w:r>
      <w:r w:rsidRPr="00735A3B">
        <w:rPr>
          <w:rFonts w:ascii="Arial" w:hAnsi="Arial" w:cs="Arial"/>
          <w:lang w:val="en-US"/>
        </w:rPr>
        <w:t xml:space="preserve"> </w:t>
      </w:r>
      <w:r>
        <w:rPr>
          <w:rFonts w:ascii="Arial" w:hAnsi="Arial" w:cs="Arial"/>
          <w:lang w:val="en-US"/>
        </w:rPr>
        <w:t>r</w:t>
      </w:r>
      <w:r w:rsidRPr="00735A3B">
        <w:rPr>
          <w:rFonts w:ascii="Arial" w:hAnsi="Arial" w:cs="Arial"/>
          <w:lang w:val="en-US"/>
        </w:rPr>
        <w:t xml:space="preserve">egulators </w:t>
      </w:r>
      <w:r>
        <w:rPr>
          <w:rFonts w:ascii="Arial" w:hAnsi="Arial" w:cs="Arial"/>
          <w:lang w:val="en-US"/>
        </w:rPr>
        <w:t xml:space="preserve">in Malta, to help </w:t>
      </w:r>
      <w:r w:rsidRPr="00735A3B">
        <w:rPr>
          <w:rFonts w:ascii="Arial" w:hAnsi="Arial" w:cs="Arial"/>
          <w:lang w:val="en-US"/>
        </w:rPr>
        <w:t>the</w:t>
      </w:r>
      <w:r>
        <w:rPr>
          <w:rFonts w:ascii="Arial" w:hAnsi="Arial" w:cs="Arial"/>
          <w:lang w:val="en-US"/>
        </w:rPr>
        <w:t>m</w:t>
      </w:r>
      <w:r w:rsidRPr="00735A3B">
        <w:rPr>
          <w:rFonts w:ascii="Arial" w:hAnsi="Arial" w:cs="Arial"/>
          <w:lang w:val="en-US"/>
        </w:rPr>
        <w:t xml:space="preserve"> streamlin</w:t>
      </w:r>
      <w:r>
        <w:rPr>
          <w:rFonts w:ascii="Arial" w:hAnsi="Arial" w:cs="Arial"/>
          <w:lang w:val="en-US"/>
        </w:rPr>
        <w:t>e their</w:t>
      </w:r>
      <w:r w:rsidRPr="00735A3B">
        <w:rPr>
          <w:rFonts w:ascii="Arial" w:hAnsi="Arial" w:cs="Arial"/>
          <w:lang w:val="en-US"/>
        </w:rPr>
        <w:t xml:space="preserve"> regulatory </w:t>
      </w:r>
      <w:r w:rsidRPr="00611FA4">
        <w:rPr>
          <w:rFonts w:ascii="Arial" w:hAnsi="Arial" w:cs="Arial"/>
          <w:lang w:val="en-US"/>
        </w:rPr>
        <w:t xml:space="preserve">process. </w:t>
      </w:r>
      <w:r>
        <w:rPr>
          <w:rFonts w:ascii="Arial" w:hAnsi="Arial" w:cs="Arial"/>
          <w:lang w:val="en-US"/>
        </w:rPr>
        <w:t xml:space="preserve">This project is also funded by the European Commission. </w:t>
      </w:r>
    </w:p>
    <w:p w14:paraId="552AD6F1" w14:textId="77777777" w:rsidR="007B638C" w:rsidRPr="00FA4DD8" w:rsidRDefault="007B638C" w:rsidP="000845C9">
      <w:pPr>
        <w:spacing w:line="360" w:lineRule="auto"/>
        <w:rPr>
          <w:rFonts w:ascii="Arial" w:hAnsi="Arial" w:cs="Arial"/>
          <w:lang w:val="en-US"/>
        </w:rPr>
      </w:pPr>
    </w:p>
    <w:p w14:paraId="3A49D95C" w14:textId="77777777" w:rsidR="00A7151A" w:rsidRPr="00AC1669" w:rsidRDefault="00A7151A" w:rsidP="000845C9">
      <w:pPr>
        <w:spacing w:line="360" w:lineRule="auto"/>
        <w:rPr>
          <w:rFonts w:ascii="Arial" w:eastAsia="Arial" w:hAnsi="Arial" w:cs="Arial"/>
          <w:b/>
          <w:bCs/>
          <w:color w:val="000000" w:themeColor="text1"/>
        </w:rPr>
      </w:pPr>
      <w:r w:rsidRPr="00AC1669">
        <w:rPr>
          <w:rFonts w:ascii="Arial" w:eastAsia="Arial" w:hAnsi="Arial" w:cs="Arial"/>
          <w:b/>
          <w:bCs/>
          <w:color w:val="000000" w:themeColor="text1"/>
        </w:rPr>
        <w:t xml:space="preserve">Malawi: </w:t>
      </w:r>
      <w:r>
        <w:rPr>
          <w:rFonts w:ascii="Arial" w:eastAsia="Arial" w:hAnsi="Arial" w:cs="Arial"/>
          <w:b/>
          <w:bCs/>
          <w:color w:val="000000" w:themeColor="text1"/>
        </w:rPr>
        <w:t>s</w:t>
      </w:r>
      <w:r w:rsidRPr="00AC1669">
        <w:rPr>
          <w:rFonts w:ascii="Arial" w:eastAsia="Arial" w:hAnsi="Arial" w:cs="Arial"/>
          <w:b/>
          <w:bCs/>
          <w:color w:val="000000" w:themeColor="text1"/>
        </w:rPr>
        <w:t xml:space="preserve">upporting water resource management </w:t>
      </w:r>
    </w:p>
    <w:p w14:paraId="3E245F16" w14:textId="6784ABF2" w:rsidR="00A7151A" w:rsidRDefault="00A7151A" w:rsidP="000845C9">
      <w:pPr>
        <w:spacing w:line="360" w:lineRule="auto"/>
        <w:rPr>
          <w:rFonts w:ascii="Arial" w:eastAsia="Arial" w:hAnsi="Arial" w:cs="Arial"/>
          <w:color w:val="000000" w:themeColor="text1"/>
        </w:rPr>
      </w:pPr>
      <w:r>
        <w:rPr>
          <w:rFonts w:ascii="Arial" w:eastAsia="Arial" w:hAnsi="Arial" w:cs="Arial"/>
          <w:color w:val="000000" w:themeColor="text1"/>
        </w:rPr>
        <w:t>As part of the Malawi Scotland Regulatory Partnership, we continue to work with the National Water Resource Authority and Environment Protection Agency in Malawi, to improve the management and regulation of water resources.</w:t>
      </w:r>
    </w:p>
    <w:p w14:paraId="67C55F4B" w14:textId="77777777" w:rsidR="007B638C" w:rsidRDefault="007B638C" w:rsidP="000845C9">
      <w:pPr>
        <w:spacing w:line="360" w:lineRule="auto"/>
        <w:rPr>
          <w:rFonts w:ascii="Arial" w:eastAsia="Arial" w:hAnsi="Arial" w:cs="Arial"/>
          <w:color w:val="000000" w:themeColor="text1"/>
        </w:rPr>
      </w:pPr>
    </w:p>
    <w:p w14:paraId="14609F78" w14:textId="26856DBE" w:rsidR="00A7151A" w:rsidRDefault="00A7151A" w:rsidP="000845C9">
      <w:pPr>
        <w:spacing w:line="360" w:lineRule="auto"/>
        <w:rPr>
          <w:rFonts w:ascii="Arial" w:hAnsi="Arial" w:cs="Arial"/>
          <w:color w:val="000000" w:themeColor="text1"/>
          <w:lang w:val="en-US"/>
        </w:rPr>
      </w:pPr>
      <w:r>
        <w:rPr>
          <w:rFonts w:ascii="Arial" w:eastAsia="Arial" w:hAnsi="Arial" w:cs="Arial"/>
          <w:color w:val="000000" w:themeColor="text1"/>
        </w:rPr>
        <w:t xml:space="preserve">The partnership team has delivered a range of training and activities. This has included </w:t>
      </w:r>
      <w:r w:rsidRPr="00ED2B0C">
        <w:rPr>
          <w:rFonts w:ascii="Arial" w:hAnsi="Arial" w:cs="Arial"/>
          <w:color w:val="000000" w:themeColor="text1"/>
          <w:lang w:val="en-US"/>
        </w:rPr>
        <w:t>institutional</w:t>
      </w:r>
      <w:r>
        <w:rPr>
          <w:rFonts w:ascii="Arial" w:hAnsi="Arial" w:cs="Arial"/>
          <w:color w:val="000000" w:themeColor="text1"/>
          <w:lang w:val="en-US"/>
        </w:rPr>
        <w:t xml:space="preserve"> </w:t>
      </w:r>
      <w:proofErr w:type="spellStart"/>
      <w:r w:rsidRPr="00ED2B0C">
        <w:rPr>
          <w:rFonts w:ascii="Arial" w:hAnsi="Arial" w:cs="Arial"/>
          <w:color w:val="000000" w:themeColor="text1"/>
          <w:lang w:val="en-US"/>
        </w:rPr>
        <w:t>organisational</w:t>
      </w:r>
      <w:proofErr w:type="spellEnd"/>
      <w:r w:rsidRPr="00ED2B0C">
        <w:rPr>
          <w:rFonts w:ascii="Arial" w:hAnsi="Arial" w:cs="Arial"/>
          <w:color w:val="000000" w:themeColor="text1"/>
          <w:lang w:val="en-US"/>
        </w:rPr>
        <w:t xml:space="preserve"> design, developing corporate governance frameworks</w:t>
      </w:r>
      <w:r w:rsidR="00477988">
        <w:rPr>
          <w:rFonts w:ascii="Arial" w:hAnsi="Arial" w:cs="Arial"/>
          <w:color w:val="000000" w:themeColor="text1"/>
          <w:lang w:val="en-US"/>
        </w:rPr>
        <w:t>,</w:t>
      </w:r>
      <w:r w:rsidRPr="00ED2B0C">
        <w:rPr>
          <w:rFonts w:ascii="Arial" w:hAnsi="Arial" w:cs="Arial"/>
          <w:color w:val="000000" w:themeColor="text1"/>
          <w:lang w:val="en-US"/>
        </w:rPr>
        <w:t xml:space="preserve"> </w:t>
      </w:r>
      <w:r>
        <w:rPr>
          <w:rFonts w:ascii="Arial" w:hAnsi="Arial" w:cs="Arial"/>
          <w:color w:val="000000" w:themeColor="text1"/>
          <w:lang w:val="en-US"/>
        </w:rPr>
        <w:t xml:space="preserve">and training on </w:t>
      </w:r>
      <w:r w:rsidRPr="00ED2B0C">
        <w:rPr>
          <w:rFonts w:ascii="Arial" w:hAnsi="Arial" w:cs="Arial"/>
          <w:color w:val="000000" w:themeColor="text1"/>
          <w:lang w:val="en-US"/>
        </w:rPr>
        <w:t>technical topics such as inspections and developing regulatory information systems</w:t>
      </w:r>
      <w:r>
        <w:rPr>
          <w:rFonts w:ascii="Arial" w:hAnsi="Arial" w:cs="Arial"/>
          <w:color w:val="000000" w:themeColor="text1"/>
          <w:lang w:val="en-US"/>
        </w:rPr>
        <w:t xml:space="preserve">. The team also secured a variety of support from collaborates with Malawian </w:t>
      </w:r>
      <w:r>
        <w:rPr>
          <w:rFonts w:ascii="Arial" w:hAnsi="Arial" w:cs="Arial"/>
          <w:color w:val="000000" w:themeColor="text1"/>
          <w:lang w:val="en-US"/>
        </w:rPr>
        <w:lastRenderedPageBreak/>
        <w:t>partners to deliver in-country. This support and partnership approach is helping regulators to become operational.</w:t>
      </w:r>
    </w:p>
    <w:p w14:paraId="1B576D02" w14:textId="77777777" w:rsidR="007B638C" w:rsidRPr="003029B2" w:rsidRDefault="007B638C" w:rsidP="000845C9">
      <w:pPr>
        <w:spacing w:line="360" w:lineRule="auto"/>
        <w:rPr>
          <w:rFonts w:ascii="Arial" w:eastAsia="Arial" w:hAnsi="Arial" w:cs="Arial"/>
          <w:color w:val="000000" w:themeColor="text1"/>
        </w:rPr>
      </w:pPr>
    </w:p>
    <w:p w14:paraId="59D27537" w14:textId="7A3ED636" w:rsidR="00A7151A" w:rsidRPr="008820CF" w:rsidRDefault="00A7151A" w:rsidP="000845C9">
      <w:pPr>
        <w:spacing w:line="360" w:lineRule="auto"/>
        <w:rPr>
          <w:rFonts w:ascii="Arial" w:eastAsia="Arial" w:hAnsi="Arial" w:cs="Arial"/>
          <w:b/>
          <w:bCs/>
          <w:color w:val="000000" w:themeColor="text1"/>
        </w:rPr>
      </w:pPr>
      <w:r w:rsidRPr="008820CF">
        <w:rPr>
          <w:rFonts w:ascii="Arial" w:eastAsia="Arial" w:hAnsi="Arial" w:cs="Arial"/>
          <w:b/>
          <w:bCs/>
          <w:color w:val="000000" w:themeColor="text1"/>
        </w:rPr>
        <w:t>Malawi</w:t>
      </w:r>
      <w:r>
        <w:rPr>
          <w:rFonts w:ascii="Arial" w:eastAsia="Arial" w:hAnsi="Arial" w:cs="Arial"/>
          <w:b/>
          <w:bCs/>
          <w:color w:val="000000" w:themeColor="text1"/>
        </w:rPr>
        <w:t>: c</w:t>
      </w:r>
      <w:r w:rsidRPr="008820CF">
        <w:rPr>
          <w:rFonts w:ascii="Arial" w:eastAsia="Arial" w:hAnsi="Arial" w:cs="Arial"/>
          <w:b/>
          <w:bCs/>
          <w:color w:val="000000" w:themeColor="text1"/>
        </w:rPr>
        <w:t xml:space="preserve">ommunity </w:t>
      </w:r>
      <w:r>
        <w:rPr>
          <w:rFonts w:ascii="Arial" w:eastAsia="Arial" w:hAnsi="Arial" w:cs="Arial"/>
          <w:b/>
          <w:bCs/>
          <w:color w:val="000000" w:themeColor="text1"/>
        </w:rPr>
        <w:t>a</w:t>
      </w:r>
      <w:r w:rsidRPr="008820CF">
        <w:rPr>
          <w:rFonts w:ascii="Arial" w:eastAsia="Arial" w:hAnsi="Arial" w:cs="Arial"/>
          <w:b/>
          <w:bCs/>
          <w:color w:val="000000" w:themeColor="text1"/>
        </w:rPr>
        <w:t xml:space="preserve">dvocacy for </w:t>
      </w:r>
      <w:r>
        <w:rPr>
          <w:rFonts w:ascii="Arial" w:eastAsia="Arial" w:hAnsi="Arial" w:cs="Arial"/>
          <w:b/>
          <w:bCs/>
          <w:color w:val="000000" w:themeColor="text1"/>
        </w:rPr>
        <w:t>s</w:t>
      </w:r>
      <w:r w:rsidRPr="008820CF">
        <w:rPr>
          <w:rFonts w:ascii="Arial" w:eastAsia="Arial" w:hAnsi="Arial" w:cs="Arial"/>
          <w:b/>
          <w:bCs/>
          <w:color w:val="000000" w:themeColor="text1"/>
        </w:rPr>
        <w:t xml:space="preserve">ustainable </w:t>
      </w:r>
      <w:r>
        <w:rPr>
          <w:rFonts w:ascii="Arial" w:eastAsia="Arial" w:hAnsi="Arial" w:cs="Arial"/>
          <w:b/>
          <w:bCs/>
          <w:color w:val="000000" w:themeColor="text1"/>
        </w:rPr>
        <w:t>r</w:t>
      </w:r>
      <w:r w:rsidRPr="008820CF">
        <w:rPr>
          <w:rFonts w:ascii="Arial" w:eastAsia="Arial" w:hAnsi="Arial" w:cs="Arial"/>
          <w:b/>
          <w:bCs/>
          <w:color w:val="000000" w:themeColor="text1"/>
        </w:rPr>
        <w:t xml:space="preserve">ural </w:t>
      </w:r>
      <w:r>
        <w:rPr>
          <w:rFonts w:ascii="Arial" w:eastAsia="Arial" w:hAnsi="Arial" w:cs="Arial"/>
          <w:b/>
          <w:bCs/>
          <w:color w:val="000000" w:themeColor="text1"/>
        </w:rPr>
        <w:t>w</w:t>
      </w:r>
      <w:r w:rsidRPr="008820CF">
        <w:rPr>
          <w:rFonts w:ascii="Arial" w:eastAsia="Arial" w:hAnsi="Arial" w:cs="Arial"/>
          <w:b/>
          <w:bCs/>
          <w:color w:val="000000" w:themeColor="text1"/>
        </w:rPr>
        <w:t xml:space="preserve">ater </w:t>
      </w:r>
      <w:r>
        <w:rPr>
          <w:rFonts w:ascii="Arial" w:eastAsia="Arial" w:hAnsi="Arial" w:cs="Arial"/>
          <w:b/>
          <w:bCs/>
          <w:color w:val="000000" w:themeColor="text1"/>
        </w:rPr>
        <w:t>s</w:t>
      </w:r>
      <w:r w:rsidRPr="008820CF">
        <w:rPr>
          <w:rFonts w:ascii="Arial" w:eastAsia="Arial" w:hAnsi="Arial" w:cs="Arial"/>
          <w:b/>
          <w:bCs/>
          <w:color w:val="000000" w:themeColor="text1"/>
        </w:rPr>
        <w:t xml:space="preserve">ervices  </w:t>
      </w:r>
    </w:p>
    <w:p w14:paraId="79E7A8C7" w14:textId="03A96A46" w:rsidR="00A7151A" w:rsidRDefault="00A7151A" w:rsidP="000845C9">
      <w:pPr>
        <w:spacing w:line="360" w:lineRule="auto"/>
        <w:rPr>
          <w:rFonts w:ascii="Arial" w:eastAsia="Arial" w:hAnsi="Arial" w:cs="Arial"/>
          <w:color w:val="000000" w:themeColor="text1"/>
        </w:rPr>
      </w:pPr>
      <w:r>
        <w:rPr>
          <w:rFonts w:ascii="Arial" w:eastAsia="Arial" w:hAnsi="Arial" w:cs="Arial"/>
          <w:color w:val="000000" w:themeColor="text1"/>
        </w:rPr>
        <w:t xml:space="preserve">This project was completed in </w:t>
      </w:r>
      <w:r w:rsidR="000845C9">
        <w:rPr>
          <w:rFonts w:ascii="Arial" w:eastAsia="Arial" w:hAnsi="Arial" w:cs="Arial"/>
          <w:color w:val="000000" w:themeColor="text1"/>
        </w:rPr>
        <w:t>2021/2022</w:t>
      </w:r>
      <w:r>
        <w:rPr>
          <w:rFonts w:ascii="Arial" w:eastAsia="Arial" w:hAnsi="Arial" w:cs="Arial"/>
          <w:color w:val="000000" w:themeColor="text1"/>
        </w:rPr>
        <w:t>. Funding was provided by</w:t>
      </w:r>
      <w:r w:rsidRPr="00180985">
        <w:rPr>
          <w:rFonts w:ascii="Arial" w:eastAsia="Arial" w:hAnsi="Arial" w:cs="Arial"/>
          <w:color w:val="000000" w:themeColor="text1"/>
        </w:rPr>
        <w:t xml:space="preserve"> the Scottish Government’s Climate Justice Innovation Fund</w:t>
      </w:r>
      <w:r>
        <w:rPr>
          <w:rFonts w:ascii="Arial" w:eastAsia="Arial" w:hAnsi="Arial" w:cs="Arial"/>
          <w:color w:val="000000" w:themeColor="text1"/>
        </w:rPr>
        <w:t>.</w:t>
      </w:r>
    </w:p>
    <w:p w14:paraId="3410645F" w14:textId="77777777" w:rsidR="007B638C" w:rsidRDefault="007B638C" w:rsidP="000845C9">
      <w:pPr>
        <w:spacing w:line="360" w:lineRule="auto"/>
        <w:rPr>
          <w:rFonts w:ascii="Arial" w:eastAsia="Arial" w:hAnsi="Arial" w:cs="Arial"/>
          <w:color w:val="000000" w:themeColor="text1"/>
        </w:rPr>
      </w:pPr>
    </w:p>
    <w:p w14:paraId="26107853" w14:textId="77777777" w:rsidR="007E04FF" w:rsidRDefault="00A7151A" w:rsidP="000845C9">
      <w:pPr>
        <w:spacing w:line="360" w:lineRule="auto"/>
        <w:rPr>
          <w:rFonts w:ascii="Arial" w:eastAsia="Arial" w:hAnsi="Arial" w:cs="Arial"/>
          <w:color w:val="000000" w:themeColor="text1"/>
        </w:rPr>
      </w:pPr>
      <w:r>
        <w:rPr>
          <w:rFonts w:ascii="Arial" w:eastAsia="Arial" w:hAnsi="Arial" w:cs="Arial"/>
          <w:color w:val="000000" w:themeColor="text1"/>
        </w:rPr>
        <w:t xml:space="preserve">We worked with non-government organisations, the water regulator, and local communities. Project achievements included: </w:t>
      </w:r>
      <w:r w:rsidRPr="00524825">
        <w:rPr>
          <w:rFonts w:ascii="Arial" w:eastAsia="Arial" w:hAnsi="Arial" w:cs="Arial"/>
          <w:color w:val="000000" w:themeColor="text1"/>
        </w:rPr>
        <w:t>the forensic assessment of 16 boreholes</w:t>
      </w:r>
      <w:r>
        <w:rPr>
          <w:rFonts w:ascii="Arial" w:eastAsia="Arial" w:hAnsi="Arial" w:cs="Arial"/>
          <w:color w:val="000000" w:themeColor="text1"/>
        </w:rPr>
        <w:t>;</w:t>
      </w:r>
      <w:r w:rsidRPr="00524825">
        <w:rPr>
          <w:rFonts w:ascii="Arial" w:eastAsia="Arial" w:hAnsi="Arial" w:cs="Arial"/>
          <w:color w:val="000000" w:themeColor="text1"/>
        </w:rPr>
        <w:t xml:space="preserve"> advocacy and engagement work in eight local communities affected by failed boreholes</w:t>
      </w:r>
      <w:r>
        <w:rPr>
          <w:rFonts w:ascii="Arial" w:eastAsia="Arial" w:hAnsi="Arial" w:cs="Arial"/>
          <w:color w:val="000000" w:themeColor="text1"/>
        </w:rPr>
        <w:t xml:space="preserve">; and </w:t>
      </w:r>
      <w:r w:rsidRPr="00524825">
        <w:rPr>
          <w:rFonts w:ascii="Arial" w:eastAsia="Arial" w:hAnsi="Arial" w:cs="Arial"/>
          <w:color w:val="000000" w:themeColor="text1"/>
        </w:rPr>
        <w:t>training in water legislation and regulations</w:t>
      </w:r>
      <w:r>
        <w:rPr>
          <w:rFonts w:ascii="Arial" w:eastAsia="Arial" w:hAnsi="Arial" w:cs="Arial"/>
          <w:color w:val="000000" w:themeColor="text1"/>
        </w:rPr>
        <w:t>. The project also</w:t>
      </w:r>
      <w:r w:rsidRPr="00524825">
        <w:rPr>
          <w:rFonts w:ascii="Arial" w:eastAsia="Arial" w:hAnsi="Arial" w:cs="Arial"/>
          <w:color w:val="000000" w:themeColor="text1"/>
        </w:rPr>
        <w:t xml:space="preserve"> </w:t>
      </w:r>
      <w:r>
        <w:rPr>
          <w:rFonts w:ascii="Arial" w:eastAsia="Arial" w:hAnsi="Arial" w:cs="Arial"/>
          <w:color w:val="000000" w:themeColor="text1"/>
        </w:rPr>
        <w:t>helped empower local</w:t>
      </w:r>
      <w:r w:rsidRPr="00524825">
        <w:rPr>
          <w:rFonts w:ascii="Arial" w:eastAsia="Arial" w:hAnsi="Arial" w:cs="Arial"/>
          <w:color w:val="000000" w:themeColor="text1"/>
        </w:rPr>
        <w:t xml:space="preserve"> communities to raise concerns with the regulators.  </w:t>
      </w:r>
    </w:p>
    <w:p w14:paraId="5F577B3E" w14:textId="77777777" w:rsidR="000E0841" w:rsidRDefault="000E0841" w:rsidP="000845C9">
      <w:pPr>
        <w:spacing w:line="360" w:lineRule="auto"/>
        <w:rPr>
          <w:rFonts w:ascii="Arial" w:eastAsia="Arial" w:hAnsi="Arial" w:cs="Arial"/>
          <w:color w:val="000000" w:themeColor="text1"/>
        </w:rPr>
      </w:pPr>
    </w:p>
    <w:p w14:paraId="4AE8834E" w14:textId="3A6C3617" w:rsidR="007E04FF" w:rsidRDefault="007E04FF" w:rsidP="007E04FF">
      <w:pPr>
        <w:spacing w:line="360" w:lineRule="auto"/>
        <w:ind w:right="-142"/>
        <w:rPr>
          <w:rFonts w:ascii="Arial" w:hAnsi="Arial" w:cs="Arial"/>
        </w:rPr>
      </w:pPr>
      <w:r w:rsidRPr="00306F2A">
        <w:rPr>
          <w:rFonts w:ascii="Arial" w:hAnsi="Arial" w:cs="Arial"/>
        </w:rPr>
        <w:t xml:space="preserve">Approved by the Board on </w:t>
      </w:r>
      <w:r w:rsidR="0025425C">
        <w:rPr>
          <w:rFonts w:ascii="Arial" w:hAnsi="Arial" w:cs="Arial"/>
        </w:rPr>
        <w:t>29 November</w:t>
      </w:r>
      <w:r w:rsidRPr="00306F2A">
        <w:rPr>
          <w:rFonts w:ascii="Arial" w:hAnsi="Arial" w:cs="Arial"/>
        </w:rPr>
        <w:t xml:space="preserve"> 2022 and signed on behalf of the Board on </w:t>
      </w:r>
      <w:r w:rsidR="00DB314B">
        <w:rPr>
          <w:rFonts w:ascii="Arial" w:hAnsi="Arial" w:cs="Arial"/>
        </w:rPr>
        <w:t>02</w:t>
      </w:r>
      <w:r w:rsidR="0025425C">
        <w:rPr>
          <w:rFonts w:ascii="Arial" w:hAnsi="Arial" w:cs="Arial"/>
        </w:rPr>
        <w:t xml:space="preserve"> December 2022.</w:t>
      </w:r>
    </w:p>
    <w:p w14:paraId="5502352E" w14:textId="77777777" w:rsidR="007E04FF" w:rsidRDefault="007E04FF" w:rsidP="007E04FF">
      <w:pPr>
        <w:spacing w:line="360" w:lineRule="auto"/>
        <w:ind w:right="-142"/>
        <w:rPr>
          <w:rFonts w:ascii="Arial" w:hAnsi="Arial" w:cs="Arial"/>
        </w:rPr>
      </w:pPr>
    </w:p>
    <w:p w14:paraId="50BF0A7D" w14:textId="77777777" w:rsidR="007E04FF" w:rsidRDefault="007E04FF" w:rsidP="007E04FF">
      <w:pPr>
        <w:spacing w:line="360" w:lineRule="auto"/>
        <w:rPr>
          <w:rFonts w:ascii="Arial" w:hAnsi="Arial" w:cs="Arial"/>
        </w:rPr>
      </w:pPr>
    </w:p>
    <w:p w14:paraId="4C024303" w14:textId="77777777" w:rsidR="007E04FF" w:rsidRPr="00745D6B" w:rsidRDefault="007E04FF" w:rsidP="007E04FF">
      <w:pPr>
        <w:spacing w:line="360" w:lineRule="auto"/>
        <w:rPr>
          <w:rFonts w:ascii="Arial" w:hAnsi="Arial" w:cs="Arial"/>
        </w:rPr>
      </w:pPr>
    </w:p>
    <w:p w14:paraId="0DD1AF9F" w14:textId="77777777" w:rsidR="007E04FF" w:rsidRPr="000F0C25" w:rsidRDefault="007E04FF" w:rsidP="007E04FF">
      <w:pPr>
        <w:rPr>
          <w:rFonts w:ascii="Arial" w:hAnsi="Arial" w:cs="Arial"/>
          <w:b/>
          <w:sz w:val="22"/>
          <w:szCs w:val="22"/>
        </w:rPr>
      </w:pPr>
      <w:r w:rsidRPr="000F0C25">
        <w:rPr>
          <w:rFonts w:ascii="Arial" w:hAnsi="Arial" w:cs="Arial"/>
          <w:b/>
          <w:sz w:val="22"/>
          <w:szCs w:val="22"/>
        </w:rPr>
        <w:t xml:space="preserve">______________________________________                       </w:t>
      </w:r>
      <w:r w:rsidRPr="000F0C25">
        <w:rPr>
          <w:rFonts w:ascii="Arial" w:hAnsi="Arial" w:cs="Arial"/>
          <w:b/>
          <w:sz w:val="22"/>
          <w:szCs w:val="22"/>
        </w:rPr>
        <w:tab/>
        <w:t>________________</w:t>
      </w:r>
    </w:p>
    <w:p w14:paraId="404B1EF5" w14:textId="3B5FD3B3" w:rsidR="007E04FF" w:rsidRPr="000F0C25" w:rsidRDefault="00D10311" w:rsidP="007E04FF">
      <w:pPr>
        <w:spacing w:before="60"/>
        <w:rPr>
          <w:rFonts w:ascii="Arial" w:hAnsi="Arial" w:cs="Arial"/>
          <w:b/>
          <w:sz w:val="22"/>
          <w:szCs w:val="22"/>
        </w:rPr>
      </w:pPr>
      <w:r>
        <w:rPr>
          <w:rFonts w:ascii="Arial" w:hAnsi="Arial" w:cs="Arial"/>
          <w:b/>
        </w:rPr>
        <w:t>Nicole Paterson</w:t>
      </w:r>
      <w:r w:rsidR="007E04FF">
        <w:rPr>
          <w:rFonts w:ascii="Arial" w:hAnsi="Arial" w:cs="Arial"/>
          <w:b/>
        </w:rPr>
        <w:tab/>
      </w:r>
      <w:r w:rsidR="007E04FF" w:rsidRPr="000F0C25">
        <w:rPr>
          <w:rFonts w:ascii="Arial" w:hAnsi="Arial" w:cs="Arial"/>
          <w:b/>
          <w:sz w:val="22"/>
          <w:szCs w:val="22"/>
        </w:rPr>
        <w:tab/>
      </w:r>
      <w:r w:rsidR="007E04FF" w:rsidRPr="000F0C25">
        <w:rPr>
          <w:rFonts w:ascii="Arial" w:hAnsi="Arial" w:cs="Arial"/>
          <w:b/>
          <w:sz w:val="22"/>
          <w:szCs w:val="22"/>
        </w:rPr>
        <w:tab/>
      </w:r>
      <w:r w:rsidR="007E04FF" w:rsidRPr="000F0C25">
        <w:rPr>
          <w:rFonts w:ascii="Arial" w:hAnsi="Arial" w:cs="Arial"/>
          <w:b/>
          <w:sz w:val="22"/>
          <w:szCs w:val="22"/>
        </w:rPr>
        <w:tab/>
      </w:r>
      <w:r w:rsidR="007E04FF" w:rsidRPr="000F0C25">
        <w:rPr>
          <w:rFonts w:ascii="Arial" w:hAnsi="Arial" w:cs="Arial"/>
          <w:b/>
          <w:sz w:val="22"/>
          <w:szCs w:val="22"/>
        </w:rPr>
        <w:tab/>
      </w:r>
      <w:r w:rsidR="007E04FF" w:rsidRPr="000F0C25">
        <w:rPr>
          <w:rFonts w:ascii="Arial" w:hAnsi="Arial" w:cs="Arial"/>
          <w:b/>
          <w:sz w:val="22"/>
          <w:szCs w:val="22"/>
        </w:rPr>
        <w:tab/>
      </w:r>
      <w:r w:rsidR="007E04FF" w:rsidRPr="000F0C25">
        <w:rPr>
          <w:rFonts w:ascii="Arial" w:hAnsi="Arial" w:cs="Arial"/>
          <w:b/>
          <w:sz w:val="22"/>
          <w:szCs w:val="22"/>
        </w:rPr>
        <w:tab/>
      </w:r>
      <w:r w:rsidR="007E04FF" w:rsidRPr="000F0C25">
        <w:rPr>
          <w:rFonts w:ascii="Arial" w:hAnsi="Arial" w:cs="Arial"/>
          <w:b/>
        </w:rPr>
        <w:t>Date of signature</w:t>
      </w:r>
    </w:p>
    <w:tbl>
      <w:tblPr>
        <w:tblpPr w:leftFromText="180" w:rightFromText="180" w:vertAnchor="page" w:horzAnchor="margin" w:tblpXSpec="center" w:tblpY="121"/>
        <w:tblW w:w="10304" w:type="dxa"/>
        <w:tblLayout w:type="fixed"/>
        <w:tblCellMar>
          <w:left w:w="0" w:type="dxa"/>
          <w:right w:w="0" w:type="dxa"/>
        </w:tblCellMar>
        <w:tblLook w:val="0000" w:firstRow="0" w:lastRow="0" w:firstColumn="0" w:lastColumn="0" w:noHBand="0" w:noVBand="0"/>
      </w:tblPr>
      <w:tblGrid>
        <w:gridCol w:w="9046"/>
        <w:gridCol w:w="1258"/>
      </w:tblGrid>
      <w:tr w:rsidR="007E04FF" w:rsidRPr="000F0C25" w14:paraId="10332392" w14:textId="77777777">
        <w:trPr>
          <w:trHeight w:hRule="exact" w:val="851"/>
        </w:trPr>
        <w:tc>
          <w:tcPr>
            <w:tcW w:w="9046" w:type="dxa"/>
            <w:tcBorders>
              <w:top w:val="none" w:sz="0" w:space="0" w:color="000000"/>
              <w:left w:val="none" w:sz="0" w:space="0" w:color="000000"/>
              <w:bottom w:val="none" w:sz="0" w:space="0" w:color="000000"/>
              <w:right w:val="none" w:sz="0" w:space="0" w:color="000000"/>
            </w:tcBorders>
            <w:vAlign w:val="center"/>
          </w:tcPr>
          <w:p w14:paraId="1CEF7FB0" w14:textId="77777777" w:rsidR="007E04FF" w:rsidRPr="000F0C25" w:rsidRDefault="007E04FF">
            <w:pPr>
              <w:tabs>
                <w:tab w:val="left" w:pos="5184"/>
              </w:tabs>
              <w:spacing w:before="30" w:after="19"/>
              <w:textAlignment w:val="baseline"/>
              <w:rPr>
                <w:rFonts w:ascii="Tahoma" w:eastAsia="Tahoma" w:hAnsi="Tahoma"/>
                <w:b/>
                <w:color w:val="052A4F"/>
                <w:sz w:val="15"/>
              </w:rPr>
            </w:pPr>
          </w:p>
        </w:tc>
        <w:tc>
          <w:tcPr>
            <w:tcW w:w="1258" w:type="dxa"/>
            <w:tcBorders>
              <w:top w:val="none" w:sz="0" w:space="0" w:color="000000"/>
              <w:left w:val="none" w:sz="0" w:space="0" w:color="000000"/>
              <w:bottom w:val="none" w:sz="0" w:space="0" w:color="000000"/>
              <w:right w:val="none" w:sz="0" w:space="0" w:color="000000"/>
            </w:tcBorders>
            <w:vAlign w:val="center"/>
          </w:tcPr>
          <w:p w14:paraId="2B023EE2" w14:textId="77777777" w:rsidR="007E04FF" w:rsidRPr="000F0C25" w:rsidRDefault="007E04FF">
            <w:pPr>
              <w:spacing w:after="17"/>
              <w:ind w:right="240"/>
              <w:jc w:val="center"/>
              <w:textAlignment w:val="baseline"/>
              <w:rPr>
                <w:rFonts w:ascii="Tahoma" w:eastAsia="Tahoma" w:hAnsi="Tahoma"/>
                <w:color w:val="052A4F"/>
                <w:w w:val="105"/>
                <w:sz w:val="38"/>
              </w:rPr>
            </w:pPr>
          </w:p>
        </w:tc>
      </w:tr>
    </w:tbl>
    <w:p w14:paraId="14E845C0" w14:textId="66494807" w:rsidR="007E04FF" w:rsidRPr="00997A92" w:rsidRDefault="007E04FF" w:rsidP="007E04FF">
      <w:pPr>
        <w:rPr>
          <w:rFonts w:ascii="Arial" w:hAnsi="Arial" w:cs="Arial"/>
          <w:sz w:val="22"/>
          <w:szCs w:val="22"/>
        </w:rPr>
        <w:sectPr w:rsidR="007E04FF" w:rsidRPr="00997A92" w:rsidSect="007E04FF">
          <w:type w:val="continuous"/>
          <w:pgSz w:w="11906" w:h="16838" w:code="9"/>
          <w:pgMar w:top="539" w:right="991" w:bottom="709" w:left="1134" w:header="709" w:footer="170" w:gutter="0"/>
          <w:cols w:space="708"/>
          <w:docGrid w:linePitch="360"/>
        </w:sectPr>
      </w:pPr>
      <w:r w:rsidRPr="000F0C25">
        <w:rPr>
          <w:rFonts w:ascii="Arial" w:hAnsi="Arial" w:cs="Arial"/>
          <w:b/>
        </w:rPr>
        <w:t>Chief Executive and Accountable Offic</w:t>
      </w:r>
      <w:r>
        <w:rPr>
          <w:rFonts w:ascii="Arial" w:hAnsi="Arial" w:cs="Arial"/>
          <w:b/>
        </w:rPr>
        <w:t>er</w:t>
      </w:r>
    </w:p>
    <w:p w14:paraId="1A95ABB0" w14:textId="72CC5F18" w:rsidR="00A7151A" w:rsidRPr="000845C9" w:rsidRDefault="00F4435D" w:rsidP="000845C9">
      <w:pPr>
        <w:spacing w:line="360" w:lineRule="auto"/>
        <w:rPr>
          <w:rFonts w:ascii="Arial" w:eastAsia="Arial" w:hAnsi="Arial" w:cs="Arial"/>
          <w:color w:val="000000" w:themeColor="text1"/>
        </w:rPr>
      </w:pPr>
      <w:r>
        <w:rPr>
          <w:rFonts w:ascii="Arial" w:eastAsia="Arial" w:hAnsi="Arial" w:cs="Arial"/>
          <w:color w:val="000000" w:themeColor="text1"/>
        </w:rPr>
        <w:br w:type="page"/>
      </w:r>
    </w:p>
    <w:p w14:paraId="5824661F" w14:textId="7E9788DB" w:rsidR="00061D49" w:rsidRPr="00015573" w:rsidRDefault="006834B9" w:rsidP="00E61972">
      <w:pPr>
        <w:pStyle w:val="01aMainHeader"/>
        <w:numPr>
          <w:ilvl w:val="0"/>
          <w:numId w:val="13"/>
        </w:numPr>
        <w:spacing w:before="0" w:after="0"/>
      </w:pPr>
      <w:bookmarkStart w:id="27" w:name="_Toc119068085"/>
      <w:r w:rsidRPr="00015573">
        <w:lastRenderedPageBreak/>
        <w:t>Accountability r</w:t>
      </w:r>
      <w:r w:rsidR="004E4118" w:rsidRPr="00015573">
        <w:t>eport</w:t>
      </w:r>
      <w:bookmarkEnd w:id="27"/>
      <w:r w:rsidR="00CB5293" w:rsidRPr="00015573">
        <w:t xml:space="preserve"> </w:t>
      </w:r>
    </w:p>
    <w:p w14:paraId="166A241C" w14:textId="77777777" w:rsidR="00F035B7" w:rsidRPr="00015573" w:rsidRDefault="00F035B7" w:rsidP="00F035B7">
      <w:pPr>
        <w:pStyle w:val="01aMainHeader"/>
        <w:spacing w:before="0" w:after="0"/>
        <w:ind w:left="720"/>
        <w:rPr>
          <w:b w:val="0"/>
          <w:bCs/>
          <w:sz w:val="24"/>
          <w:szCs w:val="24"/>
        </w:rPr>
      </w:pPr>
    </w:p>
    <w:p w14:paraId="660366E3" w14:textId="26172295" w:rsidR="006C6B3E" w:rsidRPr="00015573" w:rsidRDefault="0074330C" w:rsidP="00DA4475">
      <w:pPr>
        <w:pStyle w:val="01bSubheader"/>
        <w:numPr>
          <w:ilvl w:val="1"/>
          <w:numId w:val="13"/>
        </w:numPr>
        <w:ind w:left="567" w:hanging="567"/>
        <w:rPr>
          <w:lang w:eastAsia="en-US"/>
        </w:rPr>
      </w:pPr>
      <w:bookmarkStart w:id="28" w:name="_Toc119068086"/>
      <w:r w:rsidRPr="00015573">
        <w:rPr>
          <w:lang w:eastAsia="en-US"/>
        </w:rPr>
        <w:t>Corporate governance r</w:t>
      </w:r>
      <w:r w:rsidR="00061D49" w:rsidRPr="00015573">
        <w:rPr>
          <w:lang w:eastAsia="en-US"/>
        </w:rPr>
        <w:t>eport</w:t>
      </w:r>
      <w:bookmarkEnd w:id="28"/>
    </w:p>
    <w:p w14:paraId="609680C6" w14:textId="77777777" w:rsidR="00F035B7" w:rsidRPr="00F035B7" w:rsidRDefault="00F035B7" w:rsidP="00F035B7">
      <w:pPr>
        <w:pStyle w:val="01bSubheader"/>
        <w:ind w:left="567"/>
        <w:rPr>
          <w:b w:val="0"/>
          <w:bCs/>
          <w:sz w:val="24"/>
          <w:szCs w:val="24"/>
          <w:highlight w:val="yellow"/>
          <w:lang w:eastAsia="en-US"/>
        </w:rPr>
      </w:pPr>
    </w:p>
    <w:p w14:paraId="346E5E15" w14:textId="0B3902B5" w:rsidR="00AB546D" w:rsidRDefault="00FC3A27" w:rsidP="00876176">
      <w:pPr>
        <w:spacing w:line="360" w:lineRule="auto"/>
        <w:ind w:right="142"/>
        <w:jc w:val="both"/>
        <w:rPr>
          <w:rFonts w:ascii="Arial" w:hAnsi="Arial" w:cs="Arial"/>
          <w:b/>
          <w:lang w:eastAsia="en-US"/>
        </w:rPr>
      </w:pPr>
      <w:r w:rsidRPr="000F0C25">
        <w:rPr>
          <w:rFonts w:ascii="Arial" w:hAnsi="Arial" w:cs="Arial"/>
          <w:b/>
          <w:lang w:eastAsia="en-US"/>
        </w:rPr>
        <w:t>Directors’ Report</w:t>
      </w:r>
    </w:p>
    <w:p w14:paraId="2529946D" w14:textId="77777777" w:rsidR="00776D08" w:rsidRPr="000F0C25" w:rsidRDefault="00776D08" w:rsidP="00876176">
      <w:pPr>
        <w:spacing w:line="360" w:lineRule="auto"/>
        <w:ind w:right="142"/>
        <w:jc w:val="both"/>
        <w:rPr>
          <w:rFonts w:ascii="Arial" w:hAnsi="Arial" w:cs="Arial"/>
          <w:b/>
          <w:lang w:eastAsia="en-US"/>
        </w:rPr>
      </w:pPr>
    </w:p>
    <w:p w14:paraId="1BDBB478" w14:textId="77777777" w:rsidR="00C87E63" w:rsidRDefault="00C87E63" w:rsidP="00876176">
      <w:pPr>
        <w:spacing w:line="360" w:lineRule="auto"/>
        <w:ind w:right="142"/>
        <w:rPr>
          <w:rFonts w:ascii="Arial" w:hAnsi="Arial" w:cs="Arial"/>
          <w:b/>
          <w:lang w:eastAsia="en-US"/>
        </w:rPr>
      </w:pPr>
      <w:r>
        <w:rPr>
          <w:rFonts w:ascii="Arial" w:hAnsi="Arial" w:cs="Arial"/>
          <w:b/>
          <w:lang w:eastAsia="en-US"/>
        </w:rPr>
        <w:t xml:space="preserve">Board </w:t>
      </w:r>
    </w:p>
    <w:p w14:paraId="56A722BA" w14:textId="7D339D6F" w:rsidR="00C87E63" w:rsidRDefault="00C87E63" w:rsidP="00876176">
      <w:pPr>
        <w:spacing w:line="360" w:lineRule="auto"/>
        <w:ind w:right="142"/>
        <w:rPr>
          <w:rFonts w:ascii="Arial" w:eastAsia="Arial" w:hAnsi="Arial" w:cs="Arial"/>
          <w:color w:val="000000" w:themeColor="text1"/>
        </w:rPr>
      </w:pPr>
      <w:hyperlink r:id="rId47" w:history="1">
        <w:r>
          <w:rPr>
            <w:rStyle w:val="Hyperlink"/>
            <w:rFonts w:ascii="Arial" w:eastAsia="Arial" w:hAnsi="Arial" w:cs="Arial"/>
          </w:rPr>
          <w:t>The Board</w:t>
        </w:r>
      </w:hyperlink>
      <w:r>
        <w:rPr>
          <w:rFonts w:ascii="Arial" w:eastAsia="Arial" w:hAnsi="Arial" w:cs="Arial"/>
          <w:color w:val="000000" w:themeColor="text1"/>
        </w:rPr>
        <w:t xml:space="preserve"> currently comprises ten non-executive members and the </w:t>
      </w:r>
      <w:r w:rsidR="00BB7C99">
        <w:rPr>
          <w:rFonts w:ascii="Arial" w:eastAsia="Arial" w:hAnsi="Arial" w:cs="Arial"/>
          <w:color w:val="000000" w:themeColor="text1"/>
        </w:rPr>
        <w:t>Acting</w:t>
      </w:r>
      <w:r>
        <w:rPr>
          <w:rFonts w:ascii="Arial" w:eastAsia="Arial" w:hAnsi="Arial" w:cs="Arial"/>
          <w:color w:val="000000" w:themeColor="text1"/>
        </w:rPr>
        <w:t xml:space="preserve"> Chief Executive – J Green. The Chair is B Downes. Appointments are made by Scottish Ministers and are regulated by the Commissioner for Public Appointments in Scotland. Appointments are normally for a four-year term with the possibility of a further term, subject to evidence of effective performance and satisfying the skills, knowledge, and personal qualities required on the Board at the time of re-appointment. </w:t>
      </w:r>
    </w:p>
    <w:p w14:paraId="6A17B594" w14:textId="77777777" w:rsidR="00876176" w:rsidRDefault="00876176" w:rsidP="00876176">
      <w:pPr>
        <w:spacing w:line="360" w:lineRule="auto"/>
        <w:ind w:right="142"/>
        <w:rPr>
          <w:rFonts w:ascii="Arial" w:eastAsia="Arial" w:hAnsi="Arial" w:cs="Arial"/>
          <w:color w:val="000000" w:themeColor="text1"/>
        </w:rPr>
      </w:pPr>
    </w:p>
    <w:p w14:paraId="64EC302E" w14:textId="125CF356" w:rsidR="00C87E63" w:rsidRDefault="00C87E63" w:rsidP="00876176">
      <w:pPr>
        <w:spacing w:line="360" w:lineRule="auto"/>
        <w:ind w:right="142"/>
        <w:rPr>
          <w:rFonts w:ascii="Arial" w:eastAsia="Arial" w:hAnsi="Arial" w:cs="Arial"/>
          <w:b/>
          <w:bCs/>
          <w:color w:val="000000" w:themeColor="text1"/>
        </w:rPr>
      </w:pPr>
      <w:r>
        <w:rPr>
          <w:rFonts w:ascii="Arial" w:eastAsia="Arial" w:hAnsi="Arial" w:cs="Arial"/>
          <w:b/>
          <w:bCs/>
          <w:color w:val="000000" w:themeColor="text1"/>
        </w:rPr>
        <w:t>Register of interests</w:t>
      </w:r>
    </w:p>
    <w:p w14:paraId="54014328" w14:textId="0644446D"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 xml:space="preserve">Board members are asked to complete a declaration of interest, which is published on </w:t>
      </w:r>
      <w:hyperlink r:id="rId48" w:history="1">
        <w:r>
          <w:rPr>
            <w:rStyle w:val="Hyperlink"/>
            <w:rFonts w:ascii="Arial" w:eastAsia="Arial" w:hAnsi="Arial" w:cs="Arial"/>
          </w:rPr>
          <w:t>our website</w:t>
        </w:r>
      </w:hyperlink>
      <w:r>
        <w:rPr>
          <w:rFonts w:ascii="Arial" w:eastAsia="Arial" w:hAnsi="Arial" w:cs="Arial"/>
          <w:color w:val="000000" w:themeColor="text1"/>
        </w:rPr>
        <w:t xml:space="preserve"> alongside their biography.</w:t>
      </w:r>
    </w:p>
    <w:p w14:paraId="0401BC54" w14:textId="77777777" w:rsidR="00876176" w:rsidRDefault="00876176" w:rsidP="00876176">
      <w:pPr>
        <w:spacing w:line="360" w:lineRule="auto"/>
        <w:ind w:right="142"/>
        <w:rPr>
          <w:rFonts w:ascii="Arial" w:eastAsia="Arial" w:hAnsi="Arial" w:cs="Arial"/>
          <w:color w:val="000000" w:themeColor="text1"/>
        </w:rPr>
      </w:pPr>
    </w:p>
    <w:p w14:paraId="4F7A2554" w14:textId="43B9C410" w:rsidR="00C87E63" w:rsidRDefault="00C87E63" w:rsidP="00876176">
      <w:pPr>
        <w:spacing w:line="360" w:lineRule="auto"/>
        <w:ind w:right="142"/>
        <w:rPr>
          <w:rFonts w:ascii="Arial" w:eastAsia="Arial" w:hAnsi="Arial" w:cs="Arial"/>
          <w:color w:val="000000" w:themeColor="text1"/>
        </w:rPr>
      </w:pPr>
      <w:r>
        <w:rPr>
          <w:rFonts w:ascii="Arial" w:eastAsia="Arial" w:hAnsi="Arial" w:cs="Arial"/>
          <w:b/>
          <w:bCs/>
          <w:color w:val="000000" w:themeColor="text1"/>
        </w:rPr>
        <w:t>Auditors</w:t>
      </w:r>
    </w:p>
    <w:p w14:paraId="1BF6F284" w14:textId="7CFEC768"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Under Section 46 of the Environment Act 1995, our accounts must be audited by an auditor appointed by the Secretary of State. Under the Public Finance and Accountability (Scotland) Act 2000, our independent auditors are appointed for the Auditor General by Audit Scotland. Audit Scotland appointed Grant Thornton UK LLP as our independent external auditors for the six-year period starting in financial year 2016</w:t>
      </w:r>
      <w:r w:rsidR="00301C2C">
        <w:rPr>
          <w:rFonts w:ascii="Arial" w:eastAsia="Arial" w:hAnsi="Arial" w:cs="Arial"/>
          <w:color w:val="000000" w:themeColor="text1"/>
        </w:rPr>
        <w:t>/</w:t>
      </w:r>
      <w:r>
        <w:rPr>
          <w:rFonts w:ascii="Arial" w:eastAsia="Arial" w:hAnsi="Arial" w:cs="Arial"/>
          <w:color w:val="000000" w:themeColor="text1"/>
        </w:rPr>
        <w:t xml:space="preserve">2017. </w:t>
      </w:r>
    </w:p>
    <w:p w14:paraId="6535E4E2" w14:textId="77777777" w:rsidR="00876176" w:rsidRDefault="00876176" w:rsidP="00876176">
      <w:pPr>
        <w:spacing w:line="360" w:lineRule="auto"/>
        <w:ind w:right="142"/>
        <w:rPr>
          <w:rFonts w:ascii="Arial" w:eastAsia="Arial" w:hAnsi="Arial" w:cs="Arial"/>
          <w:color w:val="000000" w:themeColor="text1"/>
        </w:rPr>
      </w:pPr>
    </w:p>
    <w:p w14:paraId="6BC2741D" w14:textId="6FA8A16E"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 xml:space="preserve">The fees paid to Audit Scotland in respect of the independent statutory audit for the financial year </w:t>
      </w:r>
      <w:r w:rsidR="000845C9">
        <w:rPr>
          <w:rFonts w:ascii="Arial" w:eastAsia="Arial" w:hAnsi="Arial" w:cs="Arial"/>
          <w:color w:val="000000" w:themeColor="text1"/>
        </w:rPr>
        <w:t>2021/2022</w:t>
      </w:r>
      <w:r>
        <w:rPr>
          <w:rFonts w:ascii="Arial" w:eastAsia="Arial" w:hAnsi="Arial" w:cs="Arial"/>
          <w:color w:val="000000" w:themeColor="text1"/>
        </w:rPr>
        <w:t xml:space="preserve"> are </w:t>
      </w:r>
      <w:r w:rsidRPr="006E6A13">
        <w:rPr>
          <w:rFonts w:ascii="Arial" w:eastAsia="Arial" w:hAnsi="Arial" w:cs="Arial"/>
          <w:color w:val="000000" w:themeColor="text1"/>
        </w:rPr>
        <w:t xml:space="preserve">estimated at </w:t>
      </w:r>
      <w:r w:rsidR="008B0DCF" w:rsidRPr="006E6A13">
        <w:rPr>
          <w:rFonts w:ascii="Arial" w:eastAsia="Arial" w:hAnsi="Arial" w:cs="Arial"/>
          <w:color w:val="000000" w:themeColor="text1"/>
        </w:rPr>
        <w:t>£66,620</w:t>
      </w:r>
      <w:r w:rsidRPr="006E6A13">
        <w:rPr>
          <w:rFonts w:ascii="Arial" w:eastAsia="Arial" w:hAnsi="Arial" w:cs="Arial"/>
          <w:color w:val="000000" w:themeColor="text1"/>
        </w:rPr>
        <w:t>.</w:t>
      </w:r>
      <w:r>
        <w:rPr>
          <w:rFonts w:ascii="Arial" w:eastAsia="Arial" w:hAnsi="Arial" w:cs="Arial"/>
          <w:color w:val="000000" w:themeColor="text1"/>
        </w:rPr>
        <w:t xml:space="preserve"> </w:t>
      </w:r>
    </w:p>
    <w:p w14:paraId="4A69E685" w14:textId="77777777" w:rsidR="00876176" w:rsidRDefault="00876176" w:rsidP="00876176">
      <w:pPr>
        <w:spacing w:line="360" w:lineRule="auto"/>
        <w:ind w:right="142"/>
        <w:rPr>
          <w:rFonts w:ascii="Arial" w:eastAsia="Arial" w:hAnsi="Arial" w:cs="Arial"/>
          <w:color w:val="000000" w:themeColor="text1"/>
        </w:rPr>
      </w:pPr>
    </w:p>
    <w:p w14:paraId="1DED654A" w14:textId="77777777"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All relevant audit information has been made available to our auditors, and the Accountable Officer has taken steps to ensure that the auditors are aware of any relevant audit information.</w:t>
      </w:r>
      <w:r>
        <w:rPr>
          <w:rFonts w:ascii="Arial" w:eastAsia="Arial" w:hAnsi="Arial" w:cs="Arial"/>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28"/>
      </w:tblGrid>
      <w:tr w:rsidR="00C87E63" w14:paraId="754A179B" w14:textId="77777777" w:rsidTr="00CF1904">
        <w:tc>
          <w:tcPr>
            <w:tcW w:w="4395" w:type="dxa"/>
            <w:hideMark/>
          </w:tcPr>
          <w:p w14:paraId="375378F6" w14:textId="77777777" w:rsidR="00C87E63" w:rsidRPr="002E40C8" w:rsidRDefault="00C87E63" w:rsidP="00876176">
            <w:pPr>
              <w:spacing w:line="360" w:lineRule="auto"/>
              <w:ind w:right="142"/>
              <w:rPr>
                <w:rFonts w:ascii="Arial" w:eastAsia="Arial" w:hAnsi="Arial" w:cs="Arial"/>
                <w:b/>
                <w:bCs/>
                <w:color w:val="000000" w:themeColor="text1"/>
                <w:lang w:eastAsia="en-US"/>
              </w:rPr>
            </w:pPr>
            <w:r w:rsidRPr="002E40C8">
              <w:rPr>
                <w:rFonts w:ascii="Arial" w:eastAsia="Arial" w:hAnsi="Arial" w:cs="Arial"/>
                <w:b/>
                <w:bCs/>
                <w:color w:val="000000" w:themeColor="text1"/>
                <w:lang w:eastAsia="en-US"/>
              </w:rPr>
              <w:lastRenderedPageBreak/>
              <w:t>Bankers:</w:t>
            </w:r>
          </w:p>
        </w:tc>
        <w:tc>
          <w:tcPr>
            <w:tcW w:w="5028" w:type="dxa"/>
          </w:tcPr>
          <w:p w14:paraId="18544E3C" w14:textId="6381843A" w:rsidR="00C87E63" w:rsidRPr="002E40C8" w:rsidRDefault="00C87E63" w:rsidP="00876176">
            <w:pPr>
              <w:spacing w:line="360" w:lineRule="auto"/>
              <w:ind w:right="142"/>
              <w:rPr>
                <w:rFonts w:ascii="Arial" w:eastAsia="Arial" w:hAnsi="Arial" w:cs="Arial"/>
                <w:color w:val="000000" w:themeColor="text1"/>
                <w:lang w:eastAsia="en-US"/>
              </w:rPr>
            </w:pPr>
          </w:p>
        </w:tc>
      </w:tr>
      <w:tr w:rsidR="00C87E63" w14:paraId="0BFC5C2D" w14:textId="77777777" w:rsidTr="00CF1904">
        <w:tc>
          <w:tcPr>
            <w:tcW w:w="4395" w:type="dxa"/>
            <w:hideMark/>
          </w:tcPr>
          <w:p w14:paraId="36787DE9"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Royal Bank of Scotland</w:t>
            </w:r>
          </w:p>
        </w:tc>
        <w:tc>
          <w:tcPr>
            <w:tcW w:w="5028" w:type="dxa"/>
            <w:hideMark/>
          </w:tcPr>
          <w:p w14:paraId="47831D00" w14:textId="37A2427F" w:rsidR="00C87E63" w:rsidRPr="002E40C8" w:rsidRDefault="002E40C8"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NatWest</w:t>
            </w:r>
          </w:p>
        </w:tc>
      </w:tr>
      <w:tr w:rsidR="00C87E63" w14:paraId="25003FC1" w14:textId="77777777" w:rsidTr="00CF1904">
        <w:tc>
          <w:tcPr>
            <w:tcW w:w="4395" w:type="dxa"/>
            <w:hideMark/>
          </w:tcPr>
          <w:p w14:paraId="6B68CF49"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30 Nicholson Street</w:t>
            </w:r>
          </w:p>
        </w:tc>
        <w:tc>
          <w:tcPr>
            <w:tcW w:w="5028" w:type="dxa"/>
            <w:hideMark/>
          </w:tcPr>
          <w:p w14:paraId="2EE5126A"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European Operations Centre</w:t>
            </w:r>
          </w:p>
        </w:tc>
      </w:tr>
      <w:tr w:rsidR="00C87E63" w14:paraId="4B43917F" w14:textId="77777777" w:rsidTr="00CF1904">
        <w:tc>
          <w:tcPr>
            <w:tcW w:w="4395" w:type="dxa"/>
            <w:hideMark/>
          </w:tcPr>
          <w:p w14:paraId="159AA163"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Edinburgh</w:t>
            </w:r>
          </w:p>
        </w:tc>
        <w:tc>
          <w:tcPr>
            <w:tcW w:w="5028" w:type="dxa"/>
            <w:hideMark/>
          </w:tcPr>
          <w:p w14:paraId="682E175F"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Brampton Road</w:t>
            </w:r>
          </w:p>
        </w:tc>
      </w:tr>
      <w:tr w:rsidR="00C87E63" w14:paraId="2B1D297F" w14:textId="77777777" w:rsidTr="00CF1904">
        <w:tc>
          <w:tcPr>
            <w:tcW w:w="4395" w:type="dxa"/>
            <w:hideMark/>
          </w:tcPr>
          <w:p w14:paraId="7A3183E2"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EH8 9DL</w:t>
            </w:r>
          </w:p>
        </w:tc>
        <w:tc>
          <w:tcPr>
            <w:tcW w:w="5028" w:type="dxa"/>
            <w:hideMark/>
          </w:tcPr>
          <w:p w14:paraId="589D71A2"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Newcastle-under-Lyme</w:t>
            </w:r>
          </w:p>
        </w:tc>
      </w:tr>
      <w:tr w:rsidR="00C87E63" w14:paraId="35A2DCB4" w14:textId="77777777" w:rsidTr="00CF1904">
        <w:tc>
          <w:tcPr>
            <w:tcW w:w="4395" w:type="dxa"/>
          </w:tcPr>
          <w:p w14:paraId="18CDB838" w14:textId="77777777" w:rsidR="00C87E63" w:rsidRPr="002E40C8" w:rsidRDefault="00C87E63" w:rsidP="00876176">
            <w:pPr>
              <w:spacing w:line="360" w:lineRule="auto"/>
              <w:ind w:right="142"/>
              <w:rPr>
                <w:rFonts w:ascii="Arial" w:eastAsia="Arial" w:hAnsi="Arial" w:cs="Arial"/>
                <w:color w:val="000000" w:themeColor="text1"/>
                <w:lang w:eastAsia="en-US"/>
              </w:rPr>
            </w:pPr>
          </w:p>
        </w:tc>
        <w:tc>
          <w:tcPr>
            <w:tcW w:w="5028" w:type="dxa"/>
            <w:hideMark/>
          </w:tcPr>
          <w:p w14:paraId="2720EFF9"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Staffordshire</w:t>
            </w:r>
          </w:p>
        </w:tc>
      </w:tr>
      <w:tr w:rsidR="00C87E63" w14:paraId="733745E1" w14:textId="77777777" w:rsidTr="00CF1904">
        <w:tc>
          <w:tcPr>
            <w:tcW w:w="4395" w:type="dxa"/>
          </w:tcPr>
          <w:p w14:paraId="43F9B68A" w14:textId="77777777" w:rsidR="00C87E63" w:rsidRPr="002E40C8" w:rsidRDefault="00C87E63" w:rsidP="00876176">
            <w:pPr>
              <w:spacing w:line="360" w:lineRule="auto"/>
              <w:ind w:right="142"/>
              <w:rPr>
                <w:rFonts w:ascii="Arial" w:eastAsia="Arial" w:hAnsi="Arial" w:cs="Arial"/>
                <w:color w:val="000000" w:themeColor="text1"/>
                <w:lang w:eastAsia="en-US"/>
              </w:rPr>
            </w:pPr>
          </w:p>
        </w:tc>
        <w:tc>
          <w:tcPr>
            <w:tcW w:w="5028" w:type="dxa"/>
            <w:hideMark/>
          </w:tcPr>
          <w:p w14:paraId="5DDC9B1B" w14:textId="77777777" w:rsidR="00C87E63" w:rsidRPr="002E40C8" w:rsidRDefault="00C87E63" w:rsidP="00876176">
            <w:pPr>
              <w:spacing w:line="360" w:lineRule="auto"/>
              <w:ind w:right="142"/>
              <w:rPr>
                <w:rFonts w:ascii="Arial" w:eastAsia="Arial" w:hAnsi="Arial" w:cs="Arial"/>
                <w:color w:val="000000" w:themeColor="text1"/>
                <w:lang w:eastAsia="en-US"/>
              </w:rPr>
            </w:pPr>
            <w:r w:rsidRPr="002E40C8">
              <w:rPr>
                <w:rFonts w:ascii="Arial" w:eastAsia="Arial" w:hAnsi="Arial" w:cs="Arial"/>
                <w:color w:val="000000" w:themeColor="text1"/>
                <w:lang w:eastAsia="en-US"/>
              </w:rPr>
              <w:t>ST5 0QX</w:t>
            </w:r>
          </w:p>
        </w:tc>
      </w:tr>
    </w:tbl>
    <w:p w14:paraId="2A80B83C" w14:textId="77777777" w:rsidR="00C87E63" w:rsidRDefault="00C87E63" w:rsidP="00876176">
      <w:pPr>
        <w:spacing w:line="360" w:lineRule="auto"/>
        <w:ind w:right="142"/>
        <w:rPr>
          <w:rFonts w:ascii="Arial" w:eastAsia="Arial" w:hAnsi="Arial" w:cs="Arial"/>
          <w:color w:val="000000" w:themeColor="text1"/>
          <w:highlight w:val="magenta"/>
        </w:rPr>
      </w:pPr>
    </w:p>
    <w:p w14:paraId="27289410" w14:textId="6AB120C7" w:rsidR="00C87E63" w:rsidRDefault="00C87E63" w:rsidP="00876176">
      <w:pPr>
        <w:spacing w:line="360" w:lineRule="auto"/>
        <w:ind w:right="142"/>
        <w:rPr>
          <w:rFonts w:ascii="Arial" w:eastAsia="Arial" w:hAnsi="Arial" w:cs="Arial"/>
          <w:color w:val="000000" w:themeColor="text1"/>
        </w:rPr>
      </w:pPr>
      <w:r>
        <w:rPr>
          <w:rFonts w:ascii="Arial" w:eastAsia="Arial" w:hAnsi="Arial" w:cs="Arial"/>
          <w:b/>
          <w:bCs/>
          <w:color w:val="000000" w:themeColor="text1"/>
        </w:rPr>
        <w:t>Statement of Accountable Officer’s responsibilities</w:t>
      </w:r>
    </w:p>
    <w:p w14:paraId="5AC5017A" w14:textId="729AE37C"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 xml:space="preserve">Under Section 45(2) of the Environment Act 1995, SEPA is required to prepare annual accounts for each financial year in the form of and on the basis determined by Scottish Ministers. </w:t>
      </w:r>
    </w:p>
    <w:p w14:paraId="3B15FBC4" w14:textId="77777777" w:rsidR="00E140E7" w:rsidRDefault="00E140E7" w:rsidP="00876176">
      <w:pPr>
        <w:spacing w:line="360" w:lineRule="auto"/>
        <w:ind w:right="142"/>
        <w:rPr>
          <w:rFonts w:ascii="Arial" w:eastAsia="Arial" w:hAnsi="Arial" w:cs="Arial"/>
          <w:color w:val="000000" w:themeColor="text1"/>
        </w:rPr>
      </w:pPr>
    </w:p>
    <w:p w14:paraId="52D69317" w14:textId="3FEF884E"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 xml:space="preserve">The accounts are prepared on an accruals basis and must give a true and fair view of the </w:t>
      </w:r>
      <w:r w:rsidR="00434A35">
        <w:rPr>
          <w:rFonts w:ascii="Arial" w:eastAsia="Arial" w:hAnsi="Arial" w:cs="Arial"/>
          <w:color w:val="000000" w:themeColor="text1"/>
        </w:rPr>
        <w:t>situation</w:t>
      </w:r>
      <w:r>
        <w:rPr>
          <w:rFonts w:ascii="Arial" w:eastAsia="Arial" w:hAnsi="Arial" w:cs="Arial"/>
          <w:color w:val="000000" w:themeColor="text1"/>
        </w:rPr>
        <w:t xml:space="preserve"> of SEPA’s financial affairs, of the income and expenditure, recognised gains and losses, and cash flows for the financial year.</w:t>
      </w:r>
    </w:p>
    <w:p w14:paraId="3CA50997" w14:textId="77777777" w:rsidR="009E2C56" w:rsidRDefault="009E2C56" w:rsidP="00876176">
      <w:pPr>
        <w:spacing w:line="360" w:lineRule="auto"/>
        <w:ind w:right="142"/>
        <w:rPr>
          <w:rFonts w:ascii="Arial" w:eastAsia="Arial" w:hAnsi="Arial" w:cs="Arial"/>
          <w:color w:val="000000" w:themeColor="text1"/>
        </w:rPr>
      </w:pPr>
    </w:p>
    <w:p w14:paraId="0CD5B72B" w14:textId="226DCA30"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In preparing the accounts, I am required, as the Accountable Officer, to comply with the requirements of the Government Financial Reporting Manual and to:</w:t>
      </w:r>
    </w:p>
    <w:p w14:paraId="68F24F3A" w14:textId="77777777" w:rsidR="009E2C56" w:rsidRDefault="009E2C56" w:rsidP="00876176">
      <w:pPr>
        <w:spacing w:line="360" w:lineRule="auto"/>
        <w:ind w:right="142"/>
        <w:rPr>
          <w:rFonts w:ascii="Arial" w:eastAsia="Arial" w:hAnsi="Arial" w:cs="Arial"/>
          <w:color w:val="000000" w:themeColor="text1"/>
        </w:rPr>
      </w:pPr>
    </w:p>
    <w:p w14:paraId="695F02A8" w14:textId="77777777" w:rsidR="000076D6"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Observe the accounts direction issued by Scottish Ministers, including the relevant accounting and disclosure requirements, and apply suitable accounting policies on a consistent basis.</w:t>
      </w:r>
    </w:p>
    <w:p w14:paraId="7B6DB740" w14:textId="63F9C1F2" w:rsidR="000076D6"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Ensure that SEPA has in place appropriate and reliable systems and procedures to carry out the consolidation process.</w:t>
      </w:r>
    </w:p>
    <w:p w14:paraId="7F428CF3" w14:textId="57688E92" w:rsidR="000076D6"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Make judgements and estimates on a reasonable basis.</w:t>
      </w:r>
    </w:p>
    <w:p w14:paraId="7C392882" w14:textId="367D6ABA" w:rsidR="000076D6"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State whether applicable accounting standards as set out in the Government Financial Reporting Manual have been followed and disclose and explain any material departures in the accounts.</w:t>
      </w:r>
    </w:p>
    <w:p w14:paraId="56B120B1" w14:textId="667CE8EE" w:rsidR="0017400C"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Prepare the accounts on a going concern basis.</w:t>
      </w:r>
    </w:p>
    <w:p w14:paraId="70CEFC2C" w14:textId="4D49B0DA" w:rsidR="0017400C" w:rsidRPr="0017400C"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Confirm that the Annual Report and Accounts is fair, balanced, and understandable.</w:t>
      </w:r>
    </w:p>
    <w:p w14:paraId="0C44CA2C" w14:textId="32D66253" w:rsidR="00C87E63" w:rsidRDefault="00C87E63" w:rsidP="00802A98">
      <w:pPr>
        <w:pStyle w:val="ListParagraph"/>
        <w:numPr>
          <w:ilvl w:val="0"/>
          <w:numId w:val="25"/>
        </w:numPr>
        <w:spacing w:line="360" w:lineRule="auto"/>
        <w:ind w:right="142"/>
        <w:jc w:val="both"/>
        <w:rPr>
          <w:rFonts w:ascii="Arial" w:eastAsia="Arial" w:hAnsi="Arial" w:cs="Arial"/>
          <w:color w:val="000000" w:themeColor="text1"/>
        </w:rPr>
      </w:pPr>
      <w:r w:rsidRPr="00D1788D">
        <w:rPr>
          <w:rFonts w:ascii="Arial" w:eastAsia="Arial" w:hAnsi="Arial" w:cs="Arial"/>
          <w:color w:val="000000" w:themeColor="text1"/>
        </w:rPr>
        <w:t>Take personal responsibility for the Annual Report and Accounts and the judgements required for determining that it is fair, balanced, and understandable.</w:t>
      </w:r>
    </w:p>
    <w:p w14:paraId="6586E676" w14:textId="77777777" w:rsidR="009E2C56" w:rsidRPr="00D1788D" w:rsidRDefault="009E2C56" w:rsidP="009E2C56">
      <w:pPr>
        <w:pStyle w:val="ListParagraph"/>
        <w:spacing w:line="360" w:lineRule="auto"/>
        <w:ind w:right="142"/>
        <w:rPr>
          <w:rFonts w:ascii="Arial" w:eastAsia="Arial" w:hAnsi="Arial" w:cs="Arial"/>
          <w:color w:val="000000" w:themeColor="text1"/>
        </w:rPr>
      </w:pPr>
    </w:p>
    <w:p w14:paraId="460CBFF8" w14:textId="6131155F"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 xml:space="preserve">The Principal Accountable Officer of the Scottish Government appointed me, the </w:t>
      </w:r>
      <w:r w:rsidR="005D6466">
        <w:rPr>
          <w:rFonts w:ascii="Arial" w:eastAsia="Arial" w:hAnsi="Arial" w:cs="Arial"/>
          <w:color w:val="000000" w:themeColor="text1"/>
        </w:rPr>
        <w:t xml:space="preserve">Acting </w:t>
      </w:r>
      <w:r>
        <w:rPr>
          <w:rFonts w:ascii="Arial" w:eastAsia="Arial" w:hAnsi="Arial" w:cs="Arial"/>
          <w:color w:val="000000" w:themeColor="text1"/>
        </w:rPr>
        <w:t xml:space="preserve">Chief Executive, as the Accountable Officer for SEPA. My responsibilities as Accountable Officer are </w:t>
      </w:r>
      <w:r>
        <w:rPr>
          <w:rFonts w:ascii="Arial" w:eastAsia="Arial" w:hAnsi="Arial" w:cs="Arial"/>
          <w:color w:val="000000" w:themeColor="text1"/>
        </w:rPr>
        <w:lastRenderedPageBreak/>
        <w:t xml:space="preserve">set out in the </w:t>
      </w:r>
      <w:hyperlink r:id="rId49" w:history="1">
        <w:r>
          <w:rPr>
            <w:rStyle w:val="Hyperlink"/>
            <w:rFonts w:ascii="Arial" w:eastAsia="Arial" w:hAnsi="Arial" w:cs="Arial"/>
          </w:rPr>
          <w:t>framework document</w:t>
        </w:r>
      </w:hyperlink>
      <w:r>
        <w:rPr>
          <w:rFonts w:ascii="Arial" w:eastAsia="Arial" w:hAnsi="Arial" w:cs="Arial"/>
          <w:color w:val="000000" w:themeColor="text1"/>
        </w:rPr>
        <w:t xml:space="preserve"> issued by the Scottish Government in </w:t>
      </w:r>
      <w:r w:rsidR="002C40A4">
        <w:rPr>
          <w:rFonts w:ascii="Arial" w:eastAsia="Arial" w:hAnsi="Arial" w:cs="Arial"/>
          <w:color w:val="000000" w:themeColor="text1"/>
        </w:rPr>
        <w:t>November</w:t>
      </w:r>
      <w:r>
        <w:rPr>
          <w:rFonts w:ascii="Arial" w:eastAsia="Arial" w:hAnsi="Arial" w:cs="Arial"/>
          <w:color w:val="000000" w:themeColor="text1"/>
        </w:rPr>
        <w:t xml:space="preserve"> 20</w:t>
      </w:r>
      <w:r w:rsidR="002C40A4">
        <w:rPr>
          <w:rFonts w:ascii="Arial" w:eastAsia="Arial" w:hAnsi="Arial" w:cs="Arial"/>
          <w:color w:val="000000" w:themeColor="text1"/>
        </w:rPr>
        <w:t>21</w:t>
      </w:r>
      <w:r>
        <w:rPr>
          <w:rFonts w:ascii="Arial" w:eastAsia="Arial" w:hAnsi="Arial" w:cs="Arial"/>
          <w:color w:val="000000" w:themeColor="text1"/>
        </w:rPr>
        <w:t xml:space="preserve"> and in </w:t>
      </w:r>
      <w:hyperlink r:id="rId50" w:history="1">
        <w:r w:rsidRPr="00340C5F">
          <w:rPr>
            <w:rStyle w:val="Hyperlink"/>
            <w:rFonts w:ascii="Arial" w:eastAsia="Arial" w:hAnsi="Arial" w:cs="Arial"/>
          </w:rPr>
          <w:t>Managing Public Money</w:t>
        </w:r>
      </w:hyperlink>
      <w:r>
        <w:rPr>
          <w:rFonts w:ascii="Arial" w:eastAsia="Arial" w:hAnsi="Arial" w:cs="Arial"/>
          <w:color w:val="000000" w:themeColor="text1"/>
        </w:rPr>
        <w:t xml:space="preserve"> published by HM Treasury. They include responsibility for the propriety and regularity of SEPA’s finances, keeping proper records, and safeguarding assets.</w:t>
      </w:r>
    </w:p>
    <w:p w14:paraId="722D6518" w14:textId="1B4603A7" w:rsidR="00C87E63" w:rsidRDefault="00C87E63" w:rsidP="00876176">
      <w:pPr>
        <w:spacing w:line="360" w:lineRule="auto"/>
        <w:ind w:right="142"/>
        <w:rPr>
          <w:rFonts w:ascii="Arial" w:eastAsia="Arial" w:hAnsi="Arial" w:cs="Arial"/>
          <w:color w:val="000000" w:themeColor="text1"/>
        </w:rPr>
      </w:pPr>
      <w:r>
        <w:rPr>
          <w:rFonts w:ascii="Arial" w:eastAsia="Arial" w:hAnsi="Arial" w:cs="Arial"/>
          <w:color w:val="000000" w:themeColor="text1"/>
        </w:rPr>
        <w:t>As the Account</w:t>
      </w:r>
      <w:r w:rsidR="00B35008">
        <w:rPr>
          <w:rFonts w:ascii="Arial" w:eastAsia="Arial" w:hAnsi="Arial" w:cs="Arial"/>
          <w:color w:val="000000" w:themeColor="text1"/>
        </w:rPr>
        <w:t xml:space="preserve">able </w:t>
      </w:r>
      <w:r>
        <w:rPr>
          <w:rFonts w:ascii="Arial" w:eastAsia="Arial" w:hAnsi="Arial" w:cs="Arial"/>
          <w:color w:val="000000" w:themeColor="text1"/>
        </w:rPr>
        <w:t>Officer, I have taken all the steps that I ought to have taken to make myself aware of any relevant audit information and to establish that SEPA’s auditors are aware of that information. So far as I am aware, there is no relevant audit information of which the auditors are unaware.</w:t>
      </w:r>
    </w:p>
    <w:p w14:paraId="6F45C3DC" w14:textId="77777777" w:rsidR="003C3029" w:rsidRDefault="003C3029" w:rsidP="00876176">
      <w:pPr>
        <w:spacing w:line="360" w:lineRule="auto"/>
        <w:ind w:right="142"/>
        <w:rPr>
          <w:rFonts w:ascii="Arial" w:eastAsia="Arial" w:hAnsi="Arial" w:cs="Arial"/>
          <w:color w:val="000000" w:themeColor="text1"/>
        </w:rPr>
      </w:pPr>
    </w:p>
    <w:p w14:paraId="1704F0B6" w14:textId="10894DE7" w:rsidR="00B621FB" w:rsidRPr="00015573" w:rsidRDefault="00B621FB" w:rsidP="00280576">
      <w:pPr>
        <w:pStyle w:val="01bSubheader"/>
        <w:numPr>
          <w:ilvl w:val="1"/>
          <w:numId w:val="13"/>
        </w:numPr>
        <w:ind w:left="567" w:hanging="567"/>
        <w:rPr>
          <w:lang w:eastAsia="en-US"/>
        </w:rPr>
      </w:pPr>
      <w:bookmarkStart w:id="29" w:name="_Toc119068087"/>
      <w:r w:rsidRPr="00015573">
        <w:rPr>
          <w:lang w:eastAsia="en-US"/>
        </w:rPr>
        <w:t>Governance statement</w:t>
      </w:r>
      <w:bookmarkEnd w:id="29"/>
    </w:p>
    <w:p w14:paraId="7E7E5D92" w14:textId="77777777" w:rsidR="00280576" w:rsidRPr="00280576" w:rsidRDefault="00280576" w:rsidP="00280576">
      <w:pPr>
        <w:pStyle w:val="01bSubheader"/>
        <w:rPr>
          <w:sz w:val="24"/>
          <w:szCs w:val="24"/>
          <w:highlight w:val="yellow"/>
          <w:lang w:eastAsia="en-US"/>
        </w:rPr>
      </w:pPr>
    </w:p>
    <w:p w14:paraId="339332CF" w14:textId="6E379201" w:rsidR="00B621FB" w:rsidRPr="002F0BFF" w:rsidRDefault="00B621FB" w:rsidP="00280576">
      <w:pPr>
        <w:spacing w:line="360" w:lineRule="auto"/>
        <w:ind w:right="142"/>
        <w:jc w:val="both"/>
        <w:rPr>
          <w:rFonts w:ascii="Arial" w:eastAsia="Arial" w:hAnsi="Arial" w:cs="Arial"/>
          <w:color w:val="000000" w:themeColor="text1"/>
        </w:rPr>
      </w:pPr>
      <w:r w:rsidRPr="002F0BFF">
        <w:rPr>
          <w:rFonts w:ascii="Arial" w:eastAsia="Arial" w:hAnsi="Arial" w:cs="Arial"/>
          <w:b/>
          <w:bCs/>
          <w:color w:val="000000" w:themeColor="text1"/>
        </w:rPr>
        <w:t>Governance framework</w:t>
      </w:r>
    </w:p>
    <w:p w14:paraId="31110DFC" w14:textId="12238C19" w:rsidR="00B621FB" w:rsidRDefault="00B621FB" w:rsidP="00B35008">
      <w:pPr>
        <w:spacing w:line="360" w:lineRule="auto"/>
        <w:ind w:right="142"/>
        <w:rPr>
          <w:rFonts w:ascii="Arial" w:eastAsia="Arial" w:hAnsi="Arial" w:cs="Arial"/>
          <w:color w:val="000000" w:themeColor="text1"/>
        </w:rPr>
      </w:pPr>
      <w:r w:rsidRPr="2BF0DB8D">
        <w:rPr>
          <w:rFonts w:ascii="Arial" w:eastAsia="Arial" w:hAnsi="Arial" w:cs="Arial"/>
          <w:color w:val="000000" w:themeColor="text1"/>
        </w:rPr>
        <w:t xml:space="preserve">SEPA is a non-departmental public body. The broad framework in which we operate is set out in </w:t>
      </w:r>
      <w:r w:rsidR="00613E49">
        <w:rPr>
          <w:rFonts w:ascii="Arial" w:eastAsia="Arial" w:hAnsi="Arial" w:cs="Arial"/>
          <w:color w:val="000000" w:themeColor="text1"/>
        </w:rPr>
        <w:t>the</w:t>
      </w:r>
      <w:r w:rsidRPr="2BF0DB8D">
        <w:rPr>
          <w:rFonts w:ascii="Arial" w:eastAsia="Arial" w:hAnsi="Arial" w:cs="Arial"/>
          <w:color w:val="000000" w:themeColor="text1"/>
        </w:rPr>
        <w:t xml:space="preserve"> </w:t>
      </w:r>
      <w:hyperlink r:id="rId51">
        <w:r w:rsidRPr="2BF0DB8D">
          <w:rPr>
            <w:rStyle w:val="Hyperlink"/>
            <w:rFonts w:ascii="Arial" w:eastAsia="Arial" w:hAnsi="Arial" w:cs="Arial"/>
          </w:rPr>
          <w:t>framework document</w:t>
        </w:r>
      </w:hyperlink>
      <w:r w:rsidRPr="2BF0DB8D">
        <w:rPr>
          <w:rFonts w:ascii="Arial" w:eastAsia="Arial" w:hAnsi="Arial" w:cs="Arial"/>
          <w:color w:val="000000" w:themeColor="text1"/>
        </w:rPr>
        <w:t>, which also defines key roles and responsibilities which underpin the relationship between SEPA and the Scottish Government. While this document does not confer any legal powers or responsibilities, it forms a key part of our accountability and governance framework.</w:t>
      </w:r>
    </w:p>
    <w:p w14:paraId="6C503F87" w14:textId="77777777" w:rsidR="005F01D7" w:rsidRDefault="005F01D7" w:rsidP="00280576">
      <w:pPr>
        <w:spacing w:line="360" w:lineRule="auto"/>
        <w:ind w:right="142"/>
        <w:jc w:val="both"/>
        <w:rPr>
          <w:rFonts w:ascii="Arial" w:eastAsia="Arial" w:hAnsi="Arial" w:cs="Arial"/>
          <w:color w:val="000000" w:themeColor="text1"/>
        </w:rPr>
      </w:pPr>
    </w:p>
    <w:p w14:paraId="76524DC4" w14:textId="0D9D8B87" w:rsidR="00B621FB" w:rsidRDefault="00B621FB" w:rsidP="00280576">
      <w:pPr>
        <w:spacing w:line="360" w:lineRule="auto"/>
        <w:ind w:right="142"/>
        <w:jc w:val="both"/>
        <w:rPr>
          <w:rFonts w:ascii="Arial" w:eastAsia="Arial" w:hAnsi="Arial" w:cs="Arial"/>
          <w:color w:val="000000" w:themeColor="text1"/>
        </w:rPr>
      </w:pPr>
      <w:r>
        <w:rPr>
          <w:rFonts w:ascii="Arial" w:eastAsia="Arial" w:hAnsi="Arial" w:cs="Arial"/>
          <w:color w:val="000000" w:themeColor="text1"/>
        </w:rPr>
        <w:t>Non-departmental public bodies are directed by Scottish Ministers to comply with the Scottish Public Finance Manual.</w:t>
      </w:r>
    </w:p>
    <w:p w14:paraId="6FFE753C" w14:textId="77777777" w:rsidR="00F11468" w:rsidRDefault="00F11468" w:rsidP="00280576">
      <w:pPr>
        <w:spacing w:line="360" w:lineRule="auto"/>
        <w:ind w:right="142"/>
        <w:jc w:val="both"/>
        <w:rPr>
          <w:rFonts w:ascii="Arial" w:eastAsia="Arial" w:hAnsi="Arial" w:cs="Arial"/>
          <w:color w:val="000000" w:themeColor="text1"/>
        </w:rPr>
      </w:pPr>
    </w:p>
    <w:p w14:paraId="4E7E5482" w14:textId="4557CD4E" w:rsidR="00B621FB" w:rsidRDefault="00B621FB" w:rsidP="00280576">
      <w:pPr>
        <w:spacing w:line="360" w:lineRule="auto"/>
        <w:ind w:right="142"/>
        <w:jc w:val="both"/>
        <w:rPr>
          <w:rFonts w:ascii="Arial" w:eastAsia="Arial" w:hAnsi="Arial" w:cs="Arial"/>
          <w:color w:val="000000" w:themeColor="text1"/>
        </w:rPr>
      </w:pPr>
      <w:r>
        <w:rPr>
          <w:rFonts w:ascii="Arial" w:eastAsia="Arial" w:hAnsi="Arial" w:cs="Arial"/>
          <w:color w:val="000000" w:themeColor="text1"/>
        </w:rPr>
        <w:t>Our Corporate Office is</w:t>
      </w:r>
      <w:r w:rsidR="008C7278">
        <w:rPr>
          <w:rFonts w:ascii="Arial" w:eastAsia="Arial" w:hAnsi="Arial" w:cs="Arial"/>
          <w:color w:val="000000" w:themeColor="text1"/>
        </w:rPr>
        <w:t>:</w:t>
      </w:r>
      <w:r>
        <w:rPr>
          <w:rFonts w:ascii="Arial" w:eastAsia="Arial" w:hAnsi="Arial" w:cs="Arial"/>
          <w:color w:val="000000" w:themeColor="text1"/>
        </w:rPr>
        <w:t xml:space="preserve"> </w:t>
      </w:r>
      <w:proofErr w:type="spellStart"/>
      <w:r>
        <w:rPr>
          <w:rFonts w:ascii="Arial" w:eastAsia="Arial" w:hAnsi="Arial" w:cs="Arial"/>
          <w:color w:val="000000" w:themeColor="text1"/>
        </w:rPr>
        <w:t>Strathallan</w:t>
      </w:r>
      <w:proofErr w:type="spellEnd"/>
      <w:r>
        <w:rPr>
          <w:rFonts w:ascii="Arial" w:eastAsia="Arial" w:hAnsi="Arial" w:cs="Arial"/>
          <w:color w:val="000000" w:themeColor="text1"/>
        </w:rPr>
        <w:t xml:space="preserve"> House, Castle Business Park, Stirling, FK9 4TZ.</w:t>
      </w:r>
    </w:p>
    <w:p w14:paraId="4903561D" w14:textId="77777777" w:rsidR="00F11468" w:rsidRDefault="00F11468" w:rsidP="00280576">
      <w:pPr>
        <w:spacing w:line="360" w:lineRule="auto"/>
        <w:ind w:right="142"/>
        <w:jc w:val="both"/>
        <w:rPr>
          <w:rFonts w:ascii="Arial" w:eastAsia="Arial" w:hAnsi="Arial" w:cs="Arial"/>
          <w:color w:val="000000" w:themeColor="text1"/>
        </w:rPr>
      </w:pPr>
    </w:p>
    <w:p w14:paraId="5F7CE640" w14:textId="39719CD7" w:rsidR="00B621FB" w:rsidRPr="002F0BFF" w:rsidRDefault="00B621FB" w:rsidP="00280576">
      <w:pPr>
        <w:spacing w:line="360" w:lineRule="auto"/>
        <w:ind w:right="142"/>
        <w:rPr>
          <w:rFonts w:ascii="Arial" w:eastAsia="Arial" w:hAnsi="Arial" w:cs="Arial"/>
          <w:b/>
          <w:bCs/>
          <w:color w:val="000000" w:themeColor="text1"/>
        </w:rPr>
      </w:pPr>
      <w:r w:rsidRPr="002F0BFF">
        <w:rPr>
          <w:rFonts w:ascii="Arial" w:eastAsia="Arial" w:hAnsi="Arial" w:cs="Arial"/>
          <w:b/>
          <w:bCs/>
          <w:color w:val="000000" w:themeColor="text1"/>
        </w:rPr>
        <w:t>Board operation</w:t>
      </w:r>
    </w:p>
    <w:p w14:paraId="559A1C16" w14:textId="39686ADE" w:rsidR="00B621FB" w:rsidRDefault="00B621FB" w:rsidP="00280576">
      <w:pPr>
        <w:spacing w:line="360" w:lineRule="auto"/>
        <w:ind w:right="142"/>
        <w:rPr>
          <w:rFonts w:ascii="Arial" w:eastAsia="Arial" w:hAnsi="Arial" w:cs="Arial"/>
          <w:color w:val="000000" w:themeColor="text1"/>
        </w:rPr>
      </w:pPr>
      <w:r w:rsidRPr="0061697A">
        <w:rPr>
          <w:rFonts w:ascii="Arial" w:eastAsia="Arial" w:hAnsi="Arial" w:cs="Arial"/>
          <w:lang w:val="en"/>
        </w:rPr>
        <w:t xml:space="preserve">Our Board members attend a range of meetings. These include formal Board meetings, ad-hoc meetings, and working groups. They meet with SEPA staff to discuss key strategic issues. They also attend seminars and events run by SEPA or partner </w:t>
      </w:r>
      <w:proofErr w:type="spellStart"/>
      <w:r w:rsidRPr="0061697A">
        <w:rPr>
          <w:rFonts w:ascii="Arial" w:eastAsia="Arial" w:hAnsi="Arial" w:cs="Arial"/>
          <w:lang w:val="en"/>
        </w:rPr>
        <w:t>organisations</w:t>
      </w:r>
      <w:proofErr w:type="spellEnd"/>
      <w:r w:rsidRPr="0061697A">
        <w:rPr>
          <w:rFonts w:ascii="Arial" w:eastAsia="Arial" w:hAnsi="Arial" w:cs="Arial"/>
          <w:lang w:val="en"/>
        </w:rPr>
        <w:t xml:space="preserve">. The Board’s role and responsibilities is set out in the </w:t>
      </w:r>
      <w:hyperlink r:id="rId52" w:history="1">
        <w:r w:rsidRPr="005E499F">
          <w:rPr>
            <w:rStyle w:val="Hyperlink"/>
            <w:rFonts w:ascii="Arial" w:hAnsi="Arial" w:cs="Arial"/>
          </w:rPr>
          <w:t>agency-board-standing-orders.</w:t>
        </w:r>
      </w:hyperlink>
      <w:r w:rsidRPr="005E499F">
        <w:rPr>
          <w:rFonts w:ascii="Arial" w:eastAsia="Arial" w:hAnsi="Arial" w:cs="Arial"/>
          <w:color w:val="000000" w:themeColor="text1"/>
        </w:rPr>
        <w:t xml:space="preserve"> </w:t>
      </w:r>
    </w:p>
    <w:p w14:paraId="75D891B9" w14:textId="77777777" w:rsidR="00003F90" w:rsidRPr="005E499F" w:rsidRDefault="00003F90" w:rsidP="00280576">
      <w:pPr>
        <w:spacing w:line="360" w:lineRule="auto"/>
        <w:ind w:right="142"/>
        <w:rPr>
          <w:rFonts w:ascii="Arial" w:eastAsia="Arial" w:hAnsi="Arial" w:cs="Arial"/>
          <w:color w:val="000000" w:themeColor="text1"/>
        </w:rPr>
      </w:pPr>
    </w:p>
    <w:p w14:paraId="143454FB" w14:textId="105B6690" w:rsidR="00B621FB" w:rsidRDefault="00B621FB" w:rsidP="00280576">
      <w:pPr>
        <w:spacing w:line="360" w:lineRule="auto"/>
        <w:rPr>
          <w:rFonts w:ascii="Arial" w:eastAsia="Arial" w:hAnsi="Arial" w:cs="Arial"/>
        </w:rPr>
      </w:pPr>
      <w:r w:rsidRPr="0061697A">
        <w:rPr>
          <w:rFonts w:ascii="Arial" w:eastAsia="Arial" w:hAnsi="Arial" w:cs="Arial"/>
        </w:rPr>
        <w:t xml:space="preserve">We continued to publish the public papers and minutes of formal Agency Board meetings on our website, as well as the minutes for Strategy Board meetings. </w:t>
      </w:r>
    </w:p>
    <w:p w14:paraId="1D7A5BA3" w14:textId="77777777" w:rsidR="00003F90" w:rsidRPr="0061697A" w:rsidRDefault="00003F90" w:rsidP="00280576">
      <w:pPr>
        <w:spacing w:line="360" w:lineRule="auto"/>
        <w:rPr>
          <w:rFonts w:ascii="Arial" w:eastAsia="Arial" w:hAnsi="Arial" w:cs="Arial"/>
        </w:rPr>
      </w:pPr>
    </w:p>
    <w:p w14:paraId="36ACE49F" w14:textId="7A1A2DF7" w:rsidR="00B621FB" w:rsidRDefault="00B621FB" w:rsidP="00280576">
      <w:pPr>
        <w:spacing w:line="360" w:lineRule="auto"/>
        <w:rPr>
          <w:rStyle w:val="Hyperlink"/>
          <w:rFonts w:ascii="Arial" w:eastAsia="Arial" w:hAnsi="Arial" w:cs="Arial"/>
        </w:rPr>
      </w:pPr>
      <w:r w:rsidRPr="0061697A">
        <w:rPr>
          <w:rFonts w:ascii="Arial" w:eastAsia="Arial" w:hAnsi="Arial" w:cs="Arial"/>
        </w:rPr>
        <w:t xml:space="preserve">The Board has appointed an Audit Committee to review risk, control, and corporate governance. N Gordon currently chairs the Audit Committee. The Board appoints </w:t>
      </w:r>
      <w:r>
        <w:rPr>
          <w:rFonts w:ascii="Arial" w:eastAsia="Arial" w:hAnsi="Arial" w:cs="Arial"/>
          <w:color w:val="000000" w:themeColor="text1"/>
        </w:rPr>
        <w:t>m</w:t>
      </w:r>
      <w:r w:rsidRPr="009F061E">
        <w:rPr>
          <w:rFonts w:ascii="Arial" w:eastAsia="Arial" w:hAnsi="Arial" w:cs="Arial"/>
          <w:color w:val="000000" w:themeColor="text1"/>
        </w:rPr>
        <w:t>embers to the Committee. The Committee</w:t>
      </w:r>
      <w:r>
        <w:rPr>
          <w:rFonts w:ascii="Arial" w:eastAsia="Arial" w:hAnsi="Arial" w:cs="Arial"/>
          <w:color w:val="000000" w:themeColor="text1"/>
        </w:rPr>
        <w:t xml:space="preserve"> is governed by its </w:t>
      </w:r>
      <w:hyperlink r:id="rId53" w:history="1">
        <w:r w:rsidRPr="00095F4F">
          <w:rPr>
            <w:rStyle w:val="Hyperlink"/>
            <w:rFonts w:ascii="Arial" w:eastAsia="Arial" w:hAnsi="Arial" w:cs="Arial"/>
          </w:rPr>
          <w:t xml:space="preserve">Terms of Reference and </w:t>
        </w:r>
        <w:r>
          <w:rPr>
            <w:rStyle w:val="Hyperlink"/>
            <w:rFonts w:ascii="Arial" w:eastAsia="Arial" w:hAnsi="Arial" w:cs="Arial"/>
          </w:rPr>
          <w:t>R</w:t>
        </w:r>
        <w:r w:rsidRPr="00095F4F">
          <w:rPr>
            <w:rStyle w:val="Hyperlink"/>
            <w:rFonts w:ascii="Arial" w:eastAsia="Arial" w:hAnsi="Arial" w:cs="Arial"/>
          </w:rPr>
          <w:t>emit</w:t>
        </w:r>
      </w:hyperlink>
      <w:r>
        <w:rPr>
          <w:rStyle w:val="Hyperlink"/>
          <w:rFonts w:ascii="Arial" w:eastAsia="Arial" w:hAnsi="Arial" w:cs="Arial"/>
        </w:rPr>
        <w:t>.</w:t>
      </w:r>
    </w:p>
    <w:p w14:paraId="59624DF2" w14:textId="77777777" w:rsidR="00003F90" w:rsidRPr="009F061E" w:rsidRDefault="00003F90" w:rsidP="00280576">
      <w:pPr>
        <w:spacing w:line="360" w:lineRule="auto"/>
        <w:rPr>
          <w:rFonts w:ascii="Arial" w:eastAsia="Arial" w:hAnsi="Arial" w:cs="Arial"/>
          <w:color w:val="333333"/>
        </w:rPr>
      </w:pPr>
    </w:p>
    <w:p w14:paraId="21CB6D86" w14:textId="77777777" w:rsidR="00B621FB" w:rsidRDefault="00B621FB" w:rsidP="00280576">
      <w:pPr>
        <w:pStyle w:val="Default"/>
        <w:spacing w:line="360" w:lineRule="auto"/>
        <w:rPr>
          <w:rFonts w:eastAsia="Arial"/>
        </w:rPr>
      </w:pPr>
      <w:r w:rsidRPr="5B1A637D">
        <w:rPr>
          <w:rFonts w:eastAsia="Arial"/>
        </w:rPr>
        <w:lastRenderedPageBreak/>
        <w:t>The Audit Committee receive</w:t>
      </w:r>
      <w:r>
        <w:rPr>
          <w:rFonts w:eastAsia="Arial"/>
        </w:rPr>
        <w:t>s</w:t>
      </w:r>
      <w:r w:rsidRPr="5B1A637D">
        <w:rPr>
          <w:rFonts w:eastAsia="Arial"/>
        </w:rPr>
        <w:t xml:space="preserve"> reports from </w:t>
      </w:r>
      <w:r>
        <w:rPr>
          <w:rFonts w:eastAsia="Arial"/>
        </w:rPr>
        <w:t>i</w:t>
      </w:r>
      <w:r w:rsidRPr="5B1A637D">
        <w:rPr>
          <w:rFonts w:eastAsia="Arial"/>
        </w:rPr>
        <w:t xml:space="preserve">nternal and </w:t>
      </w:r>
      <w:r>
        <w:rPr>
          <w:rFonts w:eastAsia="Arial"/>
        </w:rPr>
        <w:t>e</w:t>
      </w:r>
      <w:r w:rsidRPr="5B1A637D">
        <w:rPr>
          <w:rFonts w:eastAsia="Arial"/>
        </w:rPr>
        <w:t xml:space="preserve">xternal </w:t>
      </w:r>
      <w:r>
        <w:rPr>
          <w:rFonts w:eastAsia="Arial"/>
        </w:rPr>
        <w:t>a</w:t>
      </w:r>
      <w:r w:rsidRPr="5B1A637D">
        <w:rPr>
          <w:rFonts w:eastAsia="Arial"/>
        </w:rPr>
        <w:t xml:space="preserve">uditors and SEPA staff. The </w:t>
      </w:r>
      <w:r>
        <w:rPr>
          <w:rFonts w:eastAsia="Arial"/>
        </w:rPr>
        <w:t>i</w:t>
      </w:r>
      <w:r w:rsidRPr="5B1A637D">
        <w:rPr>
          <w:rFonts w:eastAsia="Arial"/>
        </w:rPr>
        <w:t xml:space="preserve">nternal and </w:t>
      </w:r>
      <w:r>
        <w:rPr>
          <w:rFonts w:eastAsia="Arial"/>
        </w:rPr>
        <w:t>e</w:t>
      </w:r>
      <w:r w:rsidRPr="5B1A637D">
        <w:rPr>
          <w:rFonts w:eastAsia="Arial"/>
        </w:rPr>
        <w:t xml:space="preserve">xternal </w:t>
      </w:r>
      <w:r>
        <w:rPr>
          <w:rFonts w:eastAsia="Arial"/>
        </w:rPr>
        <w:t>a</w:t>
      </w:r>
      <w:r w:rsidRPr="5B1A637D">
        <w:rPr>
          <w:rFonts w:eastAsia="Arial"/>
        </w:rPr>
        <w:t xml:space="preserve">uditors may attend all </w:t>
      </w:r>
      <w:r>
        <w:rPr>
          <w:rFonts w:eastAsia="Arial"/>
        </w:rPr>
        <w:t xml:space="preserve">Committee </w:t>
      </w:r>
      <w:r w:rsidRPr="5B1A637D">
        <w:rPr>
          <w:rFonts w:eastAsia="Arial"/>
        </w:rPr>
        <w:t xml:space="preserve">meetings. </w:t>
      </w:r>
      <w:r>
        <w:rPr>
          <w:rFonts w:eastAsia="Arial"/>
        </w:rPr>
        <w:t>T</w:t>
      </w:r>
      <w:r w:rsidRPr="5B1A637D">
        <w:rPr>
          <w:rFonts w:eastAsia="Arial"/>
        </w:rPr>
        <w:t xml:space="preserve">hey </w:t>
      </w:r>
      <w:r>
        <w:rPr>
          <w:rFonts w:eastAsia="Arial"/>
        </w:rPr>
        <w:t>can</w:t>
      </w:r>
      <w:r w:rsidRPr="5B1A637D">
        <w:rPr>
          <w:rFonts w:eastAsia="Arial"/>
        </w:rPr>
        <w:t xml:space="preserve"> contact the Chair of the Committee at any time to express specific concerns identified during audit work. </w:t>
      </w:r>
    </w:p>
    <w:p w14:paraId="14356548" w14:textId="77777777" w:rsidR="00B621FB" w:rsidRPr="0061697A" w:rsidRDefault="00B621FB" w:rsidP="008E1350">
      <w:pPr>
        <w:pStyle w:val="Default"/>
        <w:spacing w:line="360" w:lineRule="auto"/>
        <w:rPr>
          <w:rFonts w:eastAsia="Arial"/>
        </w:rPr>
      </w:pPr>
    </w:p>
    <w:p w14:paraId="5F7B2617" w14:textId="69B2C6EE" w:rsidR="00B621FB" w:rsidRDefault="00B621FB" w:rsidP="008E1350">
      <w:pPr>
        <w:spacing w:line="360" w:lineRule="auto"/>
        <w:rPr>
          <w:rFonts w:ascii="Arial" w:hAnsi="Arial" w:cs="Arial"/>
        </w:rPr>
      </w:pPr>
      <w:r w:rsidRPr="0061697A">
        <w:rPr>
          <w:rFonts w:ascii="Arial" w:eastAsia="Arial" w:hAnsi="Arial" w:cs="Arial"/>
        </w:rPr>
        <w:t>W</w:t>
      </w:r>
      <w:r>
        <w:rPr>
          <w:rFonts w:ascii="Arial" w:eastAsia="Arial" w:hAnsi="Arial" w:cs="Arial"/>
          <w:color w:val="000000"/>
        </w:rPr>
        <w:t xml:space="preserve">e are making substantial changes to the way we work to support </w:t>
      </w:r>
      <w:r w:rsidRPr="0061697A">
        <w:rPr>
          <w:rFonts w:ascii="Arial" w:eastAsia="Arial" w:hAnsi="Arial" w:cs="Arial"/>
        </w:rPr>
        <w:t>S</w:t>
      </w:r>
      <w:r>
        <w:rPr>
          <w:rFonts w:ascii="Arial" w:eastAsia="Arial" w:hAnsi="Arial" w:cs="Arial"/>
          <w:color w:val="000000"/>
        </w:rPr>
        <w:t>cotland’s transition to a One Planet economy. In 2020 the B</w:t>
      </w:r>
      <w:r w:rsidRPr="00CD7D5E">
        <w:rPr>
          <w:rFonts w:ascii="Arial" w:eastAsia="Arial" w:hAnsi="Arial" w:cs="Arial"/>
        </w:rPr>
        <w:t>oard</w:t>
      </w:r>
      <w:r w:rsidRPr="0061697A">
        <w:rPr>
          <w:rFonts w:ascii="Arial" w:eastAsia="Arial" w:hAnsi="Arial" w:cs="Arial"/>
        </w:rPr>
        <w:t xml:space="preserve"> </w:t>
      </w:r>
      <w:r>
        <w:rPr>
          <w:rFonts w:ascii="Arial" w:eastAsia="Arial" w:hAnsi="Arial" w:cs="Arial"/>
          <w:color w:val="000000"/>
        </w:rPr>
        <w:t>appointed a temporary Change Committee chaired by M Francis, to help with our change programme. The Change Committee was initially established for one year. Its remit was to help management drive change during COVID</w:t>
      </w:r>
      <w:r w:rsidR="00105A45">
        <w:rPr>
          <w:rFonts w:ascii="Arial" w:eastAsia="Arial" w:hAnsi="Arial" w:cs="Arial"/>
          <w:color w:val="000000"/>
        </w:rPr>
        <w:t>-19</w:t>
      </w:r>
      <w:r>
        <w:rPr>
          <w:rFonts w:ascii="Arial" w:eastAsia="Arial" w:hAnsi="Arial" w:cs="Arial"/>
          <w:color w:val="000000"/>
        </w:rPr>
        <w:t xml:space="preserve">. The last meeting of the Change Committee was held in December 2021. It </w:t>
      </w:r>
      <w:r w:rsidRPr="009416B5">
        <w:rPr>
          <w:rFonts w:ascii="Arial" w:hAnsi="Arial" w:cs="Arial"/>
        </w:rPr>
        <w:t>was decided that much of its work should continue but be refocused and become known as the People Committee.</w:t>
      </w:r>
    </w:p>
    <w:p w14:paraId="7626DB24" w14:textId="77777777" w:rsidR="008E1350" w:rsidRDefault="008E1350" w:rsidP="008E1350">
      <w:pPr>
        <w:spacing w:line="360" w:lineRule="auto"/>
        <w:rPr>
          <w:rFonts w:ascii="Arial" w:hAnsi="Arial" w:cs="Arial"/>
        </w:rPr>
      </w:pPr>
    </w:p>
    <w:p w14:paraId="12711D45" w14:textId="674BD129" w:rsidR="00B621FB" w:rsidRDefault="00B621FB" w:rsidP="008E1350">
      <w:pPr>
        <w:spacing w:line="360" w:lineRule="auto"/>
        <w:rPr>
          <w:rFonts w:ascii="Arial" w:hAnsi="Arial" w:cs="Arial"/>
        </w:rPr>
      </w:pPr>
      <w:r w:rsidRPr="009416B5">
        <w:rPr>
          <w:rFonts w:ascii="Arial" w:hAnsi="Arial" w:cs="Arial"/>
        </w:rPr>
        <w:t xml:space="preserve">The remit of the People Committee </w:t>
      </w:r>
      <w:r>
        <w:rPr>
          <w:rFonts w:ascii="Arial" w:hAnsi="Arial" w:cs="Arial"/>
        </w:rPr>
        <w:t>is to</w:t>
      </w:r>
      <w:r w:rsidRPr="009416B5">
        <w:rPr>
          <w:rFonts w:ascii="Arial" w:hAnsi="Arial" w:cs="Arial"/>
        </w:rPr>
        <w:t xml:space="preserve"> support management in the development of the corporate and wider organisational culture n</w:t>
      </w:r>
      <w:r>
        <w:rPr>
          <w:rFonts w:ascii="Arial" w:hAnsi="Arial" w:cs="Arial"/>
        </w:rPr>
        <w:t>eeded</w:t>
      </w:r>
      <w:r w:rsidRPr="009416B5">
        <w:rPr>
          <w:rFonts w:ascii="Arial" w:hAnsi="Arial" w:cs="Arial"/>
        </w:rPr>
        <w:t xml:space="preserve"> to drive transformational change</w:t>
      </w:r>
      <w:r>
        <w:rPr>
          <w:rFonts w:ascii="Arial" w:hAnsi="Arial" w:cs="Arial"/>
        </w:rPr>
        <w:t>. This includes</w:t>
      </w:r>
      <w:r w:rsidRPr="009416B5">
        <w:rPr>
          <w:rFonts w:ascii="Arial" w:hAnsi="Arial" w:cs="Arial"/>
        </w:rPr>
        <w:t xml:space="preserve"> </w:t>
      </w:r>
      <w:r>
        <w:rPr>
          <w:rFonts w:ascii="Arial" w:hAnsi="Arial" w:cs="Arial"/>
        </w:rPr>
        <w:t>developing</w:t>
      </w:r>
      <w:r w:rsidRPr="009416B5">
        <w:rPr>
          <w:rFonts w:ascii="Arial" w:hAnsi="Arial" w:cs="Arial"/>
        </w:rPr>
        <w:t xml:space="preserve"> a </w:t>
      </w:r>
      <w:r>
        <w:rPr>
          <w:rFonts w:ascii="Arial" w:hAnsi="Arial" w:cs="Arial"/>
        </w:rPr>
        <w:t>P</w:t>
      </w:r>
      <w:r w:rsidRPr="009416B5">
        <w:rPr>
          <w:rFonts w:ascii="Arial" w:hAnsi="Arial" w:cs="Arial"/>
        </w:rPr>
        <w:t xml:space="preserve">eople </w:t>
      </w:r>
      <w:r>
        <w:rPr>
          <w:rFonts w:ascii="Arial" w:hAnsi="Arial" w:cs="Arial"/>
        </w:rPr>
        <w:t>S</w:t>
      </w:r>
      <w:r w:rsidRPr="009416B5">
        <w:rPr>
          <w:rFonts w:ascii="Arial" w:hAnsi="Arial" w:cs="Arial"/>
        </w:rPr>
        <w:t xml:space="preserve">trategy that will underpin the delivery of One Planet Prosperity and </w:t>
      </w:r>
      <w:r w:rsidR="009907BF">
        <w:rPr>
          <w:rFonts w:ascii="Arial" w:hAnsi="Arial" w:cs="Arial"/>
        </w:rPr>
        <w:t>an Environmental Protection Agency for the future</w:t>
      </w:r>
      <w:r w:rsidRPr="009416B5">
        <w:rPr>
          <w:rFonts w:ascii="Arial" w:hAnsi="Arial" w:cs="Arial"/>
        </w:rPr>
        <w:t>.</w:t>
      </w:r>
    </w:p>
    <w:p w14:paraId="05F7F444" w14:textId="77777777" w:rsidR="008E1350" w:rsidRPr="009B5928" w:rsidRDefault="008E1350" w:rsidP="008E1350">
      <w:pPr>
        <w:spacing w:line="360" w:lineRule="auto"/>
        <w:rPr>
          <w:rFonts w:ascii="Arial" w:hAnsi="Arial" w:cs="Arial"/>
          <w:sz w:val="22"/>
          <w:szCs w:val="22"/>
        </w:rPr>
      </w:pPr>
    </w:p>
    <w:p w14:paraId="187C9C89" w14:textId="3D5C0EC1" w:rsidR="00B621FB" w:rsidRPr="002F0BFF" w:rsidRDefault="00B621FB" w:rsidP="008E1350">
      <w:pPr>
        <w:pStyle w:val="Default"/>
        <w:spacing w:line="360" w:lineRule="auto"/>
        <w:rPr>
          <w:rFonts w:eastAsia="Arial"/>
          <w:color w:val="auto"/>
        </w:rPr>
      </w:pPr>
      <w:r>
        <w:rPr>
          <w:rFonts w:eastAsia="Arial"/>
          <w:color w:val="auto"/>
        </w:rPr>
        <w:t xml:space="preserve">The </w:t>
      </w:r>
      <w:r w:rsidRPr="002F0BFF">
        <w:rPr>
          <w:rFonts w:eastAsia="Arial"/>
          <w:color w:val="auto"/>
        </w:rPr>
        <w:t xml:space="preserve">People Committee </w:t>
      </w:r>
      <w:r>
        <w:rPr>
          <w:rFonts w:eastAsia="Arial"/>
          <w:color w:val="auto"/>
        </w:rPr>
        <w:t>T</w:t>
      </w:r>
      <w:r w:rsidRPr="002F0BFF">
        <w:rPr>
          <w:rFonts w:eastAsia="Arial"/>
          <w:color w:val="auto"/>
        </w:rPr>
        <w:t xml:space="preserve">erms of </w:t>
      </w:r>
      <w:r>
        <w:rPr>
          <w:rFonts w:eastAsia="Arial"/>
          <w:color w:val="auto"/>
        </w:rPr>
        <w:t>R</w:t>
      </w:r>
      <w:r w:rsidRPr="00F37549">
        <w:rPr>
          <w:rFonts w:eastAsia="Arial"/>
          <w:color w:val="auto"/>
        </w:rPr>
        <w:t>ef</w:t>
      </w:r>
      <w:r>
        <w:rPr>
          <w:rFonts w:eastAsia="Arial"/>
          <w:color w:val="auto"/>
        </w:rPr>
        <w:t>erence</w:t>
      </w:r>
      <w:r w:rsidRPr="002F0BFF">
        <w:rPr>
          <w:rFonts w:eastAsia="Arial"/>
          <w:color w:val="auto"/>
        </w:rPr>
        <w:t xml:space="preserve"> were approved on 26 January 2022 </w:t>
      </w:r>
      <w:r>
        <w:rPr>
          <w:rFonts w:eastAsia="Arial"/>
          <w:color w:val="auto"/>
        </w:rPr>
        <w:t>and the first committee meeting was held</w:t>
      </w:r>
      <w:r w:rsidRPr="002F0BFF">
        <w:rPr>
          <w:rFonts w:eastAsia="Arial"/>
          <w:color w:val="auto"/>
        </w:rPr>
        <w:t xml:space="preserve"> on 11 </w:t>
      </w:r>
      <w:r w:rsidRPr="00F37549">
        <w:rPr>
          <w:rFonts w:eastAsia="Arial"/>
          <w:color w:val="auto"/>
        </w:rPr>
        <w:t>Feb</w:t>
      </w:r>
      <w:r>
        <w:rPr>
          <w:rFonts w:eastAsia="Arial"/>
          <w:color w:val="auto"/>
        </w:rPr>
        <w:t>ruary</w:t>
      </w:r>
      <w:r w:rsidRPr="002F0BFF">
        <w:rPr>
          <w:rFonts w:eastAsia="Arial"/>
          <w:color w:val="auto"/>
        </w:rPr>
        <w:t xml:space="preserve"> 2022</w:t>
      </w:r>
      <w:r>
        <w:rPr>
          <w:rFonts w:eastAsia="Arial"/>
          <w:color w:val="auto"/>
        </w:rPr>
        <w:t>. The Chair of the Committee is M Hill.</w:t>
      </w:r>
    </w:p>
    <w:p w14:paraId="62C3176D" w14:textId="37763995" w:rsidR="00DE4FC6" w:rsidRDefault="00DE4FC6" w:rsidP="00B621FB">
      <w:pPr>
        <w:pStyle w:val="Default"/>
        <w:spacing w:line="360" w:lineRule="auto"/>
        <w:rPr>
          <w:rFonts w:eastAsia="Arial"/>
          <w:b/>
          <w:bCs/>
          <w:color w:val="auto"/>
        </w:rPr>
        <w:sectPr w:rsidR="00DE4FC6" w:rsidSect="00B97D86">
          <w:headerReference w:type="even" r:id="rId54"/>
          <w:headerReference w:type="default" r:id="rId55"/>
          <w:footerReference w:type="even" r:id="rId56"/>
          <w:headerReference w:type="first" r:id="rId57"/>
          <w:footerReference w:type="first" r:id="rId58"/>
          <w:type w:val="continuous"/>
          <w:pgSz w:w="11906" w:h="16838" w:code="9"/>
          <w:pgMar w:top="1135" w:right="849" w:bottom="426" w:left="851" w:header="624" w:footer="283" w:gutter="0"/>
          <w:cols w:space="708"/>
          <w:docGrid w:linePitch="360"/>
        </w:sectPr>
      </w:pPr>
    </w:p>
    <w:p w14:paraId="0D62D6CC" w14:textId="2B3DAF41" w:rsidR="00B621FB" w:rsidRDefault="00B621FB" w:rsidP="000017F6">
      <w:pPr>
        <w:pStyle w:val="Default"/>
        <w:spacing w:line="360" w:lineRule="auto"/>
        <w:ind w:left="-567" w:firstLine="709"/>
        <w:rPr>
          <w:rFonts w:eastAsia="Arial"/>
          <w:color w:val="auto"/>
        </w:rPr>
      </w:pPr>
      <w:r>
        <w:rPr>
          <w:rFonts w:eastAsia="Arial"/>
          <w:b/>
          <w:bCs/>
          <w:color w:val="auto"/>
        </w:rPr>
        <w:lastRenderedPageBreak/>
        <w:t xml:space="preserve">Attendance at ordinary meetings by Board members </w:t>
      </w:r>
      <w:r w:rsidR="007E23A2">
        <w:rPr>
          <w:rFonts w:eastAsia="Arial"/>
          <w:b/>
          <w:bCs/>
          <w:color w:val="auto"/>
        </w:rPr>
        <w:t>2020/2021</w:t>
      </w:r>
      <w:r>
        <w:rPr>
          <w:rFonts w:eastAsia="Arial"/>
          <w:b/>
          <w:bCs/>
          <w:color w:val="auto"/>
        </w:rPr>
        <w:t xml:space="preserve"> and 2021</w:t>
      </w:r>
      <w:r w:rsidR="000410D3">
        <w:rPr>
          <w:rFonts w:eastAsia="Arial"/>
          <w:b/>
          <w:bCs/>
          <w:color w:val="auto"/>
        </w:rPr>
        <w:t>/</w:t>
      </w:r>
      <w:r>
        <w:rPr>
          <w:rFonts w:eastAsia="Arial"/>
          <w:b/>
          <w:bCs/>
          <w:color w:val="auto"/>
        </w:rPr>
        <w:t>2022</w:t>
      </w:r>
    </w:p>
    <w:tbl>
      <w:tblPr>
        <w:tblStyle w:val="TableGrid"/>
        <w:tblW w:w="22255" w:type="dxa"/>
        <w:tblInd w:w="134" w:type="dxa"/>
        <w:tblLook w:val="04A0" w:firstRow="1" w:lastRow="0" w:firstColumn="1" w:lastColumn="0" w:noHBand="0" w:noVBand="1"/>
      </w:tblPr>
      <w:tblGrid>
        <w:gridCol w:w="3995"/>
        <w:gridCol w:w="1113"/>
        <w:gridCol w:w="1113"/>
        <w:gridCol w:w="1113"/>
        <w:gridCol w:w="1113"/>
        <w:gridCol w:w="1113"/>
        <w:gridCol w:w="1113"/>
        <w:gridCol w:w="1113"/>
        <w:gridCol w:w="1113"/>
        <w:gridCol w:w="1457"/>
        <w:gridCol w:w="7899"/>
      </w:tblGrid>
      <w:tr w:rsidR="00DE4FC6" w:rsidRPr="000845C9" w14:paraId="649F8ED5" w14:textId="4F3E9476" w:rsidTr="007C0D8F">
        <w:trPr>
          <w:trHeight w:val="910"/>
        </w:trPr>
        <w:tc>
          <w:tcPr>
            <w:tcW w:w="411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8BA66D8" w14:textId="4A29D026" w:rsidR="00DE4FC6" w:rsidRPr="007C0D8F" w:rsidRDefault="00DE4FC6" w:rsidP="00355580">
            <w:pPr>
              <w:ind w:firstLine="29"/>
              <w:rPr>
                <w:rFonts w:ascii="Arial" w:hAnsi="Arial" w:cs="Arial"/>
                <w:b/>
                <w:bCs/>
              </w:rPr>
            </w:pPr>
            <w:r w:rsidRPr="007C0D8F">
              <w:rPr>
                <w:rFonts w:ascii="Arial" w:hAnsi="Arial" w:cs="Arial"/>
                <w:b/>
                <w:bCs/>
              </w:rPr>
              <w:t>Board members meeting attendance</w:t>
            </w:r>
          </w:p>
        </w:tc>
        <w:tc>
          <w:tcPr>
            <w:tcW w:w="1787" w:type="dxa"/>
            <w:gridSpan w:val="2"/>
            <w:tcBorders>
              <w:top w:val="single" w:sz="6" w:space="0" w:color="auto"/>
              <w:left w:val="single" w:sz="4" w:space="0" w:color="auto"/>
              <w:bottom w:val="single" w:sz="6" w:space="0" w:color="auto"/>
              <w:right w:val="single" w:sz="6" w:space="0" w:color="auto"/>
            </w:tcBorders>
            <w:shd w:val="clear" w:color="auto" w:fill="EAF1DD" w:themeFill="accent3" w:themeFillTint="33"/>
            <w:vAlign w:val="center"/>
          </w:tcPr>
          <w:p w14:paraId="3A3795AF" w14:textId="077CF207"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Board</w:t>
            </w:r>
          </w:p>
        </w:tc>
        <w:tc>
          <w:tcPr>
            <w:tcW w:w="2226"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FB14D94" w14:textId="3F08D30F"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Strategy</w:t>
            </w:r>
          </w:p>
        </w:tc>
        <w:tc>
          <w:tcPr>
            <w:tcW w:w="2226"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03ECDCC" w14:textId="0DC6DF4B"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Audit Committee</w:t>
            </w:r>
          </w:p>
        </w:tc>
        <w:tc>
          <w:tcPr>
            <w:tcW w:w="2226"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4CCFBF" w14:textId="3CCABCEF"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Change Committee</w:t>
            </w:r>
          </w:p>
        </w:tc>
        <w:tc>
          <w:tcPr>
            <w:tcW w:w="14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CAB570" w14:textId="7B767AE2"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People Committee</w:t>
            </w:r>
          </w:p>
        </w:tc>
        <w:tc>
          <w:tcPr>
            <w:tcW w:w="822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D24C68" w14:textId="72B2F6E5" w:rsidR="00DE4FC6" w:rsidRPr="007C0D8F" w:rsidRDefault="00DE4FC6" w:rsidP="000017F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Notes</w:t>
            </w:r>
          </w:p>
        </w:tc>
      </w:tr>
      <w:tr w:rsidR="00DE4FC6" w:rsidRPr="000845C9" w14:paraId="76209C07" w14:textId="3433E253" w:rsidTr="007C0D8F">
        <w:trPr>
          <w:trHeight w:val="910"/>
        </w:trPr>
        <w:tc>
          <w:tcPr>
            <w:tcW w:w="411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04B174F" w14:textId="77777777" w:rsidR="00DE4FC6" w:rsidRPr="007C0D8F" w:rsidRDefault="00DE4FC6" w:rsidP="00355580">
            <w:pPr>
              <w:ind w:firstLine="29"/>
              <w:rPr>
                <w:rFonts w:ascii="Arial" w:hAnsi="Arial" w:cs="Arial"/>
              </w:rPr>
            </w:pPr>
          </w:p>
        </w:tc>
        <w:tc>
          <w:tcPr>
            <w:tcW w:w="674" w:type="dxa"/>
            <w:tcBorders>
              <w:top w:val="single" w:sz="6" w:space="0" w:color="auto"/>
              <w:left w:val="single" w:sz="4" w:space="0" w:color="auto"/>
              <w:bottom w:val="single" w:sz="6" w:space="0" w:color="auto"/>
              <w:right w:val="single" w:sz="6" w:space="0" w:color="auto"/>
            </w:tcBorders>
            <w:shd w:val="clear" w:color="auto" w:fill="EAF1DD" w:themeFill="accent3" w:themeFillTint="33"/>
            <w:vAlign w:val="center"/>
          </w:tcPr>
          <w:p w14:paraId="7BC9FA60" w14:textId="0D0BA934"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2020/21</w:t>
            </w:r>
          </w:p>
        </w:tc>
        <w:tc>
          <w:tcPr>
            <w:tcW w:w="1113" w:type="dxa"/>
            <w:tcBorders>
              <w:top w:val="nil"/>
              <w:left w:val="single" w:sz="6" w:space="0" w:color="auto"/>
              <w:bottom w:val="single" w:sz="6" w:space="0" w:color="auto"/>
              <w:right w:val="single" w:sz="6" w:space="0" w:color="auto"/>
            </w:tcBorders>
            <w:shd w:val="clear" w:color="auto" w:fill="EAF1DD" w:themeFill="accent3" w:themeFillTint="33"/>
            <w:vAlign w:val="center"/>
          </w:tcPr>
          <w:p w14:paraId="0E973C6C" w14:textId="67C9DB60"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2021/22</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AF5C556" w14:textId="6E55717F"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2020/21</w:t>
            </w:r>
          </w:p>
        </w:tc>
        <w:tc>
          <w:tcPr>
            <w:tcW w:w="1113" w:type="dxa"/>
            <w:tcBorders>
              <w:top w:val="nil"/>
              <w:left w:val="single" w:sz="6" w:space="0" w:color="auto"/>
              <w:bottom w:val="single" w:sz="6" w:space="0" w:color="auto"/>
              <w:right w:val="single" w:sz="6" w:space="0" w:color="auto"/>
            </w:tcBorders>
            <w:shd w:val="clear" w:color="auto" w:fill="EAF1DD" w:themeFill="accent3" w:themeFillTint="33"/>
            <w:vAlign w:val="center"/>
          </w:tcPr>
          <w:p w14:paraId="21A066BC" w14:textId="6BA4B4AC"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2021/22</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19202C1" w14:textId="3AFF6152"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2020/21</w:t>
            </w:r>
          </w:p>
        </w:tc>
        <w:tc>
          <w:tcPr>
            <w:tcW w:w="1113" w:type="dxa"/>
            <w:tcBorders>
              <w:top w:val="nil"/>
              <w:left w:val="single" w:sz="6" w:space="0" w:color="auto"/>
              <w:bottom w:val="single" w:sz="6" w:space="0" w:color="auto"/>
              <w:right w:val="single" w:sz="6" w:space="0" w:color="auto"/>
            </w:tcBorders>
            <w:shd w:val="clear" w:color="auto" w:fill="EAF1DD" w:themeFill="accent3" w:themeFillTint="33"/>
            <w:vAlign w:val="center"/>
          </w:tcPr>
          <w:p w14:paraId="79807263" w14:textId="1F303DCB"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2021/22</w:t>
            </w:r>
          </w:p>
        </w:tc>
        <w:tc>
          <w:tcPr>
            <w:tcW w:w="111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B13CB8" w14:textId="6B9E6664" w:rsidR="00DE4FC6" w:rsidRPr="007C0D8F" w:rsidRDefault="00DE4FC6" w:rsidP="00DE4FC6">
            <w:pPr>
              <w:ind w:firstLine="29"/>
              <w:jc w:val="center"/>
              <w:rPr>
                <w:rFonts w:ascii="Arial" w:hAnsi="Arial" w:cs="Arial"/>
                <w:b/>
                <w:bCs/>
              </w:rPr>
            </w:pPr>
            <w:r w:rsidRPr="007C0D8F">
              <w:rPr>
                <w:rFonts w:ascii="Arial" w:eastAsia="Arial" w:hAnsi="Arial" w:cs="Arial"/>
                <w:b/>
                <w:bCs/>
                <w:color w:val="000000" w:themeColor="text1"/>
                <w:lang w:eastAsia="en-US"/>
              </w:rPr>
              <w:t>2020/21</w:t>
            </w:r>
          </w:p>
        </w:tc>
        <w:tc>
          <w:tcPr>
            <w:tcW w:w="111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734951" w14:textId="7EC692EB" w:rsidR="00DE4FC6" w:rsidRPr="007C0D8F" w:rsidRDefault="00DE4FC6" w:rsidP="00DE4FC6">
            <w:pPr>
              <w:ind w:firstLine="29"/>
              <w:jc w:val="center"/>
              <w:rPr>
                <w:rFonts w:ascii="Arial" w:hAnsi="Arial" w:cs="Arial"/>
                <w:b/>
                <w:bCs/>
              </w:rPr>
            </w:pPr>
            <w:r w:rsidRPr="007C0D8F">
              <w:rPr>
                <w:rFonts w:ascii="Arial" w:eastAsia="Arial" w:hAnsi="Arial" w:cs="Arial"/>
                <w:b/>
                <w:bCs/>
                <w:color w:val="000000" w:themeColor="text1"/>
                <w:lang w:eastAsia="en-US"/>
              </w:rPr>
              <w:t>2021/22</w:t>
            </w:r>
          </w:p>
        </w:tc>
        <w:tc>
          <w:tcPr>
            <w:tcW w:w="14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C61502" w14:textId="16F90C21" w:rsidR="00DE4FC6" w:rsidRPr="007C0D8F" w:rsidRDefault="00DE4FC6" w:rsidP="00DE4FC6">
            <w:pPr>
              <w:ind w:firstLine="29"/>
              <w:jc w:val="center"/>
              <w:rPr>
                <w:rFonts w:ascii="Arial" w:eastAsia="Arial" w:hAnsi="Arial" w:cs="Arial"/>
                <w:b/>
                <w:bCs/>
                <w:color w:val="000000" w:themeColor="text1"/>
                <w:lang w:eastAsia="en-US"/>
              </w:rPr>
            </w:pPr>
            <w:r w:rsidRPr="007C0D8F">
              <w:rPr>
                <w:rFonts w:ascii="Arial" w:eastAsia="Arial" w:hAnsi="Arial" w:cs="Arial"/>
                <w:b/>
                <w:bCs/>
                <w:color w:val="000000" w:themeColor="text1"/>
                <w:lang w:eastAsia="en-US"/>
              </w:rPr>
              <w:t>2021/22</w:t>
            </w:r>
          </w:p>
        </w:tc>
        <w:tc>
          <w:tcPr>
            <w:tcW w:w="822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7E63FE" w14:textId="77777777" w:rsidR="00DE4FC6" w:rsidRPr="007C0D8F" w:rsidRDefault="00DE4FC6" w:rsidP="00DE4FC6">
            <w:pPr>
              <w:ind w:firstLine="29"/>
              <w:jc w:val="center"/>
              <w:rPr>
                <w:rFonts w:ascii="Arial" w:eastAsia="Arial" w:hAnsi="Arial" w:cs="Arial"/>
                <w:b/>
                <w:bCs/>
                <w:color w:val="000000" w:themeColor="text1"/>
                <w:lang w:eastAsia="en-US"/>
              </w:rPr>
            </w:pPr>
          </w:p>
        </w:tc>
      </w:tr>
      <w:tr w:rsidR="00DE4FC6" w:rsidRPr="000845C9" w14:paraId="75CEBAA1" w14:textId="421D9F90"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5C0EC27C" w14:textId="77777777" w:rsidR="00DE4FC6" w:rsidRPr="007C0D8F" w:rsidRDefault="00DE4FC6" w:rsidP="00355580">
            <w:pPr>
              <w:ind w:firstLine="29"/>
              <w:rPr>
                <w:rFonts w:ascii="Arial" w:hAnsi="Arial" w:cs="Arial"/>
              </w:rPr>
            </w:pPr>
            <w:r w:rsidRPr="007C0D8F">
              <w:rPr>
                <w:rFonts w:ascii="Arial" w:eastAsia="Arial" w:hAnsi="Arial" w:cs="Arial"/>
                <w:lang w:eastAsia="en-US"/>
              </w:rPr>
              <w:t>Total number of meetings in year</w:t>
            </w:r>
          </w:p>
        </w:tc>
        <w:tc>
          <w:tcPr>
            <w:tcW w:w="674" w:type="dxa"/>
            <w:tcBorders>
              <w:top w:val="single" w:sz="6" w:space="0" w:color="auto"/>
              <w:left w:val="single" w:sz="4" w:space="0" w:color="auto"/>
              <w:bottom w:val="single" w:sz="6" w:space="0" w:color="auto"/>
              <w:right w:val="single" w:sz="6" w:space="0" w:color="auto"/>
            </w:tcBorders>
            <w:vAlign w:val="center"/>
          </w:tcPr>
          <w:p w14:paraId="3D47F852"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D0E4380"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77403394"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507A9CD"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420A132F"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78ED9B4" w14:textId="77777777" w:rsidR="00DE4FC6" w:rsidRPr="007C0D8F" w:rsidRDefault="00DE4FC6" w:rsidP="00DE4FC6">
            <w:pPr>
              <w:ind w:firstLine="29"/>
              <w:jc w:val="right"/>
              <w:rPr>
                <w:rFonts w:ascii="Arial" w:hAnsi="Arial" w:cs="Arial"/>
              </w:rPr>
            </w:pPr>
            <w:r w:rsidRPr="007C0D8F">
              <w:rPr>
                <w:rFonts w:ascii="Arial" w:eastAsia="Arial" w:hAnsi="Arial" w:cs="Arial"/>
                <w:b/>
                <w:bCs/>
                <w:lang w:eastAsia="en-US"/>
              </w:rPr>
              <w:t>4</w:t>
            </w:r>
          </w:p>
        </w:tc>
        <w:tc>
          <w:tcPr>
            <w:tcW w:w="1113" w:type="dxa"/>
            <w:tcBorders>
              <w:top w:val="single" w:sz="4" w:space="0" w:color="auto"/>
              <w:left w:val="single" w:sz="6" w:space="0" w:color="auto"/>
              <w:bottom w:val="single" w:sz="6" w:space="0" w:color="auto"/>
              <w:right w:val="single" w:sz="6" w:space="0" w:color="auto"/>
            </w:tcBorders>
            <w:vAlign w:val="center"/>
          </w:tcPr>
          <w:p w14:paraId="5E4289E2" w14:textId="77777777" w:rsidR="00DE4FC6" w:rsidRPr="007C0D8F" w:rsidRDefault="00DE4FC6" w:rsidP="00DE4FC6">
            <w:pPr>
              <w:ind w:firstLine="29"/>
              <w:jc w:val="right"/>
              <w:rPr>
                <w:rFonts w:ascii="Arial" w:hAnsi="Arial" w:cs="Arial"/>
                <w:b/>
              </w:rPr>
            </w:pPr>
            <w:r w:rsidRPr="007C0D8F">
              <w:rPr>
                <w:rFonts w:ascii="Arial" w:eastAsia="Arial" w:hAnsi="Arial" w:cs="Arial"/>
                <w:b/>
                <w:lang w:eastAsia="en-US"/>
              </w:rPr>
              <w:t>6</w:t>
            </w:r>
          </w:p>
        </w:tc>
        <w:tc>
          <w:tcPr>
            <w:tcW w:w="1113" w:type="dxa"/>
            <w:tcBorders>
              <w:top w:val="single" w:sz="4" w:space="0" w:color="auto"/>
              <w:left w:val="single" w:sz="6" w:space="0" w:color="auto"/>
              <w:bottom w:val="single" w:sz="6" w:space="0" w:color="auto"/>
              <w:right w:val="single" w:sz="6" w:space="0" w:color="auto"/>
            </w:tcBorders>
            <w:shd w:val="clear" w:color="auto" w:fill="EAF1DD" w:themeFill="accent3" w:themeFillTint="33"/>
            <w:vAlign w:val="center"/>
          </w:tcPr>
          <w:p w14:paraId="39B0857C" w14:textId="77777777" w:rsidR="00DE4FC6" w:rsidRPr="007C0D8F" w:rsidRDefault="00DE4FC6" w:rsidP="00DE4FC6">
            <w:pPr>
              <w:ind w:firstLine="29"/>
              <w:jc w:val="right"/>
              <w:rPr>
                <w:rFonts w:ascii="Arial" w:hAnsi="Arial" w:cs="Arial"/>
                <w:b/>
              </w:rPr>
            </w:pPr>
            <w:r w:rsidRPr="007C0D8F">
              <w:rPr>
                <w:rFonts w:ascii="Arial" w:eastAsia="Arial" w:hAnsi="Arial" w:cs="Arial"/>
                <w:b/>
                <w:lang w:eastAsia="en-US"/>
              </w:rPr>
              <w:t>3</w:t>
            </w:r>
          </w:p>
        </w:tc>
        <w:tc>
          <w:tcPr>
            <w:tcW w:w="1457" w:type="dxa"/>
            <w:tcBorders>
              <w:top w:val="single" w:sz="4" w:space="0" w:color="auto"/>
              <w:left w:val="single" w:sz="6" w:space="0" w:color="auto"/>
              <w:bottom w:val="single" w:sz="6" w:space="0" w:color="auto"/>
              <w:right w:val="single" w:sz="6" w:space="0" w:color="auto"/>
            </w:tcBorders>
            <w:vAlign w:val="center"/>
          </w:tcPr>
          <w:p w14:paraId="43FDAC7B" w14:textId="77777777" w:rsidR="00DE4FC6" w:rsidRPr="007C0D8F" w:rsidRDefault="00DE4FC6" w:rsidP="00DE4FC6">
            <w:pPr>
              <w:ind w:firstLine="29"/>
              <w:jc w:val="right"/>
              <w:rPr>
                <w:rFonts w:ascii="Arial" w:hAnsi="Arial" w:cs="Arial"/>
                <w:b/>
              </w:rPr>
            </w:pPr>
            <w:r w:rsidRPr="007C0D8F">
              <w:rPr>
                <w:rFonts w:ascii="Arial" w:eastAsia="Arial" w:hAnsi="Arial" w:cs="Arial"/>
                <w:b/>
                <w:lang w:eastAsia="en-US"/>
              </w:rPr>
              <w:t>1</w:t>
            </w:r>
          </w:p>
        </w:tc>
        <w:tc>
          <w:tcPr>
            <w:tcW w:w="8222" w:type="dxa"/>
            <w:tcBorders>
              <w:top w:val="single" w:sz="4" w:space="0" w:color="auto"/>
              <w:left w:val="single" w:sz="6" w:space="0" w:color="auto"/>
              <w:bottom w:val="single" w:sz="6" w:space="0" w:color="auto"/>
              <w:right w:val="single" w:sz="6" w:space="0" w:color="auto"/>
            </w:tcBorders>
          </w:tcPr>
          <w:p w14:paraId="057F2312" w14:textId="77777777" w:rsidR="00DE4FC6" w:rsidRPr="007C0D8F" w:rsidRDefault="00DE4FC6" w:rsidP="00DE4FC6">
            <w:pPr>
              <w:ind w:firstLine="29"/>
              <w:jc w:val="right"/>
              <w:rPr>
                <w:rFonts w:ascii="Arial" w:eastAsia="Arial" w:hAnsi="Arial" w:cs="Arial"/>
                <w:b/>
                <w:lang w:eastAsia="en-US"/>
              </w:rPr>
            </w:pPr>
          </w:p>
        </w:tc>
      </w:tr>
      <w:tr w:rsidR="00DE4FC6" w:rsidRPr="000845C9" w14:paraId="110C6DD1" w14:textId="3B29C351" w:rsidTr="007C0D8F">
        <w:trPr>
          <w:trHeight w:val="492"/>
        </w:trPr>
        <w:tc>
          <w:tcPr>
            <w:tcW w:w="411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6DAAB6D" w14:textId="77777777" w:rsidR="00DE4FC6" w:rsidRPr="007C0D8F" w:rsidRDefault="00DE4FC6" w:rsidP="00355580">
            <w:pPr>
              <w:ind w:firstLine="29"/>
              <w:rPr>
                <w:rFonts w:ascii="Arial" w:hAnsi="Arial" w:cs="Arial"/>
              </w:rPr>
            </w:pPr>
            <w:r w:rsidRPr="007C0D8F">
              <w:rPr>
                <w:rFonts w:ascii="Arial" w:eastAsia="Arial" w:hAnsi="Arial" w:cs="Arial"/>
                <w:b/>
                <w:bCs/>
                <w:lang w:eastAsia="en-US"/>
              </w:rPr>
              <w:t>Board member</w:t>
            </w:r>
          </w:p>
        </w:tc>
        <w:tc>
          <w:tcPr>
            <w:tcW w:w="9922" w:type="dxa"/>
            <w:gridSpan w:val="9"/>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492712B" w14:textId="31C4346A" w:rsidR="00DE4FC6" w:rsidRPr="007C0D8F" w:rsidRDefault="00DE4FC6" w:rsidP="00DE4FC6">
            <w:pPr>
              <w:ind w:firstLine="29"/>
              <w:rPr>
                <w:rFonts w:ascii="Arial" w:hAnsi="Arial" w:cs="Arial"/>
                <w:b/>
                <w:bCs/>
              </w:rPr>
            </w:pPr>
            <w:r w:rsidRPr="007C0D8F">
              <w:rPr>
                <w:rFonts w:ascii="Arial" w:hAnsi="Arial" w:cs="Arial"/>
                <w:b/>
                <w:bCs/>
              </w:rPr>
              <w:t>Number of meetings attended</w:t>
            </w:r>
          </w:p>
        </w:tc>
        <w:tc>
          <w:tcPr>
            <w:tcW w:w="8222"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C36D70A" w14:textId="77777777" w:rsidR="00DE4FC6" w:rsidRPr="007C0D8F" w:rsidRDefault="00DE4FC6" w:rsidP="00DE4FC6">
            <w:pPr>
              <w:ind w:firstLine="29"/>
              <w:rPr>
                <w:rFonts w:ascii="Arial" w:hAnsi="Arial" w:cs="Arial"/>
                <w:b/>
                <w:bCs/>
              </w:rPr>
            </w:pPr>
          </w:p>
        </w:tc>
      </w:tr>
      <w:tr w:rsidR="00DE4FC6" w:rsidRPr="000845C9" w14:paraId="0403C5D5" w14:textId="2F3D61C7"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24DDB3AF" w14:textId="77777777" w:rsidR="00DE4FC6" w:rsidRPr="007C0D8F" w:rsidRDefault="00DE4FC6" w:rsidP="00355580">
            <w:pPr>
              <w:ind w:right="-241" w:firstLine="29"/>
              <w:rPr>
                <w:rFonts w:ascii="Arial" w:hAnsi="Arial" w:cs="Arial"/>
              </w:rPr>
            </w:pPr>
            <w:r w:rsidRPr="007C0D8F">
              <w:rPr>
                <w:rFonts w:ascii="Arial" w:eastAsia="Arial" w:hAnsi="Arial" w:cs="Arial"/>
                <w:lang w:eastAsia="en-US"/>
              </w:rPr>
              <w:t xml:space="preserve">B Downes (Chair) </w:t>
            </w:r>
          </w:p>
        </w:tc>
        <w:tc>
          <w:tcPr>
            <w:tcW w:w="674" w:type="dxa"/>
            <w:tcBorders>
              <w:top w:val="single" w:sz="6" w:space="0" w:color="auto"/>
              <w:left w:val="single" w:sz="6" w:space="0" w:color="auto"/>
              <w:bottom w:val="single" w:sz="6" w:space="0" w:color="auto"/>
              <w:right w:val="single" w:sz="6" w:space="0" w:color="auto"/>
            </w:tcBorders>
            <w:vAlign w:val="center"/>
          </w:tcPr>
          <w:p w14:paraId="6843025C"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DBE6FB1"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3DCFC533"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6CCFE95"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614F77CA"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0B35C2C" w14:textId="19B64CB5" w:rsidR="00DE4FC6" w:rsidRPr="007C0D8F" w:rsidRDefault="00DE4FC6" w:rsidP="00DE4FC6">
            <w:pPr>
              <w:ind w:firstLine="29"/>
              <w:jc w:val="right"/>
              <w:rPr>
                <w:rFonts w:ascii="Arial" w:hAnsi="Arial" w:cs="Arial"/>
              </w:rPr>
            </w:pPr>
            <w:r w:rsidRPr="007C0D8F">
              <w:rPr>
                <w:rFonts w:ascii="Arial" w:eastAsia="Arial" w:hAnsi="Arial" w:cs="Arial"/>
                <w:lang w:eastAsia="en-US"/>
              </w:rPr>
              <w:t>1</w:t>
            </w:r>
          </w:p>
        </w:tc>
        <w:tc>
          <w:tcPr>
            <w:tcW w:w="1113" w:type="dxa"/>
            <w:tcBorders>
              <w:top w:val="single" w:sz="6" w:space="0" w:color="auto"/>
              <w:left w:val="single" w:sz="6" w:space="0" w:color="auto"/>
              <w:bottom w:val="single" w:sz="6" w:space="0" w:color="auto"/>
              <w:right w:val="single" w:sz="6" w:space="0" w:color="auto"/>
            </w:tcBorders>
            <w:vAlign w:val="center"/>
          </w:tcPr>
          <w:p w14:paraId="3BE3CB04" w14:textId="1227325C"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CF039C9" w14:textId="763A4E37" w:rsidR="00DE4FC6" w:rsidRPr="007C0D8F" w:rsidRDefault="00DE4FC6" w:rsidP="00DE4FC6">
            <w:pPr>
              <w:ind w:firstLine="29"/>
              <w:jc w:val="right"/>
              <w:rPr>
                <w:rFonts w:ascii="Arial" w:hAnsi="Arial" w:cs="Arial"/>
              </w:rPr>
            </w:pPr>
            <w:r w:rsidRPr="007C0D8F">
              <w:rPr>
                <w:rFonts w:ascii="Arial" w:eastAsia="Arial" w:hAnsi="Arial" w:cs="Arial"/>
                <w:lang w:eastAsia="en-US"/>
              </w:rPr>
              <w:t>1</w:t>
            </w:r>
          </w:p>
        </w:tc>
        <w:tc>
          <w:tcPr>
            <w:tcW w:w="1457" w:type="dxa"/>
            <w:tcBorders>
              <w:top w:val="single" w:sz="6" w:space="0" w:color="auto"/>
              <w:left w:val="single" w:sz="6" w:space="0" w:color="auto"/>
              <w:bottom w:val="single" w:sz="6" w:space="0" w:color="auto"/>
              <w:right w:val="single" w:sz="6" w:space="0" w:color="auto"/>
            </w:tcBorders>
            <w:vAlign w:val="center"/>
          </w:tcPr>
          <w:p w14:paraId="16E5ABFD"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60DCE5C2" w14:textId="01E7B89E" w:rsidR="00D748D2" w:rsidRPr="007C0D8F" w:rsidRDefault="001E32E9" w:rsidP="000E51C2">
            <w:pPr>
              <w:ind w:firstLine="29"/>
              <w:rPr>
                <w:rFonts w:ascii="Arial" w:eastAsia="Arial" w:hAnsi="Arial" w:cs="Arial"/>
                <w:lang w:eastAsia="en-US"/>
              </w:rPr>
            </w:pPr>
            <w:r w:rsidRPr="007C0D8F">
              <w:rPr>
                <w:rFonts w:ascii="Arial" w:eastAsia="Arial" w:hAnsi="Arial" w:cs="Arial"/>
                <w:lang w:eastAsia="en-US"/>
              </w:rPr>
              <w:t>N</w:t>
            </w:r>
            <w:r w:rsidR="00ED68A4" w:rsidRPr="007C0D8F">
              <w:rPr>
                <w:rFonts w:ascii="Arial" w:eastAsia="Arial" w:hAnsi="Arial" w:cs="Arial"/>
                <w:lang w:eastAsia="en-US"/>
              </w:rPr>
              <w:t xml:space="preserve">ot a member of the Audit or Change Committee but attended </w:t>
            </w:r>
            <w:r w:rsidR="00FE563C" w:rsidRPr="007C0D8F">
              <w:rPr>
                <w:rFonts w:ascii="Arial" w:eastAsia="Arial" w:hAnsi="Arial" w:cs="Arial"/>
                <w:lang w:eastAsia="en-US"/>
              </w:rPr>
              <w:t>meetings as noted.</w:t>
            </w:r>
          </w:p>
        </w:tc>
      </w:tr>
      <w:tr w:rsidR="00DE4FC6" w:rsidRPr="000845C9" w14:paraId="7147B9C7" w14:textId="7B3C4023"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1FC92358" w14:textId="77777777" w:rsidR="00DE4FC6" w:rsidRPr="007C0D8F" w:rsidRDefault="00DE4FC6" w:rsidP="00355580">
            <w:pPr>
              <w:ind w:firstLine="29"/>
              <w:rPr>
                <w:rFonts w:ascii="Arial" w:eastAsia="Arial" w:hAnsi="Arial" w:cs="Arial"/>
                <w:lang w:eastAsia="en-US"/>
              </w:rPr>
            </w:pPr>
            <w:r w:rsidRPr="007C0D8F">
              <w:rPr>
                <w:rFonts w:ascii="Arial" w:eastAsia="Arial" w:hAnsi="Arial" w:cs="Arial"/>
                <w:lang w:eastAsia="en-US"/>
              </w:rPr>
              <w:t xml:space="preserve">T </w:t>
            </w:r>
            <w:proofErr w:type="spellStart"/>
            <w:r w:rsidRPr="007C0D8F">
              <w:rPr>
                <w:rFonts w:ascii="Arial" w:eastAsia="Arial" w:hAnsi="Arial" w:cs="Arial"/>
                <w:lang w:eastAsia="en-US"/>
              </w:rPr>
              <w:t>A'Hearn</w:t>
            </w:r>
            <w:proofErr w:type="spellEnd"/>
            <w:r w:rsidRPr="007C0D8F">
              <w:rPr>
                <w:rFonts w:ascii="Arial" w:eastAsia="Arial" w:hAnsi="Arial" w:cs="Arial"/>
                <w:lang w:eastAsia="en-US"/>
              </w:rPr>
              <w:t xml:space="preserve"> </w:t>
            </w:r>
          </w:p>
          <w:p w14:paraId="025DABD5" w14:textId="730E5A7E" w:rsidR="00DE4FC6" w:rsidRPr="007C0D8F" w:rsidRDefault="00DE4FC6" w:rsidP="00355580">
            <w:pPr>
              <w:ind w:firstLine="29"/>
              <w:rPr>
                <w:rFonts w:ascii="Arial" w:hAnsi="Arial" w:cs="Arial"/>
              </w:rPr>
            </w:pPr>
            <w:r w:rsidRPr="007C0D8F">
              <w:rPr>
                <w:rFonts w:ascii="Arial" w:eastAsia="Arial" w:hAnsi="Arial" w:cs="Arial"/>
                <w:lang w:eastAsia="en-US"/>
              </w:rPr>
              <w:t>(Chief Executive)</w:t>
            </w:r>
          </w:p>
        </w:tc>
        <w:tc>
          <w:tcPr>
            <w:tcW w:w="674" w:type="dxa"/>
            <w:tcBorders>
              <w:top w:val="single" w:sz="6" w:space="0" w:color="auto"/>
              <w:left w:val="single" w:sz="6" w:space="0" w:color="auto"/>
              <w:bottom w:val="single" w:sz="6" w:space="0" w:color="auto"/>
              <w:right w:val="single" w:sz="6" w:space="0" w:color="auto"/>
            </w:tcBorders>
            <w:vAlign w:val="center"/>
          </w:tcPr>
          <w:p w14:paraId="5E95BB15"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136F105" w14:textId="23204C57" w:rsidR="00DE4FC6" w:rsidRPr="007C0D8F" w:rsidRDefault="00DE4FC6" w:rsidP="00DE4FC6">
            <w:pPr>
              <w:ind w:firstLine="29"/>
              <w:jc w:val="right"/>
              <w:rPr>
                <w:rFonts w:ascii="Arial" w:hAnsi="Arial" w:cs="Arial"/>
              </w:rPr>
            </w:pPr>
            <w:r w:rsidRPr="007C0D8F">
              <w:rPr>
                <w:rFonts w:ascii="Arial" w:eastAsia="Arial" w:hAnsi="Arial" w:cs="Arial"/>
                <w:lang w:eastAsia="en-US"/>
              </w:rPr>
              <w:t>5</w:t>
            </w:r>
          </w:p>
        </w:tc>
        <w:tc>
          <w:tcPr>
            <w:tcW w:w="1113" w:type="dxa"/>
            <w:tcBorders>
              <w:top w:val="single" w:sz="6" w:space="0" w:color="auto"/>
              <w:left w:val="single" w:sz="6" w:space="0" w:color="auto"/>
              <w:bottom w:val="single" w:sz="6" w:space="0" w:color="auto"/>
              <w:right w:val="single" w:sz="6" w:space="0" w:color="auto"/>
            </w:tcBorders>
            <w:vAlign w:val="center"/>
          </w:tcPr>
          <w:p w14:paraId="23C915E0"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458E9AB" w14:textId="6908A89B" w:rsidR="00DE4FC6" w:rsidRPr="007C0D8F" w:rsidRDefault="00DE4FC6" w:rsidP="00DE4FC6">
            <w:pPr>
              <w:ind w:firstLine="29"/>
              <w:jc w:val="right"/>
              <w:rPr>
                <w:rFonts w:ascii="Arial" w:hAnsi="Arial" w:cs="Arial"/>
              </w:rPr>
            </w:pPr>
            <w:r w:rsidRPr="007C0D8F">
              <w:rPr>
                <w:rFonts w:ascii="Arial" w:hAnsi="Arial" w:cs="Arial"/>
              </w:rPr>
              <w:t>3</w:t>
            </w:r>
          </w:p>
        </w:tc>
        <w:tc>
          <w:tcPr>
            <w:tcW w:w="1113" w:type="dxa"/>
            <w:tcBorders>
              <w:top w:val="single" w:sz="6" w:space="0" w:color="auto"/>
              <w:left w:val="single" w:sz="6" w:space="0" w:color="auto"/>
              <w:bottom w:val="single" w:sz="6" w:space="0" w:color="auto"/>
              <w:right w:val="single" w:sz="6" w:space="0" w:color="auto"/>
            </w:tcBorders>
            <w:vAlign w:val="center"/>
          </w:tcPr>
          <w:p w14:paraId="12094746"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9000F8A" w14:textId="07EDD8FA" w:rsidR="00DE4FC6" w:rsidRPr="007C0D8F" w:rsidRDefault="00DE4FC6" w:rsidP="00DE4FC6">
            <w:pPr>
              <w:ind w:firstLine="29"/>
              <w:jc w:val="right"/>
              <w:rPr>
                <w:rFonts w:ascii="Arial" w:hAnsi="Arial" w:cs="Arial"/>
              </w:rPr>
            </w:pPr>
            <w:r w:rsidRPr="007C0D8F">
              <w:rPr>
                <w:rFonts w:ascii="Arial" w:eastAsia="Arial" w:hAnsi="Arial" w:cs="Arial"/>
                <w:lang w:eastAsia="en-US"/>
              </w:rPr>
              <w:t>2</w:t>
            </w:r>
          </w:p>
        </w:tc>
        <w:tc>
          <w:tcPr>
            <w:tcW w:w="1113" w:type="dxa"/>
            <w:tcBorders>
              <w:top w:val="single" w:sz="6" w:space="0" w:color="auto"/>
              <w:left w:val="single" w:sz="6" w:space="0" w:color="auto"/>
              <w:bottom w:val="single" w:sz="6" w:space="0" w:color="auto"/>
              <w:right w:val="single" w:sz="6" w:space="0" w:color="auto"/>
            </w:tcBorders>
            <w:vAlign w:val="center"/>
          </w:tcPr>
          <w:p w14:paraId="6260E311"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9F3FD62"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457" w:type="dxa"/>
            <w:tcBorders>
              <w:top w:val="single" w:sz="6" w:space="0" w:color="auto"/>
              <w:left w:val="single" w:sz="6" w:space="0" w:color="auto"/>
              <w:bottom w:val="single" w:sz="6" w:space="0" w:color="auto"/>
              <w:right w:val="single" w:sz="6" w:space="0" w:color="auto"/>
            </w:tcBorders>
            <w:vAlign w:val="center"/>
          </w:tcPr>
          <w:p w14:paraId="604C7C41"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64375512" w14:textId="77777777" w:rsidR="00DE4FC6" w:rsidRDefault="00FE563C" w:rsidP="000E51C2">
            <w:pPr>
              <w:ind w:firstLine="29"/>
              <w:rPr>
                <w:rFonts w:ascii="Arial" w:eastAsia="Arial" w:hAnsi="Arial" w:cs="Arial"/>
                <w:lang w:eastAsia="en-US"/>
              </w:rPr>
            </w:pPr>
            <w:r w:rsidRPr="007C0D8F">
              <w:rPr>
                <w:rFonts w:ascii="Arial" w:eastAsia="Arial" w:hAnsi="Arial" w:cs="Arial"/>
                <w:lang w:eastAsia="en-US"/>
              </w:rPr>
              <w:t>Resigned on 19 January 2022</w:t>
            </w:r>
            <w:r w:rsidR="005E2DE8" w:rsidRPr="007C0D8F">
              <w:rPr>
                <w:rFonts w:ascii="Arial" w:eastAsia="Arial" w:hAnsi="Arial" w:cs="Arial"/>
                <w:lang w:eastAsia="en-US"/>
              </w:rPr>
              <w:t>.</w:t>
            </w:r>
          </w:p>
          <w:p w14:paraId="3400C54C" w14:textId="77777777" w:rsidR="000A188A" w:rsidRDefault="000A188A" w:rsidP="000E51C2">
            <w:pPr>
              <w:ind w:firstLine="29"/>
              <w:rPr>
                <w:rFonts w:ascii="Arial" w:eastAsia="Arial" w:hAnsi="Arial" w:cs="Arial"/>
                <w:lang w:eastAsia="en-US"/>
              </w:rPr>
            </w:pPr>
          </w:p>
          <w:p w14:paraId="517575DA" w14:textId="6EB84E13" w:rsidR="000A188A" w:rsidRPr="007C0D8F" w:rsidRDefault="000A188A" w:rsidP="000E51C2">
            <w:pPr>
              <w:ind w:firstLine="29"/>
              <w:rPr>
                <w:rFonts w:ascii="Arial" w:eastAsia="Arial" w:hAnsi="Arial" w:cs="Arial"/>
                <w:lang w:eastAsia="en-US"/>
              </w:rPr>
            </w:pPr>
            <w:r>
              <w:rPr>
                <w:rFonts w:ascii="Arial" w:eastAsia="Arial" w:hAnsi="Arial" w:cs="Arial"/>
                <w:lang w:eastAsia="en-US"/>
              </w:rPr>
              <w:t xml:space="preserve">Not a member of the Change Committee but </w:t>
            </w:r>
            <w:r w:rsidR="00F16111">
              <w:rPr>
                <w:rFonts w:ascii="Arial" w:eastAsia="Arial" w:hAnsi="Arial" w:cs="Arial"/>
                <w:lang w:eastAsia="en-US"/>
              </w:rPr>
              <w:t>attended 3 meetings as noted.</w:t>
            </w:r>
          </w:p>
        </w:tc>
      </w:tr>
      <w:tr w:rsidR="00DE4FC6" w:rsidRPr="000845C9" w14:paraId="43404D57" w14:textId="25CC3970" w:rsidTr="000A188A">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67AF0445" w14:textId="77777777" w:rsidR="00DE4FC6" w:rsidRPr="007C0D8F" w:rsidRDefault="00DE4FC6" w:rsidP="007D30C4">
            <w:pPr>
              <w:rPr>
                <w:rFonts w:ascii="Arial" w:eastAsia="Arial" w:hAnsi="Arial" w:cs="Arial"/>
                <w:lang w:eastAsia="en-US"/>
              </w:rPr>
            </w:pPr>
            <w:r w:rsidRPr="007C0D8F">
              <w:rPr>
                <w:rFonts w:ascii="Arial" w:eastAsia="Arial" w:hAnsi="Arial" w:cs="Arial"/>
                <w:lang w:eastAsia="en-US"/>
              </w:rPr>
              <w:t xml:space="preserve">J Green </w:t>
            </w:r>
          </w:p>
          <w:p w14:paraId="4043CA5F" w14:textId="7AAB2AD6" w:rsidR="00DE4FC6" w:rsidRPr="007C0D8F" w:rsidRDefault="00DE4FC6" w:rsidP="007D30C4">
            <w:pPr>
              <w:rPr>
                <w:rFonts w:ascii="Arial" w:eastAsia="Arial" w:hAnsi="Arial" w:cs="Arial"/>
                <w:lang w:eastAsia="en-US"/>
              </w:rPr>
            </w:pPr>
            <w:r w:rsidRPr="007C0D8F">
              <w:rPr>
                <w:rFonts w:ascii="Arial" w:eastAsia="Arial" w:hAnsi="Arial" w:cs="Arial"/>
                <w:lang w:eastAsia="en-US"/>
              </w:rPr>
              <w:t>(</w:t>
            </w:r>
            <w:r w:rsidR="0069670E">
              <w:rPr>
                <w:rFonts w:ascii="Arial" w:eastAsia="Arial" w:hAnsi="Arial" w:cs="Arial"/>
                <w:lang w:eastAsia="en-US"/>
              </w:rPr>
              <w:t>Acting</w:t>
            </w:r>
            <w:r w:rsidRPr="007C0D8F">
              <w:rPr>
                <w:rFonts w:ascii="Arial" w:eastAsia="Arial" w:hAnsi="Arial" w:cs="Arial"/>
                <w:lang w:eastAsia="en-US"/>
              </w:rPr>
              <w:t xml:space="preserve"> Chief Executive)</w:t>
            </w:r>
          </w:p>
        </w:tc>
        <w:tc>
          <w:tcPr>
            <w:tcW w:w="674" w:type="dxa"/>
            <w:tcBorders>
              <w:top w:val="single" w:sz="6" w:space="0" w:color="auto"/>
              <w:left w:val="single" w:sz="6" w:space="0" w:color="auto"/>
              <w:bottom w:val="single" w:sz="6" w:space="0" w:color="auto"/>
              <w:right w:val="single" w:sz="6" w:space="0" w:color="auto"/>
            </w:tcBorders>
            <w:vAlign w:val="center"/>
          </w:tcPr>
          <w:p w14:paraId="03B7694B"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E4F205D"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1</w:t>
            </w:r>
          </w:p>
        </w:tc>
        <w:tc>
          <w:tcPr>
            <w:tcW w:w="1113" w:type="dxa"/>
            <w:tcBorders>
              <w:top w:val="single" w:sz="6" w:space="0" w:color="auto"/>
              <w:left w:val="single" w:sz="6" w:space="0" w:color="auto"/>
              <w:bottom w:val="single" w:sz="6" w:space="0" w:color="auto"/>
              <w:right w:val="single" w:sz="6" w:space="0" w:color="auto"/>
            </w:tcBorders>
            <w:vAlign w:val="center"/>
          </w:tcPr>
          <w:p w14:paraId="2C995984"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20BEC9B"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0</w:t>
            </w:r>
          </w:p>
        </w:tc>
        <w:tc>
          <w:tcPr>
            <w:tcW w:w="1113" w:type="dxa"/>
            <w:tcBorders>
              <w:top w:val="single" w:sz="6" w:space="0" w:color="auto"/>
              <w:left w:val="single" w:sz="6" w:space="0" w:color="auto"/>
              <w:bottom w:val="single" w:sz="6" w:space="0" w:color="auto"/>
              <w:right w:val="single" w:sz="6" w:space="0" w:color="auto"/>
            </w:tcBorders>
            <w:vAlign w:val="center"/>
          </w:tcPr>
          <w:p w14:paraId="6E80AD01"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979F021" w14:textId="668E1BA2"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0</w:t>
            </w:r>
          </w:p>
        </w:tc>
        <w:tc>
          <w:tcPr>
            <w:tcW w:w="1113" w:type="dxa"/>
            <w:tcBorders>
              <w:top w:val="single" w:sz="6" w:space="0" w:color="auto"/>
              <w:left w:val="single" w:sz="6" w:space="0" w:color="auto"/>
              <w:bottom w:val="single" w:sz="6" w:space="0" w:color="auto"/>
              <w:right w:val="single" w:sz="6" w:space="0" w:color="auto"/>
            </w:tcBorders>
            <w:vAlign w:val="center"/>
          </w:tcPr>
          <w:p w14:paraId="35FE0A11"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DD4ED1D" w14:textId="77777777" w:rsidR="00DE4FC6" w:rsidRPr="007C0D8F" w:rsidRDefault="00DE4FC6" w:rsidP="00DE4FC6">
            <w:pPr>
              <w:ind w:firstLine="29"/>
              <w:jc w:val="right"/>
              <w:rPr>
                <w:rFonts w:ascii="Arial" w:eastAsia="Arial" w:hAnsi="Arial" w:cs="Arial"/>
                <w:lang w:eastAsia="en-US"/>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1C99618E" w14:textId="3481DDD3" w:rsidR="00DE4FC6" w:rsidRPr="000A188A" w:rsidRDefault="00DE4FC6" w:rsidP="00DE4FC6">
            <w:pPr>
              <w:ind w:firstLine="29"/>
              <w:jc w:val="right"/>
              <w:rPr>
                <w:rFonts w:ascii="Arial" w:eastAsia="Arial" w:hAnsi="Arial" w:cs="Arial"/>
                <w:lang w:eastAsia="en-US"/>
              </w:rPr>
            </w:pPr>
            <w:r w:rsidRPr="000A188A">
              <w:rPr>
                <w:rFonts w:ascii="Arial" w:eastAsia="Arial" w:hAnsi="Arial" w:cs="Arial"/>
                <w:lang w:eastAsia="en-US"/>
              </w:rPr>
              <w:t>1</w:t>
            </w:r>
          </w:p>
        </w:tc>
        <w:tc>
          <w:tcPr>
            <w:tcW w:w="8222" w:type="dxa"/>
            <w:tcBorders>
              <w:top w:val="single" w:sz="6" w:space="0" w:color="auto"/>
              <w:left w:val="single" w:sz="6" w:space="0" w:color="auto"/>
              <w:bottom w:val="single" w:sz="6" w:space="0" w:color="auto"/>
              <w:right w:val="single" w:sz="6" w:space="0" w:color="auto"/>
            </w:tcBorders>
            <w:vAlign w:val="center"/>
          </w:tcPr>
          <w:p w14:paraId="38D1C70A" w14:textId="3942A19F" w:rsidR="00DE4FC6" w:rsidRPr="007C0D8F" w:rsidRDefault="00EE3A8A" w:rsidP="00BC0D4D">
            <w:pPr>
              <w:ind w:firstLine="29"/>
              <w:rPr>
                <w:rFonts w:ascii="Arial" w:eastAsia="Arial" w:hAnsi="Arial" w:cs="Arial"/>
                <w:lang w:eastAsia="en-US"/>
              </w:rPr>
            </w:pPr>
            <w:r>
              <w:rPr>
                <w:rFonts w:ascii="Arial" w:eastAsia="Arial" w:hAnsi="Arial" w:cs="Arial"/>
                <w:lang w:eastAsia="en-US"/>
              </w:rPr>
              <w:t>Acting</w:t>
            </w:r>
            <w:r w:rsidR="00FE563C" w:rsidRPr="007C0D8F">
              <w:rPr>
                <w:rFonts w:ascii="Arial" w:eastAsia="Arial" w:hAnsi="Arial" w:cs="Arial"/>
                <w:lang w:eastAsia="en-US"/>
              </w:rPr>
              <w:t xml:space="preserve"> Chief Executive from 6 January 2022</w:t>
            </w:r>
            <w:r w:rsidR="005E2DE8" w:rsidRPr="007C0D8F">
              <w:rPr>
                <w:rFonts w:ascii="Arial" w:eastAsia="Arial" w:hAnsi="Arial" w:cs="Arial"/>
                <w:lang w:eastAsia="en-US"/>
              </w:rPr>
              <w:t>.</w:t>
            </w:r>
          </w:p>
          <w:p w14:paraId="64C6A78B" w14:textId="77777777" w:rsidR="003D5C6D" w:rsidRPr="007C0D8F" w:rsidRDefault="003D5C6D" w:rsidP="000E51C2">
            <w:pPr>
              <w:ind w:firstLine="29"/>
              <w:rPr>
                <w:rFonts w:ascii="Arial" w:eastAsia="Arial" w:hAnsi="Arial" w:cs="Arial"/>
                <w:lang w:eastAsia="en-US"/>
              </w:rPr>
            </w:pPr>
          </w:p>
          <w:p w14:paraId="5E1C8879" w14:textId="42479638" w:rsidR="003D5C6D" w:rsidRPr="007C0D8F" w:rsidRDefault="00EA32A4" w:rsidP="000E51C2">
            <w:pPr>
              <w:ind w:firstLine="29"/>
              <w:rPr>
                <w:rFonts w:ascii="Arial" w:eastAsia="Arial" w:hAnsi="Arial" w:cs="Arial"/>
                <w:lang w:eastAsia="en-US"/>
              </w:rPr>
            </w:pPr>
            <w:r w:rsidRPr="007C0D8F">
              <w:rPr>
                <w:rFonts w:ascii="Arial" w:eastAsia="Arial" w:hAnsi="Arial" w:cs="Arial"/>
                <w:lang w:eastAsia="en-US"/>
              </w:rPr>
              <w:t>Not a member of the Audit Committee but attends meetings in accordance with terms of reference.</w:t>
            </w:r>
          </w:p>
          <w:p w14:paraId="06006993" w14:textId="77777777" w:rsidR="007D7CD9" w:rsidRPr="007C0D8F" w:rsidRDefault="007D7CD9" w:rsidP="000E51C2">
            <w:pPr>
              <w:ind w:firstLine="29"/>
              <w:rPr>
                <w:rFonts w:ascii="Arial" w:eastAsia="Arial" w:hAnsi="Arial" w:cs="Arial"/>
                <w:lang w:eastAsia="en-US"/>
              </w:rPr>
            </w:pPr>
          </w:p>
          <w:p w14:paraId="26C44E50" w14:textId="078D9B2D" w:rsidR="007D7CD9" w:rsidRPr="007C0D8F" w:rsidRDefault="007D7CD9" w:rsidP="000E51C2">
            <w:pPr>
              <w:ind w:firstLine="29"/>
              <w:rPr>
                <w:rFonts w:ascii="Arial" w:eastAsia="Arial" w:hAnsi="Arial" w:cs="Arial"/>
                <w:lang w:eastAsia="en-US"/>
              </w:rPr>
            </w:pPr>
            <w:r w:rsidRPr="001A62AD">
              <w:rPr>
                <w:rFonts w:ascii="Arial" w:eastAsia="Arial" w:hAnsi="Arial" w:cs="Arial"/>
                <w:lang w:eastAsia="en-US"/>
              </w:rPr>
              <w:t xml:space="preserve">Not a member of the </w:t>
            </w:r>
            <w:r w:rsidR="001A62AD" w:rsidRPr="001A62AD">
              <w:rPr>
                <w:rFonts w:ascii="Arial" w:eastAsia="Arial" w:hAnsi="Arial" w:cs="Arial"/>
                <w:lang w:eastAsia="en-US"/>
              </w:rPr>
              <w:t>People Committee</w:t>
            </w:r>
            <w:r w:rsidRPr="001A62AD">
              <w:rPr>
                <w:rFonts w:ascii="Arial" w:eastAsia="Arial" w:hAnsi="Arial" w:cs="Arial"/>
                <w:lang w:eastAsia="en-US"/>
              </w:rPr>
              <w:t xml:space="preserve"> </w:t>
            </w:r>
            <w:r w:rsidR="00B10BEE" w:rsidRPr="001A62AD">
              <w:rPr>
                <w:rFonts w:ascii="Arial" w:eastAsia="Arial" w:hAnsi="Arial" w:cs="Arial"/>
                <w:lang w:eastAsia="en-US"/>
              </w:rPr>
              <w:t>but attended 1 meeting as noted.</w:t>
            </w:r>
          </w:p>
        </w:tc>
      </w:tr>
      <w:tr w:rsidR="00DE4FC6" w:rsidRPr="000845C9" w14:paraId="546D1412" w14:textId="5EFEE04C"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14E3EAC2" w14:textId="45806E72" w:rsidR="00DE4FC6" w:rsidRPr="007C0D8F" w:rsidRDefault="00DE4FC6" w:rsidP="007D30C4">
            <w:pPr>
              <w:rPr>
                <w:rFonts w:ascii="Arial" w:hAnsi="Arial" w:cs="Arial"/>
              </w:rPr>
            </w:pPr>
            <w:r w:rsidRPr="007C0D8F">
              <w:rPr>
                <w:rFonts w:ascii="Arial" w:eastAsia="Arial" w:hAnsi="Arial" w:cs="Arial"/>
                <w:lang w:eastAsia="en-US"/>
              </w:rPr>
              <w:t>M Francis</w:t>
            </w:r>
          </w:p>
        </w:tc>
        <w:tc>
          <w:tcPr>
            <w:tcW w:w="674" w:type="dxa"/>
            <w:tcBorders>
              <w:top w:val="single" w:sz="6" w:space="0" w:color="auto"/>
              <w:left w:val="single" w:sz="6" w:space="0" w:color="auto"/>
              <w:bottom w:val="single" w:sz="6" w:space="0" w:color="auto"/>
              <w:right w:val="single" w:sz="6" w:space="0" w:color="auto"/>
            </w:tcBorders>
            <w:vAlign w:val="center"/>
          </w:tcPr>
          <w:p w14:paraId="06B1DA63"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013CD7F" w14:textId="4AA9ADAF" w:rsidR="00DE4FC6" w:rsidRPr="007C0D8F" w:rsidRDefault="00DE4FC6" w:rsidP="00DE4FC6">
            <w:pPr>
              <w:ind w:firstLine="29"/>
              <w:jc w:val="right"/>
              <w:rPr>
                <w:rFonts w:ascii="Arial" w:hAnsi="Arial" w:cs="Arial"/>
              </w:rPr>
            </w:pPr>
            <w:r w:rsidRPr="007C0D8F">
              <w:rPr>
                <w:rFonts w:ascii="Arial" w:eastAsia="Arial" w:hAnsi="Arial" w:cs="Arial"/>
                <w:lang w:eastAsia="en-US"/>
              </w:rPr>
              <w:t>5</w:t>
            </w:r>
          </w:p>
        </w:tc>
        <w:tc>
          <w:tcPr>
            <w:tcW w:w="1113" w:type="dxa"/>
            <w:tcBorders>
              <w:top w:val="single" w:sz="6" w:space="0" w:color="auto"/>
              <w:left w:val="single" w:sz="6" w:space="0" w:color="auto"/>
              <w:bottom w:val="single" w:sz="6" w:space="0" w:color="auto"/>
              <w:right w:val="single" w:sz="6" w:space="0" w:color="auto"/>
            </w:tcBorders>
            <w:vAlign w:val="center"/>
          </w:tcPr>
          <w:p w14:paraId="42BF708E"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54DD552" w14:textId="686C9E17"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113" w:type="dxa"/>
            <w:tcBorders>
              <w:top w:val="single" w:sz="6" w:space="0" w:color="auto"/>
              <w:left w:val="single" w:sz="6" w:space="0" w:color="auto"/>
              <w:bottom w:val="single" w:sz="6" w:space="0" w:color="auto"/>
              <w:right w:val="single" w:sz="6" w:space="0" w:color="auto"/>
            </w:tcBorders>
            <w:vAlign w:val="center"/>
          </w:tcPr>
          <w:p w14:paraId="55FD8D8B"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B2BF6C4" w14:textId="3BEE0BAD"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113" w:type="dxa"/>
            <w:tcBorders>
              <w:top w:val="single" w:sz="6" w:space="0" w:color="auto"/>
              <w:left w:val="single" w:sz="6" w:space="0" w:color="auto"/>
              <w:bottom w:val="single" w:sz="6" w:space="0" w:color="auto"/>
              <w:right w:val="single" w:sz="6" w:space="0" w:color="auto"/>
            </w:tcBorders>
            <w:vAlign w:val="center"/>
          </w:tcPr>
          <w:p w14:paraId="60A6C545" w14:textId="2697CED4"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8EAE2DF"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457" w:type="dxa"/>
            <w:tcBorders>
              <w:top w:val="single" w:sz="6" w:space="0" w:color="auto"/>
              <w:left w:val="single" w:sz="6" w:space="0" w:color="auto"/>
              <w:bottom w:val="single" w:sz="6" w:space="0" w:color="auto"/>
              <w:right w:val="single" w:sz="6" w:space="0" w:color="auto"/>
            </w:tcBorders>
            <w:vAlign w:val="center"/>
          </w:tcPr>
          <w:p w14:paraId="660E7A0C"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3F1B9B3C" w14:textId="7B02C18D" w:rsidR="00DE4FC6" w:rsidRPr="007C0D8F" w:rsidRDefault="00B10BEE" w:rsidP="000E51C2">
            <w:pPr>
              <w:ind w:firstLine="29"/>
              <w:rPr>
                <w:rFonts w:ascii="Arial" w:eastAsia="Arial" w:hAnsi="Arial" w:cs="Arial"/>
                <w:lang w:eastAsia="en-US"/>
              </w:rPr>
            </w:pPr>
            <w:r w:rsidRPr="007C0D8F">
              <w:rPr>
                <w:rFonts w:ascii="Arial" w:eastAsia="Arial" w:hAnsi="Arial" w:cs="Arial"/>
                <w:lang w:eastAsia="en-US"/>
              </w:rPr>
              <w:t>Came to end of tenure as Board member on 31 December 2021</w:t>
            </w:r>
            <w:r w:rsidR="005E2DE8" w:rsidRPr="007C0D8F">
              <w:rPr>
                <w:rFonts w:ascii="Arial" w:eastAsia="Arial" w:hAnsi="Arial" w:cs="Arial"/>
                <w:lang w:eastAsia="en-US"/>
              </w:rPr>
              <w:t>.</w:t>
            </w:r>
          </w:p>
          <w:p w14:paraId="429E7273" w14:textId="77777777" w:rsidR="00B10BEE" w:rsidRPr="007C0D8F" w:rsidRDefault="00B10BEE" w:rsidP="000E51C2">
            <w:pPr>
              <w:ind w:firstLine="29"/>
              <w:rPr>
                <w:rFonts w:ascii="Arial" w:eastAsia="Arial" w:hAnsi="Arial" w:cs="Arial"/>
                <w:lang w:eastAsia="en-US"/>
              </w:rPr>
            </w:pPr>
          </w:p>
          <w:p w14:paraId="089BE64F" w14:textId="2F98133C" w:rsidR="00B10BEE" w:rsidRPr="007C0D8F" w:rsidRDefault="00B10BEE" w:rsidP="000E51C2">
            <w:pPr>
              <w:ind w:firstLine="29"/>
              <w:rPr>
                <w:rFonts w:ascii="Arial" w:eastAsia="Arial" w:hAnsi="Arial" w:cs="Arial"/>
                <w:lang w:eastAsia="en-US"/>
              </w:rPr>
            </w:pPr>
            <w:r w:rsidRPr="007C0D8F">
              <w:rPr>
                <w:rFonts w:ascii="Arial" w:eastAsia="Arial" w:hAnsi="Arial" w:cs="Arial"/>
                <w:lang w:eastAsia="en-US"/>
              </w:rPr>
              <w:t>Deputy Chair until 31 December 2021</w:t>
            </w:r>
            <w:r w:rsidR="005E2DE8" w:rsidRPr="007C0D8F">
              <w:rPr>
                <w:rFonts w:ascii="Arial" w:eastAsia="Arial" w:hAnsi="Arial" w:cs="Arial"/>
                <w:lang w:eastAsia="en-US"/>
              </w:rPr>
              <w:t>.</w:t>
            </w:r>
          </w:p>
          <w:p w14:paraId="0BCF121C" w14:textId="77777777" w:rsidR="005E2DE8" w:rsidRPr="007C0D8F" w:rsidRDefault="005E2DE8" w:rsidP="000E51C2">
            <w:pPr>
              <w:ind w:firstLine="29"/>
              <w:rPr>
                <w:rFonts w:ascii="Arial" w:eastAsia="Arial" w:hAnsi="Arial" w:cs="Arial"/>
                <w:lang w:eastAsia="en-US"/>
              </w:rPr>
            </w:pPr>
          </w:p>
          <w:p w14:paraId="72EF9A86" w14:textId="71A3201B" w:rsidR="005E2DE8" w:rsidRPr="007C0D8F" w:rsidRDefault="005E2DE8" w:rsidP="000E51C2">
            <w:pPr>
              <w:ind w:firstLine="29"/>
              <w:rPr>
                <w:rFonts w:ascii="Arial" w:eastAsia="Arial" w:hAnsi="Arial" w:cs="Arial"/>
                <w:lang w:eastAsia="en-US"/>
              </w:rPr>
            </w:pPr>
            <w:r w:rsidRPr="007C0D8F">
              <w:rPr>
                <w:rFonts w:ascii="Arial" w:eastAsia="Arial" w:hAnsi="Arial" w:cs="Arial"/>
                <w:lang w:eastAsia="en-US"/>
              </w:rPr>
              <w:t>Change Committee Chair</w:t>
            </w:r>
            <w:r w:rsidR="009E2012" w:rsidRPr="007C0D8F">
              <w:rPr>
                <w:rFonts w:ascii="Arial" w:eastAsia="Arial" w:hAnsi="Arial" w:cs="Arial"/>
                <w:lang w:eastAsia="en-US"/>
              </w:rPr>
              <w:t xml:space="preserve"> until 31 December 2021.</w:t>
            </w:r>
          </w:p>
        </w:tc>
      </w:tr>
      <w:tr w:rsidR="00DE4FC6" w:rsidRPr="000845C9" w14:paraId="34FD0878" w14:textId="7108CEE2"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77A7DE16" w14:textId="38BA5CB3" w:rsidR="00DE4FC6" w:rsidRPr="007C0D8F" w:rsidRDefault="00DE4FC6" w:rsidP="007D30C4">
            <w:pPr>
              <w:rPr>
                <w:rFonts w:ascii="Arial" w:hAnsi="Arial" w:cs="Arial"/>
              </w:rPr>
            </w:pPr>
            <w:r w:rsidRPr="007C0D8F">
              <w:rPr>
                <w:rFonts w:ascii="Arial" w:eastAsia="Arial" w:hAnsi="Arial" w:cs="Arial"/>
                <w:lang w:eastAsia="en-US"/>
              </w:rPr>
              <w:t>N Martin</w:t>
            </w:r>
          </w:p>
        </w:tc>
        <w:tc>
          <w:tcPr>
            <w:tcW w:w="674" w:type="dxa"/>
            <w:tcBorders>
              <w:top w:val="single" w:sz="6" w:space="0" w:color="auto"/>
              <w:left w:val="single" w:sz="6" w:space="0" w:color="auto"/>
              <w:bottom w:val="single" w:sz="6" w:space="0" w:color="auto"/>
              <w:right w:val="single" w:sz="6" w:space="0" w:color="auto"/>
            </w:tcBorders>
            <w:vAlign w:val="center"/>
          </w:tcPr>
          <w:p w14:paraId="7DFFF33D"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F237819" w14:textId="12D2CEEF" w:rsidR="00DE4FC6" w:rsidRPr="007C0D8F" w:rsidRDefault="00DE4FC6" w:rsidP="00DE4FC6">
            <w:pPr>
              <w:ind w:firstLine="29"/>
              <w:jc w:val="right"/>
              <w:rPr>
                <w:rFonts w:ascii="Arial" w:hAnsi="Arial" w:cs="Arial"/>
              </w:rPr>
            </w:pPr>
            <w:r w:rsidRPr="007C0D8F">
              <w:rPr>
                <w:rFonts w:ascii="Arial" w:eastAsia="Arial" w:hAnsi="Arial" w:cs="Arial"/>
                <w:lang w:eastAsia="en-US"/>
              </w:rPr>
              <w:t>5</w:t>
            </w:r>
          </w:p>
        </w:tc>
        <w:tc>
          <w:tcPr>
            <w:tcW w:w="1113" w:type="dxa"/>
            <w:tcBorders>
              <w:top w:val="single" w:sz="6" w:space="0" w:color="auto"/>
              <w:left w:val="single" w:sz="6" w:space="0" w:color="auto"/>
              <w:bottom w:val="single" w:sz="6" w:space="0" w:color="auto"/>
              <w:right w:val="single" w:sz="6" w:space="0" w:color="auto"/>
            </w:tcBorders>
            <w:vAlign w:val="center"/>
          </w:tcPr>
          <w:p w14:paraId="6EC34A8B"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50FB32D" w14:textId="7C5D6EE2"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113" w:type="dxa"/>
            <w:tcBorders>
              <w:top w:val="single" w:sz="6" w:space="0" w:color="auto"/>
              <w:left w:val="single" w:sz="6" w:space="0" w:color="auto"/>
              <w:bottom w:val="single" w:sz="6" w:space="0" w:color="auto"/>
              <w:right w:val="single" w:sz="6" w:space="0" w:color="auto"/>
            </w:tcBorders>
            <w:vAlign w:val="center"/>
          </w:tcPr>
          <w:p w14:paraId="5659A8C7"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8ACB58E" w14:textId="57BC74D7"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113" w:type="dxa"/>
            <w:tcBorders>
              <w:top w:val="single" w:sz="6" w:space="0" w:color="auto"/>
              <w:left w:val="single" w:sz="6" w:space="0" w:color="auto"/>
              <w:bottom w:val="single" w:sz="6" w:space="0" w:color="auto"/>
              <w:right w:val="single" w:sz="6" w:space="0" w:color="auto"/>
            </w:tcBorders>
            <w:vAlign w:val="center"/>
          </w:tcPr>
          <w:p w14:paraId="24BDEB91"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502F17E"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7CF7441D"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33CC3DE1" w14:textId="77777777" w:rsidR="00DE4FC6" w:rsidRPr="007C0D8F" w:rsidRDefault="00B10BEE" w:rsidP="000E51C2">
            <w:pPr>
              <w:ind w:firstLine="29"/>
              <w:rPr>
                <w:rFonts w:ascii="Arial" w:eastAsia="Arial" w:hAnsi="Arial" w:cs="Arial"/>
                <w:lang w:eastAsia="en-US"/>
              </w:rPr>
            </w:pPr>
            <w:r w:rsidRPr="007C0D8F">
              <w:rPr>
                <w:rFonts w:ascii="Arial" w:eastAsia="Arial" w:hAnsi="Arial" w:cs="Arial"/>
                <w:lang w:eastAsia="en-US"/>
              </w:rPr>
              <w:t>Audit Committee Chair until 31 December 2021</w:t>
            </w:r>
            <w:r w:rsidR="000E51C2" w:rsidRPr="007C0D8F">
              <w:rPr>
                <w:rFonts w:ascii="Arial" w:eastAsia="Arial" w:hAnsi="Arial" w:cs="Arial"/>
                <w:lang w:eastAsia="en-US"/>
              </w:rPr>
              <w:t>.</w:t>
            </w:r>
          </w:p>
          <w:p w14:paraId="5B20FB23" w14:textId="77777777" w:rsidR="00352175" w:rsidRPr="007C0D8F" w:rsidRDefault="00352175" w:rsidP="000E51C2">
            <w:pPr>
              <w:ind w:firstLine="29"/>
              <w:rPr>
                <w:rFonts w:ascii="Arial" w:eastAsia="Arial" w:hAnsi="Arial" w:cs="Arial"/>
                <w:lang w:eastAsia="en-US"/>
              </w:rPr>
            </w:pPr>
          </w:p>
          <w:p w14:paraId="79F598F4" w14:textId="39C9BB17" w:rsidR="00352175" w:rsidRPr="007C0D8F" w:rsidRDefault="00352175" w:rsidP="000E51C2">
            <w:pPr>
              <w:ind w:firstLine="29"/>
              <w:rPr>
                <w:rFonts w:ascii="Arial" w:eastAsia="Arial" w:hAnsi="Arial" w:cs="Arial"/>
                <w:lang w:eastAsia="en-US"/>
              </w:rPr>
            </w:pPr>
            <w:r w:rsidRPr="007C0D8F">
              <w:rPr>
                <w:rFonts w:ascii="Arial" w:eastAsia="Arial" w:hAnsi="Arial" w:cs="Arial"/>
                <w:lang w:eastAsia="en-US"/>
              </w:rPr>
              <w:t>Came to end of tenure as Board member on 31 December 2021.</w:t>
            </w:r>
          </w:p>
        </w:tc>
      </w:tr>
      <w:tr w:rsidR="00DE4FC6" w:rsidRPr="000845C9" w14:paraId="32157B81" w14:textId="19E20AC5"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6A3AA7DA" w14:textId="5372F553" w:rsidR="00DE4FC6" w:rsidRPr="007C0D8F" w:rsidRDefault="00DE4FC6" w:rsidP="007D30C4">
            <w:pPr>
              <w:rPr>
                <w:rFonts w:ascii="Arial" w:hAnsi="Arial" w:cs="Arial"/>
              </w:rPr>
            </w:pPr>
            <w:r w:rsidRPr="007C0D8F">
              <w:rPr>
                <w:rFonts w:ascii="Arial" w:eastAsia="Arial" w:hAnsi="Arial" w:cs="Arial"/>
                <w:lang w:eastAsia="en-US"/>
              </w:rPr>
              <w:t>M Hill</w:t>
            </w:r>
          </w:p>
        </w:tc>
        <w:tc>
          <w:tcPr>
            <w:tcW w:w="674" w:type="dxa"/>
            <w:tcBorders>
              <w:top w:val="single" w:sz="6" w:space="0" w:color="auto"/>
              <w:left w:val="single" w:sz="6" w:space="0" w:color="auto"/>
              <w:bottom w:val="single" w:sz="6" w:space="0" w:color="auto"/>
              <w:right w:val="single" w:sz="6" w:space="0" w:color="auto"/>
            </w:tcBorders>
            <w:vAlign w:val="center"/>
          </w:tcPr>
          <w:p w14:paraId="6746423D"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D681B85"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6DF46C5E"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4EE550C"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564193C9"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CCF6B79"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2C5AD88D"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43259A9"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3</w:t>
            </w:r>
          </w:p>
        </w:tc>
        <w:tc>
          <w:tcPr>
            <w:tcW w:w="1457" w:type="dxa"/>
            <w:tcBorders>
              <w:top w:val="single" w:sz="6" w:space="0" w:color="auto"/>
              <w:left w:val="single" w:sz="6" w:space="0" w:color="auto"/>
              <w:bottom w:val="single" w:sz="6" w:space="0" w:color="auto"/>
              <w:right w:val="single" w:sz="6" w:space="0" w:color="auto"/>
            </w:tcBorders>
            <w:vAlign w:val="center"/>
          </w:tcPr>
          <w:p w14:paraId="0AA68A54" w14:textId="77777777" w:rsidR="00DE4FC6" w:rsidRPr="007C0D8F" w:rsidRDefault="00DE4FC6" w:rsidP="00DE4FC6">
            <w:pPr>
              <w:ind w:firstLine="29"/>
              <w:jc w:val="right"/>
              <w:rPr>
                <w:rFonts w:ascii="Arial" w:hAnsi="Arial" w:cs="Arial"/>
              </w:rPr>
            </w:pPr>
            <w:r w:rsidRPr="007C0D8F">
              <w:rPr>
                <w:rFonts w:ascii="Arial" w:eastAsia="Arial" w:hAnsi="Arial" w:cs="Arial"/>
                <w:lang w:eastAsia="en-US"/>
              </w:rPr>
              <w:t>1</w:t>
            </w:r>
          </w:p>
        </w:tc>
        <w:tc>
          <w:tcPr>
            <w:tcW w:w="8222" w:type="dxa"/>
            <w:tcBorders>
              <w:top w:val="single" w:sz="6" w:space="0" w:color="auto"/>
              <w:left w:val="single" w:sz="6" w:space="0" w:color="auto"/>
              <w:bottom w:val="single" w:sz="6" w:space="0" w:color="auto"/>
              <w:right w:val="single" w:sz="6" w:space="0" w:color="auto"/>
            </w:tcBorders>
            <w:vAlign w:val="center"/>
          </w:tcPr>
          <w:p w14:paraId="0FC3DCFE" w14:textId="5DF97FEC" w:rsidR="00DE4FC6" w:rsidRPr="007C0D8F" w:rsidRDefault="002D372C" w:rsidP="000E51C2">
            <w:pPr>
              <w:ind w:firstLine="29"/>
              <w:rPr>
                <w:rFonts w:ascii="Arial" w:eastAsia="Arial" w:hAnsi="Arial" w:cs="Arial"/>
                <w:lang w:eastAsia="en-US"/>
              </w:rPr>
            </w:pPr>
            <w:r w:rsidRPr="007C0D8F">
              <w:rPr>
                <w:rFonts w:ascii="Arial" w:eastAsia="Arial" w:hAnsi="Arial" w:cs="Arial"/>
                <w:lang w:eastAsia="en-US"/>
              </w:rPr>
              <w:t>Chair of People Committee</w:t>
            </w:r>
            <w:r w:rsidR="003C58E4" w:rsidRPr="007C0D8F">
              <w:rPr>
                <w:rFonts w:ascii="Arial" w:eastAsia="Arial" w:hAnsi="Arial" w:cs="Arial"/>
                <w:lang w:eastAsia="en-US"/>
              </w:rPr>
              <w:t>.</w:t>
            </w:r>
          </w:p>
        </w:tc>
      </w:tr>
      <w:tr w:rsidR="00DE4FC6" w:rsidRPr="000845C9" w14:paraId="136B603F" w14:textId="0BF24017"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7D2FC62C" w14:textId="63D53317" w:rsidR="00DE4FC6" w:rsidRPr="007C0D8F" w:rsidRDefault="00DE4FC6" w:rsidP="00355580">
            <w:pPr>
              <w:rPr>
                <w:rFonts w:ascii="Arial" w:hAnsi="Arial" w:cs="Arial"/>
              </w:rPr>
            </w:pPr>
            <w:r w:rsidRPr="007C0D8F">
              <w:rPr>
                <w:rFonts w:ascii="Arial" w:eastAsia="Arial" w:hAnsi="Arial" w:cs="Arial"/>
                <w:lang w:eastAsia="en-US"/>
              </w:rPr>
              <w:t>F Van Dijk</w:t>
            </w:r>
          </w:p>
        </w:tc>
        <w:tc>
          <w:tcPr>
            <w:tcW w:w="674" w:type="dxa"/>
            <w:tcBorders>
              <w:top w:val="single" w:sz="6" w:space="0" w:color="auto"/>
              <w:left w:val="single" w:sz="6" w:space="0" w:color="auto"/>
              <w:bottom w:val="single" w:sz="6" w:space="0" w:color="auto"/>
              <w:right w:val="single" w:sz="6" w:space="0" w:color="auto"/>
            </w:tcBorders>
            <w:vAlign w:val="center"/>
          </w:tcPr>
          <w:p w14:paraId="2CD27CAC"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205A189"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4D12D072"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5D390C9"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00665407"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0B23E52"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vAlign w:val="center"/>
          </w:tcPr>
          <w:p w14:paraId="010DCF53"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9D74480"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226B8F76"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67916F45" w14:textId="2A55449D" w:rsidR="00DE4FC6" w:rsidRPr="007C0D8F" w:rsidRDefault="002D372C" w:rsidP="000E51C2">
            <w:pPr>
              <w:rPr>
                <w:rFonts w:ascii="Arial" w:eastAsia="Arial" w:hAnsi="Arial" w:cs="Arial"/>
                <w:lang w:eastAsia="en-US"/>
              </w:rPr>
            </w:pPr>
            <w:r w:rsidRPr="007C0D8F">
              <w:rPr>
                <w:rFonts w:ascii="Arial" w:eastAsia="Arial" w:hAnsi="Arial" w:cs="Arial"/>
                <w:lang w:eastAsia="en-US"/>
              </w:rPr>
              <w:t>Deputy Chair from March 2022</w:t>
            </w:r>
            <w:r w:rsidR="003C58E4" w:rsidRPr="007C0D8F">
              <w:rPr>
                <w:rFonts w:ascii="Arial" w:eastAsia="Arial" w:hAnsi="Arial" w:cs="Arial"/>
                <w:lang w:eastAsia="en-US"/>
              </w:rPr>
              <w:t>.</w:t>
            </w:r>
          </w:p>
        </w:tc>
      </w:tr>
      <w:tr w:rsidR="00DE4FC6" w:rsidRPr="000845C9" w14:paraId="0B272C5E" w14:textId="7DB11A4E"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19581FD4" w14:textId="02889E02" w:rsidR="00DE4FC6" w:rsidRPr="007C0D8F" w:rsidRDefault="00DE4FC6" w:rsidP="00355580">
            <w:pPr>
              <w:rPr>
                <w:rFonts w:ascii="Arial" w:hAnsi="Arial" w:cs="Arial"/>
              </w:rPr>
            </w:pPr>
            <w:r w:rsidRPr="007C0D8F">
              <w:rPr>
                <w:rFonts w:ascii="Arial" w:eastAsia="Arial" w:hAnsi="Arial" w:cs="Arial"/>
                <w:lang w:eastAsia="en-US"/>
              </w:rPr>
              <w:t>N Gordon</w:t>
            </w:r>
          </w:p>
        </w:tc>
        <w:tc>
          <w:tcPr>
            <w:tcW w:w="674" w:type="dxa"/>
            <w:tcBorders>
              <w:top w:val="single" w:sz="6" w:space="0" w:color="auto"/>
              <w:left w:val="single" w:sz="6" w:space="0" w:color="auto"/>
              <w:bottom w:val="single" w:sz="6" w:space="0" w:color="auto"/>
              <w:right w:val="single" w:sz="6" w:space="0" w:color="auto"/>
            </w:tcBorders>
            <w:vAlign w:val="center"/>
          </w:tcPr>
          <w:p w14:paraId="64C9B60F"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95A3BD3"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05B5CBB2"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A542E6D"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7A85DF5D"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CD6F5D5"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5DA1E0BE"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637B650" w14:textId="77777777" w:rsidR="00DE4FC6" w:rsidRPr="007C0D8F" w:rsidRDefault="00DE4FC6" w:rsidP="00084D09">
            <w:pPr>
              <w:jc w:val="right"/>
              <w:rPr>
                <w:rFonts w:ascii="Arial" w:hAnsi="Arial" w:cs="Arial"/>
              </w:rPr>
            </w:pPr>
            <w:r w:rsidRPr="007C0D8F">
              <w:rPr>
                <w:rFonts w:ascii="Arial" w:eastAsia="Arial" w:hAnsi="Arial" w:cs="Arial"/>
                <w:lang w:eastAsia="en-US"/>
              </w:rPr>
              <w:t>3</w:t>
            </w:r>
          </w:p>
        </w:tc>
        <w:tc>
          <w:tcPr>
            <w:tcW w:w="1457" w:type="dxa"/>
            <w:tcBorders>
              <w:top w:val="single" w:sz="6" w:space="0" w:color="auto"/>
              <w:left w:val="single" w:sz="6" w:space="0" w:color="auto"/>
              <w:bottom w:val="single" w:sz="6" w:space="0" w:color="auto"/>
              <w:right w:val="single" w:sz="6" w:space="0" w:color="auto"/>
            </w:tcBorders>
            <w:vAlign w:val="center"/>
          </w:tcPr>
          <w:p w14:paraId="4259D402" w14:textId="77777777" w:rsidR="00DE4FC6" w:rsidRPr="007C0D8F" w:rsidRDefault="00DE4FC6" w:rsidP="00084D09">
            <w:pPr>
              <w:jc w:val="right"/>
              <w:rPr>
                <w:rFonts w:ascii="Arial" w:hAnsi="Arial" w:cs="Arial"/>
              </w:rPr>
            </w:pPr>
            <w:r w:rsidRPr="007C0D8F">
              <w:rPr>
                <w:rFonts w:ascii="Arial" w:eastAsia="Arial" w:hAnsi="Arial" w:cs="Arial"/>
                <w:lang w:eastAsia="en-US"/>
              </w:rPr>
              <w:t>1</w:t>
            </w:r>
          </w:p>
        </w:tc>
        <w:tc>
          <w:tcPr>
            <w:tcW w:w="8222" w:type="dxa"/>
            <w:tcBorders>
              <w:top w:val="single" w:sz="6" w:space="0" w:color="auto"/>
              <w:left w:val="single" w:sz="6" w:space="0" w:color="auto"/>
              <w:bottom w:val="single" w:sz="6" w:space="0" w:color="auto"/>
              <w:right w:val="single" w:sz="6" w:space="0" w:color="auto"/>
            </w:tcBorders>
            <w:vAlign w:val="center"/>
          </w:tcPr>
          <w:p w14:paraId="0E4B2517" w14:textId="2B11B863" w:rsidR="00DE4FC6" w:rsidRPr="007C0D8F" w:rsidRDefault="008F7504" w:rsidP="000E51C2">
            <w:pPr>
              <w:rPr>
                <w:rFonts w:ascii="Arial" w:eastAsia="Arial" w:hAnsi="Arial" w:cs="Arial"/>
                <w:lang w:eastAsia="en-US"/>
              </w:rPr>
            </w:pPr>
            <w:r w:rsidRPr="007C0D8F">
              <w:rPr>
                <w:rFonts w:ascii="Arial" w:eastAsia="Arial" w:hAnsi="Arial" w:cs="Arial"/>
                <w:lang w:eastAsia="en-US"/>
              </w:rPr>
              <w:t xml:space="preserve">Audit </w:t>
            </w:r>
            <w:r w:rsidR="003F4246" w:rsidRPr="007C0D8F">
              <w:rPr>
                <w:rFonts w:ascii="Arial" w:eastAsia="Arial" w:hAnsi="Arial" w:cs="Arial"/>
                <w:lang w:eastAsia="en-US"/>
              </w:rPr>
              <w:t>Committee Chair from 01 January 2022</w:t>
            </w:r>
            <w:r w:rsidR="00FA075D" w:rsidRPr="007C0D8F">
              <w:rPr>
                <w:rFonts w:ascii="Arial" w:eastAsia="Arial" w:hAnsi="Arial" w:cs="Arial"/>
                <w:lang w:eastAsia="en-US"/>
              </w:rPr>
              <w:t>.</w:t>
            </w:r>
          </w:p>
        </w:tc>
      </w:tr>
      <w:tr w:rsidR="00DE4FC6" w:rsidRPr="000845C9" w14:paraId="6BD86ABD" w14:textId="1EC7C915"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78DDCB3E" w14:textId="77777777" w:rsidR="00DE4FC6" w:rsidRPr="007C0D8F" w:rsidRDefault="00DE4FC6" w:rsidP="00355580">
            <w:pPr>
              <w:rPr>
                <w:rFonts w:ascii="Arial" w:hAnsi="Arial" w:cs="Arial"/>
              </w:rPr>
            </w:pPr>
            <w:r w:rsidRPr="007C0D8F">
              <w:rPr>
                <w:rFonts w:ascii="Arial" w:eastAsia="Arial" w:hAnsi="Arial" w:cs="Arial"/>
                <w:lang w:eastAsia="en-US"/>
              </w:rPr>
              <w:t>C Hume</w:t>
            </w:r>
          </w:p>
        </w:tc>
        <w:tc>
          <w:tcPr>
            <w:tcW w:w="674" w:type="dxa"/>
            <w:tcBorders>
              <w:top w:val="single" w:sz="6" w:space="0" w:color="auto"/>
              <w:left w:val="single" w:sz="6" w:space="0" w:color="auto"/>
              <w:bottom w:val="single" w:sz="6" w:space="0" w:color="auto"/>
              <w:right w:val="single" w:sz="6" w:space="0" w:color="auto"/>
            </w:tcBorders>
            <w:vAlign w:val="center"/>
          </w:tcPr>
          <w:p w14:paraId="6FCAF318"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7DCDD5F"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4F2576E1"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B4E68C2"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3A15BE35" w14:textId="07118515" w:rsidR="00DE4FC6" w:rsidRPr="007C0D8F" w:rsidRDefault="00DE4FC6" w:rsidP="00084D09">
            <w:pPr>
              <w:jc w:val="right"/>
              <w:rPr>
                <w:rFonts w:ascii="Arial" w:hAnsi="Arial" w:cs="Arial"/>
              </w:rPr>
            </w:pPr>
            <w:r w:rsidRPr="007C0D8F">
              <w:rPr>
                <w:rFonts w:ascii="Arial" w:eastAsia="Arial" w:hAnsi="Arial" w:cs="Arial"/>
                <w:lang w:eastAsia="en-US"/>
              </w:rPr>
              <w:t>1</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F2EC819" w14:textId="72204D66" w:rsidR="00DE4FC6" w:rsidRPr="007C0D8F" w:rsidRDefault="00DE4FC6" w:rsidP="00084D09">
            <w:pPr>
              <w:jc w:val="right"/>
              <w:rPr>
                <w:rFonts w:ascii="Arial" w:hAnsi="Arial" w:cs="Arial"/>
              </w:rPr>
            </w:pPr>
            <w:r w:rsidRPr="007C0D8F">
              <w:rPr>
                <w:rFonts w:ascii="Arial" w:eastAsia="Arial" w:hAnsi="Arial" w:cs="Arial"/>
                <w:lang w:eastAsia="en-US"/>
              </w:rPr>
              <w:t>2</w:t>
            </w:r>
          </w:p>
        </w:tc>
        <w:tc>
          <w:tcPr>
            <w:tcW w:w="1113" w:type="dxa"/>
            <w:tcBorders>
              <w:top w:val="single" w:sz="6" w:space="0" w:color="auto"/>
              <w:left w:val="single" w:sz="6" w:space="0" w:color="auto"/>
              <w:bottom w:val="single" w:sz="6" w:space="0" w:color="auto"/>
              <w:right w:val="single" w:sz="6" w:space="0" w:color="auto"/>
            </w:tcBorders>
            <w:vAlign w:val="center"/>
          </w:tcPr>
          <w:p w14:paraId="70BF66E8"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9DBCDFC"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007A388F"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7179F21C" w14:textId="792D7E75" w:rsidR="00DE4FC6" w:rsidRPr="007C0D8F" w:rsidRDefault="002B49C3" w:rsidP="000E51C2">
            <w:pPr>
              <w:rPr>
                <w:rFonts w:ascii="Arial" w:eastAsia="Arial" w:hAnsi="Arial" w:cs="Arial"/>
                <w:lang w:eastAsia="en-US"/>
              </w:rPr>
            </w:pPr>
            <w:r w:rsidRPr="007C0D8F">
              <w:rPr>
                <w:rFonts w:ascii="Arial" w:eastAsia="Arial" w:hAnsi="Arial" w:cs="Arial"/>
                <w:lang w:eastAsia="en-US"/>
              </w:rPr>
              <w:t>Not a member of Audit Committee but attended meetings as noted owing to cyber experience</w:t>
            </w:r>
            <w:r w:rsidR="00D166F8" w:rsidRPr="007C0D8F">
              <w:rPr>
                <w:rFonts w:ascii="Arial" w:eastAsia="Arial" w:hAnsi="Arial" w:cs="Arial"/>
                <w:lang w:eastAsia="en-US"/>
              </w:rPr>
              <w:t>.</w:t>
            </w:r>
          </w:p>
        </w:tc>
      </w:tr>
      <w:tr w:rsidR="00DE4FC6" w:rsidRPr="000845C9" w14:paraId="7A313D80" w14:textId="07EF3037"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6883B59E" w14:textId="08AE79F4" w:rsidR="00DE4FC6" w:rsidRPr="007C0D8F" w:rsidRDefault="00DE4FC6" w:rsidP="00355580">
            <w:pPr>
              <w:rPr>
                <w:rFonts w:ascii="Arial" w:hAnsi="Arial" w:cs="Arial"/>
              </w:rPr>
            </w:pPr>
            <w:r w:rsidRPr="007C0D8F">
              <w:rPr>
                <w:rFonts w:ascii="Arial" w:eastAsia="Arial" w:hAnsi="Arial" w:cs="Arial"/>
                <w:lang w:eastAsia="en-US"/>
              </w:rPr>
              <w:t>J Hutchison</w:t>
            </w:r>
          </w:p>
        </w:tc>
        <w:tc>
          <w:tcPr>
            <w:tcW w:w="674" w:type="dxa"/>
            <w:tcBorders>
              <w:top w:val="single" w:sz="6" w:space="0" w:color="auto"/>
              <w:left w:val="single" w:sz="6" w:space="0" w:color="auto"/>
              <w:bottom w:val="single" w:sz="6" w:space="0" w:color="auto"/>
              <w:right w:val="single" w:sz="6" w:space="0" w:color="auto"/>
            </w:tcBorders>
            <w:vAlign w:val="center"/>
          </w:tcPr>
          <w:p w14:paraId="1FDB556D"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C690712"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24411A87"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0A3707A" w14:textId="77777777" w:rsidR="00DE4FC6" w:rsidRPr="007C0D8F" w:rsidRDefault="00DE4FC6" w:rsidP="00084D09">
            <w:pPr>
              <w:jc w:val="right"/>
              <w:rPr>
                <w:rFonts w:ascii="Arial" w:hAnsi="Arial" w:cs="Arial"/>
              </w:rPr>
            </w:pPr>
            <w:r w:rsidRPr="007C0D8F">
              <w:rPr>
                <w:rFonts w:ascii="Arial" w:eastAsia="Arial" w:hAnsi="Arial" w:cs="Arial"/>
                <w:lang w:eastAsia="en-US"/>
              </w:rPr>
              <w:t>3</w:t>
            </w:r>
          </w:p>
        </w:tc>
        <w:tc>
          <w:tcPr>
            <w:tcW w:w="1113" w:type="dxa"/>
            <w:tcBorders>
              <w:top w:val="single" w:sz="6" w:space="0" w:color="auto"/>
              <w:left w:val="single" w:sz="6" w:space="0" w:color="auto"/>
              <w:bottom w:val="single" w:sz="6" w:space="0" w:color="auto"/>
              <w:right w:val="single" w:sz="6" w:space="0" w:color="auto"/>
            </w:tcBorders>
            <w:vAlign w:val="center"/>
          </w:tcPr>
          <w:p w14:paraId="491EE471"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12EA116" w14:textId="77777777" w:rsidR="00DE4FC6" w:rsidRPr="007C0D8F" w:rsidRDefault="00DE4FC6" w:rsidP="00084D09">
            <w:pPr>
              <w:jc w:val="right"/>
              <w:rPr>
                <w:rFonts w:ascii="Arial" w:hAnsi="Arial" w:cs="Arial"/>
              </w:rPr>
            </w:pPr>
            <w:r w:rsidRPr="007C0D8F">
              <w:rPr>
                <w:rFonts w:ascii="Arial" w:eastAsia="Arial" w:hAnsi="Arial" w:cs="Arial"/>
                <w:lang w:eastAsia="en-US"/>
              </w:rPr>
              <w:t>0</w:t>
            </w:r>
          </w:p>
        </w:tc>
        <w:tc>
          <w:tcPr>
            <w:tcW w:w="1113" w:type="dxa"/>
            <w:tcBorders>
              <w:top w:val="single" w:sz="6" w:space="0" w:color="auto"/>
              <w:left w:val="single" w:sz="6" w:space="0" w:color="auto"/>
              <w:bottom w:val="single" w:sz="6" w:space="0" w:color="auto"/>
              <w:right w:val="single" w:sz="6" w:space="0" w:color="auto"/>
            </w:tcBorders>
            <w:vAlign w:val="center"/>
          </w:tcPr>
          <w:p w14:paraId="34E6A142"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EC539C5"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3F45F769"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7E196905" w14:textId="6159384D" w:rsidR="00DE4FC6" w:rsidRPr="007C0D8F" w:rsidRDefault="002B49C3" w:rsidP="000E51C2">
            <w:pPr>
              <w:rPr>
                <w:rFonts w:ascii="Arial" w:eastAsia="Arial" w:hAnsi="Arial" w:cs="Arial"/>
                <w:lang w:eastAsia="en-US"/>
              </w:rPr>
            </w:pPr>
            <w:r w:rsidRPr="007C0D8F">
              <w:rPr>
                <w:rFonts w:ascii="Arial" w:eastAsia="Arial" w:hAnsi="Arial" w:cs="Arial"/>
                <w:lang w:eastAsia="en-US"/>
              </w:rPr>
              <w:t>Joined Audit Committee on 22</w:t>
            </w:r>
            <w:r w:rsidRPr="007C0D8F">
              <w:rPr>
                <w:rFonts w:ascii="Arial" w:eastAsia="Arial" w:hAnsi="Arial" w:cs="Arial"/>
                <w:vertAlign w:val="superscript"/>
                <w:lang w:eastAsia="en-US"/>
              </w:rPr>
              <w:t>nd</w:t>
            </w:r>
            <w:r w:rsidRPr="007C0D8F">
              <w:rPr>
                <w:rFonts w:ascii="Arial" w:eastAsia="Arial" w:hAnsi="Arial" w:cs="Arial"/>
                <w:lang w:eastAsia="en-US"/>
              </w:rPr>
              <w:t xml:space="preserve"> February 2022</w:t>
            </w:r>
            <w:r w:rsidR="00D166F8" w:rsidRPr="007C0D8F">
              <w:rPr>
                <w:rFonts w:ascii="Arial" w:eastAsia="Arial" w:hAnsi="Arial" w:cs="Arial"/>
                <w:lang w:eastAsia="en-US"/>
              </w:rPr>
              <w:t>.</w:t>
            </w:r>
          </w:p>
        </w:tc>
      </w:tr>
      <w:tr w:rsidR="00DE4FC6" w:rsidRPr="000845C9" w14:paraId="658B3E63" w14:textId="3D5D0F3C"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4E1146D8" w14:textId="77777777" w:rsidR="00DE4FC6" w:rsidRPr="007C0D8F" w:rsidRDefault="00DE4FC6" w:rsidP="00355580">
            <w:pPr>
              <w:rPr>
                <w:rFonts w:ascii="Arial" w:hAnsi="Arial" w:cs="Arial"/>
              </w:rPr>
            </w:pPr>
            <w:r w:rsidRPr="007C0D8F">
              <w:rPr>
                <w:rFonts w:ascii="Arial" w:eastAsia="Arial" w:hAnsi="Arial" w:cs="Arial"/>
                <w:lang w:eastAsia="en-US"/>
              </w:rPr>
              <w:t>H Kohli</w:t>
            </w:r>
          </w:p>
        </w:tc>
        <w:tc>
          <w:tcPr>
            <w:tcW w:w="674" w:type="dxa"/>
            <w:tcBorders>
              <w:top w:val="single" w:sz="6" w:space="0" w:color="auto"/>
              <w:left w:val="single" w:sz="6" w:space="0" w:color="auto"/>
              <w:bottom w:val="single" w:sz="6" w:space="0" w:color="auto"/>
              <w:right w:val="single" w:sz="6" w:space="0" w:color="auto"/>
            </w:tcBorders>
            <w:vAlign w:val="center"/>
          </w:tcPr>
          <w:p w14:paraId="07D7A350"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6A0FB8B" w14:textId="77777777" w:rsidR="00DE4FC6" w:rsidRPr="007C0D8F" w:rsidRDefault="00DE4FC6" w:rsidP="00084D09">
            <w:pPr>
              <w:jc w:val="right"/>
              <w:rPr>
                <w:rFonts w:ascii="Arial" w:hAnsi="Arial" w:cs="Arial"/>
              </w:rPr>
            </w:pPr>
            <w:r w:rsidRPr="007C0D8F">
              <w:rPr>
                <w:rFonts w:ascii="Arial" w:eastAsia="Arial" w:hAnsi="Arial" w:cs="Arial"/>
                <w:lang w:eastAsia="en-US"/>
              </w:rPr>
              <w:t>6</w:t>
            </w:r>
          </w:p>
        </w:tc>
        <w:tc>
          <w:tcPr>
            <w:tcW w:w="1113" w:type="dxa"/>
            <w:tcBorders>
              <w:top w:val="single" w:sz="6" w:space="0" w:color="auto"/>
              <w:left w:val="single" w:sz="6" w:space="0" w:color="auto"/>
              <w:bottom w:val="single" w:sz="6" w:space="0" w:color="auto"/>
              <w:right w:val="single" w:sz="6" w:space="0" w:color="auto"/>
            </w:tcBorders>
            <w:vAlign w:val="center"/>
          </w:tcPr>
          <w:p w14:paraId="18DEE847"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A81AB1C"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1B8E174F"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520E5C6" w14:textId="77777777" w:rsidR="00DE4FC6" w:rsidRPr="007C0D8F" w:rsidRDefault="00DE4FC6" w:rsidP="00084D09">
            <w:pPr>
              <w:jc w:val="right"/>
              <w:rPr>
                <w:rFonts w:ascii="Arial" w:hAnsi="Arial" w:cs="Arial"/>
              </w:rPr>
            </w:pPr>
            <w:r w:rsidRPr="007C0D8F">
              <w:rPr>
                <w:rFonts w:ascii="Arial" w:eastAsia="Arial" w:hAnsi="Arial" w:cs="Arial"/>
                <w:lang w:eastAsia="en-US"/>
              </w:rPr>
              <w:t>4</w:t>
            </w:r>
          </w:p>
        </w:tc>
        <w:tc>
          <w:tcPr>
            <w:tcW w:w="1113" w:type="dxa"/>
            <w:tcBorders>
              <w:top w:val="single" w:sz="6" w:space="0" w:color="auto"/>
              <w:left w:val="single" w:sz="6" w:space="0" w:color="auto"/>
              <w:bottom w:val="single" w:sz="6" w:space="0" w:color="auto"/>
              <w:right w:val="single" w:sz="6" w:space="0" w:color="auto"/>
            </w:tcBorders>
            <w:vAlign w:val="center"/>
          </w:tcPr>
          <w:p w14:paraId="4A1BBFFC"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25A10555"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1457" w:type="dxa"/>
            <w:tcBorders>
              <w:top w:val="single" w:sz="6" w:space="0" w:color="auto"/>
              <w:left w:val="single" w:sz="6" w:space="0" w:color="auto"/>
              <w:bottom w:val="single" w:sz="6" w:space="0" w:color="auto"/>
              <w:right w:val="single" w:sz="6" w:space="0" w:color="auto"/>
            </w:tcBorders>
            <w:vAlign w:val="center"/>
          </w:tcPr>
          <w:p w14:paraId="2D565F1A" w14:textId="77777777" w:rsidR="00DE4FC6" w:rsidRPr="007C0D8F" w:rsidRDefault="00DE4FC6" w:rsidP="00084D09">
            <w:pPr>
              <w:jc w:val="right"/>
              <w:rPr>
                <w:rFonts w:ascii="Arial" w:hAnsi="Arial" w:cs="Arial"/>
              </w:rPr>
            </w:pPr>
            <w:r w:rsidRPr="007C0D8F">
              <w:rPr>
                <w:rFonts w:ascii="Arial" w:eastAsia="Arial" w:hAnsi="Arial" w:cs="Arial"/>
                <w:lang w:eastAsia="en-US"/>
              </w:rPr>
              <w:t>N/A</w:t>
            </w:r>
          </w:p>
        </w:tc>
        <w:tc>
          <w:tcPr>
            <w:tcW w:w="8222" w:type="dxa"/>
            <w:tcBorders>
              <w:top w:val="single" w:sz="6" w:space="0" w:color="auto"/>
              <w:left w:val="single" w:sz="6" w:space="0" w:color="auto"/>
              <w:bottom w:val="single" w:sz="6" w:space="0" w:color="auto"/>
              <w:right w:val="single" w:sz="6" w:space="0" w:color="auto"/>
            </w:tcBorders>
            <w:vAlign w:val="center"/>
          </w:tcPr>
          <w:p w14:paraId="361E5461" w14:textId="77777777" w:rsidR="00DE4FC6" w:rsidRPr="007C0D8F" w:rsidRDefault="00DE4FC6" w:rsidP="000E51C2">
            <w:pPr>
              <w:rPr>
                <w:rFonts w:ascii="Arial" w:eastAsia="Arial" w:hAnsi="Arial" w:cs="Arial"/>
                <w:lang w:eastAsia="en-US"/>
              </w:rPr>
            </w:pPr>
          </w:p>
        </w:tc>
      </w:tr>
      <w:tr w:rsidR="00DE4FC6" w:rsidRPr="000845C9" w14:paraId="6ADAAC41" w14:textId="642DC324"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29E542EB" w14:textId="77777777" w:rsidR="00DE4FC6" w:rsidRPr="007C0D8F" w:rsidRDefault="00DE4FC6" w:rsidP="00355580">
            <w:pPr>
              <w:rPr>
                <w:rFonts w:ascii="Arial" w:hAnsi="Arial" w:cs="Arial"/>
              </w:rPr>
            </w:pPr>
            <w:r w:rsidRPr="007C0D8F">
              <w:rPr>
                <w:rFonts w:ascii="Arial" w:eastAsia="Arial" w:hAnsi="Arial" w:cs="Arial"/>
              </w:rPr>
              <w:t xml:space="preserve">P Matthews </w:t>
            </w:r>
          </w:p>
        </w:tc>
        <w:tc>
          <w:tcPr>
            <w:tcW w:w="674" w:type="dxa"/>
            <w:tcBorders>
              <w:top w:val="single" w:sz="6" w:space="0" w:color="auto"/>
              <w:left w:val="single" w:sz="6" w:space="0" w:color="auto"/>
              <w:bottom w:val="single" w:sz="6" w:space="0" w:color="auto"/>
              <w:right w:val="single" w:sz="6" w:space="0" w:color="auto"/>
            </w:tcBorders>
            <w:vAlign w:val="center"/>
          </w:tcPr>
          <w:p w14:paraId="5B44FAE0" w14:textId="77777777" w:rsidR="00DE4FC6" w:rsidRPr="007C0D8F" w:rsidRDefault="00DE4FC6" w:rsidP="00084D09">
            <w:pPr>
              <w:jc w:val="right"/>
              <w:rPr>
                <w:rFonts w:ascii="Arial" w:hAnsi="Arial" w:cs="Arial"/>
              </w:rPr>
            </w:pPr>
            <w:r w:rsidRPr="007C0D8F">
              <w:rPr>
                <w:rFonts w:ascii="Arial" w:eastAsia="Arial" w:hAnsi="Arial" w:cs="Arial"/>
              </w:rPr>
              <w:t>6</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059447C" w14:textId="77777777" w:rsidR="00DE4FC6" w:rsidRPr="007C0D8F" w:rsidRDefault="00DE4FC6" w:rsidP="00084D09">
            <w:pPr>
              <w:jc w:val="right"/>
              <w:rPr>
                <w:rFonts w:ascii="Arial" w:hAnsi="Arial" w:cs="Arial"/>
              </w:rPr>
            </w:pPr>
            <w:r w:rsidRPr="007C0D8F">
              <w:rPr>
                <w:rFonts w:ascii="Arial" w:eastAsia="Arial" w:hAnsi="Arial" w:cs="Arial"/>
              </w:rPr>
              <w:t>6</w:t>
            </w:r>
          </w:p>
        </w:tc>
        <w:tc>
          <w:tcPr>
            <w:tcW w:w="1113" w:type="dxa"/>
            <w:tcBorders>
              <w:top w:val="single" w:sz="6" w:space="0" w:color="auto"/>
              <w:left w:val="single" w:sz="6" w:space="0" w:color="auto"/>
              <w:bottom w:val="single" w:sz="6" w:space="0" w:color="auto"/>
              <w:right w:val="single" w:sz="6" w:space="0" w:color="auto"/>
            </w:tcBorders>
            <w:vAlign w:val="center"/>
          </w:tcPr>
          <w:p w14:paraId="7BA50C1B" w14:textId="77777777" w:rsidR="00DE4FC6" w:rsidRPr="007C0D8F" w:rsidRDefault="00DE4FC6" w:rsidP="00084D09">
            <w:pPr>
              <w:jc w:val="right"/>
              <w:rPr>
                <w:rFonts w:ascii="Arial" w:hAnsi="Arial" w:cs="Arial"/>
              </w:rPr>
            </w:pPr>
            <w:r w:rsidRPr="007C0D8F">
              <w:rPr>
                <w:rFonts w:ascii="Arial" w:eastAsia="Arial" w:hAnsi="Arial" w:cs="Arial"/>
              </w:rPr>
              <w:t>4</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5CE5775" w14:textId="77777777" w:rsidR="00DE4FC6" w:rsidRPr="007C0D8F" w:rsidRDefault="00DE4FC6" w:rsidP="00084D09">
            <w:pPr>
              <w:jc w:val="right"/>
              <w:rPr>
                <w:rFonts w:ascii="Arial" w:hAnsi="Arial" w:cs="Arial"/>
              </w:rPr>
            </w:pPr>
            <w:r w:rsidRPr="007C0D8F">
              <w:rPr>
                <w:rFonts w:ascii="Arial" w:eastAsia="Arial" w:hAnsi="Arial" w:cs="Arial"/>
              </w:rPr>
              <w:t>3</w:t>
            </w:r>
          </w:p>
        </w:tc>
        <w:tc>
          <w:tcPr>
            <w:tcW w:w="1113" w:type="dxa"/>
            <w:tcBorders>
              <w:top w:val="single" w:sz="6" w:space="0" w:color="auto"/>
              <w:left w:val="single" w:sz="6" w:space="0" w:color="auto"/>
              <w:bottom w:val="single" w:sz="6" w:space="0" w:color="auto"/>
              <w:right w:val="single" w:sz="6" w:space="0" w:color="auto"/>
            </w:tcBorders>
            <w:vAlign w:val="center"/>
          </w:tcPr>
          <w:p w14:paraId="57FDD7BA"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049EB90"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vAlign w:val="center"/>
          </w:tcPr>
          <w:p w14:paraId="6EDEC9DA" w14:textId="77777777" w:rsidR="00DE4FC6" w:rsidRPr="007C0D8F" w:rsidRDefault="00DE4FC6" w:rsidP="00084D09">
            <w:pPr>
              <w:jc w:val="right"/>
              <w:rPr>
                <w:rFonts w:ascii="Arial" w:hAnsi="Arial" w:cs="Arial"/>
              </w:rPr>
            </w:pPr>
            <w:r w:rsidRPr="007C0D8F">
              <w:rPr>
                <w:rFonts w:ascii="Arial" w:eastAsia="Arial" w:hAnsi="Arial" w:cs="Arial"/>
              </w:rPr>
              <w:t>6</w:t>
            </w:r>
          </w:p>
        </w:tc>
        <w:tc>
          <w:tcPr>
            <w:tcW w:w="1113" w:type="dxa"/>
            <w:shd w:val="clear" w:color="auto" w:fill="EAF1DD" w:themeFill="accent3" w:themeFillTint="33"/>
            <w:vAlign w:val="center"/>
          </w:tcPr>
          <w:p w14:paraId="73F2A887" w14:textId="77777777" w:rsidR="00DE4FC6" w:rsidRPr="007C0D8F" w:rsidRDefault="00DE4FC6" w:rsidP="00084D09">
            <w:pPr>
              <w:jc w:val="right"/>
              <w:rPr>
                <w:rFonts w:ascii="Arial" w:hAnsi="Arial" w:cs="Arial"/>
              </w:rPr>
            </w:pPr>
            <w:r w:rsidRPr="007C0D8F">
              <w:rPr>
                <w:rFonts w:ascii="Arial" w:hAnsi="Arial" w:cs="Arial"/>
              </w:rPr>
              <w:t>3</w:t>
            </w:r>
          </w:p>
        </w:tc>
        <w:tc>
          <w:tcPr>
            <w:tcW w:w="1457" w:type="dxa"/>
            <w:vAlign w:val="center"/>
          </w:tcPr>
          <w:p w14:paraId="3F383875" w14:textId="77777777" w:rsidR="00DE4FC6" w:rsidRPr="007C0D8F" w:rsidRDefault="00DE4FC6" w:rsidP="00084D09">
            <w:pPr>
              <w:jc w:val="right"/>
              <w:rPr>
                <w:rFonts w:ascii="Arial" w:hAnsi="Arial" w:cs="Arial"/>
              </w:rPr>
            </w:pPr>
            <w:r w:rsidRPr="007C0D8F">
              <w:rPr>
                <w:rFonts w:ascii="Arial" w:hAnsi="Arial" w:cs="Arial"/>
              </w:rPr>
              <w:t>1</w:t>
            </w:r>
          </w:p>
        </w:tc>
        <w:tc>
          <w:tcPr>
            <w:tcW w:w="8222" w:type="dxa"/>
            <w:vAlign w:val="center"/>
          </w:tcPr>
          <w:p w14:paraId="4AA430BE" w14:textId="77777777" w:rsidR="00DE4FC6" w:rsidRPr="007C0D8F" w:rsidRDefault="00DE4FC6" w:rsidP="000E51C2">
            <w:pPr>
              <w:rPr>
                <w:rFonts w:ascii="Arial" w:hAnsi="Arial" w:cs="Arial"/>
              </w:rPr>
            </w:pPr>
          </w:p>
        </w:tc>
      </w:tr>
      <w:tr w:rsidR="00DE4FC6" w:rsidRPr="000845C9" w14:paraId="4D970538" w14:textId="2DEA69C8"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620F2BF4" w14:textId="4FD0F1DC" w:rsidR="00DE4FC6" w:rsidRPr="007C0D8F" w:rsidRDefault="00DE4FC6" w:rsidP="00355580">
            <w:pPr>
              <w:rPr>
                <w:rFonts w:ascii="Arial" w:hAnsi="Arial" w:cs="Arial"/>
              </w:rPr>
            </w:pPr>
            <w:r w:rsidRPr="007C0D8F">
              <w:rPr>
                <w:rFonts w:ascii="Arial" w:eastAsia="Arial" w:hAnsi="Arial" w:cs="Arial"/>
              </w:rPr>
              <w:t>N Chambers</w:t>
            </w:r>
          </w:p>
        </w:tc>
        <w:tc>
          <w:tcPr>
            <w:tcW w:w="674" w:type="dxa"/>
            <w:tcBorders>
              <w:top w:val="single" w:sz="6" w:space="0" w:color="auto"/>
              <w:left w:val="single" w:sz="6" w:space="0" w:color="auto"/>
              <w:bottom w:val="single" w:sz="6" w:space="0" w:color="auto"/>
              <w:right w:val="single" w:sz="6" w:space="0" w:color="auto"/>
            </w:tcBorders>
            <w:vAlign w:val="center"/>
          </w:tcPr>
          <w:p w14:paraId="7B1610AB"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88A78F1" w14:textId="77777777" w:rsidR="00DE4FC6" w:rsidRPr="007C0D8F" w:rsidRDefault="00DE4FC6" w:rsidP="00084D09">
            <w:pPr>
              <w:jc w:val="right"/>
              <w:rPr>
                <w:rFonts w:ascii="Arial" w:hAnsi="Arial" w:cs="Arial"/>
              </w:rPr>
            </w:pPr>
            <w:r w:rsidRPr="007C0D8F">
              <w:rPr>
                <w:rFonts w:ascii="Arial" w:eastAsia="Arial" w:hAnsi="Arial" w:cs="Arial"/>
              </w:rPr>
              <w:t>1</w:t>
            </w:r>
          </w:p>
        </w:tc>
        <w:tc>
          <w:tcPr>
            <w:tcW w:w="1113" w:type="dxa"/>
            <w:tcBorders>
              <w:top w:val="single" w:sz="6" w:space="0" w:color="auto"/>
              <w:left w:val="single" w:sz="6" w:space="0" w:color="auto"/>
              <w:bottom w:val="single" w:sz="6" w:space="0" w:color="auto"/>
              <w:right w:val="single" w:sz="6" w:space="0" w:color="auto"/>
            </w:tcBorders>
            <w:vAlign w:val="center"/>
          </w:tcPr>
          <w:p w14:paraId="134E831B"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6085636" w14:textId="77777777" w:rsidR="00DE4FC6" w:rsidRPr="007C0D8F" w:rsidRDefault="00DE4FC6" w:rsidP="00084D09">
            <w:pPr>
              <w:jc w:val="right"/>
              <w:rPr>
                <w:rFonts w:ascii="Arial" w:hAnsi="Arial" w:cs="Arial"/>
              </w:rPr>
            </w:pPr>
            <w:r w:rsidRPr="007C0D8F">
              <w:rPr>
                <w:rFonts w:ascii="Arial" w:eastAsia="Arial" w:hAnsi="Arial" w:cs="Arial"/>
              </w:rPr>
              <w:t>1</w:t>
            </w:r>
          </w:p>
        </w:tc>
        <w:tc>
          <w:tcPr>
            <w:tcW w:w="1113" w:type="dxa"/>
            <w:tcBorders>
              <w:top w:val="single" w:sz="6" w:space="0" w:color="auto"/>
              <w:left w:val="single" w:sz="6" w:space="0" w:color="auto"/>
              <w:bottom w:val="single" w:sz="6" w:space="0" w:color="auto"/>
              <w:right w:val="single" w:sz="6" w:space="0" w:color="auto"/>
            </w:tcBorders>
            <w:vAlign w:val="center"/>
          </w:tcPr>
          <w:p w14:paraId="48E02052"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5944C74C"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vAlign w:val="center"/>
          </w:tcPr>
          <w:p w14:paraId="3E9EA2D3" w14:textId="77777777" w:rsidR="00DE4FC6" w:rsidRPr="007C0D8F" w:rsidRDefault="00DE4FC6" w:rsidP="00084D09">
            <w:pPr>
              <w:jc w:val="right"/>
              <w:rPr>
                <w:rFonts w:ascii="Arial" w:hAnsi="Arial" w:cs="Arial"/>
              </w:rPr>
            </w:pPr>
            <w:r w:rsidRPr="007C0D8F">
              <w:rPr>
                <w:rFonts w:ascii="Arial" w:eastAsia="Arial" w:hAnsi="Arial" w:cs="Arial"/>
              </w:rPr>
              <w:t>N/A</w:t>
            </w:r>
          </w:p>
        </w:tc>
        <w:tc>
          <w:tcPr>
            <w:tcW w:w="1113" w:type="dxa"/>
            <w:shd w:val="clear" w:color="auto" w:fill="EAF1DD" w:themeFill="accent3" w:themeFillTint="33"/>
            <w:vAlign w:val="center"/>
          </w:tcPr>
          <w:p w14:paraId="66D947ED" w14:textId="77777777" w:rsidR="00DE4FC6" w:rsidRPr="007C0D8F" w:rsidRDefault="00DE4FC6" w:rsidP="00084D09">
            <w:pPr>
              <w:jc w:val="right"/>
              <w:rPr>
                <w:rFonts w:ascii="Arial" w:hAnsi="Arial" w:cs="Arial"/>
              </w:rPr>
            </w:pPr>
            <w:r w:rsidRPr="007C0D8F">
              <w:rPr>
                <w:rFonts w:ascii="Arial" w:hAnsi="Arial" w:cs="Arial"/>
              </w:rPr>
              <w:t>N/A</w:t>
            </w:r>
          </w:p>
        </w:tc>
        <w:tc>
          <w:tcPr>
            <w:tcW w:w="1457" w:type="dxa"/>
            <w:vAlign w:val="center"/>
          </w:tcPr>
          <w:p w14:paraId="38A92FAE" w14:textId="77777777" w:rsidR="00DE4FC6" w:rsidRPr="007C0D8F" w:rsidRDefault="00DE4FC6" w:rsidP="00084D09">
            <w:pPr>
              <w:jc w:val="right"/>
              <w:rPr>
                <w:rFonts w:ascii="Arial" w:hAnsi="Arial" w:cs="Arial"/>
              </w:rPr>
            </w:pPr>
            <w:r w:rsidRPr="007C0D8F">
              <w:rPr>
                <w:rFonts w:ascii="Arial" w:hAnsi="Arial" w:cs="Arial"/>
              </w:rPr>
              <w:t>1</w:t>
            </w:r>
          </w:p>
        </w:tc>
        <w:tc>
          <w:tcPr>
            <w:tcW w:w="8222" w:type="dxa"/>
            <w:vAlign w:val="center"/>
          </w:tcPr>
          <w:p w14:paraId="14E8EEA8" w14:textId="36D1CE18" w:rsidR="00DE4FC6" w:rsidRPr="007C0D8F" w:rsidRDefault="002B49C3" w:rsidP="000E51C2">
            <w:pPr>
              <w:rPr>
                <w:rFonts w:ascii="Arial" w:hAnsi="Arial" w:cs="Arial"/>
              </w:rPr>
            </w:pPr>
            <w:r w:rsidRPr="007C0D8F">
              <w:rPr>
                <w:rFonts w:ascii="Arial" w:hAnsi="Arial" w:cs="Arial"/>
              </w:rPr>
              <w:t>Appointed to Board on 01 January 2022</w:t>
            </w:r>
            <w:r w:rsidR="00D166F8" w:rsidRPr="007C0D8F">
              <w:rPr>
                <w:rFonts w:ascii="Arial" w:hAnsi="Arial" w:cs="Arial"/>
              </w:rPr>
              <w:t>.</w:t>
            </w:r>
          </w:p>
        </w:tc>
      </w:tr>
      <w:tr w:rsidR="00345B2B" w:rsidRPr="000845C9" w14:paraId="519AB5DC" w14:textId="77777777" w:rsidTr="007C0D8F">
        <w:trPr>
          <w:trHeight w:val="397"/>
        </w:trPr>
        <w:tc>
          <w:tcPr>
            <w:tcW w:w="4111" w:type="dxa"/>
            <w:tcBorders>
              <w:top w:val="single" w:sz="6" w:space="0" w:color="auto"/>
              <w:left w:val="single" w:sz="6" w:space="0" w:color="auto"/>
              <w:bottom w:val="single" w:sz="6" w:space="0" w:color="auto"/>
              <w:right w:val="single" w:sz="6" w:space="0" w:color="auto"/>
            </w:tcBorders>
            <w:vAlign w:val="center"/>
          </w:tcPr>
          <w:p w14:paraId="06465E72" w14:textId="68E700A2" w:rsidR="00345B2B" w:rsidRPr="007C0D8F" w:rsidRDefault="00345B2B" w:rsidP="00355580">
            <w:pPr>
              <w:rPr>
                <w:rFonts w:ascii="Arial" w:eastAsia="Arial" w:hAnsi="Arial" w:cs="Arial"/>
              </w:rPr>
            </w:pPr>
            <w:r w:rsidRPr="007C0D8F">
              <w:rPr>
                <w:rFonts w:ascii="Arial" w:eastAsia="Arial" w:hAnsi="Arial" w:cs="Arial"/>
              </w:rPr>
              <w:t xml:space="preserve">V </w:t>
            </w:r>
            <w:proofErr w:type="spellStart"/>
            <w:r w:rsidRPr="007C0D8F">
              <w:rPr>
                <w:rFonts w:ascii="Arial" w:eastAsia="Arial" w:hAnsi="Arial" w:cs="Arial"/>
              </w:rPr>
              <w:t>Mulgundmath</w:t>
            </w:r>
            <w:proofErr w:type="spellEnd"/>
          </w:p>
        </w:tc>
        <w:tc>
          <w:tcPr>
            <w:tcW w:w="674" w:type="dxa"/>
            <w:tcBorders>
              <w:top w:val="single" w:sz="6" w:space="0" w:color="auto"/>
              <w:left w:val="single" w:sz="6" w:space="0" w:color="auto"/>
              <w:bottom w:val="single" w:sz="6" w:space="0" w:color="auto"/>
              <w:right w:val="single" w:sz="6" w:space="0" w:color="auto"/>
            </w:tcBorders>
            <w:vAlign w:val="center"/>
          </w:tcPr>
          <w:p w14:paraId="54A1F149" w14:textId="1D35134D" w:rsidR="00345B2B" w:rsidRPr="007C0D8F" w:rsidRDefault="00345B2B" w:rsidP="00084D09">
            <w:pPr>
              <w:jc w:val="right"/>
              <w:rPr>
                <w:rFonts w:ascii="Arial" w:eastAsia="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63B26E5C" w14:textId="18323F93" w:rsidR="00345B2B" w:rsidRPr="007C0D8F" w:rsidRDefault="00345B2B" w:rsidP="00084D09">
            <w:pPr>
              <w:jc w:val="right"/>
              <w:rPr>
                <w:rFonts w:ascii="Arial" w:eastAsia="Arial" w:hAnsi="Arial" w:cs="Arial"/>
              </w:rPr>
            </w:pPr>
            <w:r w:rsidRPr="007C0D8F">
              <w:rPr>
                <w:rFonts w:ascii="Arial" w:eastAsia="Arial" w:hAnsi="Arial" w:cs="Arial"/>
              </w:rPr>
              <w:t>1</w:t>
            </w:r>
          </w:p>
        </w:tc>
        <w:tc>
          <w:tcPr>
            <w:tcW w:w="1113" w:type="dxa"/>
            <w:tcBorders>
              <w:top w:val="single" w:sz="6" w:space="0" w:color="auto"/>
              <w:left w:val="single" w:sz="6" w:space="0" w:color="auto"/>
              <w:bottom w:val="single" w:sz="6" w:space="0" w:color="auto"/>
              <w:right w:val="single" w:sz="6" w:space="0" w:color="auto"/>
            </w:tcBorders>
            <w:vAlign w:val="center"/>
          </w:tcPr>
          <w:p w14:paraId="4F40AE64" w14:textId="170DD0A9" w:rsidR="00345B2B" w:rsidRPr="007C0D8F" w:rsidRDefault="00345B2B" w:rsidP="00084D09">
            <w:pPr>
              <w:jc w:val="right"/>
              <w:rPr>
                <w:rFonts w:ascii="Arial" w:eastAsia="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F6F0C8A" w14:textId="27E81957" w:rsidR="00345B2B" w:rsidRPr="007C0D8F" w:rsidRDefault="00345B2B" w:rsidP="00084D09">
            <w:pPr>
              <w:jc w:val="right"/>
              <w:rPr>
                <w:rFonts w:ascii="Arial" w:eastAsia="Arial" w:hAnsi="Arial" w:cs="Arial"/>
              </w:rPr>
            </w:pPr>
            <w:r w:rsidRPr="007C0D8F">
              <w:rPr>
                <w:rFonts w:ascii="Arial" w:eastAsia="Arial" w:hAnsi="Arial" w:cs="Arial"/>
              </w:rPr>
              <w:t>1</w:t>
            </w:r>
          </w:p>
        </w:tc>
        <w:tc>
          <w:tcPr>
            <w:tcW w:w="1113" w:type="dxa"/>
            <w:tcBorders>
              <w:top w:val="single" w:sz="6" w:space="0" w:color="auto"/>
              <w:left w:val="single" w:sz="6" w:space="0" w:color="auto"/>
              <w:bottom w:val="single" w:sz="6" w:space="0" w:color="auto"/>
              <w:right w:val="single" w:sz="6" w:space="0" w:color="auto"/>
            </w:tcBorders>
            <w:vAlign w:val="center"/>
          </w:tcPr>
          <w:p w14:paraId="6240FEA5" w14:textId="336A59DA" w:rsidR="00345B2B" w:rsidRPr="007C0D8F" w:rsidRDefault="00345B2B" w:rsidP="00084D09">
            <w:pPr>
              <w:jc w:val="right"/>
              <w:rPr>
                <w:rFonts w:ascii="Arial" w:eastAsia="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275EB29" w14:textId="13D3E78F" w:rsidR="00345B2B" w:rsidRPr="007C0D8F" w:rsidRDefault="005208C7" w:rsidP="00084D09">
            <w:pPr>
              <w:jc w:val="right"/>
              <w:rPr>
                <w:rFonts w:ascii="Arial" w:eastAsia="Arial" w:hAnsi="Arial" w:cs="Arial"/>
              </w:rPr>
            </w:pPr>
            <w:r w:rsidRPr="007C0D8F">
              <w:rPr>
                <w:rFonts w:ascii="Arial" w:eastAsia="Arial" w:hAnsi="Arial" w:cs="Arial"/>
              </w:rPr>
              <w:t>N/A</w:t>
            </w:r>
          </w:p>
        </w:tc>
        <w:tc>
          <w:tcPr>
            <w:tcW w:w="1113" w:type="dxa"/>
            <w:tcBorders>
              <w:top w:val="single" w:sz="6" w:space="0" w:color="auto"/>
              <w:left w:val="single" w:sz="6" w:space="0" w:color="auto"/>
              <w:bottom w:val="single" w:sz="6" w:space="0" w:color="auto"/>
              <w:right w:val="single" w:sz="6" w:space="0" w:color="auto"/>
            </w:tcBorders>
            <w:vAlign w:val="center"/>
          </w:tcPr>
          <w:p w14:paraId="30CB8153" w14:textId="1C3A0C0C" w:rsidR="00345B2B" w:rsidRPr="007C0D8F" w:rsidRDefault="005208C7" w:rsidP="00084D09">
            <w:pPr>
              <w:jc w:val="right"/>
              <w:rPr>
                <w:rFonts w:ascii="Arial" w:eastAsia="Arial" w:hAnsi="Arial" w:cs="Arial"/>
              </w:rPr>
            </w:pPr>
            <w:r w:rsidRPr="007C0D8F">
              <w:rPr>
                <w:rFonts w:ascii="Arial" w:eastAsia="Arial" w:hAnsi="Arial" w:cs="Arial"/>
              </w:rPr>
              <w:t>N/A</w:t>
            </w:r>
          </w:p>
        </w:tc>
        <w:tc>
          <w:tcPr>
            <w:tcW w:w="1113" w:type="dxa"/>
            <w:shd w:val="clear" w:color="auto" w:fill="EAF1DD" w:themeFill="accent3" w:themeFillTint="33"/>
            <w:vAlign w:val="center"/>
          </w:tcPr>
          <w:p w14:paraId="0A2D29B1" w14:textId="236CCFC0" w:rsidR="00345B2B" w:rsidRPr="007C0D8F" w:rsidRDefault="005208C7" w:rsidP="00084D09">
            <w:pPr>
              <w:jc w:val="right"/>
              <w:rPr>
                <w:rFonts w:ascii="Arial" w:hAnsi="Arial" w:cs="Arial"/>
              </w:rPr>
            </w:pPr>
            <w:r w:rsidRPr="007C0D8F">
              <w:rPr>
                <w:rFonts w:ascii="Arial" w:hAnsi="Arial" w:cs="Arial"/>
              </w:rPr>
              <w:t>N/A</w:t>
            </w:r>
          </w:p>
        </w:tc>
        <w:tc>
          <w:tcPr>
            <w:tcW w:w="1457" w:type="dxa"/>
            <w:vAlign w:val="center"/>
          </w:tcPr>
          <w:p w14:paraId="01A52B4B" w14:textId="62D80497" w:rsidR="00345B2B" w:rsidRPr="007C0D8F" w:rsidRDefault="005208C7" w:rsidP="00084D09">
            <w:pPr>
              <w:jc w:val="right"/>
              <w:rPr>
                <w:rFonts w:ascii="Arial" w:hAnsi="Arial" w:cs="Arial"/>
              </w:rPr>
            </w:pPr>
            <w:r w:rsidRPr="007C0D8F">
              <w:rPr>
                <w:rFonts w:ascii="Arial" w:hAnsi="Arial" w:cs="Arial"/>
              </w:rPr>
              <w:t>N/A</w:t>
            </w:r>
          </w:p>
        </w:tc>
        <w:tc>
          <w:tcPr>
            <w:tcW w:w="8222" w:type="dxa"/>
            <w:vAlign w:val="center"/>
          </w:tcPr>
          <w:p w14:paraId="387A945E" w14:textId="29DC4CAE" w:rsidR="00345B2B" w:rsidRPr="007C0D8F" w:rsidRDefault="00355580" w:rsidP="000E51C2">
            <w:pPr>
              <w:rPr>
                <w:rFonts w:ascii="Arial" w:hAnsi="Arial" w:cs="Arial"/>
              </w:rPr>
            </w:pPr>
            <w:r w:rsidRPr="007C0D8F">
              <w:rPr>
                <w:rFonts w:ascii="Arial" w:hAnsi="Arial" w:cs="Arial"/>
              </w:rPr>
              <w:t>Appointed to Board on 01 January 2022</w:t>
            </w:r>
            <w:r w:rsidR="00D166F8" w:rsidRPr="007C0D8F">
              <w:rPr>
                <w:rFonts w:ascii="Arial" w:hAnsi="Arial" w:cs="Arial"/>
              </w:rPr>
              <w:t>.</w:t>
            </w:r>
          </w:p>
        </w:tc>
      </w:tr>
    </w:tbl>
    <w:p w14:paraId="272834C3" w14:textId="77777777" w:rsidR="00DE4FC6" w:rsidRDefault="00DE4FC6" w:rsidP="00084D09">
      <w:pPr>
        <w:rPr>
          <w:rFonts w:ascii="Arial" w:eastAsia="Arial" w:hAnsi="Arial" w:cs="Arial"/>
          <w:sz w:val="22"/>
          <w:szCs w:val="22"/>
        </w:rPr>
        <w:sectPr w:rsidR="00DE4FC6" w:rsidSect="00355580">
          <w:pgSz w:w="23811" w:h="16838" w:orient="landscape" w:code="8"/>
          <w:pgMar w:top="851" w:right="1135" w:bottom="849" w:left="426" w:header="624" w:footer="283" w:gutter="0"/>
          <w:cols w:space="708"/>
          <w:docGrid w:linePitch="360"/>
        </w:sectPr>
      </w:pPr>
    </w:p>
    <w:p w14:paraId="64521C34" w14:textId="714A8260" w:rsidR="00B621FB" w:rsidRDefault="00B621FB" w:rsidP="00B621FB">
      <w:pPr>
        <w:pStyle w:val="CommentText"/>
        <w:spacing w:line="360" w:lineRule="auto"/>
        <w:rPr>
          <w:rFonts w:ascii="Arial" w:hAnsi="Arial" w:cs="Arial"/>
          <w:sz w:val="24"/>
          <w:szCs w:val="24"/>
        </w:rPr>
      </w:pPr>
      <w:r w:rsidRPr="00851FD1">
        <w:rPr>
          <w:rFonts w:ascii="Arial" w:hAnsi="Arial" w:cs="Arial"/>
          <w:sz w:val="24"/>
          <w:szCs w:val="24"/>
        </w:rPr>
        <w:lastRenderedPageBreak/>
        <w:t xml:space="preserve">The Audit Committee had an extraordinary meeting on 6 May 2021 for additional business to be covered before </w:t>
      </w:r>
      <w:r w:rsidR="00222803">
        <w:rPr>
          <w:rFonts w:ascii="Arial" w:hAnsi="Arial" w:cs="Arial"/>
          <w:sz w:val="24"/>
          <w:szCs w:val="24"/>
        </w:rPr>
        <w:t xml:space="preserve">the </w:t>
      </w:r>
      <w:r w:rsidRPr="00851FD1">
        <w:rPr>
          <w:rFonts w:ascii="Arial" w:hAnsi="Arial" w:cs="Arial"/>
          <w:sz w:val="24"/>
          <w:szCs w:val="24"/>
        </w:rPr>
        <w:t xml:space="preserve">next scheduled meeting on 29 June 2021. Apologies </w:t>
      </w:r>
      <w:r w:rsidR="00B13348">
        <w:rPr>
          <w:rFonts w:ascii="Arial" w:hAnsi="Arial" w:cs="Arial"/>
          <w:sz w:val="24"/>
          <w:szCs w:val="24"/>
        </w:rPr>
        <w:t xml:space="preserve">were </w:t>
      </w:r>
      <w:r w:rsidRPr="00851FD1">
        <w:rPr>
          <w:rFonts w:ascii="Arial" w:hAnsi="Arial" w:cs="Arial"/>
          <w:sz w:val="24"/>
          <w:szCs w:val="24"/>
        </w:rPr>
        <w:t xml:space="preserve">received from T </w:t>
      </w:r>
      <w:proofErr w:type="spellStart"/>
      <w:r w:rsidRPr="00851FD1">
        <w:rPr>
          <w:rFonts w:ascii="Arial" w:hAnsi="Arial" w:cs="Arial"/>
          <w:sz w:val="24"/>
          <w:szCs w:val="24"/>
        </w:rPr>
        <w:t>A’Hearn</w:t>
      </w:r>
      <w:proofErr w:type="spellEnd"/>
      <w:r w:rsidR="00B13348">
        <w:rPr>
          <w:rFonts w:ascii="Arial" w:hAnsi="Arial" w:cs="Arial"/>
          <w:sz w:val="24"/>
          <w:szCs w:val="24"/>
        </w:rPr>
        <w:t>.</w:t>
      </w:r>
      <w:r w:rsidRPr="00851FD1">
        <w:rPr>
          <w:rFonts w:ascii="Arial" w:hAnsi="Arial" w:cs="Arial"/>
          <w:sz w:val="24"/>
          <w:szCs w:val="24"/>
        </w:rPr>
        <w:t xml:space="preserve"> </w:t>
      </w:r>
      <w:r w:rsidR="00365B0B">
        <w:rPr>
          <w:rFonts w:ascii="Arial" w:hAnsi="Arial" w:cs="Arial"/>
          <w:sz w:val="24"/>
          <w:szCs w:val="24"/>
        </w:rPr>
        <w:t xml:space="preserve"> The </w:t>
      </w:r>
      <w:r w:rsidRPr="00851FD1">
        <w:rPr>
          <w:rFonts w:ascii="Arial" w:hAnsi="Arial" w:cs="Arial"/>
          <w:sz w:val="24"/>
          <w:szCs w:val="24"/>
        </w:rPr>
        <w:t>Chair B. Downes and Board member C Hume attended this meeting.</w:t>
      </w:r>
    </w:p>
    <w:p w14:paraId="153B4214" w14:textId="77777777" w:rsidR="00D523CE" w:rsidRPr="00851FD1" w:rsidRDefault="00D523CE" w:rsidP="00B621FB">
      <w:pPr>
        <w:pStyle w:val="CommentText"/>
        <w:spacing w:line="360" w:lineRule="auto"/>
        <w:rPr>
          <w:rFonts w:ascii="Arial" w:hAnsi="Arial" w:cs="Arial"/>
          <w:sz w:val="24"/>
          <w:szCs w:val="24"/>
        </w:rPr>
      </w:pPr>
    </w:p>
    <w:p w14:paraId="3D10D12E" w14:textId="17805FA3" w:rsidR="00B621FB" w:rsidRPr="00851FD1" w:rsidRDefault="00754E2D" w:rsidP="00B621FB">
      <w:pPr>
        <w:pStyle w:val="Default"/>
        <w:spacing w:line="360" w:lineRule="auto"/>
        <w:jc w:val="both"/>
        <w:rPr>
          <w:rFonts w:eastAsia="Arial"/>
          <w:b/>
        </w:rPr>
      </w:pPr>
      <w:r>
        <w:t xml:space="preserve">A </w:t>
      </w:r>
      <w:r w:rsidR="00B621FB" w:rsidRPr="00851FD1">
        <w:t>Special Board meeting</w:t>
      </w:r>
      <w:r>
        <w:t xml:space="preserve"> was held</w:t>
      </w:r>
      <w:r w:rsidR="00B621FB" w:rsidRPr="00851FD1">
        <w:t xml:space="preserve"> on 5 July 2021 for a specific purpose</w:t>
      </w:r>
      <w:r>
        <w:t xml:space="preserve"> – there were no apologies</w:t>
      </w:r>
      <w:r w:rsidR="00B621FB" w:rsidRPr="00851FD1">
        <w:t xml:space="preserve">. </w:t>
      </w:r>
    </w:p>
    <w:p w14:paraId="4935A6D4" w14:textId="77777777" w:rsidR="00B621FB" w:rsidRPr="00754E2D" w:rsidRDefault="00B621FB" w:rsidP="00B621FB">
      <w:pPr>
        <w:spacing w:line="360" w:lineRule="auto"/>
        <w:jc w:val="both"/>
        <w:rPr>
          <w:rFonts w:ascii="Arial" w:eastAsia="Arial" w:hAnsi="Arial" w:cs="Arial"/>
          <w:color w:val="000000" w:themeColor="text1"/>
        </w:rPr>
      </w:pPr>
    </w:p>
    <w:p w14:paraId="2A4DFA0B" w14:textId="7E488F25" w:rsidR="00B621FB" w:rsidRPr="00683780" w:rsidRDefault="00B621FB" w:rsidP="00B621FB">
      <w:pPr>
        <w:spacing w:after="200" w:line="360" w:lineRule="auto"/>
        <w:jc w:val="both"/>
        <w:rPr>
          <w:rFonts w:ascii="Arial" w:eastAsia="Arial" w:hAnsi="Arial" w:cs="Arial"/>
          <w:color w:val="000000" w:themeColor="text1"/>
        </w:rPr>
      </w:pPr>
      <w:r w:rsidRPr="00CF0D9E">
        <w:rPr>
          <w:rFonts w:ascii="Arial" w:eastAsia="Arial" w:hAnsi="Arial" w:cs="Arial"/>
          <w:b/>
          <w:color w:val="000000" w:themeColor="text1"/>
        </w:rPr>
        <w:t>Agency Management Team</w:t>
      </w:r>
    </w:p>
    <w:p w14:paraId="0C7E4879" w14:textId="40A86FF5" w:rsidR="00B621FB" w:rsidRDefault="00B621FB" w:rsidP="00D523CE">
      <w:pPr>
        <w:spacing w:line="360" w:lineRule="auto"/>
        <w:rPr>
          <w:rFonts w:ascii="Arial" w:eastAsia="Arial" w:hAnsi="Arial" w:cs="Arial"/>
          <w:color w:val="000000" w:themeColor="text1"/>
        </w:rPr>
      </w:pPr>
      <w:r w:rsidRPr="00683780">
        <w:rPr>
          <w:rFonts w:ascii="Arial" w:eastAsia="Arial" w:hAnsi="Arial" w:cs="Arial"/>
          <w:color w:val="000000" w:themeColor="text1"/>
        </w:rPr>
        <w:t xml:space="preserve">The </w:t>
      </w:r>
      <w:r w:rsidRPr="00683780">
        <w:rPr>
          <w:rFonts w:ascii="Arial" w:eastAsia="Arial" w:hAnsi="Arial" w:cs="Arial"/>
        </w:rPr>
        <w:t>Agency Management Team</w:t>
      </w:r>
      <w:r w:rsidRPr="00683780">
        <w:rPr>
          <w:rFonts w:ascii="Arial" w:eastAsia="Arial" w:hAnsi="Arial" w:cs="Arial"/>
          <w:color w:val="000000" w:themeColor="text1"/>
        </w:rPr>
        <w:t xml:space="preserve"> is responsible for the day-to-day running of the organisation including strategic planning, business management, performance management, relationships, and change management.</w:t>
      </w:r>
      <w:r>
        <w:rPr>
          <w:rFonts w:ascii="Arial" w:eastAsia="Arial" w:hAnsi="Arial" w:cs="Arial"/>
          <w:color w:val="000000" w:themeColor="text1"/>
        </w:rPr>
        <w:t xml:space="preserve"> </w:t>
      </w:r>
    </w:p>
    <w:p w14:paraId="18DBEB0A" w14:textId="77777777" w:rsidR="00D523CE" w:rsidRDefault="00D523CE" w:rsidP="00D523CE">
      <w:pPr>
        <w:spacing w:line="360" w:lineRule="auto"/>
        <w:rPr>
          <w:rFonts w:ascii="Arial" w:eastAsia="Arial" w:hAnsi="Arial" w:cs="Arial"/>
          <w:color w:val="000000" w:themeColor="text1"/>
        </w:rPr>
      </w:pPr>
    </w:p>
    <w:tbl>
      <w:tblPr>
        <w:tblStyle w:val="TableGrid"/>
        <w:tblW w:w="0" w:type="auto"/>
        <w:tblLook w:val="04A0" w:firstRow="1" w:lastRow="0" w:firstColumn="1" w:lastColumn="0" w:noHBand="0" w:noVBand="1"/>
      </w:tblPr>
      <w:tblGrid>
        <w:gridCol w:w="2405"/>
        <w:gridCol w:w="6611"/>
      </w:tblGrid>
      <w:tr w:rsidR="00B621FB" w14:paraId="1F990F49" w14:textId="77777777" w:rsidTr="00CF1904">
        <w:tc>
          <w:tcPr>
            <w:tcW w:w="2405" w:type="dxa"/>
          </w:tcPr>
          <w:p w14:paraId="63AF0094" w14:textId="77777777" w:rsidR="00B621FB" w:rsidRDefault="00B621FB" w:rsidP="00D523CE">
            <w:pPr>
              <w:spacing w:line="360" w:lineRule="auto"/>
              <w:rPr>
                <w:rFonts w:ascii="Arial" w:eastAsia="Arial" w:hAnsi="Arial" w:cs="Arial"/>
                <w:color w:val="000000" w:themeColor="text1"/>
              </w:rPr>
            </w:pPr>
            <w:r>
              <w:rPr>
                <w:rFonts w:ascii="Arial" w:eastAsia="Arial" w:hAnsi="Arial" w:cs="Arial"/>
                <w:color w:val="000000" w:themeColor="text1"/>
              </w:rPr>
              <w:t>Jo Green</w:t>
            </w:r>
          </w:p>
        </w:tc>
        <w:tc>
          <w:tcPr>
            <w:tcW w:w="6611" w:type="dxa"/>
          </w:tcPr>
          <w:p w14:paraId="4BB61790" w14:textId="7CDB6110" w:rsidR="00B621FB" w:rsidRPr="00FD40C1" w:rsidRDefault="00534FEC" w:rsidP="00D523CE">
            <w:pPr>
              <w:spacing w:line="360" w:lineRule="auto"/>
              <w:rPr>
                <w:rFonts w:ascii="Arial" w:hAnsi="Arial" w:cs="Arial"/>
                <w:sz w:val="22"/>
                <w:szCs w:val="22"/>
              </w:rPr>
            </w:pPr>
            <w:r>
              <w:rPr>
                <w:rFonts w:ascii="Arial" w:hAnsi="Arial" w:cs="Arial"/>
              </w:rPr>
              <w:t>Acting</w:t>
            </w:r>
            <w:r w:rsidR="00617D6A">
              <w:rPr>
                <w:rFonts w:ascii="Arial" w:hAnsi="Arial" w:cs="Arial"/>
              </w:rPr>
              <w:t xml:space="preserve"> </w:t>
            </w:r>
            <w:r w:rsidR="00B621FB" w:rsidRPr="00FD40C1">
              <w:rPr>
                <w:rFonts w:ascii="Arial" w:hAnsi="Arial" w:cs="Arial"/>
              </w:rPr>
              <w:t>Chief Executive from 06/01/2022</w:t>
            </w:r>
          </w:p>
          <w:p w14:paraId="23B2DB70" w14:textId="77777777" w:rsidR="00B621FB" w:rsidRPr="00FD40C1" w:rsidRDefault="00B621FB" w:rsidP="00D523CE">
            <w:pPr>
              <w:spacing w:line="360" w:lineRule="auto"/>
              <w:rPr>
                <w:rFonts w:ascii="Arial" w:eastAsia="Arial" w:hAnsi="Arial" w:cs="Arial"/>
                <w:color w:val="000000" w:themeColor="text1"/>
              </w:rPr>
            </w:pPr>
            <w:r w:rsidRPr="00FD40C1">
              <w:rPr>
                <w:rFonts w:ascii="Arial" w:hAnsi="Arial" w:cs="Arial"/>
              </w:rPr>
              <w:t>Chief Officer, Performance and Innovation to 05/01/2022</w:t>
            </w:r>
          </w:p>
        </w:tc>
      </w:tr>
      <w:tr w:rsidR="00B621FB" w14:paraId="65E67E92" w14:textId="77777777" w:rsidTr="00CF1904">
        <w:tc>
          <w:tcPr>
            <w:tcW w:w="2405" w:type="dxa"/>
          </w:tcPr>
          <w:p w14:paraId="4DEC34D1"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David Pirie</w:t>
            </w:r>
          </w:p>
        </w:tc>
        <w:tc>
          <w:tcPr>
            <w:tcW w:w="6611" w:type="dxa"/>
          </w:tcPr>
          <w:p w14:paraId="79B312D5"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Executive Director, Evidence and Flooding</w:t>
            </w:r>
          </w:p>
        </w:tc>
      </w:tr>
      <w:tr w:rsidR="00B621FB" w14:paraId="3F64F1BC" w14:textId="77777777" w:rsidTr="00CF1904">
        <w:tc>
          <w:tcPr>
            <w:tcW w:w="2405" w:type="dxa"/>
          </w:tcPr>
          <w:p w14:paraId="5692975B"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Ian Buchanan</w:t>
            </w:r>
          </w:p>
        </w:tc>
        <w:tc>
          <w:tcPr>
            <w:tcW w:w="6611" w:type="dxa"/>
          </w:tcPr>
          <w:p w14:paraId="50C5629D"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Officer, Compliance and Beyond</w:t>
            </w:r>
          </w:p>
        </w:tc>
      </w:tr>
      <w:tr w:rsidR="00B621FB" w14:paraId="260E9C8F" w14:textId="77777777" w:rsidTr="00CF1904">
        <w:tc>
          <w:tcPr>
            <w:tcW w:w="2405" w:type="dxa"/>
          </w:tcPr>
          <w:p w14:paraId="1E9A84D4"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John Kenny</w:t>
            </w:r>
          </w:p>
        </w:tc>
        <w:tc>
          <w:tcPr>
            <w:tcW w:w="6611" w:type="dxa"/>
          </w:tcPr>
          <w:p w14:paraId="28E67017"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Officer, People and Property from 01/02/2022</w:t>
            </w:r>
          </w:p>
          <w:p w14:paraId="2B66E93D"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Officer, Circular Economy to 31/01/2022</w:t>
            </w:r>
          </w:p>
        </w:tc>
      </w:tr>
      <w:tr w:rsidR="00B621FB" w14:paraId="412B792A" w14:textId="77777777" w:rsidTr="00CF1904">
        <w:tc>
          <w:tcPr>
            <w:tcW w:w="2405" w:type="dxa"/>
          </w:tcPr>
          <w:p w14:paraId="1998D3CC"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Stuart McGregor</w:t>
            </w:r>
          </w:p>
        </w:tc>
        <w:tc>
          <w:tcPr>
            <w:tcW w:w="6611" w:type="dxa"/>
          </w:tcPr>
          <w:p w14:paraId="1701F548"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Officer, Finance</w:t>
            </w:r>
          </w:p>
        </w:tc>
      </w:tr>
      <w:tr w:rsidR="00B621FB" w14:paraId="1DB865F7" w14:textId="77777777" w:rsidTr="00CF1904">
        <w:tc>
          <w:tcPr>
            <w:tcW w:w="2405" w:type="dxa"/>
          </w:tcPr>
          <w:p w14:paraId="3BD407F7"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Bridget Marshall</w:t>
            </w:r>
          </w:p>
        </w:tc>
        <w:tc>
          <w:tcPr>
            <w:tcW w:w="6611" w:type="dxa"/>
          </w:tcPr>
          <w:p w14:paraId="5042620D" w14:textId="39C5080D" w:rsidR="00B621FB" w:rsidRPr="00FD40C1" w:rsidRDefault="00503176" w:rsidP="00CF1904">
            <w:pPr>
              <w:spacing w:line="360" w:lineRule="auto"/>
              <w:rPr>
                <w:rFonts w:ascii="Arial" w:eastAsia="Arial" w:hAnsi="Arial" w:cs="Arial"/>
                <w:color w:val="000000" w:themeColor="text1"/>
              </w:rPr>
            </w:pPr>
            <w:r>
              <w:rPr>
                <w:rFonts w:ascii="Arial" w:eastAsia="Arial" w:hAnsi="Arial" w:cs="Arial"/>
                <w:color w:val="000000" w:themeColor="text1"/>
              </w:rPr>
              <w:t>Interim</w:t>
            </w:r>
            <w:r w:rsidR="00B621FB" w:rsidRPr="00FD40C1">
              <w:rPr>
                <w:rFonts w:ascii="Arial" w:eastAsia="Arial" w:hAnsi="Arial" w:cs="Arial"/>
                <w:color w:val="000000" w:themeColor="text1"/>
              </w:rPr>
              <w:t xml:space="preserve"> Chief Officer, Performance and Innovation from 20/01/2022</w:t>
            </w:r>
          </w:p>
        </w:tc>
      </w:tr>
      <w:tr w:rsidR="00B621FB" w14:paraId="29353ACB" w14:textId="77777777" w:rsidTr="00CF1904">
        <w:tc>
          <w:tcPr>
            <w:tcW w:w="2405" w:type="dxa"/>
          </w:tcPr>
          <w:p w14:paraId="462C7505"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David Harley</w:t>
            </w:r>
          </w:p>
        </w:tc>
        <w:tc>
          <w:tcPr>
            <w:tcW w:w="6611" w:type="dxa"/>
          </w:tcPr>
          <w:p w14:paraId="329214D0" w14:textId="62513F89" w:rsidR="00B621FB" w:rsidRPr="00FD40C1" w:rsidRDefault="00503176" w:rsidP="00CF1904">
            <w:pPr>
              <w:spacing w:line="360" w:lineRule="auto"/>
              <w:rPr>
                <w:rFonts w:ascii="Arial" w:eastAsia="Arial" w:hAnsi="Arial" w:cs="Arial"/>
                <w:color w:val="000000" w:themeColor="text1"/>
              </w:rPr>
            </w:pPr>
            <w:r>
              <w:rPr>
                <w:rFonts w:ascii="Arial" w:eastAsia="Arial" w:hAnsi="Arial" w:cs="Arial"/>
                <w:color w:val="000000" w:themeColor="text1"/>
              </w:rPr>
              <w:t>Interim</w:t>
            </w:r>
            <w:r w:rsidR="00B621FB" w:rsidRPr="00FD40C1">
              <w:rPr>
                <w:rFonts w:ascii="Arial" w:eastAsia="Arial" w:hAnsi="Arial" w:cs="Arial"/>
                <w:color w:val="000000" w:themeColor="text1"/>
              </w:rPr>
              <w:t xml:space="preserve"> Chief Officer, Circular Economy from 01/02/2022</w:t>
            </w:r>
          </w:p>
        </w:tc>
      </w:tr>
      <w:tr w:rsidR="00B621FB" w14:paraId="16540B3A" w14:textId="77777777" w:rsidTr="00CF1904">
        <w:tc>
          <w:tcPr>
            <w:tcW w:w="2405" w:type="dxa"/>
          </w:tcPr>
          <w:p w14:paraId="7A1D3F4E"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Terry A’Hearn</w:t>
            </w:r>
          </w:p>
        </w:tc>
        <w:tc>
          <w:tcPr>
            <w:tcW w:w="6611" w:type="dxa"/>
          </w:tcPr>
          <w:p w14:paraId="4F129111"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Executive until 19/01/2022</w:t>
            </w:r>
          </w:p>
        </w:tc>
      </w:tr>
      <w:tr w:rsidR="00B621FB" w14:paraId="79F82596" w14:textId="77777777" w:rsidTr="00CF1904">
        <w:tc>
          <w:tcPr>
            <w:tcW w:w="2405" w:type="dxa"/>
          </w:tcPr>
          <w:p w14:paraId="313F5F93" w14:textId="77777777" w:rsidR="00B621FB" w:rsidRDefault="00B621FB" w:rsidP="00CF1904">
            <w:pPr>
              <w:spacing w:line="360" w:lineRule="auto"/>
              <w:rPr>
                <w:rFonts w:ascii="Arial" w:eastAsia="Arial" w:hAnsi="Arial" w:cs="Arial"/>
                <w:color w:val="000000" w:themeColor="text1"/>
              </w:rPr>
            </w:pPr>
            <w:r>
              <w:rPr>
                <w:rFonts w:ascii="Arial" w:eastAsia="Arial" w:hAnsi="Arial" w:cs="Arial"/>
                <w:color w:val="000000" w:themeColor="text1"/>
              </w:rPr>
              <w:t>Fiona Martin</w:t>
            </w:r>
          </w:p>
        </w:tc>
        <w:tc>
          <w:tcPr>
            <w:tcW w:w="6611" w:type="dxa"/>
          </w:tcPr>
          <w:p w14:paraId="67426A62" w14:textId="77777777" w:rsidR="00B621FB" w:rsidRPr="00FD40C1" w:rsidRDefault="00B621FB" w:rsidP="00CF1904">
            <w:pPr>
              <w:spacing w:line="360" w:lineRule="auto"/>
              <w:rPr>
                <w:rFonts w:ascii="Arial" w:eastAsia="Arial" w:hAnsi="Arial" w:cs="Arial"/>
                <w:color w:val="000000" w:themeColor="text1"/>
              </w:rPr>
            </w:pPr>
            <w:r w:rsidRPr="00FD40C1">
              <w:rPr>
                <w:rFonts w:ascii="Arial" w:eastAsia="Arial" w:hAnsi="Arial" w:cs="Arial"/>
                <w:color w:val="000000" w:themeColor="text1"/>
              </w:rPr>
              <w:t>Chief Officer, People and Property until 21/12/2021</w:t>
            </w:r>
          </w:p>
        </w:tc>
      </w:tr>
    </w:tbl>
    <w:p w14:paraId="3FC6F297" w14:textId="77777777" w:rsidR="00B621FB" w:rsidRDefault="00B621FB" w:rsidP="00B621FB">
      <w:pPr>
        <w:spacing w:line="360" w:lineRule="auto"/>
        <w:rPr>
          <w:rFonts w:ascii="Arial" w:eastAsia="Arial" w:hAnsi="Arial" w:cs="Arial"/>
          <w:color w:val="000000" w:themeColor="text1"/>
        </w:rPr>
      </w:pPr>
    </w:p>
    <w:p w14:paraId="4E555183" w14:textId="77777777" w:rsidR="00B621FB" w:rsidRPr="00DE5097" w:rsidRDefault="00B621FB" w:rsidP="00B621FB">
      <w:pPr>
        <w:spacing w:after="200" w:line="360" w:lineRule="auto"/>
        <w:rPr>
          <w:rFonts w:ascii="Arial" w:eastAsia="Arial" w:hAnsi="Arial" w:cs="Arial"/>
          <w:color w:val="000000" w:themeColor="text1"/>
        </w:rPr>
      </w:pPr>
      <w:r w:rsidRPr="00DE5097">
        <w:rPr>
          <w:rFonts w:ascii="Arial" w:eastAsia="Arial" w:hAnsi="Arial" w:cs="Arial"/>
          <w:color w:val="000000" w:themeColor="text1"/>
        </w:rPr>
        <w:t>In addition to the Agency Management Team, we also ha</w:t>
      </w:r>
      <w:r w:rsidRPr="003149F4">
        <w:rPr>
          <w:rFonts w:ascii="Arial" w:eastAsia="Arial" w:hAnsi="Arial" w:cs="Arial"/>
          <w:color w:val="000000" w:themeColor="text1"/>
        </w:rPr>
        <w:t>d</w:t>
      </w:r>
      <w:r w:rsidRPr="00DE5097">
        <w:rPr>
          <w:rFonts w:ascii="Arial" w:eastAsia="Arial" w:hAnsi="Arial" w:cs="Arial"/>
          <w:color w:val="000000" w:themeColor="text1"/>
        </w:rPr>
        <w:t>:</w:t>
      </w:r>
    </w:p>
    <w:p w14:paraId="4584D4BF" w14:textId="4E9E1772" w:rsidR="003738AC" w:rsidRPr="00863A79" w:rsidRDefault="00B621FB" w:rsidP="00863A79">
      <w:pPr>
        <w:pStyle w:val="ListParagraph"/>
        <w:numPr>
          <w:ilvl w:val="0"/>
          <w:numId w:val="24"/>
        </w:numPr>
        <w:spacing w:line="360" w:lineRule="auto"/>
        <w:rPr>
          <w:rFonts w:ascii="Arial" w:eastAsia="Arial" w:hAnsi="Arial" w:cs="Arial"/>
        </w:rPr>
      </w:pPr>
      <w:r w:rsidRPr="00976F4A">
        <w:rPr>
          <w:rFonts w:ascii="Arial" w:eastAsia="Arial" w:hAnsi="Arial" w:cs="Arial"/>
        </w:rPr>
        <w:t>Director of International Services, (A Reid) who reported directly to the Chief Executive and was responsible for raising additional revenue for the Agency through the development and provision of new products and services.</w:t>
      </w:r>
    </w:p>
    <w:p w14:paraId="369C229F" w14:textId="21F661DC" w:rsidR="00B621FB" w:rsidRDefault="00B621FB" w:rsidP="00802A98">
      <w:pPr>
        <w:pStyle w:val="ListParagraph"/>
        <w:numPr>
          <w:ilvl w:val="0"/>
          <w:numId w:val="24"/>
        </w:numPr>
        <w:spacing w:line="360" w:lineRule="auto"/>
        <w:ind w:right="-425"/>
        <w:rPr>
          <w:rFonts w:ascii="Arial" w:eastAsia="Arial" w:hAnsi="Arial" w:cs="Arial"/>
        </w:rPr>
      </w:pPr>
      <w:r w:rsidRPr="003738AC">
        <w:rPr>
          <w:rFonts w:ascii="Arial" w:eastAsia="Arial" w:hAnsi="Arial" w:cs="Arial"/>
        </w:rPr>
        <w:t>Executive Director, (C MacDonald) who reported directly to the Chief Executive. Having taken flexible retirement, the Executive Director was the Chair of the INTERPOL Environmental Compliance and Enforcement Committee Advisory Board, as well as continuing to lead on the resolution of some major compliance issues.</w:t>
      </w:r>
    </w:p>
    <w:p w14:paraId="1EE90F2C" w14:textId="77777777" w:rsidR="00B621FB" w:rsidRDefault="00B621FB" w:rsidP="00D16DB7">
      <w:pPr>
        <w:spacing w:line="360" w:lineRule="auto"/>
        <w:rPr>
          <w:rFonts w:ascii="Arial" w:eastAsia="Arial" w:hAnsi="Arial" w:cs="Arial"/>
          <w:color w:val="000000" w:themeColor="text1"/>
        </w:rPr>
      </w:pPr>
    </w:p>
    <w:p w14:paraId="301E8676" w14:textId="77777777" w:rsidR="000D41C8" w:rsidRPr="00D16DB7" w:rsidRDefault="000D41C8" w:rsidP="00D16DB7">
      <w:pPr>
        <w:spacing w:line="360" w:lineRule="auto"/>
        <w:rPr>
          <w:rFonts w:ascii="Arial" w:eastAsia="Arial" w:hAnsi="Arial" w:cs="Arial"/>
          <w:color w:val="000000" w:themeColor="text1"/>
        </w:rPr>
      </w:pPr>
    </w:p>
    <w:p w14:paraId="6DF7C38E" w14:textId="0FBB5135" w:rsidR="00B621FB" w:rsidRDefault="00B621FB" w:rsidP="003738AC">
      <w:pPr>
        <w:spacing w:line="360" w:lineRule="auto"/>
        <w:rPr>
          <w:rFonts w:ascii="Arial" w:eastAsia="Arial" w:hAnsi="Arial" w:cs="Arial"/>
          <w:b/>
          <w:bCs/>
          <w:color w:val="000000" w:themeColor="text1"/>
        </w:rPr>
      </w:pPr>
      <w:r>
        <w:rPr>
          <w:rFonts w:ascii="Arial" w:eastAsia="Arial" w:hAnsi="Arial" w:cs="Arial"/>
          <w:b/>
          <w:bCs/>
          <w:color w:val="000000" w:themeColor="text1"/>
        </w:rPr>
        <w:lastRenderedPageBreak/>
        <w:t>Planning and performance reporting</w:t>
      </w:r>
    </w:p>
    <w:p w14:paraId="5515FDBE" w14:textId="05025E73" w:rsidR="00B621FB" w:rsidRDefault="00B621FB" w:rsidP="003738AC">
      <w:pPr>
        <w:spacing w:line="360" w:lineRule="auto"/>
        <w:rPr>
          <w:rFonts w:ascii="Arial" w:eastAsia="Arial" w:hAnsi="Arial" w:cs="Arial"/>
          <w:color w:val="000000" w:themeColor="text1"/>
        </w:rPr>
      </w:pPr>
      <w:r w:rsidRPr="000448A7">
        <w:rPr>
          <w:rFonts w:ascii="Arial" w:eastAsia="Arial" w:hAnsi="Arial" w:cs="Arial"/>
          <w:color w:val="000000" w:themeColor="text1"/>
        </w:rPr>
        <w:t xml:space="preserve">Our strategy is set out in a five-year </w:t>
      </w:r>
      <w:hyperlink r:id="rId59" w:history="1">
        <w:r w:rsidR="00F65FCA">
          <w:rPr>
            <w:rStyle w:val="Hyperlink"/>
            <w:rFonts w:ascii="Arial" w:eastAsia="Arial" w:hAnsi="Arial" w:cs="Arial"/>
          </w:rPr>
          <w:t>C</w:t>
        </w:r>
        <w:r w:rsidRPr="00A664A7">
          <w:rPr>
            <w:rStyle w:val="Hyperlink"/>
            <w:rFonts w:ascii="Arial" w:eastAsia="Arial" w:hAnsi="Arial" w:cs="Arial"/>
          </w:rPr>
          <w:t xml:space="preserve">orporate </w:t>
        </w:r>
        <w:r w:rsidR="00F65FCA">
          <w:rPr>
            <w:rStyle w:val="Hyperlink"/>
            <w:rFonts w:ascii="Arial" w:eastAsia="Arial" w:hAnsi="Arial" w:cs="Arial"/>
          </w:rPr>
          <w:t>P</w:t>
        </w:r>
        <w:r w:rsidRPr="00A664A7">
          <w:rPr>
            <w:rStyle w:val="Hyperlink"/>
            <w:rFonts w:ascii="Arial" w:eastAsia="Arial" w:hAnsi="Arial" w:cs="Arial"/>
          </w:rPr>
          <w:t>lan</w:t>
        </w:r>
      </w:hyperlink>
      <w:r>
        <w:rPr>
          <w:rFonts w:ascii="Arial" w:eastAsia="Arial" w:hAnsi="Arial" w:cs="Arial"/>
          <w:color w:val="000000" w:themeColor="text1"/>
        </w:rPr>
        <w:t xml:space="preserve">, supported by </w:t>
      </w:r>
      <w:r w:rsidR="00860180">
        <w:rPr>
          <w:rFonts w:ascii="Arial" w:eastAsia="Arial" w:hAnsi="Arial" w:cs="Arial"/>
          <w:color w:val="000000" w:themeColor="text1"/>
        </w:rPr>
        <w:t xml:space="preserve">the </w:t>
      </w:r>
      <w:hyperlink r:id="rId60" w:history="1">
        <w:r w:rsidRPr="00615157">
          <w:rPr>
            <w:rStyle w:val="Hyperlink"/>
            <w:rFonts w:ascii="Arial" w:eastAsia="Arial" w:hAnsi="Arial" w:cs="Arial"/>
          </w:rPr>
          <w:t>Annual Operating Plan</w:t>
        </w:r>
      </w:hyperlink>
      <w:r>
        <w:rPr>
          <w:rFonts w:ascii="Arial" w:eastAsia="Arial" w:hAnsi="Arial" w:cs="Arial"/>
          <w:color w:val="000000" w:themeColor="text1"/>
        </w:rPr>
        <w:t>.</w:t>
      </w:r>
      <w:r w:rsidRPr="000448A7">
        <w:rPr>
          <w:rFonts w:ascii="Arial" w:eastAsia="Arial" w:hAnsi="Arial" w:cs="Arial"/>
          <w:color w:val="000000" w:themeColor="text1"/>
        </w:rPr>
        <w:t xml:space="preserve"> </w:t>
      </w:r>
      <w:r>
        <w:rPr>
          <w:rFonts w:ascii="Arial" w:eastAsia="Arial" w:hAnsi="Arial" w:cs="Arial"/>
          <w:color w:val="000000" w:themeColor="text1"/>
        </w:rPr>
        <w:t>We have</w:t>
      </w:r>
      <w:r w:rsidRPr="000448A7">
        <w:rPr>
          <w:rFonts w:ascii="Arial" w:eastAsia="Arial" w:hAnsi="Arial" w:cs="Arial"/>
          <w:color w:val="000000" w:themeColor="text1"/>
        </w:rPr>
        <w:t xml:space="preserve"> extended </w:t>
      </w:r>
      <w:r>
        <w:rPr>
          <w:rFonts w:ascii="Arial" w:eastAsia="Arial" w:hAnsi="Arial" w:cs="Arial"/>
          <w:color w:val="000000" w:themeColor="text1"/>
        </w:rPr>
        <w:t>our Corporate Plan</w:t>
      </w:r>
      <w:r w:rsidRPr="000448A7">
        <w:rPr>
          <w:rFonts w:ascii="Arial" w:eastAsia="Arial" w:hAnsi="Arial" w:cs="Arial"/>
          <w:color w:val="000000" w:themeColor="text1"/>
        </w:rPr>
        <w:t xml:space="preserve"> until 2023</w:t>
      </w:r>
      <w:r>
        <w:rPr>
          <w:rFonts w:ascii="Arial" w:eastAsia="Arial" w:hAnsi="Arial" w:cs="Arial"/>
          <w:color w:val="000000" w:themeColor="text1"/>
        </w:rPr>
        <w:t>. This is</w:t>
      </w:r>
      <w:r w:rsidRPr="000448A7">
        <w:rPr>
          <w:rFonts w:ascii="Arial" w:eastAsia="Arial" w:hAnsi="Arial" w:cs="Arial"/>
          <w:color w:val="000000" w:themeColor="text1"/>
        </w:rPr>
        <w:t xml:space="preserve"> due to the </w:t>
      </w:r>
      <w:r>
        <w:rPr>
          <w:rFonts w:ascii="Arial" w:eastAsia="Arial" w:hAnsi="Arial" w:cs="Arial"/>
          <w:color w:val="000000" w:themeColor="text1"/>
        </w:rPr>
        <w:t>organisational challenges we have experienced caused by COVID</w:t>
      </w:r>
      <w:r w:rsidR="00D236BF">
        <w:rPr>
          <w:rFonts w:ascii="Arial" w:eastAsia="Arial" w:hAnsi="Arial" w:cs="Arial"/>
          <w:color w:val="000000" w:themeColor="text1"/>
        </w:rPr>
        <w:t>-19</w:t>
      </w:r>
      <w:r>
        <w:rPr>
          <w:rFonts w:ascii="Arial" w:eastAsia="Arial" w:hAnsi="Arial" w:cs="Arial"/>
          <w:color w:val="000000" w:themeColor="text1"/>
        </w:rPr>
        <w:t xml:space="preserve"> and the cyber-attack</w:t>
      </w:r>
      <w:r w:rsidRPr="000448A7">
        <w:rPr>
          <w:rFonts w:ascii="Arial" w:eastAsia="Arial" w:hAnsi="Arial" w:cs="Arial"/>
          <w:color w:val="000000" w:themeColor="text1"/>
        </w:rPr>
        <w:t xml:space="preserve">. </w:t>
      </w:r>
    </w:p>
    <w:p w14:paraId="4A1B280F" w14:textId="77777777" w:rsidR="003738AC" w:rsidRDefault="003738AC" w:rsidP="003738AC">
      <w:pPr>
        <w:spacing w:line="360" w:lineRule="auto"/>
        <w:rPr>
          <w:rFonts w:ascii="Arial" w:eastAsia="Arial" w:hAnsi="Arial" w:cs="Arial"/>
          <w:color w:val="000000" w:themeColor="text1"/>
        </w:rPr>
      </w:pPr>
    </w:p>
    <w:p w14:paraId="47B4563D" w14:textId="0EDCA7BC" w:rsidR="00B621FB" w:rsidRDefault="00B621FB" w:rsidP="003738AC">
      <w:pPr>
        <w:spacing w:line="360" w:lineRule="auto"/>
        <w:rPr>
          <w:rFonts w:ascii="Arial" w:eastAsia="Arial" w:hAnsi="Arial" w:cs="Arial"/>
          <w:color w:val="000000" w:themeColor="text1"/>
        </w:rPr>
      </w:pPr>
      <w:r w:rsidRPr="000448A7">
        <w:rPr>
          <w:rFonts w:ascii="Arial" w:eastAsia="Arial" w:hAnsi="Arial" w:cs="Arial"/>
          <w:color w:val="000000" w:themeColor="text1"/>
        </w:rPr>
        <w:t xml:space="preserve">We set out the measures we will use to track our performance in </w:t>
      </w:r>
      <w:r>
        <w:rPr>
          <w:rFonts w:ascii="Arial" w:eastAsia="Arial" w:hAnsi="Arial" w:cs="Arial"/>
          <w:color w:val="000000" w:themeColor="text1"/>
        </w:rPr>
        <w:t>the</w:t>
      </w:r>
      <w:r w:rsidRPr="000448A7">
        <w:rPr>
          <w:rFonts w:ascii="Arial" w:eastAsia="Arial" w:hAnsi="Arial" w:cs="Arial"/>
          <w:color w:val="000000" w:themeColor="text1"/>
        </w:rPr>
        <w:t xml:space="preserve"> </w:t>
      </w:r>
      <w:r>
        <w:rPr>
          <w:rFonts w:ascii="Arial" w:eastAsia="Arial" w:hAnsi="Arial" w:cs="Arial"/>
          <w:color w:val="000000" w:themeColor="text1"/>
        </w:rPr>
        <w:t>A</w:t>
      </w:r>
      <w:r w:rsidRPr="000448A7">
        <w:rPr>
          <w:rFonts w:ascii="Arial" w:eastAsia="Arial" w:hAnsi="Arial" w:cs="Arial"/>
          <w:color w:val="000000" w:themeColor="text1"/>
        </w:rPr>
        <w:t xml:space="preserve">nnual </w:t>
      </w:r>
      <w:r>
        <w:rPr>
          <w:rFonts w:ascii="Arial" w:eastAsia="Arial" w:hAnsi="Arial" w:cs="Arial"/>
          <w:color w:val="000000" w:themeColor="text1"/>
        </w:rPr>
        <w:t>O</w:t>
      </w:r>
      <w:r w:rsidRPr="000448A7">
        <w:rPr>
          <w:rFonts w:ascii="Arial" w:eastAsia="Arial" w:hAnsi="Arial" w:cs="Arial"/>
          <w:color w:val="000000" w:themeColor="text1"/>
        </w:rPr>
        <w:t xml:space="preserve">perating </w:t>
      </w:r>
      <w:r>
        <w:rPr>
          <w:rFonts w:ascii="Arial" w:eastAsia="Arial" w:hAnsi="Arial" w:cs="Arial"/>
          <w:color w:val="000000" w:themeColor="text1"/>
        </w:rPr>
        <w:t>P</w:t>
      </w:r>
      <w:r w:rsidRPr="000448A7">
        <w:rPr>
          <w:rFonts w:ascii="Arial" w:eastAsia="Arial" w:hAnsi="Arial" w:cs="Arial"/>
          <w:color w:val="000000" w:themeColor="text1"/>
        </w:rPr>
        <w:t>lan. Up until December 2021 we reported performance monthly to the Agency Management Team and the Board. From January 2022 we reverted to quarterly reporting. We publish performance reports on our website.</w:t>
      </w:r>
    </w:p>
    <w:p w14:paraId="421B9A6F" w14:textId="77777777" w:rsidR="003738AC" w:rsidRPr="000448A7" w:rsidRDefault="003738AC" w:rsidP="003738AC">
      <w:pPr>
        <w:spacing w:line="360" w:lineRule="auto"/>
        <w:rPr>
          <w:rFonts w:ascii="Arial" w:eastAsia="Arial" w:hAnsi="Arial" w:cs="Arial"/>
          <w:color w:val="000000" w:themeColor="text1"/>
        </w:rPr>
      </w:pPr>
    </w:p>
    <w:p w14:paraId="6C5D316F" w14:textId="1C5DEA10" w:rsidR="00B621FB" w:rsidRDefault="00B621FB" w:rsidP="003738AC">
      <w:pPr>
        <w:spacing w:line="360" w:lineRule="auto"/>
        <w:rPr>
          <w:rFonts w:ascii="Arial" w:eastAsia="Arial" w:hAnsi="Arial" w:cs="Arial"/>
          <w:color w:val="000000" w:themeColor="text1"/>
        </w:rPr>
      </w:pPr>
      <w:r w:rsidRPr="000448A7">
        <w:rPr>
          <w:rFonts w:ascii="Arial" w:eastAsia="Arial" w:hAnsi="Arial" w:cs="Arial"/>
          <w:color w:val="000000" w:themeColor="text1"/>
        </w:rPr>
        <w:t xml:space="preserve">In </w:t>
      </w:r>
      <w:r w:rsidR="000845C9">
        <w:rPr>
          <w:rFonts w:ascii="Arial" w:eastAsia="Arial" w:hAnsi="Arial" w:cs="Arial"/>
          <w:color w:val="000000" w:themeColor="text1"/>
        </w:rPr>
        <w:t>2021/2022</w:t>
      </w:r>
      <w:r w:rsidRPr="000448A7">
        <w:rPr>
          <w:rFonts w:ascii="Arial" w:eastAsia="Arial" w:hAnsi="Arial" w:cs="Arial"/>
          <w:color w:val="000000" w:themeColor="text1"/>
        </w:rPr>
        <w:t xml:space="preserve"> our focus has been on ‘building back better’ as we move into a recovery and adaption phase for the organisation.</w:t>
      </w:r>
    </w:p>
    <w:p w14:paraId="021F237D" w14:textId="77777777" w:rsidR="003738AC" w:rsidRPr="000448A7" w:rsidRDefault="003738AC" w:rsidP="003738AC">
      <w:pPr>
        <w:spacing w:line="360" w:lineRule="auto"/>
        <w:rPr>
          <w:rFonts w:ascii="Arial" w:eastAsia="Arial" w:hAnsi="Arial" w:cs="Arial"/>
          <w:color w:val="000000" w:themeColor="text1"/>
        </w:rPr>
      </w:pPr>
    </w:p>
    <w:p w14:paraId="478C565D" w14:textId="6FB0415D" w:rsidR="00B621FB" w:rsidRPr="00FC24F6" w:rsidRDefault="00B621FB" w:rsidP="003738AC">
      <w:pPr>
        <w:spacing w:line="360" w:lineRule="auto"/>
        <w:rPr>
          <w:rFonts w:ascii="Arial" w:eastAsia="Arial" w:hAnsi="Arial" w:cs="Arial"/>
          <w:color w:val="000000" w:themeColor="text1"/>
        </w:rPr>
      </w:pPr>
      <w:r w:rsidRPr="000448A7">
        <w:rPr>
          <w:rFonts w:ascii="Arial" w:eastAsia="Arial" w:hAnsi="Arial" w:cs="Arial"/>
          <w:color w:val="000000" w:themeColor="text1"/>
        </w:rPr>
        <w:t xml:space="preserve">We published our revised Annual Operating Plan in </w:t>
      </w:r>
      <w:r>
        <w:rPr>
          <w:rFonts w:ascii="Arial" w:eastAsia="Arial" w:hAnsi="Arial" w:cs="Arial"/>
          <w:color w:val="000000" w:themeColor="text1"/>
        </w:rPr>
        <w:t>July</w:t>
      </w:r>
      <w:r w:rsidRPr="000448A7">
        <w:rPr>
          <w:rFonts w:ascii="Arial" w:eastAsia="Arial" w:hAnsi="Arial" w:cs="Arial"/>
          <w:color w:val="000000" w:themeColor="text1"/>
        </w:rPr>
        <w:t xml:space="preserve"> 2021. The Board approved the performance measures in July 2021. These measures were used to assess our progress.  Our end of year performance report and analysis is in the performance section of this Annual Report</w:t>
      </w:r>
      <w:r w:rsidR="00631C7B">
        <w:rPr>
          <w:rFonts w:ascii="Arial" w:eastAsia="Arial" w:hAnsi="Arial" w:cs="Arial"/>
          <w:color w:val="000000" w:themeColor="text1"/>
        </w:rPr>
        <w:t xml:space="preserve"> (section 1.4)</w:t>
      </w:r>
      <w:r>
        <w:rPr>
          <w:rFonts w:ascii="Arial" w:eastAsia="Arial" w:hAnsi="Arial" w:cs="Arial"/>
          <w:color w:val="000000" w:themeColor="text1"/>
        </w:rPr>
        <w:t>.</w:t>
      </w:r>
    </w:p>
    <w:p w14:paraId="6DDA1AE1" w14:textId="77777777" w:rsidR="00B621FB" w:rsidRPr="003738AC" w:rsidRDefault="00B621FB" w:rsidP="003738AC">
      <w:pPr>
        <w:spacing w:line="360" w:lineRule="auto"/>
        <w:rPr>
          <w:rFonts w:ascii="Arial" w:eastAsia="Arial" w:hAnsi="Arial" w:cs="Arial"/>
          <w:color w:val="000000" w:themeColor="text1"/>
        </w:rPr>
      </w:pPr>
    </w:p>
    <w:p w14:paraId="6346158F" w14:textId="12F32F20" w:rsidR="00B621FB" w:rsidRDefault="00B621FB" w:rsidP="003738AC">
      <w:pPr>
        <w:spacing w:line="360" w:lineRule="auto"/>
        <w:rPr>
          <w:rFonts w:ascii="Arial" w:eastAsia="Arial" w:hAnsi="Arial" w:cs="Arial"/>
          <w:b/>
          <w:bCs/>
          <w:color w:val="000000" w:themeColor="text1"/>
        </w:rPr>
      </w:pPr>
      <w:r w:rsidRPr="002448A2">
        <w:rPr>
          <w:rFonts w:ascii="Arial" w:eastAsia="Arial" w:hAnsi="Arial" w:cs="Arial"/>
          <w:b/>
          <w:bCs/>
          <w:color w:val="000000" w:themeColor="text1"/>
        </w:rPr>
        <w:t>Budgeting and financial management</w:t>
      </w:r>
    </w:p>
    <w:p w14:paraId="16639420" w14:textId="72C33D30" w:rsidR="0038119E" w:rsidRDefault="006A7544" w:rsidP="00E9377E">
      <w:pPr>
        <w:spacing w:line="360" w:lineRule="auto"/>
        <w:rPr>
          <w:rFonts w:ascii="Arial" w:eastAsia="Arial" w:hAnsi="Arial" w:cs="Arial"/>
          <w:color w:val="000000" w:themeColor="text1"/>
        </w:rPr>
      </w:pPr>
      <w:r>
        <w:rPr>
          <w:rFonts w:ascii="Arial" w:eastAsia="Arial" w:hAnsi="Arial" w:cs="Arial"/>
          <w:color w:val="000000" w:themeColor="text1"/>
        </w:rPr>
        <w:t xml:space="preserve">Prior to the cyber-attack we </w:t>
      </w:r>
      <w:r w:rsidR="00E9377E" w:rsidRPr="00E9377E">
        <w:rPr>
          <w:rFonts w:ascii="Arial" w:eastAsia="Arial" w:hAnsi="Arial" w:cs="Arial"/>
          <w:color w:val="000000" w:themeColor="text1"/>
        </w:rPr>
        <w:t>ha</w:t>
      </w:r>
      <w:r>
        <w:rPr>
          <w:rFonts w:ascii="Arial" w:eastAsia="Arial" w:hAnsi="Arial" w:cs="Arial"/>
          <w:color w:val="000000" w:themeColor="text1"/>
        </w:rPr>
        <w:t>d</w:t>
      </w:r>
      <w:r w:rsidR="00E9377E" w:rsidRPr="00E9377E">
        <w:rPr>
          <w:rFonts w:ascii="Arial" w:eastAsia="Arial" w:hAnsi="Arial" w:cs="Arial"/>
          <w:color w:val="000000" w:themeColor="text1"/>
        </w:rPr>
        <w:t xml:space="preserve"> a comprehensive budgeting and financial reporting system, in line with the Scottish Public Finance Manual, which compares actual results to the budgets approved by our Board. </w:t>
      </w:r>
      <w:r w:rsidR="00A332B4">
        <w:rPr>
          <w:rFonts w:ascii="Arial" w:eastAsia="Arial" w:hAnsi="Arial" w:cs="Arial"/>
          <w:color w:val="000000" w:themeColor="text1"/>
        </w:rPr>
        <w:t xml:space="preserve"> </w:t>
      </w:r>
      <w:r w:rsidR="00E9377E" w:rsidRPr="00E9377E">
        <w:rPr>
          <w:rFonts w:ascii="Arial" w:eastAsia="Arial" w:hAnsi="Arial" w:cs="Arial"/>
          <w:color w:val="000000" w:themeColor="text1"/>
        </w:rPr>
        <w:t>Management accounts are prepared for each portfolio, and SEPA as a whole, on a monthly basis. Significant variances from budget are thoroughly investigated. Cash flow and other financial forecasts are prepared regularly throughout the year to ensure that we have sufficient cash to meet our operational needs</w:t>
      </w:r>
      <w:r w:rsidR="00F874CD">
        <w:rPr>
          <w:rFonts w:ascii="Arial" w:eastAsia="Arial" w:hAnsi="Arial" w:cs="Arial"/>
          <w:color w:val="000000" w:themeColor="text1"/>
        </w:rPr>
        <w:t>.</w:t>
      </w:r>
    </w:p>
    <w:p w14:paraId="4AEE971D" w14:textId="3E280DD3" w:rsidR="00F874CD" w:rsidRDefault="00F874CD" w:rsidP="00E9377E">
      <w:pPr>
        <w:spacing w:line="360" w:lineRule="auto"/>
        <w:rPr>
          <w:rFonts w:ascii="Arial" w:eastAsia="Arial" w:hAnsi="Arial" w:cs="Arial"/>
          <w:color w:val="000000" w:themeColor="text1"/>
        </w:rPr>
      </w:pPr>
    </w:p>
    <w:p w14:paraId="72B34849" w14:textId="091D6C68" w:rsidR="00EF005A" w:rsidRDefault="00F874CD" w:rsidP="003738AC">
      <w:pPr>
        <w:spacing w:line="360" w:lineRule="auto"/>
        <w:rPr>
          <w:rFonts w:ascii="Arial" w:eastAsia="Arial" w:hAnsi="Arial" w:cs="Arial"/>
          <w:color w:val="000000" w:themeColor="text1"/>
        </w:rPr>
      </w:pPr>
      <w:r>
        <w:rPr>
          <w:rFonts w:ascii="Arial" w:eastAsia="Arial" w:hAnsi="Arial" w:cs="Arial"/>
          <w:color w:val="000000" w:themeColor="text1"/>
        </w:rPr>
        <w:t>Following the cyber-attack in December 2020</w:t>
      </w:r>
      <w:r w:rsidR="006A2F4C">
        <w:rPr>
          <w:rFonts w:ascii="Arial" w:eastAsia="Arial" w:hAnsi="Arial" w:cs="Arial"/>
          <w:color w:val="000000" w:themeColor="text1"/>
        </w:rPr>
        <w:t>,</w:t>
      </w:r>
      <w:r>
        <w:rPr>
          <w:rFonts w:ascii="Arial" w:eastAsia="Arial" w:hAnsi="Arial" w:cs="Arial"/>
          <w:color w:val="000000" w:themeColor="text1"/>
        </w:rPr>
        <w:t xml:space="preserve"> we had to re</w:t>
      </w:r>
      <w:r w:rsidR="00B621FB" w:rsidRPr="002448A2">
        <w:rPr>
          <w:rFonts w:ascii="Arial" w:eastAsia="Arial" w:hAnsi="Arial" w:cs="Arial"/>
          <w:color w:val="000000" w:themeColor="text1"/>
        </w:rPr>
        <w:t>buil</w:t>
      </w:r>
      <w:r>
        <w:rPr>
          <w:rFonts w:ascii="Arial" w:eastAsia="Arial" w:hAnsi="Arial" w:cs="Arial"/>
          <w:color w:val="000000" w:themeColor="text1"/>
        </w:rPr>
        <w:t>d</w:t>
      </w:r>
      <w:r w:rsidR="00B621FB" w:rsidRPr="002448A2">
        <w:rPr>
          <w:rFonts w:ascii="Arial" w:eastAsia="Arial" w:hAnsi="Arial" w:cs="Arial"/>
          <w:color w:val="000000" w:themeColor="text1"/>
        </w:rPr>
        <w:t xml:space="preserve"> the core enterprise system SEPA uses to support </w:t>
      </w:r>
      <w:r w:rsidR="006A2F4C">
        <w:rPr>
          <w:rFonts w:ascii="Arial" w:eastAsia="Arial" w:hAnsi="Arial" w:cs="Arial"/>
          <w:color w:val="000000" w:themeColor="text1"/>
        </w:rPr>
        <w:t>f</w:t>
      </w:r>
      <w:r>
        <w:rPr>
          <w:rFonts w:ascii="Arial" w:eastAsia="Arial" w:hAnsi="Arial" w:cs="Arial"/>
          <w:color w:val="000000" w:themeColor="text1"/>
        </w:rPr>
        <w:t xml:space="preserve">inance, </w:t>
      </w:r>
      <w:r w:rsidR="006A2F4C">
        <w:rPr>
          <w:rFonts w:ascii="Arial" w:eastAsia="Arial" w:hAnsi="Arial" w:cs="Arial"/>
          <w:color w:val="000000" w:themeColor="text1"/>
        </w:rPr>
        <w:t>p</w:t>
      </w:r>
      <w:r>
        <w:rPr>
          <w:rFonts w:ascii="Arial" w:eastAsia="Arial" w:hAnsi="Arial" w:cs="Arial"/>
          <w:color w:val="000000" w:themeColor="text1"/>
        </w:rPr>
        <w:t>rocurement</w:t>
      </w:r>
      <w:r w:rsidR="00FD778F">
        <w:rPr>
          <w:rFonts w:ascii="Arial" w:eastAsia="Arial" w:hAnsi="Arial" w:cs="Arial"/>
          <w:color w:val="000000" w:themeColor="text1"/>
        </w:rPr>
        <w:t>,</w:t>
      </w:r>
      <w:r>
        <w:rPr>
          <w:rFonts w:ascii="Arial" w:eastAsia="Arial" w:hAnsi="Arial" w:cs="Arial"/>
          <w:color w:val="000000" w:themeColor="text1"/>
        </w:rPr>
        <w:t xml:space="preserve"> and </w:t>
      </w:r>
      <w:r w:rsidR="006A2F4C">
        <w:rPr>
          <w:rFonts w:ascii="Arial" w:eastAsia="Arial" w:hAnsi="Arial" w:cs="Arial"/>
          <w:color w:val="000000" w:themeColor="text1"/>
        </w:rPr>
        <w:t>h</w:t>
      </w:r>
      <w:r w:rsidR="00B621FB" w:rsidRPr="002448A2">
        <w:rPr>
          <w:rFonts w:ascii="Arial" w:eastAsia="Arial" w:hAnsi="Arial" w:cs="Arial"/>
          <w:color w:val="000000" w:themeColor="text1"/>
        </w:rPr>
        <w:t xml:space="preserve">uman </w:t>
      </w:r>
      <w:r w:rsidR="006A2F4C">
        <w:rPr>
          <w:rFonts w:ascii="Arial" w:eastAsia="Arial" w:hAnsi="Arial" w:cs="Arial"/>
          <w:color w:val="000000" w:themeColor="text1"/>
        </w:rPr>
        <w:t>r</w:t>
      </w:r>
      <w:r w:rsidR="00B621FB" w:rsidRPr="002448A2">
        <w:rPr>
          <w:rFonts w:ascii="Arial" w:eastAsia="Arial" w:hAnsi="Arial" w:cs="Arial"/>
          <w:color w:val="000000" w:themeColor="text1"/>
        </w:rPr>
        <w:t xml:space="preserve">esources, </w:t>
      </w:r>
      <w:r>
        <w:rPr>
          <w:rFonts w:ascii="Arial" w:eastAsia="Arial" w:hAnsi="Arial" w:cs="Arial"/>
          <w:color w:val="000000" w:themeColor="text1"/>
        </w:rPr>
        <w:t xml:space="preserve">and this was implemented in May 2022.  </w:t>
      </w:r>
      <w:r w:rsidR="005C5E8F">
        <w:rPr>
          <w:rFonts w:ascii="Arial" w:eastAsia="Arial" w:hAnsi="Arial" w:cs="Arial"/>
          <w:color w:val="000000" w:themeColor="text1"/>
        </w:rPr>
        <w:t>Pri</w:t>
      </w:r>
      <w:r w:rsidR="00663FB2">
        <w:rPr>
          <w:rFonts w:ascii="Arial" w:eastAsia="Arial" w:hAnsi="Arial" w:cs="Arial"/>
          <w:color w:val="000000" w:themeColor="text1"/>
        </w:rPr>
        <w:t xml:space="preserve">oritisation of the </w:t>
      </w:r>
      <w:r w:rsidR="000845C9">
        <w:rPr>
          <w:rFonts w:ascii="Arial" w:eastAsia="Arial" w:hAnsi="Arial" w:cs="Arial"/>
          <w:color w:val="000000" w:themeColor="text1"/>
        </w:rPr>
        <w:t>2020/21</w:t>
      </w:r>
      <w:r w:rsidR="00663FB2">
        <w:rPr>
          <w:rFonts w:ascii="Arial" w:eastAsia="Arial" w:hAnsi="Arial" w:cs="Arial"/>
          <w:color w:val="000000" w:themeColor="text1"/>
        </w:rPr>
        <w:t xml:space="preserve"> annual accounts</w:t>
      </w:r>
      <w:r w:rsidR="005836EB">
        <w:rPr>
          <w:rFonts w:ascii="Arial" w:eastAsia="Arial" w:hAnsi="Arial" w:cs="Arial"/>
          <w:color w:val="000000" w:themeColor="text1"/>
        </w:rPr>
        <w:t xml:space="preserve">, </w:t>
      </w:r>
      <w:r w:rsidR="00663FB2">
        <w:rPr>
          <w:rFonts w:ascii="Arial" w:eastAsia="Arial" w:hAnsi="Arial" w:cs="Arial"/>
          <w:color w:val="000000" w:themeColor="text1"/>
        </w:rPr>
        <w:t xml:space="preserve">further development of the system to restore </w:t>
      </w:r>
      <w:r w:rsidR="009D39D0">
        <w:rPr>
          <w:rFonts w:ascii="Arial" w:eastAsia="Arial" w:hAnsi="Arial" w:cs="Arial"/>
          <w:color w:val="000000" w:themeColor="text1"/>
        </w:rPr>
        <w:t>key financial reports</w:t>
      </w:r>
      <w:r w:rsidR="00316A55">
        <w:rPr>
          <w:rFonts w:ascii="Arial" w:eastAsia="Arial" w:hAnsi="Arial" w:cs="Arial"/>
          <w:color w:val="000000" w:themeColor="text1"/>
        </w:rPr>
        <w:t>,</w:t>
      </w:r>
      <w:r w:rsidR="005836EB">
        <w:rPr>
          <w:rFonts w:ascii="Arial" w:eastAsia="Arial" w:hAnsi="Arial" w:cs="Arial"/>
          <w:color w:val="000000" w:themeColor="text1"/>
        </w:rPr>
        <w:t xml:space="preserve"> provide budget holders online access</w:t>
      </w:r>
      <w:r w:rsidR="00B244BA">
        <w:rPr>
          <w:rFonts w:ascii="Arial" w:eastAsia="Arial" w:hAnsi="Arial" w:cs="Arial"/>
          <w:color w:val="000000" w:themeColor="text1"/>
        </w:rPr>
        <w:t>,</w:t>
      </w:r>
      <w:r w:rsidR="005836EB">
        <w:rPr>
          <w:rFonts w:ascii="Arial" w:eastAsia="Arial" w:hAnsi="Arial" w:cs="Arial"/>
          <w:color w:val="000000" w:themeColor="text1"/>
        </w:rPr>
        <w:t xml:space="preserve"> </w:t>
      </w:r>
      <w:r w:rsidR="00316A55">
        <w:rPr>
          <w:rFonts w:ascii="Arial" w:eastAsia="Arial" w:hAnsi="Arial" w:cs="Arial"/>
          <w:color w:val="000000" w:themeColor="text1"/>
        </w:rPr>
        <w:t xml:space="preserve">and </w:t>
      </w:r>
      <w:r w:rsidR="00CA3FF3">
        <w:rPr>
          <w:rFonts w:ascii="Arial" w:eastAsia="Arial" w:hAnsi="Arial" w:cs="Arial"/>
          <w:color w:val="000000" w:themeColor="text1"/>
        </w:rPr>
        <w:t xml:space="preserve">implement </w:t>
      </w:r>
      <w:r w:rsidR="009D39D0">
        <w:rPr>
          <w:rFonts w:ascii="Arial" w:eastAsia="Arial" w:hAnsi="Arial" w:cs="Arial"/>
          <w:color w:val="000000" w:themeColor="text1"/>
        </w:rPr>
        <w:t>the fixed asset module</w:t>
      </w:r>
      <w:r w:rsidR="005836EB">
        <w:rPr>
          <w:rFonts w:ascii="Arial" w:eastAsia="Arial" w:hAnsi="Arial" w:cs="Arial"/>
          <w:color w:val="000000" w:themeColor="text1"/>
        </w:rPr>
        <w:t xml:space="preserve"> </w:t>
      </w:r>
      <w:r w:rsidR="00D1686C">
        <w:rPr>
          <w:rFonts w:ascii="Arial" w:eastAsia="Arial" w:hAnsi="Arial" w:cs="Arial"/>
          <w:color w:val="000000" w:themeColor="text1"/>
        </w:rPr>
        <w:t>meant that restor</w:t>
      </w:r>
      <w:r w:rsidR="00B92431">
        <w:rPr>
          <w:rFonts w:ascii="Arial" w:eastAsia="Arial" w:hAnsi="Arial" w:cs="Arial"/>
          <w:color w:val="000000" w:themeColor="text1"/>
        </w:rPr>
        <w:t>ation of</w:t>
      </w:r>
      <w:r w:rsidR="00316A55">
        <w:rPr>
          <w:rFonts w:ascii="Arial" w:eastAsia="Arial" w:hAnsi="Arial" w:cs="Arial"/>
          <w:color w:val="000000" w:themeColor="text1"/>
        </w:rPr>
        <w:t xml:space="preserve"> our full </w:t>
      </w:r>
      <w:r w:rsidR="00B92431">
        <w:rPr>
          <w:rFonts w:ascii="Arial" w:eastAsia="Arial" w:hAnsi="Arial" w:cs="Arial"/>
          <w:color w:val="000000" w:themeColor="text1"/>
        </w:rPr>
        <w:t xml:space="preserve">budgeting and financial reporting system was </w:t>
      </w:r>
      <w:r w:rsidR="00103071">
        <w:rPr>
          <w:rFonts w:ascii="Arial" w:eastAsia="Arial" w:hAnsi="Arial" w:cs="Arial"/>
          <w:color w:val="000000" w:themeColor="text1"/>
        </w:rPr>
        <w:t xml:space="preserve">not fully restored in </w:t>
      </w:r>
      <w:r w:rsidR="000845C9">
        <w:rPr>
          <w:rFonts w:ascii="Arial" w:eastAsia="Arial" w:hAnsi="Arial" w:cs="Arial"/>
          <w:color w:val="000000" w:themeColor="text1"/>
        </w:rPr>
        <w:t>2021/22</w:t>
      </w:r>
      <w:r w:rsidR="00103071">
        <w:rPr>
          <w:rFonts w:ascii="Arial" w:eastAsia="Arial" w:hAnsi="Arial" w:cs="Arial"/>
          <w:color w:val="000000" w:themeColor="text1"/>
        </w:rPr>
        <w:t xml:space="preserve">. </w:t>
      </w:r>
      <w:r w:rsidR="00B244BA">
        <w:rPr>
          <w:rFonts w:ascii="Arial" w:eastAsia="Arial" w:hAnsi="Arial" w:cs="Arial"/>
          <w:color w:val="000000" w:themeColor="text1"/>
        </w:rPr>
        <w:t xml:space="preserve"> </w:t>
      </w:r>
      <w:r w:rsidR="003951FC">
        <w:rPr>
          <w:rFonts w:ascii="Arial" w:eastAsia="Arial" w:hAnsi="Arial" w:cs="Arial"/>
          <w:color w:val="000000" w:themeColor="text1"/>
        </w:rPr>
        <w:t>Forecasts</w:t>
      </w:r>
      <w:r w:rsidR="003951FC" w:rsidRPr="003951FC">
        <w:rPr>
          <w:rFonts w:ascii="Arial" w:eastAsia="Arial" w:hAnsi="Arial" w:cs="Arial"/>
          <w:color w:val="000000" w:themeColor="text1"/>
        </w:rPr>
        <w:t xml:space="preserve"> and variances were discussed with budget managers, </w:t>
      </w:r>
      <w:r w:rsidR="00813741">
        <w:rPr>
          <w:rFonts w:ascii="Arial" w:eastAsia="Arial" w:hAnsi="Arial" w:cs="Arial"/>
          <w:color w:val="000000" w:themeColor="text1"/>
        </w:rPr>
        <w:t xml:space="preserve">the </w:t>
      </w:r>
      <w:r w:rsidR="003951FC" w:rsidRPr="003951FC">
        <w:rPr>
          <w:rFonts w:ascii="Arial" w:eastAsia="Arial" w:hAnsi="Arial" w:cs="Arial"/>
          <w:color w:val="000000" w:themeColor="text1"/>
        </w:rPr>
        <w:t>year to date and forecast outturn positions including an explanation of significant variances and risks</w:t>
      </w:r>
      <w:r w:rsidR="003951FC" w:rsidRPr="00813741">
        <w:rPr>
          <w:rFonts w:ascii="Arial" w:eastAsia="Arial" w:hAnsi="Arial" w:cs="Arial"/>
          <w:color w:val="000000" w:themeColor="text1"/>
        </w:rPr>
        <w:t xml:space="preserve"> were reported to A</w:t>
      </w:r>
      <w:r w:rsidR="00AF7A57">
        <w:rPr>
          <w:rFonts w:ascii="Arial" w:eastAsia="Arial" w:hAnsi="Arial" w:cs="Arial"/>
          <w:color w:val="000000" w:themeColor="text1"/>
        </w:rPr>
        <w:t>gency Management Team</w:t>
      </w:r>
      <w:r w:rsidR="003951FC" w:rsidRPr="00813741">
        <w:rPr>
          <w:rFonts w:ascii="Arial" w:eastAsia="Arial" w:hAnsi="Arial" w:cs="Arial"/>
          <w:color w:val="000000" w:themeColor="text1"/>
        </w:rPr>
        <w:t xml:space="preserve"> and Board.</w:t>
      </w:r>
      <w:r w:rsidR="002A1317">
        <w:rPr>
          <w:rFonts w:ascii="Arial" w:eastAsia="Arial" w:hAnsi="Arial" w:cs="Arial"/>
          <w:color w:val="000000" w:themeColor="text1"/>
        </w:rPr>
        <w:t xml:space="preserve"> </w:t>
      </w:r>
      <w:r w:rsidR="00AF7A57">
        <w:rPr>
          <w:rFonts w:ascii="Arial" w:eastAsia="Arial" w:hAnsi="Arial" w:cs="Arial"/>
          <w:color w:val="000000" w:themeColor="text1"/>
        </w:rPr>
        <w:t xml:space="preserve"> </w:t>
      </w:r>
      <w:r w:rsidR="00C51306">
        <w:rPr>
          <w:rFonts w:ascii="Arial" w:eastAsia="Arial" w:hAnsi="Arial" w:cs="Arial"/>
          <w:color w:val="000000" w:themeColor="text1"/>
        </w:rPr>
        <w:t xml:space="preserve">However, </w:t>
      </w:r>
      <w:r w:rsidR="0009618B">
        <w:rPr>
          <w:rFonts w:ascii="Arial" w:eastAsia="Arial" w:hAnsi="Arial" w:cs="Arial"/>
          <w:color w:val="000000" w:themeColor="text1"/>
        </w:rPr>
        <w:t xml:space="preserve">reporting at </w:t>
      </w:r>
      <w:r w:rsidR="00AF7A57">
        <w:rPr>
          <w:rFonts w:ascii="Arial" w:eastAsia="Arial" w:hAnsi="Arial" w:cs="Arial"/>
          <w:color w:val="000000" w:themeColor="text1"/>
        </w:rPr>
        <w:t>p</w:t>
      </w:r>
      <w:r w:rsidR="0009618B">
        <w:rPr>
          <w:rFonts w:ascii="Arial" w:eastAsia="Arial" w:hAnsi="Arial" w:cs="Arial"/>
          <w:color w:val="000000" w:themeColor="text1"/>
        </w:rPr>
        <w:t xml:space="preserve">ortfolio level and </w:t>
      </w:r>
      <w:r w:rsidR="0029512C">
        <w:rPr>
          <w:rFonts w:ascii="Arial" w:eastAsia="Arial" w:hAnsi="Arial" w:cs="Arial"/>
          <w:color w:val="000000" w:themeColor="text1"/>
        </w:rPr>
        <w:t>online access to budget</w:t>
      </w:r>
      <w:r w:rsidR="00024337">
        <w:rPr>
          <w:rFonts w:ascii="Arial" w:eastAsia="Arial" w:hAnsi="Arial" w:cs="Arial"/>
          <w:color w:val="000000" w:themeColor="text1"/>
        </w:rPr>
        <w:t>s</w:t>
      </w:r>
      <w:r w:rsidR="0029512C">
        <w:rPr>
          <w:rFonts w:ascii="Arial" w:eastAsia="Arial" w:hAnsi="Arial" w:cs="Arial"/>
          <w:color w:val="000000" w:themeColor="text1"/>
        </w:rPr>
        <w:t xml:space="preserve"> was no</w:t>
      </w:r>
      <w:r w:rsidR="00024337">
        <w:rPr>
          <w:rFonts w:ascii="Arial" w:eastAsia="Arial" w:hAnsi="Arial" w:cs="Arial"/>
          <w:color w:val="000000" w:themeColor="text1"/>
        </w:rPr>
        <w:t>t</w:t>
      </w:r>
      <w:r w:rsidR="0029512C">
        <w:rPr>
          <w:rFonts w:ascii="Arial" w:eastAsia="Arial" w:hAnsi="Arial" w:cs="Arial"/>
          <w:color w:val="000000" w:themeColor="text1"/>
        </w:rPr>
        <w:t xml:space="preserve"> reins</w:t>
      </w:r>
      <w:r w:rsidR="003951FC">
        <w:rPr>
          <w:rFonts w:ascii="Arial" w:eastAsia="Arial" w:hAnsi="Arial" w:cs="Arial"/>
          <w:color w:val="000000" w:themeColor="text1"/>
        </w:rPr>
        <w:t xml:space="preserve">tated until </w:t>
      </w:r>
      <w:r w:rsidR="000845C9">
        <w:rPr>
          <w:rFonts w:ascii="Arial" w:eastAsia="Arial" w:hAnsi="Arial" w:cs="Arial"/>
          <w:color w:val="000000" w:themeColor="text1"/>
        </w:rPr>
        <w:t>2022/23</w:t>
      </w:r>
      <w:r w:rsidR="00024337">
        <w:rPr>
          <w:rFonts w:ascii="Arial" w:eastAsia="Arial" w:hAnsi="Arial" w:cs="Arial"/>
          <w:color w:val="000000" w:themeColor="text1"/>
        </w:rPr>
        <w:t>.</w:t>
      </w:r>
      <w:r w:rsidR="008766D6" w:rsidRPr="00813741">
        <w:rPr>
          <w:rFonts w:ascii="Arial" w:eastAsia="Arial" w:hAnsi="Arial" w:cs="Arial"/>
          <w:color w:val="000000" w:themeColor="text1"/>
        </w:rPr>
        <w:t xml:space="preserve"> </w:t>
      </w:r>
    </w:p>
    <w:p w14:paraId="479F75D3" w14:textId="77777777" w:rsidR="00024337" w:rsidRDefault="00024337" w:rsidP="003738AC">
      <w:pPr>
        <w:spacing w:line="360" w:lineRule="auto"/>
        <w:rPr>
          <w:rFonts w:ascii="Arial" w:eastAsia="Arial" w:hAnsi="Arial" w:cs="Arial"/>
          <w:b/>
          <w:bCs/>
          <w:color w:val="000000" w:themeColor="text1"/>
        </w:rPr>
      </w:pPr>
    </w:p>
    <w:p w14:paraId="6224880B" w14:textId="26E9CEE7" w:rsidR="00B621FB" w:rsidRDefault="00B621FB" w:rsidP="003738AC">
      <w:pPr>
        <w:spacing w:line="360" w:lineRule="auto"/>
        <w:rPr>
          <w:rFonts w:ascii="Arial" w:eastAsia="Arial" w:hAnsi="Arial" w:cs="Arial"/>
          <w:b/>
          <w:bCs/>
          <w:color w:val="000000" w:themeColor="text1"/>
        </w:rPr>
      </w:pPr>
      <w:r>
        <w:rPr>
          <w:rFonts w:ascii="Arial" w:eastAsia="Arial" w:hAnsi="Arial" w:cs="Arial"/>
          <w:b/>
          <w:bCs/>
          <w:color w:val="000000" w:themeColor="text1"/>
        </w:rPr>
        <w:lastRenderedPageBreak/>
        <w:t>Internal audit, peer review, and internal control</w:t>
      </w:r>
    </w:p>
    <w:p w14:paraId="2E83FF4A" w14:textId="48D498E3" w:rsidR="00B621FB" w:rsidRDefault="00B621FB" w:rsidP="003738AC">
      <w:pPr>
        <w:spacing w:line="360" w:lineRule="auto"/>
        <w:textAlignment w:val="baseline"/>
        <w:rPr>
          <w:rFonts w:ascii="Arial" w:hAnsi="Arial" w:cs="Arial"/>
        </w:rPr>
      </w:pPr>
      <w:r w:rsidRPr="000B7D9B">
        <w:rPr>
          <w:rFonts w:ascii="Arial" w:hAnsi="Arial" w:cs="Arial"/>
        </w:rPr>
        <w:t>As Accountable Officer, I have responsibility for maintaining sound systems of internal control. These support the achievement of our policies, aims</w:t>
      </w:r>
      <w:r w:rsidR="00FD778F">
        <w:rPr>
          <w:rFonts w:ascii="Arial" w:hAnsi="Arial" w:cs="Arial"/>
        </w:rPr>
        <w:t>,</w:t>
      </w:r>
      <w:r w:rsidRPr="000B7D9B">
        <w:rPr>
          <w:rFonts w:ascii="Arial" w:hAnsi="Arial" w:cs="Arial"/>
        </w:rPr>
        <w:t xml:space="preserve"> and objectives. They also safeguard the public funds and assets for which I am personally responsible. Following the challenges that we have faced over the past two years, we have had to adapt and build upon many of our existing controls and in some places, temporary manual controls have been put in place.  </w:t>
      </w:r>
    </w:p>
    <w:p w14:paraId="19EF3632" w14:textId="77777777" w:rsidR="004A3869" w:rsidRPr="004A3869" w:rsidRDefault="004A3869" w:rsidP="003738AC">
      <w:pPr>
        <w:spacing w:line="360" w:lineRule="auto"/>
        <w:textAlignment w:val="baseline"/>
        <w:rPr>
          <w:rFonts w:ascii="Arial" w:hAnsi="Arial" w:cs="Arial"/>
        </w:rPr>
      </w:pPr>
    </w:p>
    <w:p w14:paraId="18E585F0" w14:textId="0C03F910" w:rsidR="00B621FB" w:rsidRDefault="00B621FB" w:rsidP="003738AC">
      <w:pPr>
        <w:spacing w:line="360" w:lineRule="auto"/>
        <w:textAlignment w:val="baseline"/>
        <w:rPr>
          <w:rFonts w:ascii="Arial" w:hAnsi="Arial" w:cs="Arial"/>
        </w:rPr>
      </w:pPr>
      <w:proofErr w:type="spellStart"/>
      <w:r w:rsidRPr="000B7D9B">
        <w:rPr>
          <w:rFonts w:ascii="Arial" w:hAnsi="Arial" w:cs="Arial"/>
        </w:rPr>
        <w:t>Azets</w:t>
      </w:r>
      <w:proofErr w:type="spellEnd"/>
      <w:r w:rsidRPr="000B7D9B">
        <w:rPr>
          <w:rFonts w:ascii="Arial" w:hAnsi="Arial" w:cs="Arial"/>
        </w:rPr>
        <w:t xml:space="preserve"> carries out our internal audits. They provide assurance that we are managing key risks well and achieving value for money. When we develop our internal audit plan, we consider several factors: our risk management framework; strategic objectives and priorities; and the views of senior managers and the members of the Audit Committee.  </w:t>
      </w:r>
    </w:p>
    <w:p w14:paraId="0F769FAD" w14:textId="77777777" w:rsidR="00696189" w:rsidRDefault="00696189" w:rsidP="003738AC">
      <w:pPr>
        <w:spacing w:line="360" w:lineRule="auto"/>
        <w:textAlignment w:val="baseline"/>
        <w:rPr>
          <w:rFonts w:ascii="Arial" w:hAnsi="Arial" w:cs="Arial"/>
        </w:rPr>
      </w:pPr>
    </w:p>
    <w:p w14:paraId="385009AD" w14:textId="40B23EFD" w:rsidR="00B621FB" w:rsidRDefault="00B621FB" w:rsidP="003738AC">
      <w:pPr>
        <w:pStyle w:val="BodyText"/>
        <w:spacing w:after="0" w:line="360" w:lineRule="auto"/>
        <w:rPr>
          <w:rFonts w:ascii="Arial" w:hAnsi="Arial" w:cs="Arial"/>
          <w:color w:val="000000"/>
          <w:sz w:val="24"/>
          <w:szCs w:val="24"/>
          <w:shd w:val="clear" w:color="auto" w:fill="FFFFFF"/>
        </w:rPr>
      </w:pPr>
      <w:r w:rsidRPr="00333CBA">
        <w:rPr>
          <w:rFonts w:ascii="Arial" w:hAnsi="Arial" w:cs="Arial"/>
          <w:color w:val="000000"/>
          <w:sz w:val="24"/>
          <w:szCs w:val="24"/>
          <w:shd w:val="clear" w:color="auto" w:fill="FFFFFF"/>
        </w:rPr>
        <w:t>The Public Sector Internal Audit Standards state that:</w:t>
      </w:r>
      <w:r>
        <w:rPr>
          <w:rFonts w:ascii="Arial" w:hAnsi="Arial" w:cs="Arial"/>
          <w:color w:val="000000"/>
          <w:sz w:val="24"/>
          <w:szCs w:val="24"/>
          <w:shd w:val="clear" w:color="auto" w:fill="FFFFFF"/>
        </w:rPr>
        <w:t xml:space="preserve"> </w:t>
      </w:r>
      <w:r w:rsidRPr="00333CBA">
        <w:rPr>
          <w:rFonts w:ascii="Arial" w:hAnsi="Arial" w:cs="Arial"/>
          <w:color w:val="000000"/>
          <w:sz w:val="24"/>
          <w:szCs w:val="24"/>
          <w:shd w:val="clear" w:color="auto" w:fill="FFFFFF"/>
        </w:rPr>
        <w:t xml:space="preserve">“The Chief Audit Executive must deliver an annual internal audit opinion and </w:t>
      </w:r>
      <w:r>
        <w:rPr>
          <w:rFonts w:ascii="Arial" w:hAnsi="Arial" w:cs="Arial"/>
          <w:color w:val="000000"/>
          <w:sz w:val="24"/>
          <w:szCs w:val="24"/>
          <w:shd w:val="clear" w:color="auto" w:fill="FFFFFF"/>
        </w:rPr>
        <w:t xml:space="preserve">a </w:t>
      </w:r>
      <w:r w:rsidRPr="00333CBA">
        <w:rPr>
          <w:rFonts w:ascii="Arial" w:hAnsi="Arial" w:cs="Arial"/>
          <w:color w:val="000000"/>
          <w:sz w:val="24"/>
          <w:szCs w:val="24"/>
          <w:shd w:val="clear" w:color="auto" w:fill="FFFFFF"/>
        </w:rPr>
        <w:t>report that can be used by the organisation to inform its governance statement.</w:t>
      </w:r>
      <w:r>
        <w:rPr>
          <w:rFonts w:ascii="Arial" w:hAnsi="Arial" w:cs="Arial"/>
          <w:color w:val="000000"/>
          <w:sz w:val="24"/>
          <w:szCs w:val="24"/>
          <w:shd w:val="clear" w:color="auto" w:fill="FFFFFF"/>
        </w:rPr>
        <w:t xml:space="preserve"> </w:t>
      </w:r>
      <w:r w:rsidRPr="00333CBA">
        <w:rPr>
          <w:rFonts w:ascii="Arial" w:hAnsi="Arial" w:cs="Arial"/>
          <w:color w:val="000000"/>
          <w:sz w:val="24"/>
          <w:szCs w:val="24"/>
          <w:shd w:val="clear" w:color="auto" w:fill="FFFFFF"/>
        </w:rPr>
        <w:t>The annual internal audit opinion must conclude on the overall adequacy and effectiveness of the organisation’s framework of governance, risk management</w:t>
      </w:r>
      <w:r>
        <w:rPr>
          <w:rFonts w:ascii="Arial" w:hAnsi="Arial" w:cs="Arial"/>
          <w:color w:val="000000"/>
          <w:sz w:val="24"/>
          <w:szCs w:val="24"/>
          <w:shd w:val="clear" w:color="auto" w:fill="FFFFFF"/>
        </w:rPr>
        <w:t>,</w:t>
      </w:r>
      <w:r w:rsidRPr="00333CBA">
        <w:rPr>
          <w:rFonts w:ascii="Arial" w:hAnsi="Arial" w:cs="Arial"/>
          <w:color w:val="000000"/>
          <w:sz w:val="24"/>
          <w:szCs w:val="24"/>
          <w:shd w:val="clear" w:color="auto" w:fill="FFFFFF"/>
        </w:rPr>
        <w:t xml:space="preserve"> and control.”</w:t>
      </w:r>
    </w:p>
    <w:p w14:paraId="11273E97" w14:textId="77777777" w:rsidR="00F60973" w:rsidRPr="001E0F6B" w:rsidRDefault="00F60973" w:rsidP="003738AC">
      <w:pPr>
        <w:pStyle w:val="BodyText"/>
        <w:spacing w:after="0" w:line="360" w:lineRule="auto"/>
        <w:rPr>
          <w:rFonts w:ascii="Arial" w:hAnsi="Arial" w:cs="Arial"/>
          <w:color w:val="000000"/>
          <w:sz w:val="24"/>
          <w:szCs w:val="24"/>
          <w:shd w:val="clear" w:color="auto" w:fill="FFFFFF"/>
        </w:rPr>
      </w:pPr>
    </w:p>
    <w:p w14:paraId="7190023E" w14:textId="672A53EB" w:rsidR="00B621FB" w:rsidRDefault="00B621FB" w:rsidP="003738AC">
      <w:pPr>
        <w:pStyle w:val="BulletCopy"/>
        <w:spacing w:line="360" w:lineRule="auto"/>
        <w:rPr>
          <w:sz w:val="24"/>
          <w:szCs w:val="24"/>
        </w:rPr>
      </w:pPr>
      <w:proofErr w:type="spellStart"/>
      <w:r>
        <w:rPr>
          <w:rFonts w:eastAsia="Arial" w:cs="Arial"/>
          <w:sz w:val="24"/>
          <w:szCs w:val="24"/>
        </w:rPr>
        <w:t>Azets</w:t>
      </w:r>
      <w:proofErr w:type="spellEnd"/>
      <w:r>
        <w:rPr>
          <w:rFonts w:eastAsia="Arial" w:cs="Arial"/>
          <w:sz w:val="24"/>
          <w:szCs w:val="24"/>
        </w:rPr>
        <w:t xml:space="preserve"> Chief Audit Executive concluded: “</w:t>
      </w:r>
      <w:r w:rsidRPr="00C97BE4">
        <w:rPr>
          <w:sz w:val="24"/>
          <w:szCs w:val="24"/>
        </w:rPr>
        <w:t>In our opinion SEPA has a framework of controls in place that provides reasonable assurance regarding the organisation’s governance framework, internal controls, effective and efficient achievement of objectives and the management of key risks.</w:t>
      </w:r>
      <w:r>
        <w:rPr>
          <w:sz w:val="24"/>
          <w:szCs w:val="24"/>
        </w:rPr>
        <w:t>”</w:t>
      </w:r>
    </w:p>
    <w:p w14:paraId="5DE24DCA" w14:textId="77777777" w:rsidR="00696189" w:rsidRPr="00A5676C" w:rsidRDefault="00696189" w:rsidP="003738AC">
      <w:pPr>
        <w:pStyle w:val="BulletCopy"/>
        <w:spacing w:line="360" w:lineRule="auto"/>
        <w:rPr>
          <w:rFonts w:eastAsia="Arial" w:cs="Arial"/>
          <w:sz w:val="24"/>
          <w:szCs w:val="24"/>
        </w:rPr>
      </w:pPr>
    </w:p>
    <w:p w14:paraId="3CB300E8" w14:textId="5FA60D98" w:rsidR="00B621FB" w:rsidRDefault="00B621FB" w:rsidP="003738AC">
      <w:pPr>
        <w:spacing w:line="360" w:lineRule="auto"/>
        <w:textAlignment w:val="baseline"/>
        <w:rPr>
          <w:rFonts w:ascii="Arial" w:hAnsi="Arial" w:cs="Arial"/>
        </w:rPr>
      </w:pPr>
      <w:r w:rsidRPr="000B7D9B">
        <w:rPr>
          <w:rFonts w:ascii="Arial" w:hAnsi="Arial" w:cs="Arial"/>
        </w:rPr>
        <w:t xml:space="preserve">As a result of the cyber-attack in December 2020, we lost access to our internal systems and processes. Following this, we had to revise our </w:t>
      </w:r>
      <w:r w:rsidR="00C93C80">
        <w:rPr>
          <w:rFonts w:ascii="Arial" w:hAnsi="Arial" w:cs="Arial"/>
        </w:rPr>
        <w:t>I</w:t>
      </w:r>
      <w:r w:rsidRPr="000B7D9B">
        <w:rPr>
          <w:rFonts w:ascii="Arial" w:hAnsi="Arial" w:cs="Arial"/>
        </w:rPr>
        <w:t xml:space="preserve">nternal </w:t>
      </w:r>
      <w:r w:rsidR="00C93C80">
        <w:rPr>
          <w:rFonts w:ascii="Arial" w:hAnsi="Arial" w:cs="Arial"/>
        </w:rPr>
        <w:t>A</w:t>
      </w:r>
      <w:r w:rsidRPr="000B7D9B">
        <w:rPr>
          <w:rFonts w:ascii="Arial" w:hAnsi="Arial" w:cs="Arial"/>
        </w:rPr>
        <w:t xml:space="preserve">udit </w:t>
      </w:r>
      <w:r w:rsidR="00C93C80">
        <w:rPr>
          <w:rFonts w:ascii="Arial" w:hAnsi="Arial" w:cs="Arial"/>
        </w:rPr>
        <w:t>P</w:t>
      </w:r>
      <w:r w:rsidRPr="000B7D9B">
        <w:rPr>
          <w:rFonts w:ascii="Arial" w:hAnsi="Arial" w:cs="Arial"/>
        </w:rPr>
        <w:t xml:space="preserve">lan for </w:t>
      </w:r>
      <w:r w:rsidR="000845C9">
        <w:rPr>
          <w:rFonts w:ascii="Arial" w:hAnsi="Arial" w:cs="Arial"/>
        </w:rPr>
        <w:t>2021/2022</w:t>
      </w:r>
      <w:r w:rsidRPr="000B7D9B">
        <w:rPr>
          <w:rFonts w:ascii="Arial" w:hAnsi="Arial" w:cs="Arial"/>
        </w:rPr>
        <w:t>. The revised audit plan focussed on areas where we needed assurance that we had put the correct controls back in place and areas where processes had been re-established after the cyber-attack.</w:t>
      </w:r>
    </w:p>
    <w:p w14:paraId="1D73ADC9" w14:textId="77777777" w:rsidR="00696189" w:rsidRDefault="00696189" w:rsidP="003738AC">
      <w:pPr>
        <w:spacing w:line="360" w:lineRule="auto"/>
        <w:textAlignment w:val="baseline"/>
        <w:rPr>
          <w:rFonts w:ascii="Arial" w:hAnsi="Arial" w:cs="Arial"/>
        </w:rPr>
      </w:pPr>
    </w:p>
    <w:p w14:paraId="7154370D" w14:textId="5FBB0B9B" w:rsidR="00696189" w:rsidRDefault="00B621FB" w:rsidP="003738AC">
      <w:pPr>
        <w:spacing w:line="360" w:lineRule="auto"/>
        <w:textAlignment w:val="baseline"/>
        <w:rPr>
          <w:rFonts w:ascii="Arial" w:hAnsi="Arial" w:cs="Arial"/>
        </w:rPr>
      </w:pPr>
      <w:r w:rsidRPr="000B7D9B">
        <w:rPr>
          <w:rFonts w:ascii="Arial" w:hAnsi="Arial" w:cs="Arial"/>
        </w:rPr>
        <w:t>The areas audited were the data breach that occurred because of the cyber-attack; our COVID</w:t>
      </w:r>
      <w:r w:rsidR="002522F2">
        <w:rPr>
          <w:rFonts w:ascii="Arial" w:hAnsi="Arial" w:cs="Arial"/>
        </w:rPr>
        <w:t>-19</w:t>
      </w:r>
      <w:r w:rsidRPr="000B7D9B">
        <w:rPr>
          <w:rFonts w:ascii="Arial" w:hAnsi="Arial" w:cs="Arial"/>
        </w:rPr>
        <w:t xml:space="preserve"> recovery arrangements; regulatory position statements; </w:t>
      </w:r>
      <w:r>
        <w:rPr>
          <w:rFonts w:ascii="Arial" w:hAnsi="Arial" w:cs="Arial"/>
        </w:rPr>
        <w:t xml:space="preserve">the </w:t>
      </w:r>
      <w:r w:rsidRPr="000B7D9B">
        <w:rPr>
          <w:rFonts w:ascii="Arial" w:hAnsi="Arial" w:cs="Arial"/>
        </w:rPr>
        <w:t>Board governance; flood warning systems; and land use planning.  </w:t>
      </w:r>
    </w:p>
    <w:p w14:paraId="7CE67254" w14:textId="77777777" w:rsidR="00696189" w:rsidRPr="00696189" w:rsidRDefault="00696189" w:rsidP="003738AC">
      <w:pPr>
        <w:spacing w:line="360" w:lineRule="auto"/>
        <w:textAlignment w:val="baseline"/>
        <w:rPr>
          <w:rFonts w:ascii="Arial" w:hAnsi="Arial" w:cs="Arial"/>
        </w:rPr>
      </w:pPr>
    </w:p>
    <w:p w14:paraId="599F7C7D" w14:textId="2FBCECCA" w:rsidR="00B621FB" w:rsidRDefault="00B621FB" w:rsidP="003738AC">
      <w:pPr>
        <w:spacing w:line="360" w:lineRule="auto"/>
        <w:textAlignment w:val="baseline"/>
        <w:rPr>
          <w:rFonts w:ascii="Arial" w:hAnsi="Arial" w:cs="Arial"/>
        </w:rPr>
      </w:pPr>
      <w:r w:rsidRPr="000B7D9B">
        <w:rPr>
          <w:rFonts w:ascii="Arial" w:hAnsi="Arial" w:cs="Arial"/>
        </w:rPr>
        <w:t>Following the cyber-attack, we commission</w:t>
      </w:r>
      <w:r>
        <w:rPr>
          <w:rFonts w:ascii="Arial" w:hAnsi="Arial" w:cs="Arial"/>
        </w:rPr>
        <w:t>ed</w:t>
      </w:r>
      <w:r w:rsidRPr="000B7D9B">
        <w:rPr>
          <w:rFonts w:ascii="Arial" w:hAnsi="Arial" w:cs="Arial"/>
        </w:rPr>
        <w:t xml:space="preserve"> a comprehensive review of the incident. Four independent organisations contributed to the review. </w:t>
      </w:r>
      <w:r>
        <w:rPr>
          <w:rFonts w:ascii="Arial" w:hAnsi="Arial" w:cs="Arial"/>
        </w:rPr>
        <w:t>The review</w:t>
      </w:r>
      <w:r w:rsidRPr="000B7D9B">
        <w:rPr>
          <w:rFonts w:ascii="Arial" w:hAnsi="Arial" w:cs="Arial"/>
        </w:rPr>
        <w:t xml:space="preserve"> sought to establish</w:t>
      </w:r>
      <w:r>
        <w:rPr>
          <w:rFonts w:ascii="Arial" w:hAnsi="Arial" w:cs="Arial"/>
        </w:rPr>
        <w:t>:</w:t>
      </w:r>
      <w:r w:rsidRPr="000B7D9B">
        <w:rPr>
          <w:rFonts w:ascii="Arial" w:hAnsi="Arial" w:cs="Arial"/>
        </w:rPr>
        <w:t xml:space="preserve"> </w:t>
      </w:r>
    </w:p>
    <w:p w14:paraId="7DD4C6FD" w14:textId="77777777" w:rsidR="00696189" w:rsidRDefault="00696189" w:rsidP="003738AC">
      <w:pPr>
        <w:spacing w:line="360" w:lineRule="auto"/>
        <w:textAlignment w:val="baseline"/>
        <w:rPr>
          <w:rFonts w:ascii="Arial" w:hAnsi="Arial" w:cs="Arial"/>
        </w:rPr>
      </w:pPr>
    </w:p>
    <w:p w14:paraId="5677A8E4"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 xml:space="preserve">what led to the attack and why; </w:t>
      </w:r>
    </w:p>
    <w:p w14:paraId="479718BB"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lastRenderedPageBreak/>
        <w:t xml:space="preserve">what improvements are needed in our recovery to avoid a repeat of the incident; </w:t>
      </w:r>
    </w:p>
    <w:p w14:paraId="0A9C98FA"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what went well in our response and what lessons can be learned for the management of future incidents; and</w:t>
      </w:r>
    </w:p>
    <w:p w14:paraId="34A55689" w14:textId="66E2CE4B" w:rsidR="00B621FB"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 xml:space="preserve">what learning can be taken away for other organisations to help reduce the risk of it happening to them. </w:t>
      </w:r>
    </w:p>
    <w:p w14:paraId="26111327" w14:textId="77777777" w:rsidR="00696189" w:rsidRPr="00696189" w:rsidRDefault="00696189" w:rsidP="00696189">
      <w:pPr>
        <w:pStyle w:val="ListParagraph"/>
        <w:spacing w:line="360" w:lineRule="auto"/>
        <w:ind w:right="-425"/>
        <w:rPr>
          <w:rFonts w:ascii="Arial" w:eastAsia="Arial" w:hAnsi="Arial" w:cs="Arial"/>
        </w:rPr>
      </w:pPr>
    </w:p>
    <w:p w14:paraId="45F58396" w14:textId="162A2ED9" w:rsidR="00B621FB" w:rsidRDefault="00B621FB" w:rsidP="003738AC">
      <w:pPr>
        <w:spacing w:line="360" w:lineRule="auto"/>
        <w:textAlignment w:val="baseline"/>
        <w:rPr>
          <w:rFonts w:ascii="Arial" w:hAnsi="Arial" w:cs="Arial"/>
        </w:rPr>
      </w:pPr>
      <w:r w:rsidRPr="00B16474">
        <w:rPr>
          <w:rFonts w:ascii="Arial" w:hAnsi="Arial" w:cs="Arial"/>
        </w:rPr>
        <w:t xml:space="preserve">These reports were published on our </w:t>
      </w:r>
      <w:hyperlink r:id="rId61" w:history="1">
        <w:r w:rsidRPr="00905115">
          <w:rPr>
            <w:rStyle w:val="Hyperlink"/>
            <w:rFonts w:ascii="Arial" w:hAnsi="Arial" w:cs="Arial"/>
          </w:rPr>
          <w:t>website</w:t>
        </w:r>
      </w:hyperlink>
      <w:r w:rsidRPr="00B16474">
        <w:rPr>
          <w:rFonts w:ascii="Arial" w:hAnsi="Arial" w:cs="Arial"/>
        </w:rPr>
        <w:t xml:space="preserve"> in October</w:t>
      </w:r>
      <w:r w:rsidR="003445AE">
        <w:rPr>
          <w:rFonts w:ascii="Arial" w:hAnsi="Arial" w:cs="Arial"/>
        </w:rPr>
        <w:t xml:space="preserve"> 2021</w:t>
      </w:r>
      <w:r>
        <w:rPr>
          <w:rFonts w:ascii="Arial" w:hAnsi="Arial" w:cs="Arial"/>
        </w:rPr>
        <w:t xml:space="preserve">. The reports also included a </w:t>
      </w:r>
      <w:r w:rsidRPr="00B16474">
        <w:rPr>
          <w:rFonts w:ascii="Arial" w:hAnsi="Arial" w:cs="Arial"/>
        </w:rPr>
        <w:t xml:space="preserve">document detailing our response and 44 actions that we are taking to increase our controls and security to help defend from any similar incidents </w:t>
      </w:r>
      <w:r>
        <w:rPr>
          <w:rFonts w:ascii="Arial" w:hAnsi="Arial" w:cs="Arial"/>
        </w:rPr>
        <w:t>happening</w:t>
      </w:r>
      <w:r w:rsidRPr="00B16474">
        <w:rPr>
          <w:rFonts w:ascii="Arial" w:hAnsi="Arial" w:cs="Arial"/>
        </w:rPr>
        <w:t xml:space="preserve"> in the future. </w:t>
      </w:r>
    </w:p>
    <w:p w14:paraId="2BEF619F" w14:textId="77777777" w:rsidR="00696189" w:rsidRDefault="00696189" w:rsidP="003738AC">
      <w:pPr>
        <w:spacing w:line="360" w:lineRule="auto"/>
        <w:textAlignment w:val="baseline"/>
        <w:rPr>
          <w:rFonts w:ascii="Arial" w:hAnsi="Arial" w:cs="Arial"/>
        </w:rPr>
      </w:pPr>
    </w:p>
    <w:p w14:paraId="76C5E5B5" w14:textId="33A7EC74" w:rsidR="00B621FB" w:rsidRDefault="00B621FB" w:rsidP="003738AC">
      <w:pPr>
        <w:spacing w:line="360" w:lineRule="auto"/>
        <w:rPr>
          <w:rFonts w:ascii="Arial" w:eastAsia="Arial" w:hAnsi="Arial" w:cs="Arial"/>
          <w:b/>
          <w:bCs/>
        </w:rPr>
      </w:pPr>
      <w:r w:rsidRPr="002F0BFF">
        <w:rPr>
          <w:rFonts w:ascii="Arial" w:eastAsia="Arial" w:hAnsi="Arial" w:cs="Arial"/>
          <w:b/>
          <w:bCs/>
        </w:rPr>
        <w:t xml:space="preserve">Information </w:t>
      </w:r>
      <w:r w:rsidR="00885DAB">
        <w:rPr>
          <w:rFonts w:ascii="Arial" w:eastAsia="Arial" w:hAnsi="Arial" w:cs="Arial"/>
          <w:b/>
          <w:bCs/>
        </w:rPr>
        <w:t>g</w:t>
      </w:r>
      <w:r w:rsidRPr="002F0BFF">
        <w:rPr>
          <w:rFonts w:ascii="Arial" w:eastAsia="Arial" w:hAnsi="Arial" w:cs="Arial"/>
          <w:b/>
          <w:bCs/>
        </w:rPr>
        <w:t>overnance</w:t>
      </w:r>
    </w:p>
    <w:p w14:paraId="4C26F608" w14:textId="77777777" w:rsidR="00293CC2" w:rsidRPr="002F0BFF" w:rsidRDefault="00293CC2" w:rsidP="003738AC">
      <w:pPr>
        <w:spacing w:line="360" w:lineRule="auto"/>
        <w:rPr>
          <w:rFonts w:ascii="Arial" w:eastAsia="Arial" w:hAnsi="Arial" w:cs="Arial"/>
          <w:b/>
          <w:bCs/>
        </w:rPr>
      </w:pPr>
    </w:p>
    <w:p w14:paraId="210A5741" w14:textId="5137373C" w:rsidR="00B621FB" w:rsidRDefault="00B621FB" w:rsidP="003738AC">
      <w:pPr>
        <w:spacing w:line="360" w:lineRule="auto"/>
        <w:rPr>
          <w:rFonts w:ascii="Arial" w:eastAsia="Arial" w:hAnsi="Arial" w:cs="Arial"/>
          <w:b/>
          <w:bCs/>
        </w:rPr>
      </w:pPr>
      <w:r>
        <w:rPr>
          <w:rFonts w:ascii="Arial" w:eastAsia="Arial" w:hAnsi="Arial" w:cs="Arial"/>
          <w:b/>
          <w:bCs/>
        </w:rPr>
        <w:t>Personal data breaches and complaints</w:t>
      </w:r>
    </w:p>
    <w:p w14:paraId="24C20DE4" w14:textId="1980D7F2" w:rsidR="00B621FB" w:rsidRDefault="00B621FB" w:rsidP="003738AC">
      <w:pPr>
        <w:spacing w:line="360" w:lineRule="auto"/>
        <w:rPr>
          <w:rFonts w:ascii="Arial" w:eastAsia="Arial" w:hAnsi="Arial" w:cs="Arial"/>
        </w:rPr>
      </w:pPr>
      <w:r w:rsidRPr="0026079F">
        <w:rPr>
          <w:rFonts w:ascii="Arial" w:eastAsia="Arial" w:hAnsi="Arial" w:cs="Arial"/>
        </w:rPr>
        <w:t>In September 2021, the Information Commissioners Office provided details on the outcome of a personal data breach investigation.</w:t>
      </w:r>
      <w:r>
        <w:rPr>
          <w:rFonts w:ascii="Arial" w:eastAsia="Arial" w:hAnsi="Arial" w:cs="Arial"/>
        </w:rPr>
        <w:t xml:space="preserve"> Based on their assessment, and the information we submitted, the </w:t>
      </w:r>
      <w:r w:rsidRPr="0026079F">
        <w:rPr>
          <w:rFonts w:ascii="Arial" w:eastAsia="Arial" w:hAnsi="Arial" w:cs="Arial"/>
        </w:rPr>
        <w:t xml:space="preserve">Information Commissioners Office </w:t>
      </w:r>
      <w:r>
        <w:rPr>
          <w:rFonts w:ascii="Arial" w:eastAsia="Arial" w:hAnsi="Arial" w:cs="Arial"/>
        </w:rPr>
        <w:t>issued us with a reprimand under their enforcement procedure.</w:t>
      </w:r>
    </w:p>
    <w:p w14:paraId="7EE927D1" w14:textId="77777777" w:rsidR="00696189" w:rsidRDefault="00696189" w:rsidP="003738AC">
      <w:pPr>
        <w:spacing w:line="360" w:lineRule="auto"/>
        <w:rPr>
          <w:rFonts w:ascii="Arial" w:eastAsia="Arial" w:hAnsi="Arial" w:cs="Arial"/>
        </w:rPr>
      </w:pPr>
    </w:p>
    <w:p w14:paraId="439B9CEC" w14:textId="51A97303" w:rsidR="00B621FB" w:rsidRDefault="00B621FB" w:rsidP="003738AC">
      <w:pPr>
        <w:spacing w:line="360" w:lineRule="auto"/>
        <w:rPr>
          <w:rFonts w:ascii="Arial" w:eastAsia="Arial" w:hAnsi="Arial" w:cs="Arial"/>
        </w:rPr>
      </w:pPr>
      <w:r>
        <w:rPr>
          <w:rFonts w:ascii="Arial" w:eastAsia="Arial" w:hAnsi="Arial" w:cs="Arial"/>
        </w:rPr>
        <w:t xml:space="preserve">We notified the </w:t>
      </w:r>
      <w:r w:rsidRPr="0026079F">
        <w:rPr>
          <w:rFonts w:ascii="Arial" w:eastAsia="Arial" w:hAnsi="Arial" w:cs="Arial"/>
        </w:rPr>
        <w:t xml:space="preserve">Information Commissioners Office </w:t>
      </w:r>
      <w:r>
        <w:rPr>
          <w:rFonts w:ascii="Arial" w:eastAsia="Arial" w:hAnsi="Arial" w:cs="Arial"/>
        </w:rPr>
        <w:t xml:space="preserve">of another data breach in November 2021. We submitted full details of the circumstances that led to the breach. The </w:t>
      </w:r>
      <w:r w:rsidRPr="0026079F">
        <w:rPr>
          <w:rFonts w:ascii="Arial" w:eastAsia="Arial" w:hAnsi="Arial" w:cs="Arial"/>
        </w:rPr>
        <w:t xml:space="preserve">Information Commissioners Office </w:t>
      </w:r>
      <w:r>
        <w:rPr>
          <w:rFonts w:ascii="Arial" w:eastAsia="Arial" w:hAnsi="Arial" w:cs="Arial"/>
        </w:rPr>
        <w:t>reviewed the information and decided not to take any further action.</w:t>
      </w:r>
    </w:p>
    <w:p w14:paraId="6CAE1E1E" w14:textId="77777777" w:rsidR="00696189" w:rsidRDefault="00696189" w:rsidP="003738AC">
      <w:pPr>
        <w:spacing w:line="360" w:lineRule="auto"/>
        <w:rPr>
          <w:rFonts w:ascii="Arial" w:eastAsia="Arial" w:hAnsi="Arial" w:cs="Arial"/>
        </w:rPr>
      </w:pPr>
    </w:p>
    <w:p w14:paraId="43DFF34F" w14:textId="22A554BF" w:rsidR="00B621FB" w:rsidRDefault="00B621FB" w:rsidP="003738AC">
      <w:pPr>
        <w:spacing w:line="360" w:lineRule="auto"/>
        <w:textAlignment w:val="baseline"/>
        <w:rPr>
          <w:rFonts w:ascii="Arial" w:eastAsia="Arial" w:hAnsi="Arial" w:cs="Arial"/>
        </w:rPr>
      </w:pPr>
      <w:r>
        <w:rPr>
          <w:rFonts w:ascii="Arial" w:eastAsia="Arial" w:hAnsi="Arial" w:cs="Arial"/>
        </w:rPr>
        <w:t xml:space="preserve">The </w:t>
      </w:r>
      <w:r w:rsidRPr="0026079F">
        <w:rPr>
          <w:rFonts w:ascii="Arial" w:eastAsia="Arial" w:hAnsi="Arial" w:cs="Arial"/>
        </w:rPr>
        <w:t xml:space="preserve">Information Commissioners Office </w:t>
      </w:r>
      <w:r>
        <w:rPr>
          <w:rFonts w:ascii="Arial" w:eastAsia="Arial" w:hAnsi="Arial" w:cs="Arial"/>
        </w:rPr>
        <w:t>has also investigated a complaint</w:t>
      </w:r>
      <w:r w:rsidR="00351C85">
        <w:rPr>
          <w:rFonts w:ascii="Arial" w:eastAsia="Arial" w:hAnsi="Arial" w:cs="Arial"/>
        </w:rPr>
        <w:t xml:space="preserve"> from an </w:t>
      </w:r>
      <w:r w:rsidR="00974B6E">
        <w:rPr>
          <w:rFonts w:ascii="Arial" w:eastAsia="Arial" w:hAnsi="Arial" w:cs="Arial"/>
        </w:rPr>
        <w:t>individual about</w:t>
      </w:r>
      <w:r>
        <w:rPr>
          <w:rFonts w:ascii="Arial" w:eastAsia="Arial" w:hAnsi="Arial" w:cs="Arial"/>
        </w:rPr>
        <w:t xml:space="preserve"> our handling of </w:t>
      </w:r>
      <w:r w:rsidR="00DF5D67">
        <w:rPr>
          <w:rFonts w:ascii="Arial" w:eastAsia="Arial" w:hAnsi="Arial" w:cs="Arial"/>
        </w:rPr>
        <w:t xml:space="preserve">their </w:t>
      </w:r>
      <w:r>
        <w:rPr>
          <w:rFonts w:ascii="Arial" w:eastAsia="Arial" w:hAnsi="Arial" w:cs="Arial"/>
        </w:rPr>
        <w:t>personal data. It found that we needed to take further action to resolve the complaint and communicate this with the affected individual.</w:t>
      </w:r>
      <w:r w:rsidR="00DF5D67">
        <w:rPr>
          <w:rFonts w:ascii="Arial" w:eastAsia="Arial" w:hAnsi="Arial" w:cs="Arial"/>
        </w:rPr>
        <w:t xml:space="preserve">  Further correspondence was sent to the individual from SEPA’s </w:t>
      </w:r>
      <w:r w:rsidR="00866B18">
        <w:rPr>
          <w:rFonts w:ascii="Arial" w:eastAsia="Arial" w:hAnsi="Arial" w:cs="Arial"/>
        </w:rPr>
        <w:t>Acting Chief Executive</w:t>
      </w:r>
      <w:r w:rsidR="00DF5D67">
        <w:rPr>
          <w:rFonts w:ascii="Arial" w:eastAsia="Arial" w:hAnsi="Arial" w:cs="Arial"/>
        </w:rPr>
        <w:t xml:space="preserve"> in April 2022.</w:t>
      </w:r>
    </w:p>
    <w:p w14:paraId="49332A05" w14:textId="77777777" w:rsidR="00696189" w:rsidRDefault="00696189" w:rsidP="003738AC">
      <w:pPr>
        <w:spacing w:line="360" w:lineRule="auto"/>
        <w:textAlignment w:val="baseline"/>
        <w:rPr>
          <w:rFonts w:ascii="Arial" w:hAnsi="Arial" w:cs="Arial"/>
          <w:b/>
          <w:bCs/>
        </w:rPr>
      </w:pPr>
    </w:p>
    <w:p w14:paraId="0185F4EB" w14:textId="735522CE" w:rsidR="00B621FB" w:rsidRDefault="00B621FB" w:rsidP="003738AC">
      <w:pPr>
        <w:spacing w:line="360" w:lineRule="auto"/>
        <w:textAlignment w:val="baseline"/>
        <w:rPr>
          <w:rFonts w:ascii="Arial" w:hAnsi="Arial" w:cs="Arial"/>
          <w:b/>
          <w:bCs/>
        </w:rPr>
      </w:pPr>
      <w:r w:rsidRPr="00200382">
        <w:rPr>
          <w:rFonts w:ascii="Arial" w:hAnsi="Arial" w:cs="Arial"/>
          <w:b/>
          <w:bCs/>
        </w:rPr>
        <w:t>Cyber</w:t>
      </w:r>
      <w:r>
        <w:rPr>
          <w:rFonts w:ascii="Arial" w:hAnsi="Arial" w:cs="Arial"/>
          <w:b/>
          <w:bCs/>
        </w:rPr>
        <w:t>-a</w:t>
      </w:r>
      <w:r w:rsidRPr="00200382">
        <w:rPr>
          <w:rFonts w:ascii="Arial" w:hAnsi="Arial" w:cs="Arial"/>
          <w:b/>
          <w:bCs/>
        </w:rPr>
        <w:t>ttack</w:t>
      </w:r>
    </w:p>
    <w:p w14:paraId="0B119F56" w14:textId="242530A6" w:rsidR="00B621FB" w:rsidRDefault="00B621FB" w:rsidP="003738AC">
      <w:pPr>
        <w:spacing w:line="360" w:lineRule="auto"/>
        <w:textAlignment w:val="baseline"/>
        <w:rPr>
          <w:rFonts w:ascii="Arial" w:eastAsia="Arial" w:hAnsi="Arial" w:cs="Arial"/>
        </w:rPr>
      </w:pPr>
      <w:r w:rsidRPr="00A600F5">
        <w:rPr>
          <w:rFonts w:ascii="Arial" w:hAnsi="Arial" w:cs="Arial"/>
        </w:rPr>
        <w:t>One of the key prioriti</w:t>
      </w:r>
      <w:r>
        <w:rPr>
          <w:rFonts w:ascii="Arial" w:hAnsi="Arial" w:cs="Arial"/>
        </w:rPr>
        <w:t>e</w:t>
      </w:r>
      <w:r w:rsidRPr="00A600F5">
        <w:rPr>
          <w:rFonts w:ascii="Arial" w:hAnsi="Arial" w:cs="Arial"/>
        </w:rPr>
        <w:t>s following the cyber-attack</w:t>
      </w:r>
      <w:r>
        <w:rPr>
          <w:rFonts w:ascii="Arial" w:hAnsi="Arial" w:cs="Arial"/>
        </w:rPr>
        <w:t xml:space="preserve"> has been responding to the impact it has had on individual staff. </w:t>
      </w:r>
      <w:r>
        <w:rPr>
          <w:rFonts w:ascii="Arial" w:eastAsia="Arial" w:hAnsi="Arial" w:cs="Arial"/>
        </w:rPr>
        <w:t>We committed to let every staff member know what personal data was stolen and published. In December 2021 we provided staff with personalised reports. The reports provided details of the documents and types of personal data that had been stolen.</w:t>
      </w:r>
    </w:p>
    <w:p w14:paraId="41C814DD" w14:textId="77777777" w:rsidR="00696189" w:rsidRPr="005213E4" w:rsidRDefault="00696189" w:rsidP="003738AC">
      <w:pPr>
        <w:spacing w:line="360" w:lineRule="auto"/>
        <w:textAlignment w:val="baseline"/>
        <w:rPr>
          <w:rFonts w:ascii="Arial" w:eastAsia="Arial" w:hAnsi="Arial" w:cs="Arial"/>
        </w:rPr>
      </w:pPr>
    </w:p>
    <w:p w14:paraId="3E1A500E" w14:textId="33D543D8" w:rsidR="00B621FB" w:rsidRDefault="00B621FB" w:rsidP="003738AC">
      <w:pPr>
        <w:spacing w:line="360" w:lineRule="auto"/>
        <w:rPr>
          <w:rFonts w:ascii="Arial" w:eastAsia="Arial" w:hAnsi="Arial" w:cs="Arial"/>
          <w:color w:val="000000" w:themeColor="text1"/>
        </w:rPr>
      </w:pPr>
      <w:r>
        <w:rPr>
          <w:rFonts w:ascii="Arial" w:eastAsia="Arial" w:hAnsi="Arial" w:cs="Arial"/>
          <w:color w:val="000000" w:themeColor="text1"/>
        </w:rPr>
        <w:t xml:space="preserve">During our cyber-attack recovery phase, systems and process have had to be rebuilt. This has included our core Finance and Human Resource systems. We have worked to ensure that the protection of personal data is at the heart of this rebuilding work. We have assessed and </w:t>
      </w:r>
      <w:r>
        <w:rPr>
          <w:rFonts w:ascii="Arial" w:eastAsia="Arial" w:hAnsi="Arial" w:cs="Arial"/>
          <w:color w:val="000000" w:themeColor="text1"/>
        </w:rPr>
        <w:lastRenderedPageBreak/>
        <w:t>assured the risks for many processes involving data protection. We have recorded and agreed mitigations in over 120 Data Protection Impact Assessments.</w:t>
      </w:r>
    </w:p>
    <w:p w14:paraId="17987BFB" w14:textId="77777777" w:rsidR="00696189" w:rsidRPr="00620E96" w:rsidRDefault="00696189" w:rsidP="003738AC">
      <w:pPr>
        <w:spacing w:line="360" w:lineRule="auto"/>
        <w:rPr>
          <w:rFonts w:ascii="Arial" w:eastAsia="Arial" w:hAnsi="Arial" w:cs="Arial"/>
          <w:color w:val="000000" w:themeColor="text1"/>
        </w:rPr>
      </w:pPr>
    </w:p>
    <w:p w14:paraId="127DF5B4" w14:textId="4FD8FCBD" w:rsidR="00B621FB" w:rsidRDefault="00B621FB" w:rsidP="003738AC">
      <w:pPr>
        <w:spacing w:line="360" w:lineRule="auto"/>
        <w:rPr>
          <w:rFonts w:ascii="Arial" w:eastAsia="Arial" w:hAnsi="Arial" w:cs="Arial"/>
          <w:color w:val="000000" w:themeColor="text1"/>
        </w:rPr>
      </w:pPr>
      <w:r w:rsidRPr="00454E5D">
        <w:rPr>
          <w:rFonts w:ascii="Arial" w:eastAsia="Arial" w:hAnsi="Arial" w:cs="Arial"/>
          <w:color w:val="000000" w:themeColor="text1"/>
        </w:rPr>
        <w:t xml:space="preserve">Our ability to access our information was also affected by the cyber-attack. This has continued to limit our ability to respond to Access to Information requests. We have been in regular contact with the </w:t>
      </w:r>
      <w:r w:rsidRPr="0026079F">
        <w:rPr>
          <w:rFonts w:ascii="Arial" w:eastAsia="Arial" w:hAnsi="Arial" w:cs="Arial"/>
        </w:rPr>
        <w:t xml:space="preserve">Information Commissioners Office </w:t>
      </w:r>
      <w:r w:rsidRPr="00454E5D">
        <w:rPr>
          <w:rFonts w:ascii="Arial" w:eastAsia="Arial" w:hAnsi="Arial" w:cs="Arial"/>
          <w:color w:val="000000" w:themeColor="text1"/>
        </w:rPr>
        <w:t>throughout to keep them updated.</w:t>
      </w:r>
    </w:p>
    <w:p w14:paraId="5264AD1C" w14:textId="77777777" w:rsidR="00696189" w:rsidRPr="00454E5D" w:rsidRDefault="00696189" w:rsidP="003738AC">
      <w:pPr>
        <w:spacing w:line="360" w:lineRule="auto"/>
        <w:rPr>
          <w:rFonts w:ascii="Arial" w:eastAsia="Arial" w:hAnsi="Arial" w:cs="Arial"/>
          <w:color w:val="000000" w:themeColor="text1"/>
        </w:rPr>
      </w:pPr>
    </w:p>
    <w:p w14:paraId="0547B6A3" w14:textId="79AA2B52" w:rsidR="00B621FB" w:rsidRDefault="00B621FB" w:rsidP="003738AC">
      <w:pPr>
        <w:spacing w:line="360" w:lineRule="auto"/>
        <w:rPr>
          <w:rFonts w:ascii="Arial" w:eastAsia="Arial" w:hAnsi="Arial" w:cs="Arial"/>
          <w:color w:val="000000" w:themeColor="text1"/>
        </w:rPr>
      </w:pPr>
      <w:r w:rsidRPr="00454E5D">
        <w:rPr>
          <w:rFonts w:ascii="Arial" w:eastAsia="Arial" w:hAnsi="Arial" w:cs="Arial"/>
          <w:color w:val="000000" w:themeColor="text1"/>
        </w:rPr>
        <w:t xml:space="preserve">The Information </w:t>
      </w:r>
      <w:r>
        <w:rPr>
          <w:rFonts w:ascii="Arial" w:eastAsia="Arial" w:hAnsi="Arial" w:cs="Arial"/>
          <w:color w:val="000000" w:themeColor="text1"/>
        </w:rPr>
        <w:t>C</w:t>
      </w:r>
      <w:r w:rsidRPr="00454E5D">
        <w:rPr>
          <w:rFonts w:ascii="Arial" w:eastAsia="Arial" w:hAnsi="Arial" w:cs="Arial"/>
          <w:color w:val="000000" w:themeColor="text1"/>
        </w:rPr>
        <w:t xml:space="preserve">ommissioner is supporting us to rebuild our Access to Information capacity. This is being done via the </w:t>
      </w:r>
      <w:r w:rsidRPr="0026079F">
        <w:rPr>
          <w:rFonts w:ascii="Arial" w:eastAsia="Arial" w:hAnsi="Arial" w:cs="Arial"/>
        </w:rPr>
        <w:t>Information Commissioners Office</w:t>
      </w:r>
      <w:r w:rsidRPr="00454E5D">
        <w:rPr>
          <w:rFonts w:ascii="Arial" w:eastAsia="Arial" w:hAnsi="Arial" w:cs="Arial"/>
          <w:color w:val="000000" w:themeColor="text1"/>
        </w:rPr>
        <w:t xml:space="preserve">s Level 2 Intervention Procedures. We have also published weekly </w:t>
      </w:r>
      <w:hyperlink r:id="rId62" w:history="1">
        <w:r w:rsidRPr="009E0359">
          <w:rPr>
            <w:rStyle w:val="Hyperlink"/>
            <w:rFonts w:ascii="Arial" w:eastAsia="Arial" w:hAnsi="Arial" w:cs="Arial"/>
          </w:rPr>
          <w:t>service status</w:t>
        </w:r>
      </w:hyperlink>
      <w:r w:rsidRPr="00454E5D">
        <w:rPr>
          <w:rFonts w:ascii="Arial" w:eastAsia="Arial" w:hAnsi="Arial" w:cs="Arial"/>
          <w:color w:val="000000" w:themeColor="text1"/>
        </w:rPr>
        <w:t xml:space="preserve"> updates. These updates also signpost to key areas of interest. This includes information on our Disclosure Log for responses</w:t>
      </w:r>
      <w:r>
        <w:rPr>
          <w:rFonts w:ascii="Arial" w:eastAsia="Arial" w:hAnsi="Arial" w:cs="Arial"/>
          <w:color w:val="000000" w:themeColor="text1"/>
        </w:rPr>
        <w:t>, t</w:t>
      </w:r>
      <w:r w:rsidRPr="00454E5D">
        <w:rPr>
          <w:rFonts w:ascii="Arial" w:eastAsia="Arial" w:hAnsi="Arial" w:cs="Arial"/>
          <w:color w:val="000000" w:themeColor="text1"/>
        </w:rPr>
        <w:t>he environmental data page on our website</w:t>
      </w:r>
      <w:r w:rsidR="0063772B">
        <w:rPr>
          <w:rFonts w:ascii="Arial" w:eastAsia="Arial" w:hAnsi="Arial" w:cs="Arial"/>
          <w:color w:val="000000" w:themeColor="text1"/>
        </w:rPr>
        <w:t>,</w:t>
      </w:r>
      <w:r w:rsidRPr="00454E5D">
        <w:rPr>
          <w:rFonts w:ascii="Arial" w:eastAsia="Arial" w:hAnsi="Arial" w:cs="Arial"/>
          <w:color w:val="000000" w:themeColor="text1"/>
        </w:rPr>
        <w:t xml:space="preserve"> and to Scotland's </w:t>
      </w:r>
      <w:r>
        <w:rPr>
          <w:rFonts w:ascii="Arial" w:eastAsia="Arial" w:hAnsi="Arial" w:cs="Arial"/>
          <w:color w:val="000000" w:themeColor="text1"/>
        </w:rPr>
        <w:t>E</w:t>
      </w:r>
      <w:r w:rsidRPr="00454E5D">
        <w:rPr>
          <w:rFonts w:ascii="Arial" w:eastAsia="Arial" w:hAnsi="Arial" w:cs="Arial"/>
          <w:color w:val="000000" w:themeColor="text1"/>
        </w:rPr>
        <w:t xml:space="preserve">nvironment </w:t>
      </w:r>
      <w:r>
        <w:rPr>
          <w:rFonts w:ascii="Arial" w:eastAsia="Arial" w:hAnsi="Arial" w:cs="Arial"/>
          <w:color w:val="000000" w:themeColor="text1"/>
        </w:rPr>
        <w:t>W</w:t>
      </w:r>
      <w:r w:rsidRPr="00454E5D">
        <w:rPr>
          <w:rFonts w:ascii="Arial" w:eastAsia="Arial" w:hAnsi="Arial" w:cs="Arial"/>
          <w:color w:val="000000" w:themeColor="text1"/>
        </w:rPr>
        <w:t>ebsite.</w:t>
      </w:r>
    </w:p>
    <w:p w14:paraId="10D109FF" w14:textId="77777777" w:rsidR="00696189" w:rsidRPr="00454E5D" w:rsidRDefault="00696189" w:rsidP="003738AC">
      <w:pPr>
        <w:spacing w:line="360" w:lineRule="auto"/>
        <w:rPr>
          <w:rFonts w:ascii="Arial" w:eastAsia="Arial" w:hAnsi="Arial" w:cs="Arial"/>
          <w:color w:val="000000" w:themeColor="text1"/>
        </w:rPr>
      </w:pPr>
    </w:p>
    <w:p w14:paraId="2B364031" w14:textId="3E79375B" w:rsidR="00B621FB" w:rsidRDefault="00B621FB" w:rsidP="003738AC">
      <w:pPr>
        <w:spacing w:line="360" w:lineRule="auto"/>
        <w:rPr>
          <w:rFonts w:ascii="Arial" w:eastAsia="Arial" w:hAnsi="Arial" w:cs="Arial"/>
          <w:color w:val="000000" w:themeColor="text1"/>
        </w:rPr>
      </w:pPr>
      <w:r w:rsidRPr="00454E5D">
        <w:rPr>
          <w:rFonts w:ascii="Arial" w:eastAsia="Arial" w:hAnsi="Arial" w:cs="Arial"/>
          <w:color w:val="000000" w:themeColor="text1"/>
        </w:rPr>
        <w:t>We have kept a register of all requests, which are then prioritised and processed.</w:t>
      </w:r>
    </w:p>
    <w:p w14:paraId="4B4D6EFB" w14:textId="77777777" w:rsidR="00696189" w:rsidRDefault="00696189" w:rsidP="003738AC">
      <w:pPr>
        <w:spacing w:line="360" w:lineRule="auto"/>
        <w:rPr>
          <w:rFonts w:ascii="Arial" w:hAnsi="Arial" w:cs="Arial"/>
          <w:b/>
          <w:bCs/>
        </w:rPr>
      </w:pPr>
    </w:p>
    <w:p w14:paraId="5B495B62" w14:textId="5A3FEBBB" w:rsidR="00B621FB" w:rsidRDefault="00B621FB" w:rsidP="003738AC">
      <w:pPr>
        <w:spacing w:line="360" w:lineRule="auto"/>
        <w:rPr>
          <w:rFonts w:ascii="Arial" w:hAnsi="Arial" w:cs="Arial"/>
          <w:b/>
          <w:bCs/>
        </w:rPr>
      </w:pPr>
      <w:r>
        <w:rPr>
          <w:rFonts w:ascii="Arial" w:hAnsi="Arial" w:cs="Arial"/>
          <w:b/>
          <w:bCs/>
        </w:rPr>
        <w:t>Accreditation</w:t>
      </w:r>
    </w:p>
    <w:p w14:paraId="2843B8A9" w14:textId="77777777" w:rsidR="00B621FB" w:rsidRDefault="00B621FB" w:rsidP="003738AC">
      <w:pPr>
        <w:spacing w:line="360" w:lineRule="auto"/>
        <w:rPr>
          <w:rFonts w:ascii="Arial" w:eastAsia="Arial" w:hAnsi="Arial" w:cs="Arial"/>
          <w:color w:val="000000" w:themeColor="text1"/>
        </w:rPr>
      </w:pPr>
      <w:r w:rsidRPr="00F75667">
        <w:rPr>
          <w:rFonts w:ascii="Arial" w:eastAsia="Arial" w:hAnsi="Arial" w:cs="Arial"/>
          <w:color w:val="000000" w:themeColor="text1"/>
        </w:rPr>
        <w:t>We are accredited to the ISO 17025 standard for some of our sampling and laboratory testing activities. The UK Accreditation Service (UKAS) assesses us annually to ensure ongoing compliance with the standard.</w:t>
      </w:r>
    </w:p>
    <w:p w14:paraId="4910011D" w14:textId="77777777" w:rsidR="00B621FB" w:rsidRDefault="00B621FB" w:rsidP="003738AC">
      <w:pPr>
        <w:spacing w:line="360" w:lineRule="auto"/>
        <w:rPr>
          <w:rFonts w:ascii="Arial" w:eastAsia="Arial" w:hAnsi="Arial" w:cs="Arial"/>
          <w:color w:val="000000" w:themeColor="text1"/>
        </w:rPr>
      </w:pPr>
    </w:p>
    <w:p w14:paraId="06078796" w14:textId="61434A29" w:rsidR="00B621FB" w:rsidRDefault="00B621FB" w:rsidP="003738AC">
      <w:pPr>
        <w:spacing w:line="360" w:lineRule="auto"/>
        <w:rPr>
          <w:rFonts w:ascii="Arial" w:hAnsi="Arial" w:cs="Arial"/>
          <w:color w:val="000000" w:themeColor="text1"/>
        </w:rPr>
      </w:pPr>
      <w:r w:rsidRPr="00F75667">
        <w:rPr>
          <w:rFonts w:ascii="Arial" w:hAnsi="Arial" w:cs="Arial"/>
          <w:color w:val="000000" w:themeColor="text1"/>
        </w:rPr>
        <w:t xml:space="preserve">In March 2021, because of the impacts of the cyber-attack, we applied to UKAS for voluntary suspension of our accreditation for a six-month period. We needed time to re-establish sampling and analytical processes and the essential systems required to demonstrate compliance with the standard. </w:t>
      </w:r>
    </w:p>
    <w:p w14:paraId="6D80EFF1" w14:textId="77777777" w:rsidR="00696189" w:rsidRPr="00F75667" w:rsidRDefault="00696189" w:rsidP="003738AC">
      <w:pPr>
        <w:spacing w:line="360" w:lineRule="auto"/>
        <w:rPr>
          <w:color w:val="000000" w:themeColor="text1"/>
          <w:spacing w:val="-3"/>
          <w:sz w:val="26"/>
          <w:szCs w:val="26"/>
        </w:rPr>
      </w:pPr>
    </w:p>
    <w:p w14:paraId="69E934FF" w14:textId="5A7A9FC5" w:rsidR="00B621FB" w:rsidRDefault="00B621FB" w:rsidP="003738AC">
      <w:pPr>
        <w:spacing w:line="360" w:lineRule="auto"/>
        <w:rPr>
          <w:rFonts w:ascii="Arial" w:hAnsi="Arial" w:cs="Arial"/>
        </w:rPr>
      </w:pPr>
      <w:r>
        <w:rPr>
          <w:rFonts w:ascii="Arial" w:hAnsi="Arial" w:cs="Arial"/>
          <w:color w:val="333333"/>
          <w:shd w:val="clear" w:color="auto" w:fill="FFFFFF"/>
        </w:rPr>
        <w:t>Our</w:t>
      </w:r>
      <w:r w:rsidRPr="00F7728F">
        <w:rPr>
          <w:rFonts w:ascii="Arial" w:hAnsi="Arial" w:cs="Arial"/>
          <w:color w:val="333333"/>
          <w:shd w:val="clear" w:color="auto" w:fill="FFFFFF"/>
        </w:rPr>
        <w:t xml:space="preserve"> accreditation to ISO 17025 was granted in December 2021 and w</w:t>
      </w:r>
      <w:r w:rsidRPr="00F7728F">
        <w:rPr>
          <w:rFonts w:ascii="Arial" w:hAnsi="Arial" w:cs="Arial"/>
        </w:rPr>
        <w:t>e are now able to claim accreditation to ISO 17025, for a specific set of sampling and testing activities. These include bathing water and landfill gas sampling, and lab</w:t>
      </w:r>
      <w:r>
        <w:rPr>
          <w:rFonts w:ascii="Arial" w:hAnsi="Arial" w:cs="Arial"/>
        </w:rPr>
        <w:t>oratory</w:t>
      </w:r>
      <w:r w:rsidRPr="00F7728F">
        <w:rPr>
          <w:rFonts w:ascii="Arial" w:hAnsi="Arial" w:cs="Arial"/>
        </w:rPr>
        <w:t xml:space="preserve"> tests such as suspended solids and nutrients. The exact list can be found within our </w:t>
      </w:r>
      <w:hyperlink r:id="rId63" w:history="1">
        <w:r w:rsidRPr="00E5771D">
          <w:rPr>
            <w:rStyle w:val="Hyperlink"/>
            <w:rFonts w:ascii="Arial" w:hAnsi="Arial" w:cs="Arial"/>
          </w:rPr>
          <w:t>schedule of accreditation</w:t>
        </w:r>
      </w:hyperlink>
      <w:r w:rsidRPr="00E5771D">
        <w:rPr>
          <w:rFonts w:ascii="Arial" w:hAnsi="Arial" w:cs="Arial"/>
        </w:rPr>
        <w:t>,</w:t>
      </w:r>
      <w:r w:rsidRPr="00F7728F">
        <w:rPr>
          <w:rFonts w:ascii="Arial" w:hAnsi="Arial" w:cs="Arial"/>
        </w:rPr>
        <w:t xml:space="preserve"> on the UKAS website. </w:t>
      </w:r>
      <w:r>
        <w:rPr>
          <w:rFonts w:ascii="Arial" w:hAnsi="Arial" w:cs="Arial"/>
        </w:rPr>
        <w:t>Our</w:t>
      </w:r>
      <w:r w:rsidRPr="00F7728F">
        <w:rPr>
          <w:rFonts w:ascii="Arial" w:hAnsi="Arial" w:cs="Arial"/>
        </w:rPr>
        <w:t xml:space="preserve"> next set of priority methods will be assessed during the visit from UKAS </w:t>
      </w:r>
      <w:r w:rsidR="00B95977">
        <w:rPr>
          <w:rFonts w:ascii="Arial" w:hAnsi="Arial" w:cs="Arial"/>
        </w:rPr>
        <w:t>during financial year 2022/23 and reported within the Annual Report and Accounts 2022/23</w:t>
      </w:r>
      <w:r w:rsidRPr="00F7728F">
        <w:rPr>
          <w:rFonts w:ascii="Arial" w:hAnsi="Arial" w:cs="Arial"/>
        </w:rPr>
        <w:t>.</w:t>
      </w:r>
    </w:p>
    <w:p w14:paraId="2C16F05D" w14:textId="1D9FCECB" w:rsidR="00293CC2" w:rsidRDefault="00293CC2" w:rsidP="003738AC">
      <w:pPr>
        <w:spacing w:line="360" w:lineRule="auto"/>
        <w:rPr>
          <w:rFonts w:ascii="Arial" w:hAnsi="Arial" w:cs="Arial"/>
        </w:rPr>
      </w:pPr>
      <w:r>
        <w:rPr>
          <w:rFonts w:ascii="Arial" w:hAnsi="Arial" w:cs="Arial"/>
        </w:rPr>
        <w:br w:type="page"/>
      </w:r>
    </w:p>
    <w:p w14:paraId="32A2FA9F" w14:textId="73495813" w:rsidR="00B621FB" w:rsidRDefault="00B621FB" w:rsidP="003738AC">
      <w:pPr>
        <w:spacing w:line="360" w:lineRule="auto"/>
        <w:rPr>
          <w:rFonts w:ascii="Arial" w:eastAsia="Arial" w:hAnsi="Arial" w:cs="Arial"/>
          <w:b/>
          <w:bCs/>
        </w:rPr>
      </w:pPr>
      <w:r>
        <w:rPr>
          <w:rFonts w:ascii="Arial" w:eastAsia="Arial" w:hAnsi="Arial" w:cs="Arial"/>
          <w:b/>
          <w:bCs/>
        </w:rPr>
        <w:lastRenderedPageBreak/>
        <w:t>Risk management and resilience</w:t>
      </w:r>
    </w:p>
    <w:p w14:paraId="31757363" w14:textId="5FC4BAED" w:rsidR="00B621FB" w:rsidRDefault="00B621FB" w:rsidP="003738AC">
      <w:pPr>
        <w:spacing w:line="360" w:lineRule="auto"/>
        <w:textAlignment w:val="baseline"/>
        <w:rPr>
          <w:rFonts w:ascii="Arial" w:hAnsi="Arial" w:cs="Arial"/>
        </w:rPr>
      </w:pPr>
      <w:r w:rsidRPr="005F7961">
        <w:rPr>
          <w:rFonts w:ascii="Arial" w:hAnsi="Arial" w:cs="Arial"/>
        </w:rPr>
        <w:t>We have a risk management framework in place. Through it we seek to</w:t>
      </w:r>
      <w:r>
        <w:rPr>
          <w:rFonts w:ascii="Arial" w:hAnsi="Arial" w:cs="Arial"/>
        </w:rPr>
        <w:t>:</w:t>
      </w:r>
      <w:r w:rsidRPr="005F7961">
        <w:rPr>
          <w:rFonts w:ascii="Arial" w:hAnsi="Arial" w:cs="Arial"/>
        </w:rPr>
        <w:t xml:space="preserve"> </w:t>
      </w:r>
    </w:p>
    <w:p w14:paraId="1943F0D7" w14:textId="77777777" w:rsidR="00696189" w:rsidRDefault="00696189" w:rsidP="003738AC">
      <w:pPr>
        <w:spacing w:line="360" w:lineRule="auto"/>
        <w:textAlignment w:val="baseline"/>
        <w:rPr>
          <w:rFonts w:ascii="Arial" w:hAnsi="Arial" w:cs="Arial"/>
        </w:rPr>
      </w:pPr>
    </w:p>
    <w:p w14:paraId="01D87DB4"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 xml:space="preserve">understand threats; </w:t>
      </w:r>
    </w:p>
    <w:p w14:paraId="695B029C"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 xml:space="preserve">identify and prioritise risks; </w:t>
      </w:r>
    </w:p>
    <w:p w14:paraId="637FF88F"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identify controls to reduce or mitigate risks; and</w:t>
      </w:r>
    </w:p>
    <w:p w14:paraId="3F6F6748" w14:textId="5E7B1A4E"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 xml:space="preserve">monitor risks until they have reached a tolerable level. </w:t>
      </w:r>
    </w:p>
    <w:p w14:paraId="33AD1700" w14:textId="77777777" w:rsidR="00696189" w:rsidRPr="006C5BDE" w:rsidRDefault="00696189" w:rsidP="00696189">
      <w:pPr>
        <w:pStyle w:val="ListParagraph"/>
        <w:spacing w:line="360" w:lineRule="auto"/>
        <w:textAlignment w:val="baseline"/>
        <w:rPr>
          <w:rFonts w:ascii="Segoe UI" w:hAnsi="Segoe UI" w:cs="Segoe UI"/>
          <w:sz w:val="18"/>
          <w:szCs w:val="18"/>
        </w:rPr>
      </w:pPr>
    </w:p>
    <w:p w14:paraId="2FDA0D20" w14:textId="68A16AE1" w:rsidR="00B621FB" w:rsidRDefault="00B621FB" w:rsidP="003738AC">
      <w:pPr>
        <w:spacing w:line="360" w:lineRule="auto"/>
        <w:textAlignment w:val="baseline"/>
        <w:rPr>
          <w:rFonts w:ascii="Arial" w:hAnsi="Arial" w:cs="Arial"/>
        </w:rPr>
      </w:pPr>
      <w:r w:rsidRPr="006C5BDE">
        <w:rPr>
          <w:rFonts w:ascii="Arial" w:hAnsi="Arial" w:cs="Arial"/>
        </w:rPr>
        <w:t>We assess risks in terms of the likelihood of them occurring, the impact they would have if they did occur</w:t>
      </w:r>
      <w:r>
        <w:rPr>
          <w:rFonts w:ascii="Arial" w:hAnsi="Arial" w:cs="Arial"/>
        </w:rPr>
        <w:t xml:space="preserve"> </w:t>
      </w:r>
      <w:r w:rsidRPr="006C5BDE">
        <w:rPr>
          <w:rFonts w:ascii="Arial" w:hAnsi="Arial" w:cs="Arial"/>
        </w:rPr>
        <w:t>and proximity, which is how soon they could occur.  </w:t>
      </w:r>
    </w:p>
    <w:p w14:paraId="138E2317" w14:textId="77777777" w:rsidR="00696189" w:rsidRPr="00696189" w:rsidRDefault="00696189" w:rsidP="003738AC">
      <w:pPr>
        <w:spacing w:line="360" w:lineRule="auto"/>
        <w:textAlignment w:val="baseline"/>
        <w:rPr>
          <w:rFonts w:ascii="Arial" w:hAnsi="Arial" w:cs="Arial"/>
          <w:sz w:val="22"/>
          <w:szCs w:val="22"/>
        </w:rPr>
      </w:pPr>
    </w:p>
    <w:p w14:paraId="5B36418A" w14:textId="075A1E5B" w:rsidR="00B621FB" w:rsidRDefault="00B621FB" w:rsidP="003738AC">
      <w:pPr>
        <w:spacing w:line="360" w:lineRule="auto"/>
        <w:textAlignment w:val="baseline"/>
        <w:rPr>
          <w:rFonts w:ascii="Arial" w:hAnsi="Arial" w:cs="Arial"/>
        </w:rPr>
      </w:pPr>
      <w:r w:rsidRPr="005F7961">
        <w:rPr>
          <w:rFonts w:ascii="Arial" w:hAnsi="Arial" w:cs="Arial"/>
        </w:rPr>
        <w:t>We capture corporate risks in a risk register. It is scrutinised</w:t>
      </w:r>
      <w:r>
        <w:rPr>
          <w:rFonts w:ascii="Arial" w:hAnsi="Arial" w:cs="Arial"/>
        </w:rPr>
        <w:t xml:space="preserve"> </w:t>
      </w:r>
      <w:r w:rsidRPr="005F7961">
        <w:rPr>
          <w:rFonts w:ascii="Arial" w:hAnsi="Arial" w:cs="Arial"/>
        </w:rPr>
        <w:t xml:space="preserve">quarterly by our Risk </w:t>
      </w:r>
      <w:r>
        <w:rPr>
          <w:rFonts w:ascii="Arial" w:hAnsi="Arial" w:cs="Arial"/>
        </w:rPr>
        <w:t>M</w:t>
      </w:r>
      <w:r w:rsidRPr="005F7961">
        <w:rPr>
          <w:rFonts w:ascii="Arial" w:hAnsi="Arial" w:cs="Arial"/>
        </w:rPr>
        <w:t xml:space="preserve">anagement </w:t>
      </w:r>
      <w:r w:rsidR="00DD367B">
        <w:rPr>
          <w:rFonts w:ascii="Arial" w:hAnsi="Arial" w:cs="Arial"/>
        </w:rPr>
        <w:t>G</w:t>
      </w:r>
      <w:r w:rsidRPr="005F7961">
        <w:rPr>
          <w:rFonts w:ascii="Arial" w:hAnsi="Arial" w:cs="Arial"/>
        </w:rPr>
        <w:t xml:space="preserve">roup and Agency Management Team, twice a year by the Audit Committee, and annually by the Agency Board. </w:t>
      </w:r>
      <w:r>
        <w:rPr>
          <w:rFonts w:ascii="Arial" w:hAnsi="Arial" w:cs="Arial"/>
        </w:rPr>
        <w:t>The dis</w:t>
      </w:r>
      <w:r w:rsidRPr="005F7961">
        <w:rPr>
          <w:rFonts w:ascii="Arial" w:hAnsi="Arial" w:cs="Arial"/>
        </w:rPr>
        <w:t xml:space="preserve">ruption caused by the cyber-attack meant that our </w:t>
      </w:r>
      <w:r w:rsidR="00617CB0">
        <w:rPr>
          <w:rFonts w:ascii="Arial" w:hAnsi="Arial" w:cs="Arial"/>
        </w:rPr>
        <w:t>A</w:t>
      </w:r>
      <w:r w:rsidRPr="005F7961">
        <w:rPr>
          <w:rFonts w:ascii="Arial" w:hAnsi="Arial" w:cs="Arial"/>
        </w:rPr>
        <w:t xml:space="preserve">nnual </w:t>
      </w:r>
      <w:r w:rsidR="00617CB0">
        <w:rPr>
          <w:rFonts w:ascii="Arial" w:hAnsi="Arial" w:cs="Arial"/>
        </w:rPr>
        <w:t>R</w:t>
      </w:r>
      <w:r w:rsidRPr="005F7961">
        <w:rPr>
          <w:rFonts w:ascii="Arial" w:hAnsi="Arial" w:cs="Arial"/>
        </w:rPr>
        <w:t>eport was produced later than usual. From December 2021</w:t>
      </w:r>
      <w:r w:rsidR="00617CB0">
        <w:rPr>
          <w:rFonts w:ascii="Arial" w:hAnsi="Arial" w:cs="Arial"/>
        </w:rPr>
        <w:t>,</w:t>
      </w:r>
      <w:r w:rsidRPr="005F7961">
        <w:rPr>
          <w:rFonts w:ascii="Arial" w:hAnsi="Arial" w:cs="Arial"/>
        </w:rPr>
        <w:t xml:space="preserve"> we were back to our normal reporting schedule.  </w:t>
      </w:r>
    </w:p>
    <w:p w14:paraId="274B4527" w14:textId="77777777" w:rsidR="00617CB0" w:rsidRPr="00617CB0" w:rsidRDefault="00617CB0" w:rsidP="003738AC">
      <w:pPr>
        <w:spacing w:line="360" w:lineRule="auto"/>
        <w:textAlignment w:val="baseline"/>
        <w:rPr>
          <w:rFonts w:ascii="Arial" w:hAnsi="Arial" w:cs="Arial"/>
        </w:rPr>
      </w:pPr>
    </w:p>
    <w:p w14:paraId="4B7D3ED2" w14:textId="70FFFF28" w:rsidR="00B621FB" w:rsidRPr="005F7961" w:rsidRDefault="00B621FB" w:rsidP="003738AC">
      <w:pPr>
        <w:spacing w:line="360" w:lineRule="auto"/>
        <w:textAlignment w:val="baseline"/>
        <w:rPr>
          <w:rFonts w:ascii="Segoe UI" w:hAnsi="Segoe UI" w:cs="Segoe UI"/>
          <w:sz w:val="18"/>
          <w:szCs w:val="18"/>
        </w:rPr>
      </w:pPr>
      <w:r w:rsidRPr="005F7961">
        <w:rPr>
          <w:rFonts w:ascii="Arial" w:hAnsi="Arial" w:cs="Arial"/>
        </w:rPr>
        <w:t xml:space="preserve">Risk is frequently discussed at </w:t>
      </w:r>
      <w:r>
        <w:rPr>
          <w:rFonts w:ascii="Arial" w:hAnsi="Arial" w:cs="Arial"/>
        </w:rPr>
        <w:t>Audit Committee</w:t>
      </w:r>
      <w:r w:rsidRPr="005F7961">
        <w:rPr>
          <w:rFonts w:ascii="Arial" w:hAnsi="Arial" w:cs="Arial"/>
        </w:rPr>
        <w:t xml:space="preserve"> and Board meetings. The Risk Management </w:t>
      </w:r>
      <w:r w:rsidR="00444BBF">
        <w:rPr>
          <w:rFonts w:ascii="Arial" w:hAnsi="Arial" w:cs="Arial"/>
        </w:rPr>
        <w:t>G</w:t>
      </w:r>
      <w:r w:rsidRPr="005F7961">
        <w:rPr>
          <w:rFonts w:ascii="Arial" w:hAnsi="Arial" w:cs="Arial"/>
        </w:rPr>
        <w:t xml:space="preserve">roup regularly considers ways to strengthen our approach to risk management. It reviews external analysis of key risks impacting UK organisations; </w:t>
      </w:r>
      <w:r w:rsidRPr="004117EE">
        <w:rPr>
          <w:rFonts w:ascii="Arial" w:hAnsi="Arial" w:cs="Arial"/>
        </w:rPr>
        <w:t xml:space="preserve">considers potential risks raised by staff or Board members; </w:t>
      </w:r>
      <w:r>
        <w:rPr>
          <w:rFonts w:ascii="Arial" w:hAnsi="Arial" w:cs="Arial"/>
        </w:rPr>
        <w:t>and</w:t>
      </w:r>
      <w:r w:rsidRPr="004117EE">
        <w:rPr>
          <w:rFonts w:ascii="Arial" w:hAnsi="Arial" w:cs="Arial"/>
        </w:rPr>
        <w:t xml:space="preserve"> ensures risks are being</w:t>
      </w:r>
      <w:r w:rsidRPr="005F7961">
        <w:rPr>
          <w:rFonts w:ascii="Arial" w:hAnsi="Arial" w:cs="Arial"/>
        </w:rPr>
        <w:t xml:space="preserve"> managed across the organisation and considers the adequacy of existing controls. This year we have been working on building better links between our risk management and resilience processes and we will continue to build on this.  </w:t>
      </w:r>
    </w:p>
    <w:p w14:paraId="1EDFE984" w14:textId="77777777" w:rsidR="00B621FB" w:rsidRDefault="00B621FB" w:rsidP="003738AC">
      <w:pPr>
        <w:spacing w:line="360" w:lineRule="auto"/>
        <w:textAlignment w:val="baseline"/>
        <w:rPr>
          <w:rFonts w:ascii="Arial" w:hAnsi="Arial" w:cs="Arial"/>
        </w:rPr>
      </w:pPr>
    </w:p>
    <w:p w14:paraId="0F0E1DA9" w14:textId="6F688C3E" w:rsidR="00B621FB" w:rsidRDefault="00B621FB" w:rsidP="003738AC">
      <w:pPr>
        <w:spacing w:line="360" w:lineRule="auto"/>
        <w:textAlignment w:val="baseline"/>
        <w:rPr>
          <w:rFonts w:ascii="Arial" w:hAnsi="Arial" w:cs="Arial"/>
        </w:rPr>
      </w:pPr>
      <w:r w:rsidRPr="002F0BFF">
        <w:rPr>
          <w:rFonts w:ascii="Arial" w:hAnsi="Arial" w:cs="Arial"/>
        </w:rPr>
        <w:t xml:space="preserve">As a </w:t>
      </w:r>
      <w:r>
        <w:rPr>
          <w:rFonts w:ascii="Arial" w:hAnsi="Arial" w:cs="Arial"/>
        </w:rPr>
        <w:t>C</w:t>
      </w:r>
      <w:r w:rsidRPr="002F0BFF">
        <w:rPr>
          <w:rFonts w:ascii="Arial" w:hAnsi="Arial" w:cs="Arial"/>
        </w:rPr>
        <w:t xml:space="preserve">ategory 1 responder under the Civil Contingencies Act 2004, we work with multi-agency resilience partnerships to plan and respond to emergencies where there is an environmental impact. We also ensure that we have our own emergency and business continuity plans in place. Following the </w:t>
      </w:r>
      <w:r w:rsidRPr="004117EE">
        <w:rPr>
          <w:rFonts w:ascii="Arial" w:hAnsi="Arial" w:cs="Arial"/>
        </w:rPr>
        <w:t>cyber-attack,</w:t>
      </w:r>
      <w:r w:rsidRPr="002F0BFF">
        <w:rPr>
          <w:rFonts w:ascii="Arial" w:hAnsi="Arial" w:cs="Arial"/>
        </w:rPr>
        <w:t xml:space="preserve"> we have strengthened our well-established resilience arrangements and procedures.</w:t>
      </w:r>
      <w:r w:rsidRPr="002F0BFF">
        <w:rPr>
          <w:rFonts w:ascii="Arial" w:hAnsi="Arial" w:cs="Arial"/>
          <w:highlight w:val="yellow"/>
        </w:rPr>
        <w:t xml:space="preserve"> </w:t>
      </w:r>
    </w:p>
    <w:p w14:paraId="18D92AC6" w14:textId="77777777" w:rsidR="00696189" w:rsidRPr="00DA2436" w:rsidRDefault="00696189" w:rsidP="003738AC">
      <w:pPr>
        <w:spacing w:line="360" w:lineRule="auto"/>
        <w:textAlignment w:val="baseline"/>
        <w:rPr>
          <w:rFonts w:ascii="Arial" w:hAnsi="Arial" w:cs="Arial"/>
        </w:rPr>
      </w:pPr>
    </w:p>
    <w:p w14:paraId="2B94926B" w14:textId="549246EF" w:rsidR="00B621FB" w:rsidRDefault="00B621FB" w:rsidP="003738AC">
      <w:pPr>
        <w:spacing w:line="360" w:lineRule="auto"/>
        <w:ind w:right="142"/>
        <w:jc w:val="both"/>
        <w:rPr>
          <w:rFonts w:ascii="Arial" w:hAnsi="Arial" w:cs="Arial"/>
          <w:b/>
          <w:bCs/>
          <w:color w:val="000000"/>
        </w:rPr>
      </w:pPr>
      <w:r>
        <w:rPr>
          <w:rFonts w:ascii="Arial" w:hAnsi="Arial" w:cs="Arial"/>
          <w:b/>
          <w:bCs/>
          <w:color w:val="000000"/>
        </w:rPr>
        <w:t>Exit packages</w:t>
      </w:r>
    </w:p>
    <w:p w14:paraId="7DC1EB48" w14:textId="58E996AE" w:rsidR="00B621FB" w:rsidRDefault="00B621FB" w:rsidP="003738AC">
      <w:pPr>
        <w:spacing w:line="360" w:lineRule="auto"/>
        <w:rPr>
          <w:rFonts w:ascii="Arial" w:hAnsi="Arial" w:cs="Arial"/>
        </w:rPr>
      </w:pPr>
      <w:r w:rsidRPr="002F0BFF">
        <w:rPr>
          <w:rFonts w:ascii="Arial" w:hAnsi="Arial" w:cs="Arial"/>
        </w:rPr>
        <w:t>In February 2022</w:t>
      </w:r>
      <w:r>
        <w:rPr>
          <w:rFonts w:ascii="Arial" w:hAnsi="Arial" w:cs="Arial"/>
        </w:rPr>
        <w:t>,</w:t>
      </w:r>
      <w:r w:rsidRPr="002F0BFF">
        <w:rPr>
          <w:rFonts w:ascii="Arial" w:hAnsi="Arial" w:cs="Arial"/>
        </w:rPr>
        <w:t xml:space="preserve"> we invited staff to apply for a voluntary severance scheme which will take effect during the financial year 2022</w:t>
      </w:r>
      <w:r w:rsidR="003827DD">
        <w:rPr>
          <w:rFonts w:ascii="Arial" w:hAnsi="Arial" w:cs="Arial"/>
        </w:rPr>
        <w:t>/</w:t>
      </w:r>
      <w:r w:rsidRPr="002F0BFF">
        <w:rPr>
          <w:rFonts w:ascii="Arial" w:hAnsi="Arial" w:cs="Arial"/>
        </w:rPr>
        <w:t>2023. We intend</w:t>
      </w:r>
      <w:r w:rsidR="00DA2436">
        <w:rPr>
          <w:rFonts w:ascii="Arial" w:hAnsi="Arial" w:cs="Arial"/>
        </w:rPr>
        <w:t xml:space="preserve"> </w:t>
      </w:r>
      <w:r w:rsidRPr="002F0BFF">
        <w:rPr>
          <w:rFonts w:ascii="Arial" w:hAnsi="Arial" w:cs="Arial"/>
        </w:rPr>
        <w:t xml:space="preserve">to use the savings realised to support investment in new areas and skills. Additionally, the scheme will help us to deal with the </w:t>
      </w:r>
      <w:r w:rsidRPr="002F0BFF">
        <w:rPr>
          <w:rFonts w:ascii="Arial" w:hAnsi="Arial" w:cs="Arial"/>
        </w:rPr>
        <w:lastRenderedPageBreak/>
        <w:t>financial pressures all public sector organisations continue to face.</w:t>
      </w:r>
      <w:r w:rsidRPr="00EA3B6E">
        <w:rPr>
          <w:rFonts w:ascii="Arial" w:hAnsi="Arial" w:cs="Arial"/>
        </w:rPr>
        <w:t> </w:t>
      </w:r>
      <w:r>
        <w:rPr>
          <w:rFonts w:ascii="Arial" w:hAnsi="Arial" w:cs="Arial"/>
        </w:rPr>
        <w:t xml:space="preserve">It is </w:t>
      </w:r>
      <w:r w:rsidRPr="00EA3B6E">
        <w:rPr>
          <w:rFonts w:ascii="Arial" w:hAnsi="Arial" w:cs="Arial"/>
        </w:rPr>
        <w:t>anticipated that those who accept an offer will exit between June and August 2022 depending on notice periods.</w:t>
      </w:r>
      <w:r w:rsidR="006915DF">
        <w:rPr>
          <w:rStyle w:val="FootnoteReference"/>
          <w:rFonts w:ascii="Arial" w:hAnsi="Arial" w:cs="Arial"/>
        </w:rPr>
        <w:footnoteReference w:id="9"/>
      </w:r>
    </w:p>
    <w:p w14:paraId="54ED140A" w14:textId="77777777" w:rsidR="00696189" w:rsidRPr="00EA3B6E" w:rsidRDefault="00696189" w:rsidP="003738AC">
      <w:pPr>
        <w:spacing w:line="360" w:lineRule="auto"/>
        <w:rPr>
          <w:rFonts w:ascii="Arial" w:hAnsi="Arial" w:cs="Arial"/>
        </w:rPr>
      </w:pPr>
    </w:p>
    <w:p w14:paraId="136C3640" w14:textId="7CEA8947" w:rsidR="00B621FB" w:rsidRDefault="00B621FB" w:rsidP="003738AC">
      <w:pPr>
        <w:spacing w:line="360" w:lineRule="auto"/>
        <w:rPr>
          <w:rFonts w:ascii="Arial" w:hAnsi="Arial" w:cs="Arial"/>
          <w:b/>
          <w:bCs/>
        </w:rPr>
      </w:pPr>
      <w:r>
        <w:rPr>
          <w:rFonts w:ascii="Arial" w:hAnsi="Arial" w:cs="Arial"/>
          <w:b/>
          <w:bCs/>
        </w:rPr>
        <w:t>Review of effectiveness</w:t>
      </w:r>
    </w:p>
    <w:p w14:paraId="3969E9ED" w14:textId="4CA15C68" w:rsidR="00B621FB" w:rsidRDefault="00B621FB" w:rsidP="003738AC">
      <w:pPr>
        <w:spacing w:line="360" w:lineRule="auto"/>
        <w:rPr>
          <w:rFonts w:ascii="Arial" w:hAnsi="Arial" w:cs="Arial"/>
          <w:color w:val="000000" w:themeColor="text1"/>
        </w:rPr>
      </w:pPr>
      <w:r>
        <w:rPr>
          <w:rFonts w:ascii="Arial" w:hAnsi="Arial" w:cs="Arial"/>
          <w:color w:val="000000" w:themeColor="text1"/>
        </w:rPr>
        <w:t xml:space="preserve">As Accountable Officer, I have responsibility for reviewing the effectiveness of the systems of internal control. Our internal control systems include delegation and accountability, procedures, guidance, and training; internal checks and balances; regular reviews of management information, including financial, performance, and risk information; peer reviews; external accreditation; internal and external audit. My review of the effectiveness of these systems is informed by: </w:t>
      </w:r>
    </w:p>
    <w:p w14:paraId="6562E61C" w14:textId="77777777" w:rsidR="00696189" w:rsidRDefault="00696189" w:rsidP="003738AC">
      <w:pPr>
        <w:spacing w:line="360" w:lineRule="auto"/>
        <w:rPr>
          <w:rFonts w:ascii="Arial" w:hAnsi="Arial" w:cs="Arial"/>
          <w:color w:val="000000" w:themeColor="text1"/>
        </w:rPr>
      </w:pPr>
    </w:p>
    <w:p w14:paraId="2F3FF72D"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the work of the internal auditors which is directed through an audit plan agreed by the Audit Committee;</w:t>
      </w:r>
    </w:p>
    <w:p w14:paraId="43FA372A"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reviews of the corporate risk register by executive managers, the Audit Committee, and the Board;</w:t>
      </w:r>
    </w:p>
    <w:p w14:paraId="71231A79" w14:textId="77777777"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reviews of regular performance and financial reports by executive managers and the Board; and</w:t>
      </w:r>
    </w:p>
    <w:p w14:paraId="3A212FC7" w14:textId="45779286" w:rsidR="00B621FB" w:rsidRPr="00696189" w:rsidRDefault="00B621FB" w:rsidP="00802A98">
      <w:pPr>
        <w:pStyle w:val="ListParagraph"/>
        <w:numPr>
          <w:ilvl w:val="0"/>
          <w:numId w:val="24"/>
        </w:numPr>
        <w:spacing w:line="360" w:lineRule="auto"/>
        <w:ind w:right="-425"/>
        <w:rPr>
          <w:rFonts w:ascii="Arial" w:eastAsia="Arial" w:hAnsi="Arial" w:cs="Arial"/>
        </w:rPr>
      </w:pPr>
      <w:r w:rsidRPr="00696189">
        <w:rPr>
          <w:rFonts w:ascii="Arial" w:eastAsia="Arial" w:hAnsi="Arial" w:cs="Arial"/>
        </w:rPr>
        <w:t>comments made by the external auditors in their management letter and other reports.</w:t>
      </w:r>
    </w:p>
    <w:p w14:paraId="2632C4C1" w14:textId="77777777" w:rsidR="00B621FB" w:rsidRDefault="00B621FB" w:rsidP="003738AC">
      <w:pPr>
        <w:spacing w:line="360" w:lineRule="auto"/>
        <w:rPr>
          <w:rFonts w:ascii="Arial" w:hAnsi="Arial" w:cs="Arial"/>
          <w:color w:val="000000" w:themeColor="text1"/>
        </w:rPr>
      </w:pPr>
    </w:p>
    <w:p w14:paraId="04B2E354" w14:textId="70817E2F" w:rsidR="00B621FB" w:rsidRPr="00E73B21" w:rsidRDefault="00B621FB" w:rsidP="003738AC">
      <w:pPr>
        <w:spacing w:line="360" w:lineRule="auto"/>
        <w:rPr>
          <w:rFonts w:ascii="Arial" w:hAnsi="Arial" w:cs="Arial"/>
          <w:b/>
          <w:bCs/>
          <w:color w:val="000000"/>
        </w:rPr>
      </w:pPr>
      <w:r w:rsidRPr="00E73B21">
        <w:rPr>
          <w:rFonts w:ascii="Arial" w:hAnsi="Arial" w:cs="Arial"/>
          <w:b/>
          <w:bCs/>
          <w:color w:val="000000"/>
        </w:rPr>
        <w:t xml:space="preserve">Scottish Regulators Strategic Code of Practice </w:t>
      </w:r>
    </w:p>
    <w:p w14:paraId="5DC7BE5E" w14:textId="32D2D5C6" w:rsidR="00B621FB" w:rsidRDefault="00B621FB" w:rsidP="003738AC">
      <w:pPr>
        <w:spacing w:line="360" w:lineRule="auto"/>
        <w:rPr>
          <w:rFonts w:ascii="Arial" w:hAnsi="Arial" w:cs="Arial"/>
          <w:color w:val="000000"/>
        </w:rPr>
      </w:pPr>
      <w:r w:rsidRPr="00E73B21">
        <w:rPr>
          <w:rFonts w:ascii="Arial" w:hAnsi="Arial" w:cs="Arial"/>
          <w:color w:val="000000"/>
        </w:rPr>
        <w:t xml:space="preserve">The Scottish Regulators Strategic Code of Practice requires regulatory functions to be exercised in accordance with the principles of better regulation. It is predicated on existing good practice and supports the outcome-based approach that is integral to the Government’s National Performance Framework. The Code also promotes an approach whereby regulators seek to understand those they regulate, including considering economic and business factors appropriately.   </w:t>
      </w:r>
    </w:p>
    <w:p w14:paraId="5D5FDAC7" w14:textId="77777777" w:rsidR="00696189" w:rsidRPr="00E73B21" w:rsidRDefault="00696189" w:rsidP="003738AC">
      <w:pPr>
        <w:spacing w:line="360" w:lineRule="auto"/>
        <w:rPr>
          <w:rFonts w:ascii="Arial" w:hAnsi="Arial" w:cs="Arial"/>
          <w:color w:val="000000"/>
        </w:rPr>
      </w:pPr>
    </w:p>
    <w:p w14:paraId="52DF0679" w14:textId="1C7F48C3" w:rsidR="00B621FB" w:rsidRDefault="00B621FB" w:rsidP="003738AC">
      <w:pPr>
        <w:spacing w:line="360" w:lineRule="auto"/>
        <w:rPr>
          <w:rFonts w:ascii="Arial" w:hAnsi="Arial" w:cs="Arial"/>
        </w:rPr>
      </w:pPr>
      <w:r w:rsidRPr="00E73B21">
        <w:rPr>
          <w:rFonts w:ascii="Arial" w:hAnsi="Arial" w:cs="Arial"/>
        </w:rPr>
        <w:t xml:space="preserve">Over the past </w:t>
      </w:r>
      <w:r>
        <w:rPr>
          <w:rFonts w:ascii="Arial" w:hAnsi="Arial" w:cs="Arial"/>
        </w:rPr>
        <w:t>two</w:t>
      </w:r>
      <w:r w:rsidRPr="00E73B21">
        <w:rPr>
          <w:rFonts w:ascii="Arial" w:hAnsi="Arial" w:cs="Arial"/>
        </w:rPr>
        <w:t xml:space="preserve"> years, our focus has been on supporting everyone we regulate during COVID</w:t>
      </w:r>
      <w:r w:rsidR="00696189">
        <w:rPr>
          <w:rFonts w:ascii="Arial" w:hAnsi="Arial" w:cs="Arial"/>
        </w:rPr>
        <w:t>-19</w:t>
      </w:r>
      <w:r w:rsidRPr="00E73B21">
        <w:rPr>
          <w:rFonts w:ascii="Arial" w:hAnsi="Arial" w:cs="Arial"/>
        </w:rPr>
        <w:t xml:space="preserve">, </w:t>
      </w:r>
      <w:r>
        <w:rPr>
          <w:rFonts w:ascii="Arial" w:hAnsi="Arial" w:cs="Arial"/>
        </w:rPr>
        <w:t xml:space="preserve">the </w:t>
      </w:r>
      <w:r w:rsidRPr="00E73B21">
        <w:rPr>
          <w:rFonts w:ascii="Arial" w:hAnsi="Arial" w:cs="Arial"/>
        </w:rPr>
        <w:t xml:space="preserve">EU exit, and our response to the cyber-attack, in ways which maintain protection for Scotland’s environment, communities and our people and in accordance with the provisions of the Code. The following explains the development of our regulatory approach throughout the period and provides some more specific examples, all demonstrating that compliance with the Code is inherent in the way </w:t>
      </w:r>
      <w:r>
        <w:rPr>
          <w:rFonts w:ascii="Arial" w:hAnsi="Arial" w:cs="Arial"/>
        </w:rPr>
        <w:t>we</w:t>
      </w:r>
      <w:r w:rsidRPr="00E73B21">
        <w:rPr>
          <w:rFonts w:ascii="Arial" w:hAnsi="Arial" w:cs="Arial"/>
        </w:rPr>
        <w:t xml:space="preserve"> work.</w:t>
      </w:r>
    </w:p>
    <w:p w14:paraId="1DB792CA" w14:textId="77777777" w:rsidR="00844B3B" w:rsidRPr="00E73B21" w:rsidRDefault="00844B3B" w:rsidP="003738AC">
      <w:pPr>
        <w:spacing w:line="360" w:lineRule="auto"/>
        <w:rPr>
          <w:rFonts w:ascii="Arial" w:hAnsi="Arial" w:cs="Arial"/>
        </w:rPr>
      </w:pPr>
    </w:p>
    <w:p w14:paraId="51082021" w14:textId="45BCF38E" w:rsidR="00B621FB" w:rsidRPr="0024260E" w:rsidRDefault="00B621FB" w:rsidP="003738AC">
      <w:pPr>
        <w:spacing w:line="360" w:lineRule="auto"/>
        <w:rPr>
          <w:rFonts w:ascii="Arial" w:hAnsi="Arial" w:cs="Arial"/>
          <w:b/>
          <w:bCs/>
        </w:rPr>
      </w:pPr>
      <w:r w:rsidRPr="0024260E">
        <w:rPr>
          <w:rFonts w:ascii="Arial" w:hAnsi="Arial" w:cs="Arial"/>
          <w:b/>
          <w:bCs/>
        </w:rPr>
        <w:lastRenderedPageBreak/>
        <w:t>General approach over 2020</w:t>
      </w:r>
      <w:r w:rsidR="000845C9">
        <w:rPr>
          <w:rFonts w:ascii="Arial" w:hAnsi="Arial" w:cs="Arial"/>
          <w:b/>
          <w:bCs/>
        </w:rPr>
        <w:t>/</w:t>
      </w:r>
      <w:r>
        <w:rPr>
          <w:rFonts w:ascii="Arial" w:hAnsi="Arial" w:cs="Arial"/>
          <w:b/>
          <w:bCs/>
        </w:rPr>
        <w:t>2021</w:t>
      </w:r>
      <w:r w:rsidRPr="0024260E">
        <w:rPr>
          <w:rFonts w:ascii="Arial" w:hAnsi="Arial" w:cs="Arial"/>
          <w:b/>
          <w:bCs/>
        </w:rPr>
        <w:t xml:space="preserve"> and </w:t>
      </w:r>
      <w:r w:rsidR="000845C9">
        <w:rPr>
          <w:rFonts w:ascii="Arial" w:hAnsi="Arial" w:cs="Arial"/>
          <w:b/>
          <w:bCs/>
        </w:rPr>
        <w:t>2021/2022</w:t>
      </w:r>
    </w:p>
    <w:p w14:paraId="3FC57977" w14:textId="43C8F8CD" w:rsidR="00B621FB" w:rsidRDefault="00B621FB" w:rsidP="003738AC">
      <w:pPr>
        <w:spacing w:line="360" w:lineRule="auto"/>
        <w:rPr>
          <w:rFonts w:ascii="Arial" w:hAnsi="Arial" w:cs="Arial"/>
        </w:rPr>
      </w:pPr>
      <w:r w:rsidRPr="00E73B21">
        <w:rPr>
          <w:rFonts w:ascii="Arial" w:hAnsi="Arial" w:cs="Arial"/>
        </w:rPr>
        <w:t>At the outset of the pandemic, we recognised that during a significant outbreak of COVID</w:t>
      </w:r>
      <w:r w:rsidR="00AF1FDD">
        <w:rPr>
          <w:rFonts w:ascii="Arial" w:hAnsi="Arial" w:cs="Arial"/>
        </w:rPr>
        <w:t>-19</w:t>
      </w:r>
      <w:r w:rsidR="00B975FD">
        <w:rPr>
          <w:rFonts w:ascii="Arial" w:hAnsi="Arial" w:cs="Arial"/>
        </w:rPr>
        <w:t>,</w:t>
      </w:r>
      <w:r w:rsidRPr="00E73B21">
        <w:rPr>
          <w:rFonts w:ascii="Arial" w:hAnsi="Arial" w:cs="Arial"/>
        </w:rPr>
        <w:t xml:space="preserve"> the ability of operators to run their operations may be compromised by a lack of available staff, and/or the need to protect staff and minimise transmission of COVID</w:t>
      </w:r>
      <w:r w:rsidR="00AF1FDD">
        <w:rPr>
          <w:rFonts w:ascii="Arial" w:hAnsi="Arial" w:cs="Arial"/>
        </w:rPr>
        <w:t>-19</w:t>
      </w:r>
      <w:r w:rsidRPr="00E73B21">
        <w:rPr>
          <w:rFonts w:ascii="Arial" w:hAnsi="Arial" w:cs="Arial"/>
        </w:rPr>
        <w:t xml:space="preserve">. </w:t>
      </w:r>
    </w:p>
    <w:p w14:paraId="5B0AF752" w14:textId="77777777" w:rsidR="00AF1FDD" w:rsidRPr="00E73B21" w:rsidRDefault="00AF1FDD" w:rsidP="003738AC">
      <w:pPr>
        <w:spacing w:line="360" w:lineRule="auto"/>
        <w:rPr>
          <w:rFonts w:ascii="Arial" w:hAnsi="Arial" w:cs="Arial"/>
        </w:rPr>
      </w:pPr>
    </w:p>
    <w:p w14:paraId="15D19E27" w14:textId="128919E0" w:rsidR="00B621FB" w:rsidRDefault="00B621FB" w:rsidP="003738AC">
      <w:pPr>
        <w:spacing w:line="360" w:lineRule="auto"/>
        <w:rPr>
          <w:rFonts w:ascii="Arial" w:hAnsi="Arial" w:cs="Arial"/>
        </w:rPr>
      </w:pPr>
      <w:r w:rsidRPr="00E73B21">
        <w:rPr>
          <w:rFonts w:ascii="Arial" w:hAnsi="Arial" w:cs="Arial"/>
        </w:rPr>
        <w:t>To support businesses through the pandemic, on 6 April 2020 we published a COVID</w:t>
      </w:r>
      <w:r w:rsidR="00AF1FDD">
        <w:rPr>
          <w:rFonts w:ascii="Arial" w:hAnsi="Arial" w:cs="Arial"/>
        </w:rPr>
        <w:t>-19</w:t>
      </w:r>
      <w:r>
        <w:rPr>
          <w:rFonts w:ascii="Arial" w:hAnsi="Arial" w:cs="Arial"/>
        </w:rPr>
        <w:t xml:space="preserve"> p</w:t>
      </w:r>
      <w:r w:rsidRPr="00E73B21">
        <w:rPr>
          <w:rFonts w:ascii="Arial" w:hAnsi="Arial" w:cs="Arial"/>
        </w:rPr>
        <w:t>hilosophy alongside over-arching guidance on regulation during the pandemic. Together, these set out how we would regulate during the pandemic and what was expected of regulated businesses. The philosophy and guidance were supported by 15 Temporary Regulatory Position Statements</w:t>
      </w:r>
      <w:r>
        <w:rPr>
          <w:rFonts w:ascii="Arial" w:hAnsi="Arial" w:cs="Arial"/>
        </w:rPr>
        <w:t xml:space="preserve"> </w:t>
      </w:r>
      <w:r w:rsidRPr="00E73B21">
        <w:rPr>
          <w:rFonts w:ascii="Arial" w:hAnsi="Arial" w:cs="Arial"/>
        </w:rPr>
        <w:t xml:space="preserve">that were prepared for specific circumstances where more detail was required. </w:t>
      </w:r>
    </w:p>
    <w:p w14:paraId="0D442315" w14:textId="77777777" w:rsidR="00AF1FDD" w:rsidRPr="00E73B21" w:rsidRDefault="00AF1FDD" w:rsidP="003738AC">
      <w:pPr>
        <w:spacing w:line="360" w:lineRule="auto"/>
        <w:rPr>
          <w:rFonts w:ascii="Arial" w:hAnsi="Arial" w:cs="Arial"/>
        </w:rPr>
      </w:pPr>
    </w:p>
    <w:p w14:paraId="25AD026E" w14:textId="30B26A56" w:rsidR="00B621FB" w:rsidRDefault="00B621FB" w:rsidP="003738AC">
      <w:pPr>
        <w:spacing w:line="360" w:lineRule="auto"/>
        <w:rPr>
          <w:rFonts w:ascii="Arial" w:hAnsi="Arial" w:cs="Arial"/>
        </w:rPr>
      </w:pPr>
      <w:r w:rsidRPr="00E73B21">
        <w:rPr>
          <w:rFonts w:ascii="Arial" w:hAnsi="Arial" w:cs="Arial"/>
        </w:rPr>
        <w:t xml:space="preserve">In the philosophy and overarching guidance, we were clear what we expected of regulated businesses: “SEPA is clear we expect everyone we regulate to make their best endeavours to meet their environmental obligations. If a regulated business is unable to meet all its obligations under SEPA’s licence, permit or other authorisations because of these exceptional circumstances, we expect it to: </w:t>
      </w:r>
    </w:p>
    <w:p w14:paraId="47A6356A" w14:textId="77777777" w:rsidR="00AF1FDD" w:rsidRPr="00E73B21" w:rsidRDefault="00AF1FDD" w:rsidP="003738AC">
      <w:pPr>
        <w:spacing w:line="360" w:lineRule="auto"/>
        <w:rPr>
          <w:rFonts w:ascii="Arial" w:hAnsi="Arial" w:cs="Arial"/>
        </w:rPr>
      </w:pPr>
    </w:p>
    <w:p w14:paraId="7942FBA4" w14:textId="77777777" w:rsidR="00B621FB" w:rsidRPr="00AF1FDD" w:rsidRDefault="00B621FB" w:rsidP="00802A98">
      <w:pPr>
        <w:pStyle w:val="ListParagraph"/>
        <w:numPr>
          <w:ilvl w:val="0"/>
          <w:numId w:val="24"/>
        </w:numPr>
        <w:spacing w:line="360" w:lineRule="auto"/>
        <w:ind w:right="-425"/>
        <w:rPr>
          <w:rFonts w:ascii="Arial" w:eastAsia="Arial" w:hAnsi="Arial" w:cs="Arial"/>
        </w:rPr>
      </w:pPr>
      <w:r w:rsidRPr="00AF1FDD">
        <w:rPr>
          <w:rFonts w:ascii="Arial" w:eastAsia="Arial" w:hAnsi="Arial" w:cs="Arial"/>
        </w:rPr>
        <w:t xml:space="preserve">prioritise compliance with conditions which directly protect the environment over those which are indirect controls or more administrative in nature; </w:t>
      </w:r>
    </w:p>
    <w:p w14:paraId="19BCBFF0" w14:textId="77777777" w:rsidR="00B621FB" w:rsidRPr="00AF1FDD" w:rsidRDefault="00B621FB" w:rsidP="00802A98">
      <w:pPr>
        <w:pStyle w:val="ListParagraph"/>
        <w:numPr>
          <w:ilvl w:val="0"/>
          <w:numId w:val="24"/>
        </w:numPr>
        <w:spacing w:line="360" w:lineRule="auto"/>
        <w:ind w:right="-425"/>
        <w:rPr>
          <w:rFonts w:ascii="Arial" w:eastAsia="Arial" w:hAnsi="Arial" w:cs="Arial"/>
        </w:rPr>
      </w:pPr>
      <w:r w:rsidRPr="00AF1FDD">
        <w:rPr>
          <w:rFonts w:ascii="Arial" w:eastAsia="Arial" w:hAnsi="Arial" w:cs="Arial"/>
        </w:rPr>
        <w:t>alert us as early as possible if it believes it will be unable to meet any obligations and work closely with us on making choices and finding solutions;</w:t>
      </w:r>
    </w:p>
    <w:p w14:paraId="791C0950" w14:textId="71C51570" w:rsidR="00B621FB" w:rsidRDefault="00B621FB" w:rsidP="00802A98">
      <w:pPr>
        <w:pStyle w:val="ListParagraph"/>
        <w:numPr>
          <w:ilvl w:val="0"/>
          <w:numId w:val="24"/>
        </w:numPr>
        <w:spacing w:line="360" w:lineRule="auto"/>
        <w:ind w:right="-425"/>
        <w:rPr>
          <w:rFonts w:ascii="Arial" w:eastAsia="Arial" w:hAnsi="Arial" w:cs="Arial"/>
        </w:rPr>
      </w:pPr>
      <w:r w:rsidRPr="00AF1FDD">
        <w:rPr>
          <w:rFonts w:ascii="Arial" w:eastAsia="Arial" w:hAnsi="Arial" w:cs="Arial"/>
        </w:rPr>
        <w:t xml:space="preserve">document choices made and actions taken. </w:t>
      </w:r>
    </w:p>
    <w:p w14:paraId="30D459C8" w14:textId="77777777" w:rsidR="00AF1FDD" w:rsidRPr="00AF1FDD" w:rsidRDefault="00AF1FDD" w:rsidP="00AF1FDD">
      <w:pPr>
        <w:pStyle w:val="ListParagraph"/>
        <w:spacing w:line="360" w:lineRule="auto"/>
        <w:ind w:right="-425"/>
        <w:rPr>
          <w:rFonts w:ascii="Arial" w:eastAsia="Arial" w:hAnsi="Arial" w:cs="Arial"/>
        </w:rPr>
      </w:pPr>
    </w:p>
    <w:p w14:paraId="439E4BEE" w14:textId="3D010A7A" w:rsidR="00B621FB" w:rsidRDefault="00B621FB" w:rsidP="003738AC">
      <w:pPr>
        <w:spacing w:line="360" w:lineRule="auto"/>
        <w:rPr>
          <w:rFonts w:ascii="Arial" w:hAnsi="Arial" w:cs="Arial"/>
        </w:rPr>
      </w:pPr>
      <w:r w:rsidRPr="00E73B21">
        <w:rPr>
          <w:rFonts w:ascii="Arial" w:hAnsi="Arial" w:cs="Arial"/>
        </w:rPr>
        <w:t>If a regulated business behaves in line with the above, SEPA will take a proportionate and reasonable approach to how we assess compliance during COVID</w:t>
      </w:r>
      <w:r w:rsidR="00BB09B7">
        <w:rPr>
          <w:rFonts w:ascii="Arial" w:hAnsi="Arial" w:cs="Arial"/>
        </w:rPr>
        <w:t>-19</w:t>
      </w:r>
      <w:r w:rsidRPr="00E73B21">
        <w:rPr>
          <w:rFonts w:ascii="Arial" w:hAnsi="Arial" w:cs="Arial"/>
        </w:rPr>
        <w:t>.”</w:t>
      </w:r>
    </w:p>
    <w:p w14:paraId="6BFBC85A" w14:textId="77777777" w:rsidR="00CA6BCF" w:rsidRPr="00E73B21" w:rsidRDefault="00CA6BCF" w:rsidP="003738AC">
      <w:pPr>
        <w:spacing w:line="360" w:lineRule="auto"/>
        <w:rPr>
          <w:rFonts w:ascii="Arial" w:hAnsi="Arial" w:cs="Arial"/>
        </w:rPr>
      </w:pPr>
    </w:p>
    <w:p w14:paraId="2AD3CBB2" w14:textId="5850C129" w:rsidR="00B621FB" w:rsidRDefault="00B621FB" w:rsidP="003738AC">
      <w:pPr>
        <w:spacing w:line="360" w:lineRule="auto"/>
        <w:rPr>
          <w:rFonts w:ascii="Arial" w:hAnsi="Arial" w:cs="Arial"/>
        </w:rPr>
      </w:pPr>
      <w:r w:rsidRPr="00E73B21">
        <w:rPr>
          <w:rFonts w:ascii="Arial" w:hAnsi="Arial" w:cs="Arial"/>
        </w:rPr>
        <w:t>As the pandemic progressed</w:t>
      </w:r>
      <w:r w:rsidR="00CA6BCF">
        <w:rPr>
          <w:rFonts w:ascii="Arial" w:hAnsi="Arial" w:cs="Arial"/>
        </w:rPr>
        <w:t>,</w:t>
      </w:r>
      <w:r w:rsidRPr="00E73B21">
        <w:rPr>
          <w:rFonts w:ascii="Arial" w:hAnsi="Arial" w:cs="Arial"/>
        </w:rPr>
        <w:t xml:space="preserve"> and we and the businesses we regulate adapted to the conditions and to operating differently, we revised our approach. As the transition period for the UK leaving the EU ended on 31 December 2020, we published our revised guidance as </w:t>
      </w:r>
      <w:r w:rsidRPr="009B70A9">
        <w:rPr>
          <w:rFonts w:ascii="Arial" w:hAnsi="Arial" w:cs="Arial"/>
        </w:rPr>
        <w:t>“Principles for Regulatory Approach to EU Exit and COVID</w:t>
      </w:r>
      <w:r w:rsidR="00FD7235" w:rsidRPr="009B70A9">
        <w:rPr>
          <w:rFonts w:ascii="Arial" w:hAnsi="Arial" w:cs="Arial"/>
        </w:rPr>
        <w:t>-19</w:t>
      </w:r>
      <w:r w:rsidRPr="009B70A9">
        <w:rPr>
          <w:rFonts w:ascii="Arial" w:hAnsi="Arial" w:cs="Arial"/>
        </w:rPr>
        <w:t>”.</w:t>
      </w:r>
      <w:r w:rsidRPr="00E73B21">
        <w:rPr>
          <w:rFonts w:ascii="Arial" w:hAnsi="Arial" w:cs="Arial"/>
        </w:rPr>
        <w:t xml:space="preserve"> </w:t>
      </w:r>
      <w:r w:rsidR="009B70A9">
        <w:rPr>
          <w:rStyle w:val="FootnoteReference"/>
          <w:rFonts w:ascii="Arial" w:hAnsi="Arial" w:cs="Arial"/>
        </w:rPr>
        <w:footnoteReference w:id="10"/>
      </w:r>
    </w:p>
    <w:p w14:paraId="385EE3AD" w14:textId="77777777" w:rsidR="00FD7235" w:rsidRPr="00E73B21" w:rsidRDefault="00FD7235" w:rsidP="003738AC">
      <w:pPr>
        <w:spacing w:line="360" w:lineRule="auto"/>
        <w:rPr>
          <w:rFonts w:ascii="Arial" w:hAnsi="Arial" w:cs="Arial"/>
        </w:rPr>
      </w:pPr>
    </w:p>
    <w:p w14:paraId="1A3A242A" w14:textId="2C97A6EC" w:rsidR="00B621FB" w:rsidRDefault="00B621FB" w:rsidP="003738AC">
      <w:pPr>
        <w:spacing w:line="360" w:lineRule="auto"/>
        <w:rPr>
          <w:rFonts w:ascii="Arial" w:hAnsi="Arial" w:cs="Arial"/>
        </w:rPr>
      </w:pPr>
      <w:r w:rsidRPr="00E73B21">
        <w:rPr>
          <w:rFonts w:ascii="Arial" w:hAnsi="Arial" w:cs="Arial"/>
        </w:rPr>
        <w:t xml:space="preserve">This set out an updated position: “SEPA expects people to have business continuity arrangements in place to ensure compliance with their SEPA permit or other environmental </w:t>
      </w:r>
      <w:r w:rsidRPr="00E73B21">
        <w:rPr>
          <w:rFonts w:ascii="Arial" w:hAnsi="Arial" w:cs="Arial"/>
        </w:rPr>
        <w:lastRenderedPageBreak/>
        <w:t>regulatory requirements during EU Exit and COVID</w:t>
      </w:r>
      <w:r w:rsidR="00E81F28">
        <w:rPr>
          <w:rFonts w:ascii="Arial" w:hAnsi="Arial" w:cs="Arial"/>
        </w:rPr>
        <w:t>-19</w:t>
      </w:r>
      <w:r w:rsidRPr="00E73B21">
        <w:rPr>
          <w:rFonts w:ascii="Arial" w:hAnsi="Arial" w:cs="Arial"/>
        </w:rPr>
        <w:t xml:space="preserve">. We are clear we expect everyone we regulate to continue to comply with Scotland’s environmental laws.” </w:t>
      </w:r>
    </w:p>
    <w:p w14:paraId="67705255" w14:textId="77777777" w:rsidR="00FD7235" w:rsidRPr="00E73B21" w:rsidRDefault="00FD7235" w:rsidP="003738AC">
      <w:pPr>
        <w:spacing w:line="360" w:lineRule="auto"/>
        <w:rPr>
          <w:rFonts w:ascii="Arial" w:hAnsi="Arial" w:cs="Arial"/>
        </w:rPr>
      </w:pPr>
    </w:p>
    <w:p w14:paraId="438A1116" w14:textId="08B78E2F" w:rsidR="00B621FB" w:rsidRDefault="00B621FB" w:rsidP="003738AC">
      <w:pPr>
        <w:spacing w:line="360" w:lineRule="auto"/>
        <w:rPr>
          <w:rFonts w:ascii="Arial" w:hAnsi="Arial" w:cs="Arial"/>
        </w:rPr>
      </w:pPr>
      <w:r w:rsidRPr="00E73B21">
        <w:rPr>
          <w:rFonts w:ascii="Arial" w:hAnsi="Arial" w:cs="Arial"/>
        </w:rPr>
        <w:t>It also explained that we would continue to consider the need to adopt Temporary Regulatory Position Statements for specific instances where compliance with a SEPA Permit or other regulatory requirement is not possible for an individual site(s), a type of activity, or for a sector, and where that non-compliance is unavoidable and solely as a direct result of the impact of EU Exit or COVID</w:t>
      </w:r>
      <w:r w:rsidR="006E7B5D">
        <w:rPr>
          <w:rFonts w:ascii="Arial" w:hAnsi="Arial" w:cs="Arial"/>
        </w:rPr>
        <w:t>-19</w:t>
      </w:r>
      <w:r>
        <w:rPr>
          <w:rFonts w:ascii="Arial" w:hAnsi="Arial" w:cs="Arial"/>
        </w:rPr>
        <w:t xml:space="preserve"> </w:t>
      </w:r>
      <w:r w:rsidRPr="00E73B21">
        <w:rPr>
          <w:rFonts w:ascii="Arial" w:hAnsi="Arial" w:cs="Arial"/>
        </w:rPr>
        <w:t>and will not lead to significant environmental harm.</w:t>
      </w:r>
    </w:p>
    <w:p w14:paraId="1218FD05" w14:textId="77777777" w:rsidR="00FD7235" w:rsidRPr="00E73B21" w:rsidRDefault="00FD7235" w:rsidP="003738AC">
      <w:pPr>
        <w:spacing w:line="360" w:lineRule="auto"/>
        <w:rPr>
          <w:rFonts w:ascii="Arial" w:hAnsi="Arial" w:cs="Arial"/>
        </w:rPr>
      </w:pPr>
    </w:p>
    <w:p w14:paraId="22BE4AD1" w14:textId="72A0ADC2" w:rsidR="00B621FB" w:rsidRPr="00E73B21" w:rsidRDefault="00B621FB" w:rsidP="00AD5563">
      <w:pPr>
        <w:spacing w:line="360" w:lineRule="auto"/>
        <w:rPr>
          <w:rFonts w:ascii="Arial" w:hAnsi="Arial" w:cs="Arial"/>
        </w:rPr>
      </w:pPr>
      <w:r w:rsidRPr="00E73B21">
        <w:rPr>
          <w:rFonts w:ascii="Arial" w:hAnsi="Arial" w:cs="Arial"/>
        </w:rPr>
        <w:t>In response to the cyber-attack</w:t>
      </w:r>
      <w:r w:rsidR="3190786E" w:rsidRPr="00E73B21">
        <w:rPr>
          <w:rFonts w:ascii="Arial" w:hAnsi="Arial" w:cs="Arial"/>
        </w:rPr>
        <w:t xml:space="preserve"> on 24 December 2020</w:t>
      </w:r>
      <w:r w:rsidRPr="00E73B21">
        <w:rPr>
          <w:rFonts w:ascii="Arial" w:hAnsi="Arial" w:cs="Arial"/>
        </w:rPr>
        <w:t xml:space="preserve">, we published an </w:t>
      </w:r>
      <w:r w:rsidRPr="00813054">
        <w:rPr>
          <w:rFonts w:ascii="Arial" w:hAnsi="Arial" w:cs="Arial"/>
        </w:rPr>
        <w:t xml:space="preserve">Approach to Delivery of Services </w:t>
      </w:r>
      <w:r w:rsidR="009E235A">
        <w:rPr>
          <w:rStyle w:val="FootnoteReference"/>
          <w:rFonts w:ascii="Arial" w:hAnsi="Arial" w:cs="Arial"/>
        </w:rPr>
        <w:footnoteReference w:id="11"/>
      </w:r>
      <w:r w:rsidRPr="00813054">
        <w:rPr>
          <w:rFonts w:ascii="Arial" w:hAnsi="Arial" w:cs="Arial"/>
        </w:rPr>
        <w:t>until June 2021</w:t>
      </w:r>
      <w:r w:rsidRPr="00E73B21">
        <w:rPr>
          <w:rFonts w:ascii="Arial" w:hAnsi="Arial" w:cs="Arial"/>
        </w:rPr>
        <w:t>, where we explained the approach that we were going to take to doing our work over the first six months of 2021. This included a commitment to ‘listen and quickly respond to any challenges as they emerge and encourage early dialogue with us to achieve shared solutions.’</w:t>
      </w:r>
    </w:p>
    <w:p w14:paraId="7948F4E3" w14:textId="77777777" w:rsidR="00B621FB" w:rsidRPr="00E73B21" w:rsidRDefault="00B621FB" w:rsidP="00AD5563">
      <w:pPr>
        <w:spacing w:line="360" w:lineRule="auto"/>
        <w:rPr>
          <w:rFonts w:ascii="Arial" w:hAnsi="Arial" w:cs="Arial"/>
        </w:rPr>
      </w:pPr>
    </w:p>
    <w:p w14:paraId="7EE794CF" w14:textId="71A53A8F" w:rsidR="00B621FB" w:rsidRDefault="00B621FB" w:rsidP="00AD5563">
      <w:pPr>
        <w:spacing w:line="360" w:lineRule="auto"/>
        <w:rPr>
          <w:rFonts w:ascii="Arial" w:hAnsi="Arial" w:cs="Arial"/>
        </w:rPr>
      </w:pPr>
      <w:r w:rsidRPr="00E73B21">
        <w:rPr>
          <w:rFonts w:ascii="Arial" w:hAnsi="Arial" w:cs="Arial"/>
        </w:rPr>
        <w:t xml:space="preserve">From early 2021, to ensure clear communication with those we regulate and with stakeholders, we published a </w:t>
      </w:r>
      <w:hyperlink r:id="rId64" w:history="1">
        <w:r w:rsidR="00DF5689">
          <w:rPr>
            <w:rStyle w:val="Hyperlink"/>
            <w:rFonts w:ascii="Arial" w:hAnsi="Arial" w:cs="Arial"/>
          </w:rPr>
          <w:t>s</w:t>
        </w:r>
        <w:r w:rsidRPr="00D3434E">
          <w:rPr>
            <w:rStyle w:val="Hyperlink"/>
            <w:rFonts w:ascii="Arial" w:hAnsi="Arial" w:cs="Arial"/>
          </w:rPr>
          <w:t xml:space="preserve">ervice </w:t>
        </w:r>
        <w:r w:rsidR="00DF5689">
          <w:rPr>
            <w:rStyle w:val="Hyperlink"/>
            <w:rFonts w:ascii="Arial" w:hAnsi="Arial" w:cs="Arial"/>
          </w:rPr>
          <w:t>s</w:t>
        </w:r>
        <w:r w:rsidRPr="00D3434E">
          <w:rPr>
            <w:rStyle w:val="Hyperlink"/>
            <w:rFonts w:ascii="Arial" w:hAnsi="Arial" w:cs="Arial"/>
          </w:rPr>
          <w:t>tatus</w:t>
        </w:r>
      </w:hyperlink>
      <w:r w:rsidRPr="00E73B21">
        <w:rPr>
          <w:rFonts w:ascii="Arial" w:hAnsi="Arial" w:cs="Arial"/>
        </w:rPr>
        <w:t xml:space="preserve"> that was updated weekly and allowed people to understand what to expect from us and how we were prioritising progress. The </w:t>
      </w:r>
      <w:r w:rsidR="00DF5689">
        <w:rPr>
          <w:rFonts w:ascii="Arial" w:hAnsi="Arial" w:cs="Arial"/>
        </w:rPr>
        <w:t>s</w:t>
      </w:r>
      <w:r w:rsidRPr="00E73B21">
        <w:rPr>
          <w:rFonts w:ascii="Arial" w:hAnsi="Arial" w:cs="Arial"/>
        </w:rPr>
        <w:t xml:space="preserve">ervice </w:t>
      </w:r>
      <w:r w:rsidR="00DF5689">
        <w:rPr>
          <w:rFonts w:ascii="Arial" w:hAnsi="Arial" w:cs="Arial"/>
        </w:rPr>
        <w:t>s</w:t>
      </w:r>
      <w:r w:rsidRPr="00E73B21">
        <w:rPr>
          <w:rFonts w:ascii="Arial" w:hAnsi="Arial" w:cs="Arial"/>
        </w:rPr>
        <w:t>tatus continues to be published and updated weekly.</w:t>
      </w:r>
    </w:p>
    <w:p w14:paraId="7704F1AF" w14:textId="77777777" w:rsidR="00FD7235" w:rsidRPr="00E73B21" w:rsidRDefault="00FD7235" w:rsidP="00AD5563">
      <w:pPr>
        <w:spacing w:line="360" w:lineRule="auto"/>
        <w:rPr>
          <w:rFonts w:ascii="Arial" w:hAnsi="Arial" w:cs="Arial"/>
        </w:rPr>
      </w:pPr>
    </w:p>
    <w:p w14:paraId="1544BC38" w14:textId="7D8CE26B" w:rsidR="00B621FB" w:rsidRPr="00E73B21" w:rsidRDefault="00B621FB" w:rsidP="00AD5563">
      <w:pPr>
        <w:spacing w:line="360" w:lineRule="auto"/>
        <w:rPr>
          <w:rFonts w:ascii="Arial" w:hAnsi="Arial" w:cs="Arial"/>
          <w:b/>
          <w:bCs/>
        </w:rPr>
      </w:pPr>
      <w:r w:rsidRPr="00E73B21">
        <w:rPr>
          <w:rFonts w:ascii="Arial" w:hAnsi="Arial" w:cs="Arial"/>
          <w:b/>
          <w:bCs/>
        </w:rPr>
        <w:t>Examples of regulatory approach</w:t>
      </w:r>
    </w:p>
    <w:p w14:paraId="08F55CEE" w14:textId="13B8B339" w:rsidR="00B621FB" w:rsidRDefault="00B621FB" w:rsidP="00AD5563">
      <w:pPr>
        <w:spacing w:line="360" w:lineRule="auto"/>
        <w:rPr>
          <w:rFonts w:ascii="Arial" w:eastAsia="Arial" w:hAnsi="Arial" w:cs="Arial"/>
          <w:color w:val="000000" w:themeColor="text1"/>
        </w:rPr>
      </w:pPr>
      <w:r w:rsidRPr="00E73B21">
        <w:rPr>
          <w:rFonts w:ascii="Arial" w:eastAsia="Arial" w:hAnsi="Arial" w:cs="Arial"/>
          <w:color w:val="000000" w:themeColor="text1"/>
          <w:lang w:val="en-US"/>
        </w:rPr>
        <w:t xml:space="preserve">During these two hugely challenging years, we have </w:t>
      </w:r>
      <w:proofErr w:type="spellStart"/>
      <w:r w:rsidRPr="00E73B21">
        <w:rPr>
          <w:rFonts w:ascii="Arial" w:eastAsia="Arial" w:hAnsi="Arial" w:cs="Arial"/>
          <w:color w:val="000000" w:themeColor="text1"/>
          <w:lang w:val="en-US"/>
        </w:rPr>
        <w:t>prioritised</w:t>
      </w:r>
      <w:proofErr w:type="spellEnd"/>
      <w:r w:rsidRPr="00E73B21">
        <w:rPr>
          <w:rFonts w:ascii="Arial" w:eastAsia="Arial" w:hAnsi="Arial" w:cs="Arial"/>
          <w:color w:val="000000" w:themeColor="text1"/>
          <w:lang w:val="en-US"/>
        </w:rPr>
        <w:t xml:space="preserve"> the continued delivery and recovery of the core services that we provide for the communities we serve and the businesses we regulate, all in line with the Code.</w:t>
      </w:r>
      <w:r w:rsidRPr="00E73B21">
        <w:rPr>
          <w:rFonts w:ascii="Arial" w:eastAsia="Arial" w:hAnsi="Arial" w:cs="Arial"/>
          <w:color w:val="000000" w:themeColor="text1"/>
        </w:rPr>
        <w:t xml:space="preserve"> Some examples of this business and community focussed prioritisation are as follows:</w:t>
      </w:r>
    </w:p>
    <w:p w14:paraId="2FC053DF" w14:textId="77777777" w:rsidR="00FD7235" w:rsidRPr="00E73B21" w:rsidRDefault="00FD7235" w:rsidP="00AD5563">
      <w:pPr>
        <w:spacing w:line="360" w:lineRule="auto"/>
        <w:rPr>
          <w:rFonts w:ascii="Arial" w:eastAsia="Arial" w:hAnsi="Arial" w:cs="Arial"/>
          <w:color w:val="000000" w:themeColor="text1"/>
        </w:rPr>
      </w:pPr>
    </w:p>
    <w:p w14:paraId="47FACCDC" w14:textId="77777777" w:rsidR="00B621FB" w:rsidRPr="00FD7235" w:rsidRDefault="00B621FB" w:rsidP="00AD5563">
      <w:pPr>
        <w:pStyle w:val="ListParagraph"/>
        <w:numPr>
          <w:ilvl w:val="0"/>
          <w:numId w:val="24"/>
        </w:numPr>
        <w:spacing w:line="360" w:lineRule="auto"/>
        <w:rPr>
          <w:rFonts w:ascii="Arial" w:eastAsia="Arial" w:hAnsi="Arial" w:cs="Arial"/>
        </w:rPr>
      </w:pPr>
      <w:r w:rsidRPr="00FD7235">
        <w:rPr>
          <w:rFonts w:ascii="Arial" w:eastAsia="Arial" w:hAnsi="Arial" w:cs="Arial"/>
        </w:rPr>
        <w:t>The cyber-attack made delivering our permitting service much more challenging. Taking business needs into account, our priority throughout was to ensure we were able to receive, consider and determine applications for new or altered environmental permits. And whilst the cyber-attack did inevitably lead to some delays in determinations and a backlog of applications, we continued to be able to determine the highest priority applications.</w:t>
      </w:r>
    </w:p>
    <w:p w14:paraId="7B91E8D0" w14:textId="77777777" w:rsidR="00B621FB" w:rsidRPr="00FD7235" w:rsidRDefault="00B621FB" w:rsidP="00AD5563">
      <w:pPr>
        <w:spacing w:line="360" w:lineRule="auto"/>
        <w:rPr>
          <w:rFonts w:ascii="Arial" w:eastAsia="Arial" w:hAnsi="Arial" w:cs="Arial"/>
        </w:rPr>
      </w:pPr>
    </w:p>
    <w:p w14:paraId="03D38B08" w14:textId="30123C87" w:rsidR="00B621FB" w:rsidRDefault="00B621FB" w:rsidP="00AD5563">
      <w:pPr>
        <w:pStyle w:val="ListParagraph"/>
        <w:numPr>
          <w:ilvl w:val="0"/>
          <w:numId w:val="24"/>
        </w:numPr>
        <w:spacing w:line="360" w:lineRule="auto"/>
        <w:rPr>
          <w:rFonts w:ascii="Arial" w:eastAsia="Arial" w:hAnsi="Arial" w:cs="Arial"/>
        </w:rPr>
      </w:pPr>
      <w:r w:rsidRPr="00FD7235">
        <w:rPr>
          <w:rFonts w:ascii="Arial" w:eastAsia="Arial" w:hAnsi="Arial" w:cs="Arial"/>
        </w:rPr>
        <w:lastRenderedPageBreak/>
        <w:t>Maintaining our ability to effectively respond to incidents that have the potential to harm the environment and impact local communities has been a priority throughout the pandemic and after the cyber-attack. Our focus during this time has been to minimise the impact of incidents on the environment and communities, ensure those responsible were held to account, and require any harm to be rectified, and reoccurrence prevented.</w:t>
      </w:r>
    </w:p>
    <w:p w14:paraId="46A8CEAD" w14:textId="77777777" w:rsidR="00FD7235" w:rsidRPr="00FD7235" w:rsidRDefault="00FD7235" w:rsidP="00AD5563">
      <w:pPr>
        <w:spacing w:line="360" w:lineRule="auto"/>
        <w:rPr>
          <w:rFonts w:ascii="Arial" w:eastAsia="Arial" w:hAnsi="Arial" w:cs="Arial"/>
        </w:rPr>
      </w:pPr>
    </w:p>
    <w:p w14:paraId="6589598B" w14:textId="77777777" w:rsidR="00B621FB" w:rsidRPr="00FD7235" w:rsidRDefault="00B621FB" w:rsidP="00AD5563">
      <w:pPr>
        <w:pStyle w:val="ListParagraph"/>
        <w:numPr>
          <w:ilvl w:val="0"/>
          <w:numId w:val="24"/>
        </w:numPr>
        <w:spacing w:line="360" w:lineRule="auto"/>
        <w:rPr>
          <w:rFonts w:ascii="Arial" w:eastAsia="Arial" w:hAnsi="Arial" w:cs="Arial"/>
        </w:rPr>
      </w:pPr>
      <w:r w:rsidRPr="00FD7235">
        <w:rPr>
          <w:rFonts w:ascii="Arial" w:eastAsia="Arial" w:hAnsi="Arial" w:cs="Arial"/>
        </w:rPr>
        <w:t>Our compliance verification activity has focussed our effort on key sectors and operators and those sites with the greatest potential to have an impact on the environment or people or both, including sites of community impact, thus targeting action where it is most needed and alive to the interests of communities.</w:t>
      </w:r>
    </w:p>
    <w:p w14:paraId="7D372617" w14:textId="77777777" w:rsidR="00B621FB" w:rsidRPr="00E73B21" w:rsidRDefault="00B621FB" w:rsidP="00AD5563">
      <w:pPr>
        <w:spacing w:line="360" w:lineRule="auto"/>
        <w:rPr>
          <w:rFonts w:ascii="Arial" w:hAnsi="Arial" w:cs="Arial"/>
        </w:rPr>
      </w:pPr>
    </w:p>
    <w:p w14:paraId="17E213BA" w14:textId="6C55EA5E" w:rsidR="00FD7235" w:rsidRDefault="00B621FB" w:rsidP="00AD5563">
      <w:pPr>
        <w:spacing w:line="360" w:lineRule="auto"/>
        <w:rPr>
          <w:rFonts w:ascii="Arial" w:hAnsi="Arial" w:cs="Arial"/>
        </w:rPr>
      </w:pPr>
      <w:r w:rsidRPr="00E73B21">
        <w:rPr>
          <w:rFonts w:ascii="Arial" w:hAnsi="Arial" w:cs="Arial"/>
        </w:rPr>
        <w:t>During this period, we have also continued to develop new regulatory approaches, always considering the potential impacts on those we regulate and other relevant stakeholders.</w:t>
      </w:r>
      <w:r>
        <w:rPr>
          <w:rFonts w:ascii="Arial" w:hAnsi="Arial" w:cs="Arial"/>
        </w:rPr>
        <w:t xml:space="preserve"> </w:t>
      </w:r>
      <w:r w:rsidRPr="00E73B21">
        <w:rPr>
          <w:rFonts w:ascii="Arial" w:hAnsi="Arial" w:cs="Arial"/>
        </w:rPr>
        <w:t xml:space="preserve">For example: </w:t>
      </w:r>
    </w:p>
    <w:p w14:paraId="370D0312" w14:textId="77777777" w:rsidR="00FD7235" w:rsidRPr="00E73B21" w:rsidRDefault="00FD7235" w:rsidP="003738AC">
      <w:pPr>
        <w:spacing w:line="360" w:lineRule="auto"/>
        <w:rPr>
          <w:rFonts w:ascii="Arial" w:hAnsi="Arial" w:cs="Arial"/>
        </w:rPr>
      </w:pPr>
    </w:p>
    <w:p w14:paraId="4345958E" w14:textId="77777777" w:rsidR="00B621FB" w:rsidRPr="00E82515" w:rsidRDefault="00B621FB" w:rsidP="002D364E">
      <w:pPr>
        <w:pStyle w:val="ListParagraph"/>
        <w:numPr>
          <w:ilvl w:val="0"/>
          <w:numId w:val="24"/>
        </w:numPr>
        <w:spacing w:line="360" w:lineRule="auto"/>
        <w:rPr>
          <w:rFonts w:ascii="Arial" w:eastAsia="Arial" w:hAnsi="Arial" w:cs="Arial"/>
        </w:rPr>
      </w:pPr>
      <w:r w:rsidRPr="00E82515">
        <w:rPr>
          <w:rFonts w:ascii="Arial" w:eastAsia="Arial" w:hAnsi="Arial" w:cs="Arial"/>
        </w:rPr>
        <w:t>There has been a significant change in the type of work we have done and will continue to do in regulating the marine fish farm industry, from how we assess the initial applications through to the way we monitor fish farms, audit how operators manage their activities and directly inspect the site. Building on our consultation on the</w:t>
      </w:r>
      <w:hyperlink r:id="rId65">
        <w:r w:rsidRPr="00E82515">
          <w:rPr>
            <w:rFonts w:ascii="Arial" w:eastAsia="Arial" w:hAnsi="Arial" w:cs="Arial"/>
          </w:rPr>
          <w:t xml:space="preserve"> finfish aquaculture sector plan</w:t>
        </w:r>
      </w:hyperlink>
      <w:r w:rsidRPr="00E82515">
        <w:rPr>
          <w:rFonts w:ascii="Arial" w:eastAsia="Arial" w:hAnsi="Arial" w:cs="Arial"/>
        </w:rPr>
        <w:t xml:space="preserve"> we ran a consultation, supported by a series of stakeholder meetings, on regulatory charges for the industry to address historic under-recovery and to fund the additional work introduced by the new approach, which ensures a transparent science-based approach.</w:t>
      </w:r>
    </w:p>
    <w:p w14:paraId="5F873D41" w14:textId="77777777" w:rsidR="00B621FB" w:rsidRPr="00E82515" w:rsidRDefault="00B621FB" w:rsidP="002D364E">
      <w:pPr>
        <w:pStyle w:val="ListParagraph"/>
        <w:spacing w:line="360" w:lineRule="auto"/>
        <w:rPr>
          <w:rFonts w:ascii="Arial" w:eastAsia="Arial" w:hAnsi="Arial" w:cs="Arial"/>
        </w:rPr>
      </w:pPr>
    </w:p>
    <w:p w14:paraId="6245CA31" w14:textId="2BE4CC7A" w:rsidR="00B621FB" w:rsidRPr="00E82515" w:rsidRDefault="00B621FB" w:rsidP="002D364E">
      <w:pPr>
        <w:pStyle w:val="ListParagraph"/>
        <w:numPr>
          <w:ilvl w:val="0"/>
          <w:numId w:val="24"/>
        </w:numPr>
        <w:spacing w:line="360" w:lineRule="auto"/>
        <w:rPr>
          <w:rFonts w:ascii="Arial" w:eastAsia="Arial" w:hAnsi="Arial" w:cs="Arial"/>
        </w:rPr>
      </w:pPr>
      <w:r w:rsidRPr="00E82515">
        <w:rPr>
          <w:rFonts w:ascii="Arial" w:eastAsia="Arial" w:hAnsi="Arial" w:cs="Arial"/>
        </w:rPr>
        <w:t xml:space="preserve">Also in relation to aquaculture, in December 2021 we </w:t>
      </w:r>
      <w:hyperlink r:id="rId66" w:history="1">
        <w:r w:rsidRPr="00E82515">
          <w:rPr>
            <w:rFonts w:ascii="Arial" w:eastAsia="Arial" w:hAnsi="Arial" w:cs="Arial"/>
          </w:rPr>
          <w:t>consulted</w:t>
        </w:r>
      </w:hyperlink>
      <w:r w:rsidRPr="00E82515">
        <w:rPr>
          <w:rFonts w:ascii="Arial" w:eastAsia="Arial" w:hAnsi="Arial" w:cs="Arial"/>
        </w:rPr>
        <w:t xml:space="preserve"> on proposals for a risk-based framework for managing interaction between sea lice from marine finfish farm developments and wild Atlantic salmon in Scotland. Amongst other things, we asked: ‘do you think the design of the proposed framework, or how it is implemented, could affect your community or business interests either positively or negatively? Please tell us what you think the effects could be and why?’</w:t>
      </w:r>
    </w:p>
    <w:p w14:paraId="2A6AA300" w14:textId="77777777" w:rsidR="00B621FB" w:rsidRPr="00E82515" w:rsidRDefault="00B621FB" w:rsidP="002D364E">
      <w:pPr>
        <w:pStyle w:val="ListParagraph"/>
        <w:spacing w:line="360" w:lineRule="auto"/>
        <w:rPr>
          <w:rFonts w:ascii="Arial" w:eastAsia="Arial" w:hAnsi="Arial" w:cs="Arial"/>
        </w:rPr>
      </w:pPr>
    </w:p>
    <w:p w14:paraId="57FC11BD" w14:textId="03853D1D" w:rsidR="00B621FB" w:rsidRPr="00E82515" w:rsidRDefault="00B621FB" w:rsidP="002D364E">
      <w:pPr>
        <w:pStyle w:val="ListParagraph"/>
        <w:numPr>
          <w:ilvl w:val="0"/>
          <w:numId w:val="24"/>
        </w:numPr>
        <w:spacing w:line="360" w:lineRule="auto"/>
        <w:rPr>
          <w:rFonts w:ascii="Arial" w:eastAsia="Arial" w:hAnsi="Arial" w:cs="Arial"/>
        </w:rPr>
      </w:pPr>
      <w:r w:rsidRPr="00E82515">
        <w:rPr>
          <w:rFonts w:ascii="Arial" w:eastAsia="Arial" w:hAnsi="Arial" w:cs="Arial"/>
        </w:rPr>
        <w:t xml:space="preserve">In 2020 we </w:t>
      </w:r>
      <w:hyperlink r:id="rId67">
        <w:r w:rsidRPr="00E82515">
          <w:rPr>
            <w:rFonts w:ascii="Arial" w:eastAsia="Arial" w:hAnsi="Arial" w:cs="Arial"/>
          </w:rPr>
          <w:t>consulted on revised guidance on the use of enforcement action</w:t>
        </w:r>
      </w:hyperlink>
      <w:r w:rsidRPr="00E82515">
        <w:rPr>
          <w:rFonts w:ascii="Arial" w:eastAsia="Arial" w:hAnsi="Arial" w:cs="Arial"/>
        </w:rPr>
        <w:t xml:space="preserve">, seeking views on proposed changes that would enable the use of variable monetary penalties. The consultation was supported by a series of online awareness sessions to provide an opportunity to find out more about our proposals and ask us questions. Having taken account of all the information we gathered during our consultations, the </w:t>
      </w:r>
      <w:hyperlink r:id="rId68" w:history="1">
        <w:r w:rsidRPr="00E82515">
          <w:rPr>
            <w:rFonts w:ascii="Arial" w:eastAsia="Arial" w:hAnsi="Arial" w:cs="Arial"/>
          </w:rPr>
          <w:t>revised guidance</w:t>
        </w:r>
      </w:hyperlink>
      <w:r w:rsidRPr="00E82515">
        <w:rPr>
          <w:rFonts w:ascii="Arial" w:eastAsia="Arial" w:hAnsi="Arial" w:cs="Arial"/>
        </w:rPr>
        <w:t xml:space="preserve"> </w:t>
      </w:r>
      <w:r w:rsidRPr="00E82515">
        <w:rPr>
          <w:rFonts w:ascii="Arial" w:eastAsia="Arial" w:hAnsi="Arial" w:cs="Arial"/>
        </w:rPr>
        <w:lastRenderedPageBreak/>
        <w:t xml:space="preserve">was issued in 2021 along with our </w:t>
      </w:r>
      <w:hyperlink r:id="rId69" w:history="1">
        <w:r w:rsidRPr="00E82515">
          <w:rPr>
            <w:rFonts w:ascii="Arial" w:eastAsia="Arial" w:hAnsi="Arial" w:cs="Arial"/>
          </w:rPr>
          <w:t>guidance</w:t>
        </w:r>
      </w:hyperlink>
      <w:r w:rsidRPr="00E82515">
        <w:rPr>
          <w:rFonts w:ascii="Arial" w:eastAsia="Arial" w:hAnsi="Arial" w:cs="Arial"/>
        </w:rPr>
        <w:t xml:space="preserve"> on how we will determine a Variable Monetary Penalty, putting us in a position to begin issuing Variable Monetary Penalties in 2022.</w:t>
      </w:r>
    </w:p>
    <w:p w14:paraId="7C415839" w14:textId="77777777" w:rsidR="00B621FB" w:rsidRPr="00E82515" w:rsidRDefault="00B621FB" w:rsidP="002D364E">
      <w:pPr>
        <w:pStyle w:val="ListParagraph"/>
        <w:spacing w:line="360" w:lineRule="auto"/>
        <w:rPr>
          <w:rFonts w:ascii="Arial" w:eastAsia="Arial" w:hAnsi="Arial" w:cs="Arial"/>
        </w:rPr>
      </w:pPr>
    </w:p>
    <w:p w14:paraId="71E2775E" w14:textId="5630EDF5" w:rsidR="00B621FB" w:rsidRPr="00E82515" w:rsidRDefault="00B621FB" w:rsidP="002D364E">
      <w:pPr>
        <w:pStyle w:val="ListParagraph"/>
        <w:numPr>
          <w:ilvl w:val="0"/>
          <w:numId w:val="24"/>
        </w:numPr>
        <w:spacing w:line="360" w:lineRule="auto"/>
        <w:rPr>
          <w:rFonts w:ascii="Arial" w:eastAsia="Arial" w:hAnsi="Arial" w:cs="Arial"/>
        </w:rPr>
      </w:pPr>
      <w:r w:rsidRPr="00E82515">
        <w:rPr>
          <w:rFonts w:ascii="Arial" w:eastAsia="Arial" w:hAnsi="Arial" w:cs="Arial"/>
        </w:rPr>
        <w:t>We are a key agency in the land use planning process in Scotland, providing environmental advice to planning authorities, developers</w:t>
      </w:r>
      <w:r w:rsidR="009A253B">
        <w:rPr>
          <w:rFonts w:ascii="Arial" w:eastAsia="Arial" w:hAnsi="Arial" w:cs="Arial"/>
        </w:rPr>
        <w:t>,</w:t>
      </w:r>
      <w:r w:rsidRPr="00E82515">
        <w:rPr>
          <w:rFonts w:ascii="Arial" w:eastAsia="Arial" w:hAnsi="Arial" w:cs="Arial"/>
        </w:rPr>
        <w:t xml:space="preserve"> and the wider public. In March 2021 we issued a triage framework to inform our engagement with planning authorities and to deal with the backlog of case work accumulated since the cyber-attack. The framework, underpinned by regular liaison, helped us to clear the backlog. We have since reviewed the framework, based on experience and feedback from planning authorities and within SEPA, with a strong focus on where we can add the most value. Regular liaison with planning authorities has helped us prioritise and problem solve, and we hope that this can continue.</w:t>
      </w:r>
    </w:p>
    <w:p w14:paraId="71C60F3A" w14:textId="77777777" w:rsidR="00A42D7E" w:rsidRDefault="00A42D7E" w:rsidP="002D364E">
      <w:pPr>
        <w:spacing w:line="360" w:lineRule="auto"/>
        <w:rPr>
          <w:rFonts w:ascii="Arial" w:hAnsi="Arial" w:cs="Arial"/>
          <w:color w:val="000000" w:themeColor="text1"/>
        </w:rPr>
      </w:pPr>
    </w:p>
    <w:p w14:paraId="02A386C9" w14:textId="5D7E26C7" w:rsidR="00E02D10" w:rsidRDefault="006D358C" w:rsidP="002D364E">
      <w:pPr>
        <w:spacing w:line="360" w:lineRule="auto"/>
        <w:rPr>
          <w:rFonts w:ascii="Arial" w:hAnsi="Arial" w:cs="Arial"/>
          <w:color w:val="000000" w:themeColor="text1"/>
        </w:rPr>
      </w:pPr>
      <w:r w:rsidRPr="00E85CEF">
        <w:rPr>
          <w:rFonts w:ascii="Arial" w:hAnsi="Arial" w:cs="Arial"/>
          <w:color w:val="000000" w:themeColor="text1"/>
        </w:rPr>
        <w:t xml:space="preserve">Approved by the Board on </w:t>
      </w:r>
      <w:r w:rsidR="0053742D" w:rsidRPr="00E85CEF">
        <w:rPr>
          <w:rFonts w:ascii="Arial" w:hAnsi="Arial" w:cs="Arial"/>
          <w:color w:val="000000" w:themeColor="text1"/>
        </w:rPr>
        <w:t>29 November 2022</w:t>
      </w:r>
      <w:r w:rsidR="00A87AD6" w:rsidRPr="00E85CEF">
        <w:rPr>
          <w:rFonts w:ascii="Arial" w:hAnsi="Arial" w:cs="Arial"/>
          <w:color w:val="000000" w:themeColor="text1"/>
        </w:rPr>
        <w:t xml:space="preserve"> and signed on behalf of the Board</w:t>
      </w:r>
      <w:r w:rsidR="00C127E8">
        <w:rPr>
          <w:rFonts w:ascii="Arial" w:hAnsi="Arial" w:cs="Arial"/>
          <w:color w:val="000000" w:themeColor="text1"/>
        </w:rPr>
        <w:t xml:space="preserve"> on</w:t>
      </w:r>
      <w:r w:rsidR="0053742D" w:rsidRPr="00E85CEF">
        <w:rPr>
          <w:rFonts w:ascii="Arial" w:hAnsi="Arial" w:cs="Arial"/>
          <w:color w:val="000000" w:themeColor="text1"/>
        </w:rPr>
        <w:t xml:space="preserve"> </w:t>
      </w:r>
      <w:r w:rsidR="00C127E8">
        <w:rPr>
          <w:rFonts w:ascii="Arial" w:hAnsi="Arial" w:cs="Arial"/>
          <w:color w:val="000000" w:themeColor="text1"/>
        </w:rPr>
        <w:t>02</w:t>
      </w:r>
      <w:r w:rsidR="0053742D" w:rsidRPr="00E85CEF">
        <w:rPr>
          <w:rFonts w:ascii="Arial" w:hAnsi="Arial" w:cs="Arial"/>
          <w:color w:val="000000" w:themeColor="text1"/>
        </w:rPr>
        <w:t xml:space="preserve"> December 2022.</w:t>
      </w:r>
    </w:p>
    <w:p w14:paraId="6967B510" w14:textId="77E99921" w:rsidR="00A42D7E" w:rsidRDefault="00A42D7E" w:rsidP="00433447">
      <w:pPr>
        <w:spacing w:line="360" w:lineRule="auto"/>
        <w:rPr>
          <w:rFonts w:ascii="Arial" w:hAnsi="Arial" w:cs="Arial"/>
          <w:color w:val="000000" w:themeColor="text1"/>
        </w:rPr>
      </w:pPr>
    </w:p>
    <w:p w14:paraId="57A48790" w14:textId="77777777" w:rsidR="00A42D7E" w:rsidRPr="00433447" w:rsidRDefault="00A42D7E" w:rsidP="00433447">
      <w:pPr>
        <w:spacing w:line="360" w:lineRule="auto"/>
        <w:rPr>
          <w:rFonts w:ascii="Arial" w:hAnsi="Arial" w:cs="Arial"/>
          <w:color w:val="000000" w:themeColor="text1"/>
        </w:rPr>
      </w:pPr>
    </w:p>
    <w:p w14:paraId="520E3569" w14:textId="1E68ABBE" w:rsidR="00D53668" w:rsidRDefault="00D53668" w:rsidP="00F056AA">
      <w:pPr>
        <w:rPr>
          <w:rFonts w:ascii="Arial" w:hAnsi="Arial" w:cs="Arial"/>
          <w:b/>
          <w:color w:val="000000" w:themeColor="text1"/>
          <w:sz w:val="22"/>
          <w:szCs w:val="22"/>
        </w:rPr>
      </w:pPr>
    </w:p>
    <w:p w14:paraId="309169FF" w14:textId="77777777" w:rsidR="00293CC2" w:rsidRPr="000F0C25" w:rsidRDefault="00293CC2" w:rsidP="00F056AA">
      <w:pPr>
        <w:rPr>
          <w:rFonts w:ascii="Arial" w:hAnsi="Arial" w:cs="Arial"/>
          <w:b/>
          <w:color w:val="000000" w:themeColor="text1"/>
          <w:sz w:val="22"/>
          <w:szCs w:val="22"/>
        </w:rPr>
      </w:pPr>
    </w:p>
    <w:p w14:paraId="1E0D85B4" w14:textId="129C5F71" w:rsidR="00F056AA" w:rsidRPr="000F0C25" w:rsidRDefault="0077797A" w:rsidP="00F056AA">
      <w:pPr>
        <w:rPr>
          <w:rFonts w:ascii="Arial" w:hAnsi="Arial" w:cs="Arial"/>
          <w:b/>
          <w:sz w:val="22"/>
          <w:szCs w:val="22"/>
        </w:rPr>
      </w:pPr>
      <w:r w:rsidRPr="000F0C25">
        <w:rPr>
          <w:rFonts w:ascii="Arial" w:hAnsi="Arial" w:cs="Arial"/>
          <w:b/>
          <w:sz w:val="22"/>
          <w:szCs w:val="22"/>
        </w:rPr>
        <w:t>_</w:t>
      </w:r>
      <w:r w:rsidR="00F056AA" w:rsidRPr="000F0C25">
        <w:rPr>
          <w:rFonts w:ascii="Arial" w:hAnsi="Arial" w:cs="Arial"/>
          <w:b/>
          <w:sz w:val="22"/>
          <w:szCs w:val="22"/>
        </w:rPr>
        <w:t>_________________________</w:t>
      </w:r>
      <w:r w:rsidR="002536AE" w:rsidRPr="000F0C25">
        <w:rPr>
          <w:rFonts w:ascii="Arial" w:hAnsi="Arial" w:cs="Arial"/>
          <w:b/>
          <w:sz w:val="22"/>
          <w:szCs w:val="22"/>
        </w:rPr>
        <w:t xml:space="preserve">  </w:t>
      </w:r>
      <w:r w:rsidR="00F056AA" w:rsidRPr="000F0C25">
        <w:rPr>
          <w:rFonts w:ascii="Arial" w:hAnsi="Arial" w:cs="Arial"/>
          <w:b/>
          <w:sz w:val="22"/>
          <w:szCs w:val="22"/>
        </w:rPr>
        <w:t xml:space="preserve">                                    </w:t>
      </w:r>
      <w:r w:rsidR="003B4954" w:rsidRPr="000F0C25">
        <w:rPr>
          <w:rFonts w:ascii="Arial" w:hAnsi="Arial" w:cs="Arial"/>
          <w:b/>
          <w:sz w:val="22"/>
          <w:szCs w:val="22"/>
        </w:rPr>
        <w:tab/>
      </w:r>
      <w:r w:rsidR="00F056AA" w:rsidRPr="000F0C25">
        <w:rPr>
          <w:rFonts w:ascii="Arial" w:hAnsi="Arial" w:cs="Arial"/>
          <w:b/>
          <w:sz w:val="22"/>
          <w:szCs w:val="22"/>
        </w:rPr>
        <w:t>_______________</w:t>
      </w:r>
    </w:p>
    <w:p w14:paraId="07CEFCAC" w14:textId="77777777" w:rsidR="00F056AA" w:rsidRPr="000F0C25" w:rsidRDefault="00F056AA" w:rsidP="00F056AA">
      <w:pPr>
        <w:rPr>
          <w:rFonts w:ascii="Arial" w:hAnsi="Arial" w:cs="Arial"/>
          <w:b/>
          <w:sz w:val="22"/>
          <w:szCs w:val="22"/>
        </w:rPr>
      </w:pPr>
    </w:p>
    <w:p w14:paraId="2AC00164" w14:textId="5C73CD62" w:rsidR="00F056AA" w:rsidRPr="000F0C25" w:rsidRDefault="00662E4F" w:rsidP="00135BC5">
      <w:pPr>
        <w:rPr>
          <w:rFonts w:ascii="Arial" w:hAnsi="Arial" w:cs="Arial"/>
          <w:b/>
        </w:rPr>
      </w:pPr>
      <w:r>
        <w:rPr>
          <w:rFonts w:ascii="Arial" w:hAnsi="Arial" w:cs="Arial"/>
          <w:b/>
        </w:rPr>
        <w:t>Nicole Paterson</w:t>
      </w:r>
      <w:r w:rsidR="0077797A" w:rsidRPr="000F0C25">
        <w:rPr>
          <w:rFonts w:ascii="Arial" w:hAnsi="Arial" w:cs="Arial"/>
          <w:b/>
        </w:rPr>
        <w:tab/>
      </w:r>
      <w:r w:rsidR="0077797A" w:rsidRPr="000F0C25">
        <w:rPr>
          <w:rFonts w:ascii="Arial" w:hAnsi="Arial" w:cs="Arial"/>
          <w:b/>
        </w:rPr>
        <w:tab/>
      </w:r>
      <w:r w:rsidR="0077797A" w:rsidRPr="000F0C25">
        <w:rPr>
          <w:rFonts w:ascii="Arial" w:hAnsi="Arial" w:cs="Arial"/>
          <w:b/>
        </w:rPr>
        <w:tab/>
      </w:r>
      <w:r w:rsidR="0077797A" w:rsidRPr="000F0C25">
        <w:rPr>
          <w:rFonts w:ascii="Arial" w:hAnsi="Arial" w:cs="Arial"/>
          <w:b/>
        </w:rPr>
        <w:tab/>
      </w:r>
      <w:r w:rsidR="0077797A" w:rsidRPr="000F0C25">
        <w:rPr>
          <w:rFonts w:ascii="Arial" w:hAnsi="Arial" w:cs="Arial"/>
          <w:b/>
        </w:rPr>
        <w:tab/>
      </w:r>
      <w:r w:rsidR="00B621FB">
        <w:rPr>
          <w:rFonts w:ascii="Arial" w:hAnsi="Arial" w:cs="Arial"/>
          <w:b/>
        </w:rPr>
        <w:tab/>
      </w:r>
      <w:r w:rsidR="00F056AA" w:rsidRPr="000F0C25">
        <w:rPr>
          <w:rFonts w:ascii="Arial" w:hAnsi="Arial" w:cs="Arial"/>
          <w:b/>
        </w:rPr>
        <w:t>Date of signature</w:t>
      </w:r>
    </w:p>
    <w:p w14:paraId="640CD222" w14:textId="3FD32B8B" w:rsidR="00025E48" w:rsidRDefault="00F056AA" w:rsidP="00433447">
      <w:pPr>
        <w:rPr>
          <w:rFonts w:ascii="Arial" w:hAnsi="Arial" w:cs="Arial"/>
          <w:b/>
        </w:rPr>
      </w:pPr>
      <w:r w:rsidRPr="000F0C25">
        <w:rPr>
          <w:rFonts w:ascii="Arial" w:hAnsi="Arial" w:cs="Arial"/>
          <w:b/>
        </w:rPr>
        <w:t>Chief Executive and Accountable Officer</w:t>
      </w:r>
      <w:r w:rsidRPr="003B4954">
        <w:rPr>
          <w:rFonts w:ascii="Arial" w:hAnsi="Arial" w:cs="Arial"/>
          <w:b/>
        </w:rPr>
        <w:tab/>
      </w:r>
      <w:r w:rsidR="00D53668">
        <w:rPr>
          <w:rFonts w:ascii="Arial" w:hAnsi="Arial" w:cs="Arial"/>
          <w:b/>
        </w:rPr>
        <w:br w:type="page"/>
      </w:r>
    </w:p>
    <w:p w14:paraId="0C264724" w14:textId="4A2DFCEF" w:rsidR="00CD6481" w:rsidRPr="007061B4" w:rsidRDefault="00CD6481" w:rsidP="00F95CDD">
      <w:pPr>
        <w:pStyle w:val="01bSubheader"/>
        <w:numPr>
          <w:ilvl w:val="1"/>
          <w:numId w:val="13"/>
        </w:numPr>
        <w:ind w:left="567" w:hanging="567"/>
        <w:rPr>
          <w:lang w:eastAsia="en-US"/>
        </w:rPr>
      </w:pPr>
      <w:bookmarkStart w:id="30" w:name="_Toc119068088"/>
      <w:r w:rsidRPr="007061B4">
        <w:rPr>
          <w:lang w:eastAsia="en-US"/>
        </w:rPr>
        <w:lastRenderedPageBreak/>
        <w:t>Remuneration of staff</w:t>
      </w:r>
      <w:bookmarkEnd w:id="30"/>
      <w:r w:rsidR="00F056AA" w:rsidRPr="007061B4">
        <w:rPr>
          <w:lang w:eastAsia="en-US"/>
        </w:rPr>
        <w:tab/>
      </w:r>
    </w:p>
    <w:p w14:paraId="540DA445" w14:textId="77777777" w:rsidR="002A5DB0" w:rsidRPr="005B0247" w:rsidRDefault="002A5DB0" w:rsidP="002A5DB0">
      <w:pPr>
        <w:spacing w:line="360" w:lineRule="auto"/>
        <w:rPr>
          <w:rFonts w:ascii="Arial" w:hAnsi="Arial" w:cs="Arial"/>
          <w:b/>
          <w:color w:val="73AE57"/>
          <w:lang w:eastAsia="en-US"/>
        </w:rPr>
      </w:pPr>
    </w:p>
    <w:p w14:paraId="1686636E" w14:textId="1470BC36" w:rsidR="00CD6481" w:rsidRPr="00C94D18" w:rsidRDefault="00CD6481" w:rsidP="00C94D18">
      <w:pPr>
        <w:spacing w:line="360" w:lineRule="auto"/>
        <w:rPr>
          <w:rFonts w:ascii="Arial" w:hAnsi="Arial" w:cs="Arial"/>
          <w:b/>
          <w:lang w:eastAsia="en-US"/>
        </w:rPr>
      </w:pPr>
      <w:r w:rsidRPr="00E10032">
        <w:rPr>
          <w:rFonts w:ascii="Arial" w:hAnsi="Arial" w:cs="Arial"/>
          <w:b/>
          <w:lang w:eastAsia="en-US"/>
        </w:rPr>
        <w:t xml:space="preserve">Remuneration policy </w:t>
      </w:r>
    </w:p>
    <w:p w14:paraId="3CA12F6E" w14:textId="42841DC9" w:rsidR="00CD6481" w:rsidRPr="00E10032" w:rsidRDefault="00CD6481" w:rsidP="00C94D18">
      <w:pPr>
        <w:spacing w:line="360" w:lineRule="auto"/>
        <w:ind w:right="142"/>
        <w:rPr>
          <w:rFonts w:ascii="Arial" w:hAnsi="Arial" w:cs="Arial"/>
          <w:szCs w:val="22"/>
        </w:rPr>
      </w:pPr>
      <w:r w:rsidRPr="00E10032">
        <w:rPr>
          <w:rFonts w:ascii="Arial" w:hAnsi="Arial" w:cs="Arial"/>
          <w:szCs w:val="22"/>
        </w:rPr>
        <w:t>The Board, Chief Executive, Executive Directors, Director, and Chief Officers</w:t>
      </w:r>
      <w:r w:rsidR="000E47AA">
        <w:rPr>
          <w:rFonts w:ascii="Arial" w:hAnsi="Arial" w:cs="Arial"/>
          <w:szCs w:val="22"/>
        </w:rPr>
        <w:t>’</w:t>
      </w:r>
      <w:r w:rsidRPr="00E10032">
        <w:rPr>
          <w:rFonts w:ascii="Arial" w:hAnsi="Arial" w:cs="Arial"/>
          <w:szCs w:val="22"/>
        </w:rPr>
        <w:t xml:space="preserve"> remuneration packages are agreed within the parameters set by the Scottish Government’s pay policy. The Scottish Government approves the daily fee to be paid to the Chair and members, as well as approving the Chief Executive </w:t>
      </w:r>
      <w:r w:rsidR="00931226">
        <w:rPr>
          <w:rFonts w:ascii="Arial" w:hAnsi="Arial" w:cs="Arial"/>
          <w:szCs w:val="22"/>
        </w:rPr>
        <w:t>r</w:t>
      </w:r>
      <w:r w:rsidRPr="00E10032">
        <w:rPr>
          <w:rFonts w:ascii="Arial" w:hAnsi="Arial" w:cs="Arial"/>
          <w:szCs w:val="22"/>
        </w:rPr>
        <w:t xml:space="preserve">emuneration package. </w:t>
      </w:r>
    </w:p>
    <w:p w14:paraId="0EA558D8" w14:textId="77777777" w:rsidR="00CD6481" w:rsidRPr="00E10032" w:rsidRDefault="00CD6481" w:rsidP="00C94D18">
      <w:pPr>
        <w:spacing w:line="360" w:lineRule="auto"/>
        <w:ind w:right="142"/>
        <w:rPr>
          <w:rFonts w:ascii="Arial" w:hAnsi="Arial" w:cs="Arial"/>
          <w:szCs w:val="22"/>
        </w:rPr>
      </w:pPr>
    </w:p>
    <w:p w14:paraId="784E0DB0" w14:textId="4111D6A3" w:rsidR="00CD6481" w:rsidRPr="00E10032" w:rsidRDefault="00CD6481" w:rsidP="00C94D18">
      <w:pPr>
        <w:spacing w:line="360" w:lineRule="auto"/>
        <w:ind w:right="142"/>
        <w:rPr>
          <w:rFonts w:ascii="Arial" w:hAnsi="Arial" w:cs="Arial"/>
          <w:szCs w:val="22"/>
        </w:rPr>
      </w:pPr>
      <w:r w:rsidRPr="00E10032">
        <w:rPr>
          <w:rFonts w:ascii="Arial" w:hAnsi="Arial" w:cs="Arial"/>
          <w:szCs w:val="22"/>
        </w:rPr>
        <w:t>There were no major decisions taken on Directors</w:t>
      </w:r>
      <w:r w:rsidR="000178C1" w:rsidRPr="00E10032">
        <w:rPr>
          <w:rFonts w:ascii="Arial" w:hAnsi="Arial" w:cs="Arial"/>
          <w:szCs w:val="22"/>
        </w:rPr>
        <w:t>’</w:t>
      </w:r>
      <w:r w:rsidRPr="00E10032">
        <w:rPr>
          <w:rFonts w:ascii="Arial" w:hAnsi="Arial" w:cs="Arial"/>
          <w:szCs w:val="22"/>
        </w:rPr>
        <w:t xml:space="preserve"> remuneration in year. No performance payments were made in </w:t>
      </w:r>
      <w:r w:rsidR="004A4F42" w:rsidRPr="00E10032">
        <w:rPr>
          <w:rFonts w:ascii="Arial" w:hAnsi="Arial" w:cs="Arial"/>
          <w:szCs w:val="22"/>
        </w:rPr>
        <w:t>202</w:t>
      </w:r>
      <w:r w:rsidR="000F7EB5">
        <w:rPr>
          <w:rFonts w:ascii="Arial" w:hAnsi="Arial" w:cs="Arial"/>
          <w:szCs w:val="22"/>
        </w:rPr>
        <w:t>1</w:t>
      </w:r>
      <w:r w:rsidR="004A4F42" w:rsidRPr="00E10032">
        <w:rPr>
          <w:rFonts w:ascii="Arial" w:hAnsi="Arial" w:cs="Arial"/>
          <w:szCs w:val="22"/>
        </w:rPr>
        <w:t>/2</w:t>
      </w:r>
      <w:r w:rsidR="000F7EB5">
        <w:rPr>
          <w:rFonts w:ascii="Arial" w:hAnsi="Arial" w:cs="Arial"/>
          <w:szCs w:val="22"/>
        </w:rPr>
        <w:t>2</w:t>
      </w:r>
      <w:r w:rsidRPr="00E10032">
        <w:rPr>
          <w:rFonts w:ascii="Arial" w:hAnsi="Arial" w:cs="Arial"/>
          <w:szCs w:val="22"/>
        </w:rPr>
        <w:t xml:space="preserve"> in accordance with the Scottish Government pay policy.</w:t>
      </w:r>
    </w:p>
    <w:p w14:paraId="6570141E" w14:textId="77777777" w:rsidR="00CD6481" w:rsidRPr="00E10032" w:rsidRDefault="00CD6481" w:rsidP="00C94D18">
      <w:pPr>
        <w:spacing w:line="360" w:lineRule="auto"/>
        <w:ind w:right="142"/>
        <w:rPr>
          <w:rFonts w:ascii="Arial" w:hAnsi="Arial" w:cs="Arial"/>
          <w:szCs w:val="22"/>
        </w:rPr>
      </w:pPr>
    </w:p>
    <w:p w14:paraId="17C0B46B" w14:textId="77777777" w:rsidR="00CD6481" w:rsidRPr="00E10032" w:rsidRDefault="00CD6481" w:rsidP="00C94D18">
      <w:pPr>
        <w:spacing w:line="360" w:lineRule="auto"/>
        <w:ind w:right="142"/>
        <w:rPr>
          <w:rFonts w:ascii="Arial" w:hAnsi="Arial" w:cs="Arial"/>
          <w:szCs w:val="22"/>
        </w:rPr>
      </w:pPr>
      <w:r w:rsidRPr="00E10032">
        <w:rPr>
          <w:rFonts w:ascii="Arial" w:hAnsi="Arial" w:cs="Arial"/>
          <w:szCs w:val="22"/>
        </w:rPr>
        <w:t xml:space="preserve">Board members contribute at least two days per month in support of SEPA’s activities. The Chair devotes, at a minimum, 12 days per month in support of SEPA’s activities, and the Deputy Chair devotes three days per month. </w:t>
      </w:r>
    </w:p>
    <w:p w14:paraId="56D62777" w14:textId="77777777" w:rsidR="00CD6481" w:rsidRPr="00E10032" w:rsidRDefault="00CD6481" w:rsidP="00C94D18">
      <w:pPr>
        <w:spacing w:line="360" w:lineRule="auto"/>
        <w:ind w:right="142"/>
        <w:rPr>
          <w:rFonts w:ascii="Arial" w:hAnsi="Arial" w:cs="Arial"/>
          <w:szCs w:val="22"/>
        </w:rPr>
      </w:pPr>
    </w:p>
    <w:p w14:paraId="604E2899" w14:textId="6082D927" w:rsidR="00F24772" w:rsidRPr="00E10032" w:rsidRDefault="00CD6481" w:rsidP="00C94D18">
      <w:pPr>
        <w:spacing w:line="360" w:lineRule="auto"/>
        <w:ind w:right="142"/>
        <w:rPr>
          <w:rFonts w:ascii="Arial" w:hAnsi="Arial" w:cs="Arial"/>
          <w:szCs w:val="22"/>
        </w:rPr>
      </w:pPr>
      <w:r w:rsidRPr="00E10032">
        <w:rPr>
          <w:rFonts w:ascii="Arial" w:hAnsi="Arial" w:cs="Arial"/>
          <w:szCs w:val="22"/>
        </w:rPr>
        <w:t>The following sections provide details of the remuneration and pension interests of Board members.  The table below and supporting information is subject to audit.</w:t>
      </w:r>
      <w:r w:rsidR="00F24772" w:rsidRPr="00E10032">
        <w:rPr>
          <w:rFonts w:ascii="Arial" w:hAnsi="Arial" w:cs="Arial"/>
          <w:szCs w:val="22"/>
        </w:rPr>
        <w:br w:type="page"/>
      </w:r>
    </w:p>
    <w:p w14:paraId="7E253A85" w14:textId="26418E2D" w:rsidR="0021697B" w:rsidRPr="002E6621" w:rsidRDefault="00720EC8" w:rsidP="002E6621">
      <w:pPr>
        <w:spacing w:line="360" w:lineRule="auto"/>
        <w:ind w:left="-284" w:right="142"/>
        <w:jc w:val="both"/>
        <w:rPr>
          <w:rFonts w:ascii="Arial" w:hAnsi="Arial" w:cs="Arial"/>
          <w:b/>
          <w:bCs/>
          <w:szCs w:val="22"/>
        </w:rPr>
      </w:pPr>
      <w:r w:rsidRPr="00E10032">
        <w:rPr>
          <w:rFonts w:ascii="Arial" w:hAnsi="Arial" w:cs="Arial"/>
          <w:b/>
          <w:bCs/>
          <w:szCs w:val="22"/>
        </w:rPr>
        <w:lastRenderedPageBreak/>
        <w:t>Chair, Board Members, Chief Executive, Executive Director, and Chief Officer</w:t>
      </w:r>
      <w:r w:rsidR="000E47AA">
        <w:rPr>
          <w:rFonts w:ascii="Arial" w:hAnsi="Arial" w:cs="Arial"/>
          <w:b/>
          <w:bCs/>
          <w:szCs w:val="22"/>
        </w:rPr>
        <w:t>s’</w:t>
      </w:r>
      <w:r w:rsidRPr="00E10032">
        <w:rPr>
          <w:rFonts w:ascii="Arial" w:hAnsi="Arial" w:cs="Arial"/>
          <w:b/>
          <w:bCs/>
          <w:szCs w:val="22"/>
        </w:rPr>
        <w:t xml:space="preserve"> salary, value of pension benefits, and value of benefits in kind</w:t>
      </w:r>
      <w:r w:rsidR="00CF62C7">
        <w:rPr>
          <w:rFonts w:ascii="Arial" w:hAnsi="Arial" w:cs="Arial"/>
          <w:b/>
          <w:bCs/>
          <w:szCs w:val="22"/>
        </w:rPr>
        <w:t xml:space="preserve"> (subject to audit)</w:t>
      </w:r>
    </w:p>
    <w:tbl>
      <w:tblPr>
        <w:tblStyle w:val="TableGrid"/>
        <w:tblW w:w="10774" w:type="dxa"/>
        <w:tblInd w:w="-289" w:type="dxa"/>
        <w:tblLook w:val="04A0" w:firstRow="1" w:lastRow="0" w:firstColumn="1" w:lastColumn="0" w:noHBand="0" w:noVBand="1"/>
      </w:tblPr>
      <w:tblGrid>
        <w:gridCol w:w="2978"/>
        <w:gridCol w:w="1417"/>
        <w:gridCol w:w="1276"/>
        <w:gridCol w:w="1276"/>
        <w:gridCol w:w="1275"/>
        <w:gridCol w:w="1276"/>
        <w:gridCol w:w="1276"/>
      </w:tblGrid>
      <w:tr w:rsidR="00C05AFD" w14:paraId="23D032B3" w14:textId="77777777" w:rsidTr="005E3E52">
        <w:trPr>
          <w:trHeight w:val="340"/>
        </w:trPr>
        <w:tc>
          <w:tcPr>
            <w:tcW w:w="2978" w:type="dxa"/>
            <w:vMerge w:val="restart"/>
          </w:tcPr>
          <w:p w14:paraId="77396FCF" w14:textId="77777777" w:rsidR="00C05AFD" w:rsidRPr="009653C7" w:rsidRDefault="00C05AFD" w:rsidP="006A599A">
            <w:pPr>
              <w:spacing w:line="360" w:lineRule="auto"/>
              <w:ind w:right="-142"/>
              <w:rPr>
                <w:rFonts w:ascii="Arial" w:hAnsi="Arial" w:cs="Arial"/>
              </w:rPr>
            </w:pPr>
          </w:p>
        </w:tc>
        <w:tc>
          <w:tcPr>
            <w:tcW w:w="2693" w:type="dxa"/>
            <w:gridSpan w:val="2"/>
          </w:tcPr>
          <w:p w14:paraId="7FAAC10D" w14:textId="77777777" w:rsidR="00C05AFD" w:rsidRPr="009653C7" w:rsidRDefault="00C05AFD" w:rsidP="002B6B8F">
            <w:pPr>
              <w:spacing w:line="360" w:lineRule="auto"/>
              <w:ind w:right="-142"/>
              <w:jc w:val="center"/>
              <w:rPr>
                <w:rFonts w:ascii="Arial" w:hAnsi="Arial" w:cs="Arial"/>
                <w:b/>
                <w:bCs/>
              </w:rPr>
            </w:pPr>
            <w:r w:rsidRPr="009653C7">
              <w:rPr>
                <w:rFonts w:ascii="Arial" w:hAnsi="Arial" w:cs="Arial"/>
                <w:b/>
                <w:bCs/>
              </w:rPr>
              <w:t>Salary</w:t>
            </w:r>
          </w:p>
          <w:p w14:paraId="189F6F89" w14:textId="77777777" w:rsidR="00C05AFD" w:rsidRPr="009653C7" w:rsidRDefault="00C05AFD" w:rsidP="00E805A2">
            <w:pPr>
              <w:spacing w:line="360" w:lineRule="auto"/>
              <w:ind w:right="-142"/>
              <w:rPr>
                <w:rFonts w:ascii="Arial" w:hAnsi="Arial" w:cs="Arial"/>
                <w:b/>
                <w:bCs/>
              </w:rPr>
            </w:pPr>
          </w:p>
          <w:p w14:paraId="71834897" w14:textId="1641D0DB" w:rsidR="00C05AFD" w:rsidRPr="009653C7" w:rsidRDefault="00C05AFD" w:rsidP="002B6B8F">
            <w:pPr>
              <w:spacing w:line="360" w:lineRule="auto"/>
              <w:ind w:right="-142"/>
              <w:jc w:val="center"/>
              <w:rPr>
                <w:rFonts w:ascii="Arial" w:hAnsi="Arial" w:cs="Arial"/>
                <w:b/>
                <w:bCs/>
              </w:rPr>
            </w:pPr>
            <w:r w:rsidRPr="009653C7">
              <w:rPr>
                <w:rFonts w:ascii="Arial" w:hAnsi="Arial" w:cs="Arial"/>
                <w:b/>
                <w:bCs/>
              </w:rPr>
              <w:t>£’000</w:t>
            </w:r>
          </w:p>
        </w:tc>
        <w:tc>
          <w:tcPr>
            <w:tcW w:w="2551" w:type="dxa"/>
            <w:gridSpan w:val="2"/>
          </w:tcPr>
          <w:p w14:paraId="3D884C62" w14:textId="7946AE74" w:rsidR="00C05AFD" w:rsidRPr="009653C7" w:rsidRDefault="00C05AFD" w:rsidP="00E805A2">
            <w:pPr>
              <w:spacing w:line="360" w:lineRule="auto"/>
              <w:jc w:val="center"/>
              <w:rPr>
                <w:rFonts w:ascii="Arial" w:hAnsi="Arial" w:cs="Arial"/>
                <w:b/>
                <w:bCs/>
              </w:rPr>
            </w:pPr>
            <w:r w:rsidRPr="009653C7">
              <w:rPr>
                <w:rFonts w:ascii="Arial" w:hAnsi="Arial" w:cs="Arial"/>
                <w:b/>
                <w:bCs/>
              </w:rPr>
              <w:t>Value of pension benefits</w:t>
            </w:r>
          </w:p>
          <w:p w14:paraId="5484B460" w14:textId="271220EE" w:rsidR="00C05AFD" w:rsidRPr="009653C7" w:rsidRDefault="00C05AFD" w:rsidP="002B6B8F">
            <w:pPr>
              <w:spacing w:line="360" w:lineRule="auto"/>
              <w:jc w:val="center"/>
              <w:rPr>
                <w:rFonts w:ascii="Arial" w:hAnsi="Arial" w:cs="Arial"/>
                <w:b/>
                <w:bCs/>
              </w:rPr>
            </w:pPr>
            <w:r w:rsidRPr="009653C7">
              <w:rPr>
                <w:rFonts w:ascii="Arial" w:hAnsi="Arial" w:cs="Arial"/>
                <w:b/>
                <w:bCs/>
              </w:rPr>
              <w:t>£’000</w:t>
            </w:r>
          </w:p>
        </w:tc>
        <w:tc>
          <w:tcPr>
            <w:tcW w:w="2552" w:type="dxa"/>
            <w:gridSpan w:val="2"/>
          </w:tcPr>
          <w:p w14:paraId="405C54F0" w14:textId="5270F9FA" w:rsidR="00C05AFD" w:rsidRPr="009653C7" w:rsidRDefault="00C05AFD" w:rsidP="00E805A2">
            <w:pPr>
              <w:spacing w:line="360" w:lineRule="auto"/>
              <w:ind w:right="-142"/>
              <w:jc w:val="center"/>
              <w:rPr>
                <w:rFonts w:ascii="Arial" w:hAnsi="Arial" w:cs="Arial"/>
                <w:b/>
                <w:bCs/>
              </w:rPr>
            </w:pPr>
            <w:r w:rsidRPr="009653C7">
              <w:rPr>
                <w:rFonts w:ascii="Arial" w:hAnsi="Arial" w:cs="Arial"/>
                <w:b/>
                <w:bCs/>
              </w:rPr>
              <w:t>Value of benefits in kind</w:t>
            </w:r>
          </w:p>
          <w:p w14:paraId="0208B9E5" w14:textId="113BCFA5" w:rsidR="00C05AFD" w:rsidRPr="009653C7" w:rsidRDefault="00C05AFD" w:rsidP="002B6B8F">
            <w:pPr>
              <w:spacing w:line="360" w:lineRule="auto"/>
              <w:ind w:right="-142"/>
              <w:jc w:val="center"/>
              <w:rPr>
                <w:rFonts w:ascii="Arial" w:hAnsi="Arial" w:cs="Arial"/>
                <w:b/>
                <w:bCs/>
              </w:rPr>
            </w:pPr>
            <w:r w:rsidRPr="009653C7">
              <w:rPr>
                <w:rFonts w:ascii="Arial" w:hAnsi="Arial" w:cs="Arial"/>
                <w:b/>
                <w:bCs/>
              </w:rPr>
              <w:t>£</w:t>
            </w:r>
          </w:p>
        </w:tc>
      </w:tr>
      <w:tr w:rsidR="00C05AFD" w14:paraId="34188C02" w14:textId="77777777" w:rsidTr="005E3E52">
        <w:trPr>
          <w:trHeight w:val="340"/>
        </w:trPr>
        <w:tc>
          <w:tcPr>
            <w:tcW w:w="2978" w:type="dxa"/>
            <w:vMerge/>
          </w:tcPr>
          <w:p w14:paraId="0535D2D4" w14:textId="77777777" w:rsidR="00C05AFD" w:rsidRPr="009653C7" w:rsidRDefault="00C05AFD" w:rsidP="006A599A">
            <w:pPr>
              <w:spacing w:line="360" w:lineRule="auto"/>
              <w:ind w:right="-142"/>
              <w:rPr>
                <w:rFonts w:ascii="Arial" w:hAnsi="Arial" w:cs="Arial"/>
              </w:rPr>
            </w:pPr>
          </w:p>
        </w:tc>
        <w:tc>
          <w:tcPr>
            <w:tcW w:w="1417" w:type="dxa"/>
          </w:tcPr>
          <w:p w14:paraId="081243D9" w14:textId="2B26A079" w:rsidR="00C05AFD" w:rsidRPr="009653C7" w:rsidRDefault="00C05AFD" w:rsidP="00E805A2">
            <w:pPr>
              <w:spacing w:line="360" w:lineRule="auto"/>
              <w:jc w:val="center"/>
              <w:rPr>
                <w:rFonts w:ascii="Arial" w:hAnsi="Arial" w:cs="Arial"/>
                <w:b/>
                <w:bCs/>
              </w:rPr>
            </w:pPr>
            <w:r w:rsidRPr="009653C7">
              <w:rPr>
                <w:rFonts w:ascii="Arial" w:hAnsi="Arial" w:cs="Arial"/>
                <w:b/>
                <w:bCs/>
              </w:rPr>
              <w:t>2020/21</w:t>
            </w:r>
          </w:p>
        </w:tc>
        <w:tc>
          <w:tcPr>
            <w:tcW w:w="1276" w:type="dxa"/>
            <w:shd w:val="clear" w:color="auto" w:fill="EAF1DD" w:themeFill="accent3" w:themeFillTint="33"/>
          </w:tcPr>
          <w:p w14:paraId="7CE5B24E" w14:textId="2D34D6B1" w:rsidR="00C05AFD" w:rsidRPr="009653C7" w:rsidRDefault="00C05AFD" w:rsidP="00E805A2">
            <w:pPr>
              <w:spacing w:line="360" w:lineRule="auto"/>
              <w:jc w:val="center"/>
              <w:rPr>
                <w:rFonts w:ascii="Arial" w:hAnsi="Arial" w:cs="Arial"/>
                <w:b/>
                <w:bCs/>
              </w:rPr>
            </w:pPr>
            <w:r w:rsidRPr="009653C7">
              <w:rPr>
                <w:rFonts w:ascii="Arial" w:hAnsi="Arial" w:cs="Arial"/>
                <w:b/>
                <w:bCs/>
              </w:rPr>
              <w:t>2021/22</w:t>
            </w:r>
          </w:p>
        </w:tc>
        <w:tc>
          <w:tcPr>
            <w:tcW w:w="1276" w:type="dxa"/>
          </w:tcPr>
          <w:p w14:paraId="0E099D67" w14:textId="0C545121" w:rsidR="00C05AFD" w:rsidRPr="009653C7" w:rsidRDefault="00C05AFD" w:rsidP="00E805A2">
            <w:pPr>
              <w:spacing w:line="360" w:lineRule="auto"/>
              <w:jc w:val="center"/>
              <w:rPr>
                <w:rFonts w:ascii="Arial" w:hAnsi="Arial" w:cs="Arial"/>
                <w:b/>
                <w:bCs/>
              </w:rPr>
            </w:pPr>
            <w:r w:rsidRPr="009653C7">
              <w:rPr>
                <w:rFonts w:ascii="Arial" w:hAnsi="Arial" w:cs="Arial"/>
                <w:b/>
                <w:bCs/>
              </w:rPr>
              <w:t>2020/21</w:t>
            </w:r>
          </w:p>
        </w:tc>
        <w:tc>
          <w:tcPr>
            <w:tcW w:w="1275" w:type="dxa"/>
            <w:shd w:val="clear" w:color="auto" w:fill="EAF1DD" w:themeFill="accent3" w:themeFillTint="33"/>
          </w:tcPr>
          <w:p w14:paraId="12F64962" w14:textId="2A44EC3A" w:rsidR="00C05AFD" w:rsidRPr="009653C7" w:rsidRDefault="00C05AFD" w:rsidP="00E805A2">
            <w:pPr>
              <w:spacing w:line="360" w:lineRule="auto"/>
              <w:jc w:val="center"/>
              <w:rPr>
                <w:rFonts w:ascii="Arial" w:hAnsi="Arial" w:cs="Arial"/>
                <w:b/>
                <w:bCs/>
              </w:rPr>
            </w:pPr>
            <w:r w:rsidRPr="009653C7">
              <w:rPr>
                <w:rFonts w:ascii="Arial" w:hAnsi="Arial" w:cs="Arial"/>
                <w:b/>
                <w:bCs/>
              </w:rPr>
              <w:t>2021/22</w:t>
            </w:r>
          </w:p>
        </w:tc>
        <w:tc>
          <w:tcPr>
            <w:tcW w:w="1276" w:type="dxa"/>
          </w:tcPr>
          <w:p w14:paraId="34ACDA70" w14:textId="63F60177" w:rsidR="00C05AFD" w:rsidRPr="009653C7" w:rsidRDefault="00C05AFD" w:rsidP="00E805A2">
            <w:pPr>
              <w:spacing w:line="360" w:lineRule="auto"/>
              <w:jc w:val="center"/>
              <w:rPr>
                <w:rFonts w:ascii="Arial" w:hAnsi="Arial" w:cs="Arial"/>
                <w:b/>
                <w:bCs/>
              </w:rPr>
            </w:pPr>
            <w:r w:rsidRPr="009653C7">
              <w:rPr>
                <w:rFonts w:ascii="Arial" w:hAnsi="Arial" w:cs="Arial"/>
                <w:b/>
                <w:bCs/>
              </w:rPr>
              <w:t>2020/21</w:t>
            </w:r>
          </w:p>
        </w:tc>
        <w:tc>
          <w:tcPr>
            <w:tcW w:w="1276" w:type="dxa"/>
            <w:shd w:val="clear" w:color="auto" w:fill="EAF1DD" w:themeFill="accent3" w:themeFillTint="33"/>
          </w:tcPr>
          <w:p w14:paraId="0D69EF93" w14:textId="5DE3F403" w:rsidR="00C05AFD" w:rsidRPr="009653C7" w:rsidRDefault="00C05AFD" w:rsidP="00E805A2">
            <w:pPr>
              <w:spacing w:line="360" w:lineRule="auto"/>
              <w:jc w:val="center"/>
              <w:rPr>
                <w:rFonts w:ascii="Arial" w:hAnsi="Arial" w:cs="Arial"/>
                <w:b/>
                <w:bCs/>
              </w:rPr>
            </w:pPr>
            <w:r w:rsidRPr="009653C7">
              <w:rPr>
                <w:rFonts w:ascii="Arial" w:hAnsi="Arial" w:cs="Arial"/>
                <w:b/>
                <w:bCs/>
              </w:rPr>
              <w:t>2021/22</w:t>
            </w:r>
          </w:p>
        </w:tc>
      </w:tr>
      <w:tr w:rsidR="0064242C" w14:paraId="1E3A01A6" w14:textId="77777777" w:rsidTr="005E3E52">
        <w:trPr>
          <w:trHeight w:val="340"/>
        </w:trPr>
        <w:tc>
          <w:tcPr>
            <w:tcW w:w="10774" w:type="dxa"/>
            <w:gridSpan w:val="7"/>
            <w:vAlign w:val="bottom"/>
          </w:tcPr>
          <w:p w14:paraId="2860A22B" w14:textId="3BFA278F" w:rsidR="0064242C" w:rsidRPr="009653C7" w:rsidRDefault="0064242C" w:rsidP="006A599A">
            <w:pPr>
              <w:spacing w:line="360" w:lineRule="auto"/>
              <w:ind w:right="-142"/>
              <w:rPr>
                <w:rFonts w:ascii="Arial" w:hAnsi="Arial" w:cs="Arial"/>
              </w:rPr>
            </w:pPr>
            <w:r w:rsidRPr="009653C7">
              <w:rPr>
                <w:rFonts w:ascii="Arial" w:hAnsi="Arial" w:cs="Arial"/>
                <w:b/>
                <w:bCs/>
              </w:rPr>
              <w:t>Chair</w:t>
            </w:r>
          </w:p>
        </w:tc>
      </w:tr>
      <w:tr w:rsidR="002B6B8F" w14:paraId="49F65DF8" w14:textId="77777777" w:rsidTr="005E3E52">
        <w:trPr>
          <w:trHeight w:val="340"/>
        </w:trPr>
        <w:tc>
          <w:tcPr>
            <w:tcW w:w="2978" w:type="dxa"/>
            <w:vAlign w:val="bottom"/>
          </w:tcPr>
          <w:p w14:paraId="325DEF5C" w14:textId="10E7595A" w:rsidR="002B6B8F" w:rsidRPr="009653C7" w:rsidRDefault="00C17860" w:rsidP="00C05AFD">
            <w:pPr>
              <w:spacing w:line="360" w:lineRule="auto"/>
              <w:ind w:right="-142"/>
              <w:rPr>
                <w:rFonts w:ascii="Arial" w:hAnsi="Arial" w:cs="Arial"/>
              </w:rPr>
            </w:pPr>
            <w:r w:rsidRPr="009653C7">
              <w:rPr>
                <w:rFonts w:ascii="Arial" w:hAnsi="Arial" w:cs="Arial"/>
              </w:rPr>
              <w:t>B Downes</w:t>
            </w:r>
          </w:p>
        </w:tc>
        <w:tc>
          <w:tcPr>
            <w:tcW w:w="1417" w:type="dxa"/>
          </w:tcPr>
          <w:p w14:paraId="721BBC16" w14:textId="0BA75AB9" w:rsidR="002B6B8F" w:rsidRPr="009653C7" w:rsidRDefault="00C17860" w:rsidP="005C3965">
            <w:pPr>
              <w:spacing w:line="360" w:lineRule="auto"/>
              <w:jc w:val="center"/>
              <w:rPr>
                <w:rFonts w:ascii="Arial" w:hAnsi="Arial" w:cs="Arial"/>
              </w:rPr>
            </w:pPr>
            <w:r w:rsidRPr="009653C7">
              <w:rPr>
                <w:rFonts w:ascii="Arial" w:hAnsi="Arial" w:cs="Arial"/>
              </w:rPr>
              <w:t>45&lt;50</w:t>
            </w:r>
          </w:p>
        </w:tc>
        <w:tc>
          <w:tcPr>
            <w:tcW w:w="1276" w:type="dxa"/>
            <w:shd w:val="clear" w:color="auto" w:fill="EAF1DD" w:themeFill="accent3" w:themeFillTint="33"/>
          </w:tcPr>
          <w:p w14:paraId="58B45CC9" w14:textId="588AA138" w:rsidR="002B6B8F" w:rsidRPr="009653C7" w:rsidRDefault="00BE0672" w:rsidP="005C3965">
            <w:pPr>
              <w:spacing w:line="360" w:lineRule="auto"/>
              <w:jc w:val="center"/>
              <w:rPr>
                <w:rFonts w:ascii="Arial" w:hAnsi="Arial" w:cs="Arial"/>
              </w:rPr>
            </w:pPr>
            <w:r w:rsidRPr="009653C7">
              <w:rPr>
                <w:rFonts w:ascii="Arial" w:hAnsi="Arial" w:cs="Arial"/>
              </w:rPr>
              <w:t>45&lt;50</w:t>
            </w:r>
          </w:p>
        </w:tc>
        <w:tc>
          <w:tcPr>
            <w:tcW w:w="1276" w:type="dxa"/>
          </w:tcPr>
          <w:p w14:paraId="32426B48" w14:textId="70A524BF" w:rsidR="002B6B8F" w:rsidRPr="009653C7" w:rsidRDefault="00F4253D" w:rsidP="005C3965">
            <w:pPr>
              <w:spacing w:line="360" w:lineRule="auto"/>
              <w:jc w:val="center"/>
              <w:rPr>
                <w:rFonts w:ascii="Arial" w:hAnsi="Arial" w:cs="Arial"/>
              </w:rPr>
            </w:pPr>
            <w:r w:rsidRPr="009653C7">
              <w:rPr>
                <w:rFonts w:ascii="Arial" w:hAnsi="Arial" w:cs="Arial"/>
                <w:color w:val="000000" w:themeColor="text1"/>
              </w:rPr>
              <w:t>-</w:t>
            </w:r>
          </w:p>
        </w:tc>
        <w:tc>
          <w:tcPr>
            <w:tcW w:w="1275" w:type="dxa"/>
            <w:shd w:val="clear" w:color="auto" w:fill="EAF1DD" w:themeFill="accent3" w:themeFillTint="33"/>
          </w:tcPr>
          <w:p w14:paraId="1A5865FC" w14:textId="6D111CC6" w:rsidR="002B6B8F" w:rsidRPr="009653C7" w:rsidRDefault="00F4253D" w:rsidP="005C3965">
            <w:pPr>
              <w:spacing w:line="360" w:lineRule="auto"/>
              <w:jc w:val="center"/>
              <w:rPr>
                <w:rFonts w:ascii="Arial" w:hAnsi="Arial" w:cs="Arial"/>
              </w:rPr>
            </w:pPr>
            <w:r w:rsidRPr="009653C7">
              <w:rPr>
                <w:rFonts w:ascii="Arial" w:hAnsi="Arial" w:cs="Arial"/>
                <w:color w:val="000000" w:themeColor="text1"/>
              </w:rPr>
              <w:t>-</w:t>
            </w:r>
          </w:p>
        </w:tc>
        <w:tc>
          <w:tcPr>
            <w:tcW w:w="1276" w:type="dxa"/>
          </w:tcPr>
          <w:p w14:paraId="1B94E353" w14:textId="4489C04E" w:rsidR="002B6B8F" w:rsidRPr="009653C7" w:rsidRDefault="00F4253D" w:rsidP="005C3965">
            <w:pPr>
              <w:spacing w:line="360" w:lineRule="auto"/>
              <w:jc w:val="center"/>
              <w:rPr>
                <w:rFonts w:ascii="Arial" w:hAnsi="Arial" w:cs="Arial"/>
              </w:rPr>
            </w:pPr>
            <w:r w:rsidRPr="009653C7">
              <w:rPr>
                <w:rFonts w:ascii="Arial" w:hAnsi="Arial" w:cs="Arial"/>
                <w:color w:val="000000" w:themeColor="text1"/>
              </w:rPr>
              <w:t>-</w:t>
            </w:r>
          </w:p>
        </w:tc>
        <w:tc>
          <w:tcPr>
            <w:tcW w:w="1276" w:type="dxa"/>
            <w:shd w:val="clear" w:color="auto" w:fill="EAF1DD" w:themeFill="accent3" w:themeFillTint="33"/>
          </w:tcPr>
          <w:p w14:paraId="4C4D3BA7" w14:textId="73A34B39" w:rsidR="002B6B8F" w:rsidRPr="009653C7" w:rsidRDefault="00F4253D" w:rsidP="005C3965">
            <w:pPr>
              <w:spacing w:line="360" w:lineRule="auto"/>
              <w:jc w:val="center"/>
              <w:rPr>
                <w:rFonts w:ascii="Arial" w:hAnsi="Arial" w:cs="Arial"/>
              </w:rPr>
            </w:pPr>
            <w:r w:rsidRPr="009653C7">
              <w:rPr>
                <w:rFonts w:ascii="Arial" w:hAnsi="Arial" w:cs="Arial"/>
                <w:color w:val="000000" w:themeColor="text1"/>
              </w:rPr>
              <w:t>-</w:t>
            </w:r>
          </w:p>
        </w:tc>
      </w:tr>
      <w:tr w:rsidR="003D5808" w14:paraId="5A3B794C" w14:textId="77777777" w:rsidTr="005E3E52">
        <w:trPr>
          <w:trHeight w:val="340"/>
        </w:trPr>
        <w:tc>
          <w:tcPr>
            <w:tcW w:w="10774" w:type="dxa"/>
            <w:gridSpan w:val="7"/>
            <w:tcBorders>
              <w:bottom w:val="single" w:sz="4" w:space="0" w:color="auto"/>
            </w:tcBorders>
            <w:vAlign w:val="bottom"/>
          </w:tcPr>
          <w:p w14:paraId="7CEAE40B" w14:textId="58561C4F" w:rsidR="003D5808" w:rsidRPr="009653C7" w:rsidRDefault="003D5808" w:rsidP="003D5808">
            <w:pPr>
              <w:spacing w:line="360" w:lineRule="auto"/>
              <w:rPr>
                <w:rFonts w:ascii="Arial" w:hAnsi="Arial" w:cs="Arial"/>
              </w:rPr>
            </w:pPr>
            <w:r w:rsidRPr="009653C7">
              <w:rPr>
                <w:rFonts w:ascii="Arial" w:hAnsi="Arial" w:cs="Arial"/>
                <w:b/>
                <w:bCs/>
              </w:rPr>
              <w:t>Chief Executive</w:t>
            </w:r>
          </w:p>
        </w:tc>
      </w:tr>
      <w:tr w:rsidR="002B6B8F" w14:paraId="37A93EB6" w14:textId="77777777" w:rsidTr="005E3E52">
        <w:trPr>
          <w:trHeight w:val="340"/>
        </w:trPr>
        <w:tc>
          <w:tcPr>
            <w:tcW w:w="2978" w:type="dxa"/>
            <w:tcBorders>
              <w:bottom w:val="nil"/>
            </w:tcBorders>
            <w:vAlign w:val="bottom"/>
          </w:tcPr>
          <w:p w14:paraId="36A949D4" w14:textId="6208E254" w:rsidR="002B6B8F" w:rsidRPr="009653C7" w:rsidRDefault="0050456D" w:rsidP="00C05AFD">
            <w:pPr>
              <w:spacing w:line="360" w:lineRule="auto"/>
              <w:ind w:right="-142"/>
              <w:rPr>
                <w:rFonts w:ascii="Arial" w:hAnsi="Arial" w:cs="Arial"/>
              </w:rPr>
            </w:pPr>
            <w:r w:rsidRPr="009653C7">
              <w:rPr>
                <w:rFonts w:ascii="Arial" w:hAnsi="Arial" w:cs="Arial"/>
              </w:rPr>
              <w:t xml:space="preserve">T </w:t>
            </w:r>
            <w:proofErr w:type="spellStart"/>
            <w:r w:rsidRPr="009653C7">
              <w:rPr>
                <w:rFonts w:ascii="Arial" w:hAnsi="Arial" w:cs="Arial"/>
              </w:rPr>
              <w:t>A’Hearn</w:t>
            </w:r>
            <w:proofErr w:type="spellEnd"/>
            <w:r w:rsidR="000C7C2F" w:rsidRPr="009653C7">
              <w:rPr>
                <w:rFonts w:ascii="Arial" w:hAnsi="Arial" w:cs="Arial"/>
              </w:rPr>
              <w:t xml:space="preserve"> (left 19/01/22)</w:t>
            </w:r>
          </w:p>
        </w:tc>
        <w:tc>
          <w:tcPr>
            <w:tcW w:w="1417" w:type="dxa"/>
            <w:tcBorders>
              <w:bottom w:val="nil"/>
            </w:tcBorders>
          </w:tcPr>
          <w:p w14:paraId="60AC9703" w14:textId="622D1446" w:rsidR="002B6B8F" w:rsidRPr="009653C7" w:rsidRDefault="0064242C" w:rsidP="005C3965">
            <w:pPr>
              <w:spacing w:line="360" w:lineRule="auto"/>
              <w:jc w:val="center"/>
              <w:rPr>
                <w:rFonts w:ascii="Arial" w:hAnsi="Arial" w:cs="Arial"/>
              </w:rPr>
            </w:pPr>
            <w:r w:rsidRPr="009653C7">
              <w:rPr>
                <w:rFonts w:ascii="Arial" w:hAnsi="Arial" w:cs="Arial"/>
              </w:rPr>
              <w:t>125</w:t>
            </w:r>
            <w:r w:rsidR="00F4253D" w:rsidRPr="009653C7">
              <w:rPr>
                <w:rFonts w:ascii="Arial" w:hAnsi="Arial" w:cs="Arial"/>
              </w:rPr>
              <w:t>&lt;130</w:t>
            </w:r>
          </w:p>
        </w:tc>
        <w:tc>
          <w:tcPr>
            <w:tcW w:w="1276" w:type="dxa"/>
            <w:tcBorders>
              <w:bottom w:val="nil"/>
            </w:tcBorders>
            <w:shd w:val="clear" w:color="auto" w:fill="EAF1DD" w:themeFill="accent3" w:themeFillTint="33"/>
          </w:tcPr>
          <w:p w14:paraId="17820F1A" w14:textId="0E037642" w:rsidR="002B6B8F" w:rsidRPr="009653C7" w:rsidRDefault="00F4253D" w:rsidP="005C3965">
            <w:pPr>
              <w:spacing w:line="360" w:lineRule="auto"/>
              <w:jc w:val="center"/>
              <w:rPr>
                <w:rFonts w:ascii="Arial" w:hAnsi="Arial" w:cs="Arial"/>
              </w:rPr>
            </w:pPr>
            <w:r w:rsidRPr="009653C7">
              <w:rPr>
                <w:rFonts w:ascii="Arial" w:hAnsi="Arial" w:cs="Arial"/>
              </w:rPr>
              <w:t>110&lt;115</w:t>
            </w:r>
          </w:p>
        </w:tc>
        <w:tc>
          <w:tcPr>
            <w:tcW w:w="1276" w:type="dxa"/>
            <w:tcBorders>
              <w:bottom w:val="nil"/>
            </w:tcBorders>
          </w:tcPr>
          <w:p w14:paraId="4690220A" w14:textId="2222080A" w:rsidR="002B6B8F" w:rsidRPr="009653C7" w:rsidRDefault="00F4253D" w:rsidP="005C3965">
            <w:pPr>
              <w:spacing w:line="360" w:lineRule="auto"/>
              <w:jc w:val="center"/>
              <w:rPr>
                <w:rFonts w:ascii="Arial" w:hAnsi="Arial" w:cs="Arial"/>
              </w:rPr>
            </w:pPr>
            <w:r w:rsidRPr="009653C7">
              <w:rPr>
                <w:rFonts w:ascii="Arial" w:hAnsi="Arial" w:cs="Arial"/>
              </w:rPr>
              <w:t>43</w:t>
            </w:r>
          </w:p>
        </w:tc>
        <w:tc>
          <w:tcPr>
            <w:tcW w:w="1275" w:type="dxa"/>
            <w:tcBorders>
              <w:bottom w:val="nil"/>
            </w:tcBorders>
            <w:shd w:val="clear" w:color="auto" w:fill="EAF1DD" w:themeFill="accent3" w:themeFillTint="33"/>
          </w:tcPr>
          <w:p w14:paraId="738A1E0D" w14:textId="1BF7EC4A"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c>
          <w:tcPr>
            <w:tcW w:w="1276" w:type="dxa"/>
            <w:tcBorders>
              <w:bottom w:val="nil"/>
            </w:tcBorders>
          </w:tcPr>
          <w:p w14:paraId="335F6924" w14:textId="11308F47"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c>
          <w:tcPr>
            <w:tcW w:w="1276" w:type="dxa"/>
            <w:tcBorders>
              <w:bottom w:val="nil"/>
            </w:tcBorders>
            <w:shd w:val="clear" w:color="auto" w:fill="EAF1DD" w:themeFill="accent3" w:themeFillTint="33"/>
          </w:tcPr>
          <w:p w14:paraId="14AFCF1D" w14:textId="0EF559B5"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r>
      <w:tr w:rsidR="002B6B8F" w14:paraId="1308DD0D" w14:textId="77777777" w:rsidTr="005E3E52">
        <w:trPr>
          <w:trHeight w:val="340"/>
        </w:trPr>
        <w:tc>
          <w:tcPr>
            <w:tcW w:w="2978" w:type="dxa"/>
            <w:tcBorders>
              <w:top w:val="nil"/>
            </w:tcBorders>
            <w:vAlign w:val="bottom"/>
          </w:tcPr>
          <w:p w14:paraId="72D7A847" w14:textId="170641F6" w:rsidR="002B6B8F" w:rsidRPr="009653C7" w:rsidRDefault="0050456D" w:rsidP="00C05AFD">
            <w:pPr>
              <w:spacing w:line="360" w:lineRule="auto"/>
              <w:ind w:right="-142"/>
              <w:rPr>
                <w:rFonts w:ascii="Arial" w:hAnsi="Arial" w:cs="Arial"/>
              </w:rPr>
            </w:pPr>
            <w:r w:rsidRPr="009653C7">
              <w:rPr>
                <w:rFonts w:ascii="Arial" w:hAnsi="Arial" w:cs="Arial"/>
              </w:rPr>
              <w:t>J Green</w:t>
            </w:r>
            <w:r w:rsidR="000C7C2F" w:rsidRPr="009653C7">
              <w:rPr>
                <w:rFonts w:ascii="Arial" w:hAnsi="Arial" w:cs="Arial"/>
              </w:rPr>
              <w:t xml:space="preserve"> (Acting CEO appointed 06/01/22)</w:t>
            </w:r>
          </w:p>
        </w:tc>
        <w:tc>
          <w:tcPr>
            <w:tcW w:w="1417" w:type="dxa"/>
            <w:tcBorders>
              <w:top w:val="nil"/>
            </w:tcBorders>
          </w:tcPr>
          <w:p w14:paraId="3024B130" w14:textId="4B60EA11"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565F95AA" w14:textId="7543F689"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15&lt;20</w:t>
            </w:r>
          </w:p>
        </w:tc>
        <w:tc>
          <w:tcPr>
            <w:tcW w:w="1276" w:type="dxa"/>
            <w:tcBorders>
              <w:top w:val="nil"/>
            </w:tcBorders>
          </w:tcPr>
          <w:p w14:paraId="2CA1106D" w14:textId="7E9319B8"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tcBorders>
            <w:shd w:val="clear" w:color="auto" w:fill="EAF1DD" w:themeFill="accent3" w:themeFillTint="33"/>
          </w:tcPr>
          <w:p w14:paraId="2BFD8DED" w14:textId="3DF73345"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158</w:t>
            </w:r>
          </w:p>
        </w:tc>
        <w:tc>
          <w:tcPr>
            <w:tcW w:w="1276" w:type="dxa"/>
            <w:tcBorders>
              <w:top w:val="nil"/>
            </w:tcBorders>
          </w:tcPr>
          <w:p w14:paraId="70CA53CB" w14:textId="314B79FE"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393A778B" w14:textId="3793C497" w:rsidR="002B6B8F" w:rsidRPr="009653C7" w:rsidRDefault="00E34D71" w:rsidP="005C3965">
            <w:pPr>
              <w:spacing w:line="360" w:lineRule="auto"/>
              <w:jc w:val="center"/>
              <w:rPr>
                <w:rFonts w:ascii="Arial" w:hAnsi="Arial" w:cs="Arial"/>
              </w:rPr>
            </w:pPr>
            <w:r w:rsidRPr="009653C7">
              <w:rPr>
                <w:rFonts w:ascii="Arial" w:hAnsi="Arial" w:cs="Arial"/>
                <w:color w:val="000000" w:themeColor="text1"/>
              </w:rPr>
              <w:t>-</w:t>
            </w:r>
          </w:p>
        </w:tc>
      </w:tr>
      <w:tr w:rsidR="0064242C" w14:paraId="14E844F8" w14:textId="77777777" w:rsidTr="005E3E52">
        <w:trPr>
          <w:trHeight w:val="340"/>
        </w:trPr>
        <w:tc>
          <w:tcPr>
            <w:tcW w:w="10774" w:type="dxa"/>
            <w:gridSpan w:val="7"/>
            <w:vAlign w:val="bottom"/>
          </w:tcPr>
          <w:p w14:paraId="67326F64" w14:textId="33E0ABA2" w:rsidR="0064242C" w:rsidRPr="009653C7" w:rsidRDefault="0064242C" w:rsidP="006A599A">
            <w:pPr>
              <w:spacing w:line="360" w:lineRule="auto"/>
              <w:ind w:right="-142"/>
              <w:rPr>
                <w:rFonts w:ascii="Arial" w:hAnsi="Arial" w:cs="Arial"/>
              </w:rPr>
            </w:pPr>
            <w:r w:rsidRPr="009653C7">
              <w:rPr>
                <w:rFonts w:ascii="Arial" w:hAnsi="Arial" w:cs="Arial"/>
                <w:b/>
                <w:bCs/>
              </w:rPr>
              <w:t>Executive Directors &amp; Chief Officers’</w:t>
            </w:r>
          </w:p>
        </w:tc>
      </w:tr>
      <w:tr w:rsidR="00DD5E36" w14:paraId="6E8B0300" w14:textId="77777777" w:rsidTr="005E3E52">
        <w:trPr>
          <w:trHeight w:val="340"/>
        </w:trPr>
        <w:tc>
          <w:tcPr>
            <w:tcW w:w="2978" w:type="dxa"/>
            <w:tcBorders>
              <w:bottom w:val="nil"/>
            </w:tcBorders>
          </w:tcPr>
          <w:p w14:paraId="7DD6ED47" w14:textId="2BC4F66E" w:rsidR="00DD5E36" w:rsidRPr="009653C7" w:rsidRDefault="0050456D" w:rsidP="009D7BA5">
            <w:pPr>
              <w:spacing w:line="360" w:lineRule="auto"/>
              <w:ind w:right="-142"/>
              <w:rPr>
                <w:rFonts w:ascii="Arial" w:hAnsi="Arial" w:cs="Arial"/>
              </w:rPr>
            </w:pPr>
            <w:r w:rsidRPr="009653C7">
              <w:rPr>
                <w:rFonts w:ascii="Arial" w:hAnsi="Arial" w:cs="Arial"/>
              </w:rPr>
              <w:t>D Pirie</w:t>
            </w:r>
          </w:p>
        </w:tc>
        <w:tc>
          <w:tcPr>
            <w:tcW w:w="1417" w:type="dxa"/>
            <w:tcBorders>
              <w:bottom w:val="nil"/>
            </w:tcBorders>
          </w:tcPr>
          <w:p w14:paraId="3959A744" w14:textId="59EB9763" w:rsidR="00DD5E36" w:rsidRPr="009653C7" w:rsidRDefault="00027036" w:rsidP="005C3965">
            <w:pPr>
              <w:spacing w:line="360" w:lineRule="auto"/>
              <w:jc w:val="center"/>
              <w:rPr>
                <w:rFonts w:ascii="Arial" w:hAnsi="Arial" w:cs="Arial"/>
              </w:rPr>
            </w:pPr>
            <w:r w:rsidRPr="009653C7">
              <w:rPr>
                <w:rFonts w:ascii="Arial" w:hAnsi="Arial" w:cs="Arial"/>
              </w:rPr>
              <w:t>105&lt;110</w:t>
            </w:r>
          </w:p>
        </w:tc>
        <w:tc>
          <w:tcPr>
            <w:tcW w:w="1276" w:type="dxa"/>
            <w:tcBorders>
              <w:bottom w:val="nil"/>
            </w:tcBorders>
            <w:shd w:val="clear" w:color="auto" w:fill="EAF1DD" w:themeFill="accent3" w:themeFillTint="33"/>
          </w:tcPr>
          <w:p w14:paraId="3F72B9E3" w14:textId="6479691C" w:rsidR="00DD5E36" w:rsidRPr="009653C7" w:rsidRDefault="008F51F8" w:rsidP="005C3965">
            <w:pPr>
              <w:spacing w:line="360" w:lineRule="auto"/>
              <w:jc w:val="center"/>
              <w:rPr>
                <w:rFonts w:ascii="Arial" w:hAnsi="Arial" w:cs="Arial"/>
              </w:rPr>
            </w:pPr>
            <w:r w:rsidRPr="009653C7">
              <w:rPr>
                <w:rFonts w:ascii="Arial" w:hAnsi="Arial" w:cs="Arial"/>
              </w:rPr>
              <w:t>105&lt;110</w:t>
            </w:r>
          </w:p>
        </w:tc>
        <w:tc>
          <w:tcPr>
            <w:tcW w:w="1276" w:type="dxa"/>
            <w:tcBorders>
              <w:bottom w:val="nil"/>
            </w:tcBorders>
          </w:tcPr>
          <w:p w14:paraId="2F521FAB" w14:textId="68D7EAA4" w:rsidR="00DD5E36" w:rsidRPr="009653C7" w:rsidRDefault="005C3965" w:rsidP="009D7BA5">
            <w:pPr>
              <w:spacing w:line="360" w:lineRule="auto"/>
              <w:jc w:val="center"/>
              <w:rPr>
                <w:rFonts w:ascii="Arial" w:hAnsi="Arial" w:cs="Arial"/>
              </w:rPr>
            </w:pPr>
            <w:r w:rsidRPr="009653C7">
              <w:rPr>
                <w:rFonts w:ascii="Arial" w:hAnsi="Arial" w:cs="Arial"/>
              </w:rPr>
              <w:t>44</w:t>
            </w:r>
          </w:p>
        </w:tc>
        <w:tc>
          <w:tcPr>
            <w:tcW w:w="1275" w:type="dxa"/>
            <w:tcBorders>
              <w:bottom w:val="nil"/>
            </w:tcBorders>
            <w:shd w:val="clear" w:color="auto" w:fill="EAF1DD" w:themeFill="accent3" w:themeFillTint="33"/>
          </w:tcPr>
          <w:p w14:paraId="7C95B3AA" w14:textId="50566C40" w:rsidR="00DD5E36" w:rsidRPr="009653C7" w:rsidRDefault="009D7BA5" w:rsidP="00F81CB8">
            <w:pPr>
              <w:spacing w:after="120"/>
              <w:jc w:val="center"/>
              <w:rPr>
                <w:rFonts w:ascii="Arial" w:hAnsi="Arial" w:cs="Arial"/>
                <w:color w:val="000000" w:themeColor="text1"/>
              </w:rPr>
            </w:pPr>
            <w:r w:rsidRPr="009653C7">
              <w:rPr>
                <w:rFonts w:ascii="Arial" w:hAnsi="Arial" w:cs="Arial"/>
                <w:color w:val="000000" w:themeColor="text1"/>
              </w:rPr>
              <w:t>-</w:t>
            </w:r>
          </w:p>
        </w:tc>
        <w:tc>
          <w:tcPr>
            <w:tcW w:w="1276" w:type="dxa"/>
            <w:tcBorders>
              <w:bottom w:val="nil"/>
            </w:tcBorders>
          </w:tcPr>
          <w:p w14:paraId="161A8B14" w14:textId="4C12F5E0" w:rsidR="00DD5E36" w:rsidRPr="009653C7" w:rsidRDefault="009D7BA5" w:rsidP="00F81CB8">
            <w:pPr>
              <w:spacing w:after="120"/>
              <w:jc w:val="center"/>
              <w:rPr>
                <w:rFonts w:ascii="Arial" w:hAnsi="Arial" w:cs="Arial"/>
                <w:color w:val="000000" w:themeColor="text1"/>
              </w:rPr>
            </w:pPr>
            <w:r w:rsidRPr="009653C7">
              <w:rPr>
                <w:rFonts w:ascii="Arial" w:hAnsi="Arial" w:cs="Arial"/>
                <w:color w:val="000000" w:themeColor="text1"/>
              </w:rPr>
              <w:t>-</w:t>
            </w:r>
          </w:p>
        </w:tc>
        <w:tc>
          <w:tcPr>
            <w:tcW w:w="1276" w:type="dxa"/>
            <w:tcBorders>
              <w:bottom w:val="nil"/>
            </w:tcBorders>
            <w:shd w:val="clear" w:color="auto" w:fill="EAF1DD" w:themeFill="accent3" w:themeFillTint="33"/>
          </w:tcPr>
          <w:p w14:paraId="13563DBC" w14:textId="6B52DCB3" w:rsidR="00DD5E36" w:rsidRPr="009653C7" w:rsidRDefault="009D7BA5" w:rsidP="00F81CB8">
            <w:pPr>
              <w:spacing w:after="120"/>
              <w:jc w:val="center"/>
              <w:rPr>
                <w:rFonts w:ascii="Arial" w:hAnsi="Arial" w:cs="Arial"/>
                <w:color w:val="000000" w:themeColor="text1"/>
              </w:rPr>
            </w:pPr>
            <w:r w:rsidRPr="009653C7">
              <w:rPr>
                <w:rFonts w:ascii="Arial" w:hAnsi="Arial" w:cs="Arial"/>
                <w:color w:val="000000" w:themeColor="text1"/>
              </w:rPr>
              <w:t>-</w:t>
            </w:r>
          </w:p>
        </w:tc>
      </w:tr>
      <w:tr w:rsidR="009133FD" w14:paraId="70DBFAAB" w14:textId="77777777" w:rsidTr="005E3E52">
        <w:trPr>
          <w:trHeight w:val="340"/>
        </w:trPr>
        <w:tc>
          <w:tcPr>
            <w:tcW w:w="2978" w:type="dxa"/>
            <w:tcBorders>
              <w:top w:val="nil"/>
              <w:bottom w:val="nil"/>
            </w:tcBorders>
            <w:vAlign w:val="bottom"/>
          </w:tcPr>
          <w:p w14:paraId="65FF0F8F" w14:textId="173402AF" w:rsidR="009133FD" w:rsidRPr="009653C7" w:rsidRDefault="009133FD" w:rsidP="009133FD">
            <w:pPr>
              <w:spacing w:line="360" w:lineRule="auto"/>
              <w:ind w:right="-142"/>
              <w:rPr>
                <w:rFonts w:ascii="Arial" w:hAnsi="Arial" w:cs="Arial"/>
              </w:rPr>
            </w:pPr>
            <w:r w:rsidRPr="009653C7">
              <w:rPr>
                <w:rFonts w:ascii="Arial" w:hAnsi="Arial" w:cs="Arial"/>
              </w:rPr>
              <w:t>F Martin</w:t>
            </w:r>
          </w:p>
        </w:tc>
        <w:tc>
          <w:tcPr>
            <w:tcW w:w="1417" w:type="dxa"/>
            <w:tcBorders>
              <w:top w:val="nil"/>
              <w:bottom w:val="nil"/>
            </w:tcBorders>
          </w:tcPr>
          <w:p w14:paraId="0504C4D5" w14:textId="33E7A035"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shd w:val="clear" w:color="auto" w:fill="EAF1DD" w:themeFill="accent3" w:themeFillTint="33"/>
          </w:tcPr>
          <w:p w14:paraId="22FFD7BA" w14:textId="1A8966C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60&lt;65</w:t>
            </w:r>
          </w:p>
        </w:tc>
        <w:tc>
          <w:tcPr>
            <w:tcW w:w="1276" w:type="dxa"/>
            <w:tcBorders>
              <w:top w:val="nil"/>
              <w:bottom w:val="nil"/>
            </w:tcBorders>
          </w:tcPr>
          <w:p w14:paraId="4C03C4D3" w14:textId="17ABC1E1"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45</w:t>
            </w:r>
          </w:p>
        </w:tc>
        <w:tc>
          <w:tcPr>
            <w:tcW w:w="1275" w:type="dxa"/>
            <w:tcBorders>
              <w:top w:val="nil"/>
              <w:bottom w:val="nil"/>
            </w:tcBorders>
            <w:shd w:val="clear" w:color="auto" w:fill="EAF1DD" w:themeFill="accent3" w:themeFillTint="33"/>
          </w:tcPr>
          <w:p w14:paraId="47A2ACB7" w14:textId="485F14A6"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46C8CF0F" w14:textId="02A7F861"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20BC3F7A" w14:textId="00F04D1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72616FD2" w14:textId="77777777" w:rsidTr="005E3E52">
        <w:trPr>
          <w:trHeight w:val="340"/>
        </w:trPr>
        <w:tc>
          <w:tcPr>
            <w:tcW w:w="2978" w:type="dxa"/>
            <w:tcBorders>
              <w:top w:val="nil"/>
              <w:bottom w:val="nil"/>
            </w:tcBorders>
            <w:vAlign w:val="bottom"/>
          </w:tcPr>
          <w:p w14:paraId="422C59AC" w14:textId="76D85FED" w:rsidR="009133FD" w:rsidRPr="009653C7" w:rsidRDefault="009133FD" w:rsidP="009133FD">
            <w:pPr>
              <w:spacing w:line="360" w:lineRule="auto"/>
              <w:ind w:right="-142"/>
              <w:rPr>
                <w:rFonts w:ascii="Arial" w:hAnsi="Arial" w:cs="Arial"/>
              </w:rPr>
            </w:pPr>
            <w:r w:rsidRPr="009653C7">
              <w:rPr>
                <w:rFonts w:ascii="Arial" w:hAnsi="Arial" w:cs="Arial"/>
              </w:rPr>
              <w:t>S McGregor</w:t>
            </w:r>
          </w:p>
        </w:tc>
        <w:tc>
          <w:tcPr>
            <w:tcW w:w="1417" w:type="dxa"/>
            <w:tcBorders>
              <w:top w:val="nil"/>
              <w:bottom w:val="nil"/>
            </w:tcBorders>
          </w:tcPr>
          <w:p w14:paraId="3A78F686" w14:textId="57F9D76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shd w:val="clear" w:color="auto" w:fill="EAF1DD" w:themeFill="accent3" w:themeFillTint="33"/>
          </w:tcPr>
          <w:p w14:paraId="4D9640C1" w14:textId="2438167E"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90&lt;95</w:t>
            </w:r>
          </w:p>
        </w:tc>
        <w:tc>
          <w:tcPr>
            <w:tcW w:w="1276" w:type="dxa"/>
            <w:tcBorders>
              <w:top w:val="nil"/>
              <w:bottom w:val="nil"/>
            </w:tcBorders>
          </w:tcPr>
          <w:p w14:paraId="183F104C" w14:textId="33398658"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52</w:t>
            </w:r>
          </w:p>
        </w:tc>
        <w:tc>
          <w:tcPr>
            <w:tcW w:w="1275" w:type="dxa"/>
            <w:tcBorders>
              <w:top w:val="nil"/>
              <w:bottom w:val="nil"/>
            </w:tcBorders>
            <w:shd w:val="clear" w:color="auto" w:fill="EAF1DD" w:themeFill="accent3" w:themeFillTint="33"/>
          </w:tcPr>
          <w:p w14:paraId="4660E177" w14:textId="654A0217" w:rsidR="009133FD" w:rsidRPr="009653C7" w:rsidRDefault="009133FD" w:rsidP="009133FD">
            <w:pPr>
              <w:spacing w:line="360" w:lineRule="auto"/>
              <w:jc w:val="center"/>
              <w:rPr>
                <w:rFonts w:ascii="Arial" w:hAnsi="Arial" w:cs="Arial"/>
              </w:rPr>
            </w:pPr>
            <w:r w:rsidRPr="009653C7">
              <w:rPr>
                <w:rFonts w:ascii="Arial" w:hAnsi="Arial" w:cs="Arial"/>
              </w:rPr>
              <w:t>1</w:t>
            </w:r>
          </w:p>
        </w:tc>
        <w:tc>
          <w:tcPr>
            <w:tcW w:w="1276" w:type="dxa"/>
            <w:tcBorders>
              <w:top w:val="nil"/>
              <w:bottom w:val="nil"/>
            </w:tcBorders>
          </w:tcPr>
          <w:p w14:paraId="0DB6725E" w14:textId="0DF4B9DB"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2B4E3559" w14:textId="577B7F9F"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12E2EB32" w14:textId="77777777" w:rsidTr="005E3E52">
        <w:trPr>
          <w:trHeight w:val="340"/>
        </w:trPr>
        <w:tc>
          <w:tcPr>
            <w:tcW w:w="2978" w:type="dxa"/>
            <w:tcBorders>
              <w:top w:val="nil"/>
              <w:bottom w:val="nil"/>
            </w:tcBorders>
            <w:vAlign w:val="bottom"/>
          </w:tcPr>
          <w:p w14:paraId="0A93E8BD" w14:textId="60458637" w:rsidR="009133FD" w:rsidRPr="009653C7" w:rsidRDefault="009133FD" w:rsidP="009133FD">
            <w:pPr>
              <w:spacing w:line="360" w:lineRule="auto"/>
              <w:ind w:right="-142"/>
              <w:rPr>
                <w:rFonts w:ascii="Arial" w:hAnsi="Arial" w:cs="Arial"/>
              </w:rPr>
            </w:pPr>
            <w:r w:rsidRPr="009653C7">
              <w:rPr>
                <w:rFonts w:ascii="Arial" w:hAnsi="Arial" w:cs="Arial"/>
              </w:rPr>
              <w:t xml:space="preserve">J </w:t>
            </w:r>
            <w:r w:rsidR="00206C19" w:rsidRPr="009653C7">
              <w:rPr>
                <w:rFonts w:ascii="Arial" w:hAnsi="Arial" w:cs="Arial"/>
              </w:rPr>
              <w:t>Green (</w:t>
            </w:r>
            <w:r w:rsidR="00C942E0" w:rsidRPr="009653C7">
              <w:rPr>
                <w:rFonts w:ascii="Arial" w:hAnsi="Arial" w:cs="Arial"/>
              </w:rPr>
              <w:t>Acting CEO appointed 06/01/22)</w:t>
            </w:r>
          </w:p>
        </w:tc>
        <w:tc>
          <w:tcPr>
            <w:tcW w:w="1417" w:type="dxa"/>
            <w:tcBorders>
              <w:top w:val="nil"/>
              <w:bottom w:val="nil"/>
            </w:tcBorders>
          </w:tcPr>
          <w:p w14:paraId="6754569A" w14:textId="26C8CB68"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shd w:val="clear" w:color="auto" w:fill="EAF1DD" w:themeFill="accent3" w:themeFillTint="33"/>
          </w:tcPr>
          <w:p w14:paraId="298B37C6" w14:textId="16C39679"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70&lt;75</w:t>
            </w:r>
          </w:p>
        </w:tc>
        <w:tc>
          <w:tcPr>
            <w:tcW w:w="1276" w:type="dxa"/>
            <w:tcBorders>
              <w:top w:val="nil"/>
              <w:bottom w:val="nil"/>
            </w:tcBorders>
          </w:tcPr>
          <w:p w14:paraId="5CE77AFF" w14:textId="40E39AE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43</w:t>
            </w:r>
          </w:p>
        </w:tc>
        <w:tc>
          <w:tcPr>
            <w:tcW w:w="1275" w:type="dxa"/>
            <w:tcBorders>
              <w:top w:val="nil"/>
              <w:bottom w:val="nil"/>
            </w:tcBorders>
            <w:shd w:val="clear" w:color="auto" w:fill="EAF1DD" w:themeFill="accent3" w:themeFillTint="33"/>
          </w:tcPr>
          <w:p w14:paraId="37668132" w14:textId="633F1507"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72773EF7" w14:textId="008ACBA6"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63B787D5" w14:textId="37DBED7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1FEC9729" w14:textId="77777777" w:rsidTr="005E3E52">
        <w:trPr>
          <w:trHeight w:val="340"/>
        </w:trPr>
        <w:tc>
          <w:tcPr>
            <w:tcW w:w="2978" w:type="dxa"/>
            <w:tcBorders>
              <w:top w:val="nil"/>
              <w:bottom w:val="nil"/>
            </w:tcBorders>
            <w:vAlign w:val="bottom"/>
          </w:tcPr>
          <w:p w14:paraId="26659776" w14:textId="7C443BE6" w:rsidR="009133FD" w:rsidRPr="009653C7" w:rsidRDefault="009133FD" w:rsidP="009133FD">
            <w:pPr>
              <w:spacing w:line="360" w:lineRule="auto"/>
              <w:ind w:right="-142"/>
              <w:rPr>
                <w:rFonts w:ascii="Arial" w:hAnsi="Arial" w:cs="Arial"/>
              </w:rPr>
            </w:pPr>
            <w:r w:rsidRPr="009653C7">
              <w:rPr>
                <w:rFonts w:ascii="Arial" w:hAnsi="Arial" w:cs="Arial"/>
              </w:rPr>
              <w:t>J Kenny</w:t>
            </w:r>
          </w:p>
        </w:tc>
        <w:tc>
          <w:tcPr>
            <w:tcW w:w="1417" w:type="dxa"/>
            <w:tcBorders>
              <w:top w:val="nil"/>
              <w:bottom w:val="nil"/>
            </w:tcBorders>
          </w:tcPr>
          <w:p w14:paraId="2270497C" w14:textId="0030117A"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shd w:val="clear" w:color="auto" w:fill="EAF1DD" w:themeFill="accent3" w:themeFillTint="33"/>
          </w:tcPr>
          <w:p w14:paraId="48BFD5B1" w14:textId="68706A5C"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tcPr>
          <w:p w14:paraId="0275B142" w14:textId="76B9C3CA"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49</w:t>
            </w:r>
          </w:p>
        </w:tc>
        <w:tc>
          <w:tcPr>
            <w:tcW w:w="1275" w:type="dxa"/>
            <w:tcBorders>
              <w:top w:val="nil"/>
              <w:bottom w:val="nil"/>
            </w:tcBorders>
            <w:shd w:val="clear" w:color="auto" w:fill="EAF1DD" w:themeFill="accent3" w:themeFillTint="33"/>
          </w:tcPr>
          <w:p w14:paraId="781DEF2A" w14:textId="0616A43C" w:rsidR="009133FD" w:rsidRPr="009653C7" w:rsidRDefault="009133FD" w:rsidP="009133FD">
            <w:pPr>
              <w:spacing w:line="360" w:lineRule="auto"/>
              <w:jc w:val="center"/>
              <w:rPr>
                <w:rFonts w:ascii="Arial" w:hAnsi="Arial" w:cs="Arial"/>
              </w:rPr>
            </w:pPr>
            <w:r w:rsidRPr="009653C7">
              <w:rPr>
                <w:rFonts w:ascii="Arial" w:hAnsi="Arial" w:cs="Arial"/>
              </w:rPr>
              <w:t>2</w:t>
            </w:r>
          </w:p>
        </w:tc>
        <w:tc>
          <w:tcPr>
            <w:tcW w:w="1276" w:type="dxa"/>
            <w:tcBorders>
              <w:top w:val="nil"/>
              <w:bottom w:val="nil"/>
            </w:tcBorders>
          </w:tcPr>
          <w:p w14:paraId="2F6D1553" w14:textId="67B33E8C"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06D7CD53" w14:textId="0B3123D5"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14C30055" w14:textId="77777777" w:rsidTr="005E3E52">
        <w:trPr>
          <w:trHeight w:val="340"/>
        </w:trPr>
        <w:tc>
          <w:tcPr>
            <w:tcW w:w="2978" w:type="dxa"/>
            <w:tcBorders>
              <w:top w:val="nil"/>
              <w:bottom w:val="nil"/>
            </w:tcBorders>
            <w:vAlign w:val="bottom"/>
          </w:tcPr>
          <w:p w14:paraId="526FC79A" w14:textId="0C433CE6" w:rsidR="009133FD" w:rsidRPr="009653C7" w:rsidRDefault="009133FD" w:rsidP="009133FD">
            <w:pPr>
              <w:spacing w:line="360" w:lineRule="auto"/>
              <w:ind w:right="-142"/>
              <w:rPr>
                <w:rFonts w:ascii="Arial" w:hAnsi="Arial" w:cs="Arial"/>
              </w:rPr>
            </w:pPr>
            <w:r w:rsidRPr="009653C7">
              <w:rPr>
                <w:rFonts w:ascii="Arial" w:hAnsi="Arial" w:cs="Arial"/>
              </w:rPr>
              <w:t>I Buchanan</w:t>
            </w:r>
          </w:p>
        </w:tc>
        <w:tc>
          <w:tcPr>
            <w:tcW w:w="1417" w:type="dxa"/>
            <w:tcBorders>
              <w:top w:val="nil"/>
              <w:bottom w:val="nil"/>
            </w:tcBorders>
          </w:tcPr>
          <w:p w14:paraId="25493244" w14:textId="4F1B2DBE"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80&lt;85</w:t>
            </w:r>
          </w:p>
        </w:tc>
        <w:tc>
          <w:tcPr>
            <w:tcW w:w="1276" w:type="dxa"/>
            <w:tcBorders>
              <w:top w:val="nil"/>
              <w:bottom w:val="nil"/>
            </w:tcBorders>
            <w:shd w:val="clear" w:color="auto" w:fill="EAF1DD" w:themeFill="accent3" w:themeFillTint="33"/>
          </w:tcPr>
          <w:p w14:paraId="041A33F2" w14:textId="3BAD336C"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85&lt;90</w:t>
            </w:r>
          </w:p>
        </w:tc>
        <w:tc>
          <w:tcPr>
            <w:tcW w:w="1276" w:type="dxa"/>
            <w:tcBorders>
              <w:top w:val="nil"/>
              <w:bottom w:val="nil"/>
            </w:tcBorders>
          </w:tcPr>
          <w:p w14:paraId="7C478B33" w14:textId="4F99079B"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52</w:t>
            </w:r>
          </w:p>
        </w:tc>
        <w:tc>
          <w:tcPr>
            <w:tcW w:w="1275" w:type="dxa"/>
            <w:tcBorders>
              <w:top w:val="nil"/>
              <w:bottom w:val="nil"/>
            </w:tcBorders>
            <w:shd w:val="clear" w:color="auto" w:fill="EAF1DD" w:themeFill="accent3" w:themeFillTint="33"/>
          </w:tcPr>
          <w:p w14:paraId="5FB41DE2" w14:textId="107DB162"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1BEB58C5" w14:textId="6273773F"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2EB94619" w14:textId="773847B1"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26A640A4" w14:textId="77777777" w:rsidTr="005E3E52">
        <w:trPr>
          <w:trHeight w:val="340"/>
        </w:trPr>
        <w:tc>
          <w:tcPr>
            <w:tcW w:w="2978" w:type="dxa"/>
            <w:tcBorders>
              <w:top w:val="nil"/>
              <w:bottom w:val="nil"/>
            </w:tcBorders>
            <w:vAlign w:val="bottom"/>
          </w:tcPr>
          <w:p w14:paraId="17F068CA" w14:textId="3ECBFB00" w:rsidR="009133FD" w:rsidRPr="009653C7" w:rsidRDefault="009133FD" w:rsidP="009133FD">
            <w:pPr>
              <w:spacing w:line="360" w:lineRule="auto"/>
              <w:ind w:right="-142"/>
              <w:rPr>
                <w:rFonts w:ascii="Arial" w:hAnsi="Arial" w:cs="Arial"/>
              </w:rPr>
            </w:pPr>
            <w:r w:rsidRPr="009653C7">
              <w:rPr>
                <w:rFonts w:ascii="Arial" w:hAnsi="Arial" w:cs="Arial"/>
              </w:rPr>
              <w:t>D Harley</w:t>
            </w:r>
          </w:p>
        </w:tc>
        <w:tc>
          <w:tcPr>
            <w:tcW w:w="1417" w:type="dxa"/>
            <w:tcBorders>
              <w:top w:val="nil"/>
              <w:bottom w:val="nil"/>
            </w:tcBorders>
          </w:tcPr>
          <w:p w14:paraId="7CF0D1CA" w14:textId="10275CB8"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3DAD2C5E" w14:textId="099EBCB2"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10&lt;15</w:t>
            </w:r>
          </w:p>
        </w:tc>
        <w:tc>
          <w:tcPr>
            <w:tcW w:w="1276" w:type="dxa"/>
            <w:tcBorders>
              <w:top w:val="nil"/>
              <w:bottom w:val="nil"/>
            </w:tcBorders>
          </w:tcPr>
          <w:p w14:paraId="378BE0E6" w14:textId="69740445"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0C3FADBA" w14:textId="410ABF23"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01F867B4" w14:textId="02B290E5"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31AF2189" w14:textId="45233CAC"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9133FD" w14:paraId="4C403F17" w14:textId="77777777" w:rsidTr="005E3E52">
        <w:trPr>
          <w:trHeight w:val="340"/>
        </w:trPr>
        <w:tc>
          <w:tcPr>
            <w:tcW w:w="2978" w:type="dxa"/>
            <w:tcBorders>
              <w:top w:val="nil"/>
            </w:tcBorders>
            <w:vAlign w:val="bottom"/>
          </w:tcPr>
          <w:p w14:paraId="530AA314" w14:textId="2C21478B" w:rsidR="009133FD" w:rsidRPr="009653C7" w:rsidRDefault="009133FD" w:rsidP="009133FD">
            <w:pPr>
              <w:spacing w:line="360" w:lineRule="auto"/>
              <w:ind w:right="-142"/>
              <w:rPr>
                <w:rFonts w:ascii="Arial" w:hAnsi="Arial" w:cs="Arial"/>
              </w:rPr>
            </w:pPr>
            <w:r w:rsidRPr="009653C7">
              <w:rPr>
                <w:rFonts w:ascii="Arial" w:hAnsi="Arial" w:cs="Arial"/>
              </w:rPr>
              <w:t>B Marshall</w:t>
            </w:r>
          </w:p>
        </w:tc>
        <w:tc>
          <w:tcPr>
            <w:tcW w:w="1417" w:type="dxa"/>
            <w:tcBorders>
              <w:top w:val="nil"/>
            </w:tcBorders>
          </w:tcPr>
          <w:p w14:paraId="5A1F0563" w14:textId="511CC93F"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731E9FF9" w14:textId="29B9B5E2"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10&lt;15</w:t>
            </w:r>
          </w:p>
        </w:tc>
        <w:tc>
          <w:tcPr>
            <w:tcW w:w="1276" w:type="dxa"/>
            <w:tcBorders>
              <w:top w:val="nil"/>
            </w:tcBorders>
          </w:tcPr>
          <w:p w14:paraId="78EBFAB5" w14:textId="22D4C547"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tcBorders>
            <w:shd w:val="clear" w:color="auto" w:fill="EAF1DD" w:themeFill="accent3" w:themeFillTint="33"/>
          </w:tcPr>
          <w:p w14:paraId="0FFDD749" w14:textId="545386F1"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tcPr>
          <w:p w14:paraId="1838C3CB" w14:textId="176D4EFA"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54BC0608" w14:textId="73DB778F" w:rsidR="009133FD" w:rsidRPr="009653C7" w:rsidRDefault="009133FD" w:rsidP="009133FD">
            <w:pPr>
              <w:spacing w:line="360" w:lineRule="auto"/>
              <w:jc w:val="center"/>
              <w:rPr>
                <w:rFonts w:ascii="Arial" w:hAnsi="Arial" w:cs="Arial"/>
              </w:rPr>
            </w:pPr>
            <w:r w:rsidRPr="009653C7">
              <w:rPr>
                <w:rFonts w:ascii="Arial" w:hAnsi="Arial" w:cs="Arial"/>
                <w:color w:val="000000" w:themeColor="text1"/>
              </w:rPr>
              <w:t>-</w:t>
            </w:r>
          </w:p>
        </w:tc>
      </w:tr>
      <w:tr w:rsidR="0064242C" w14:paraId="2676CEB1" w14:textId="77777777" w:rsidTr="005E3E52">
        <w:trPr>
          <w:trHeight w:val="340"/>
        </w:trPr>
        <w:tc>
          <w:tcPr>
            <w:tcW w:w="10774" w:type="dxa"/>
            <w:gridSpan w:val="7"/>
            <w:vAlign w:val="bottom"/>
          </w:tcPr>
          <w:p w14:paraId="65631DB0" w14:textId="181AE3E2" w:rsidR="0064242C" w:rsidRPr="009653C7" w:rsidRDefault="0064242C" w:rsidP="006A599A">
            <w:pPr>
              <w:spacing w:line="360" w:lineRule="auto"/>
              <w:ind w:right="-142"/>
              <w:rPr>
                <w:rFonts w:ascii="Arial" w:hAnsi="Arial" w:cs="Arial"/>
              </w:rPr>
            </w:pPr>
            <w:r w:rsidRPr="009653C7">
              <w:rPr>
                <w:rFonts w:ascii="Arial" w:hAnsi="Arial" w:cs="Arial"/>
                <w:b/>
                <w:bCs/>
              </w:rPr>
              <w:t>Board Members</w:t>
            </w:r>
          </w:p>
        </w:tc>
      </w:tr>
      <w:tr w:rsidR="00423887" w14:paraId="022C92CF" w14:textId="77777777" w:rsidTr="005E3E52">
        <w:trPr>
          <w:trHeight w:val="340"/>
        </w:trPr>
        <w:tc>
          <w:tcPr>
            <w:tcW w:w="2978" w:type="dxa"/>
            <w:tcBorders>
              <w:bottom w:val="nil"/>
            </w:tcBorders>
            <w:vAlign w:val="bottom"/>
          </w:tcPr>
          <w:p w14:paraId="44F4E56E" w14:textId="1A76F761" w:rsidR="00423887" w:rsidRPr="009653C7" w:rsidRDefault="00423887" w:rsidP="00423887">
            <w:pPr>
              <w:spacing w:line="360" w:lineRule="auto"/>
              <w:ind w:right="-142"/>
              <w:rPr>
                <w:rFonts w:ascii="Arial" w:hAnsi="Arial" w:cs="Arial"/>
              </w:rPr>
            </w:pPr>
            <w:r w:rsidRPr="009653C7">
              <w:rPr>
                <w:rFonts w:ascii="Arial" w:hAnsi="Arial" w:cs="Arial"/>
              </w:rPr>
              <w:t>M Francis</w:t>
            </w:r>
          </w:p>
        </w:tc>
        <w:tc>
          <w:tcPr>
            <w:tcW w:w="1417" w:type="dxa"/>
            <w:tcBorders>
              <w:bottom w:val="nil"/>
            </w:tcBorders>
          </w:tcPr>
          <w:p w14:paraId="02129770" w14:textId="3B12B8FE"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bottom w:val="nil"/>
            </w:tcBorders>
            <w:shd w:val="clear" w:color="auto" w:fill="EAF1DD" w:themeFill="accent3" w:themeFillTint="33"/>
          </w:tcPr>
          <w:p w14:paraId="1E485B70" w14:textId="1526DFD6"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bottom w:val="nil"/>
            </w:tcBorders>
          </w:tcPr>
          <w:p w14:paraId="58E8908F" w14:textId="7A8CB3BA"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bottom w:val="nil"/>
            </w:tcBorders>
            <w:shd w:val="clear" w:color="auto" w:fill="EAF1DD" w:themeFill="accent3" w:themeFillTint="33"/>
          </w:tcPr>
          <w:p w14:paraId="6CFEA99E" w14:textId="5342190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bottom w:val="nil"/>
            </w:tcBorders>
          </w:tcPr>
          <w:p w14:paraId="00BE1347" w14:textId="0471A25D"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bottom w:val="nil"/>
            </w:tcBorders>
            <w:shd w:val="clear" w:color="auto" w:fill="EAF1DD" w:themeFill="accent3" w:themeFillTint="33"/>
          </w:tcPr>
          <w:p w14:paraId="16F64E75" w14:textId="74D8A79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72980962" w14:textId="77777777" w:rsidTr="005E3E52">
        <w:trPr>
          <w:trHeight w:val="340"/>
        </w:trPr>
        <w:tc>
          <w:tcPr>
            <w:tcW w:w="2978" w:type="dxa"/>
            <w:tcBorders>
              <w:top w:val="nil"/>
              <w:bottom w:val="nil"/>
            </w:tcBorders>
            <w:vAlign w:val="bottom"/>
          </w:tcPr>
          <w:p w14:paraId="0308C5F0" w14:textId="33D40251" w:rsidR="00423887" w:rsidRPr="009653C7" w:rsidRDefault="00423887" w:rsidP="00423887">
            <w:pPr>
              <w:spacing w:line="360" w:lineRule="auto"/>
              <w:ind w:right="-142"/>
              <w:rPr>
                <w:rFonts w:ascii="Arial" w:hAnsi="Arial" w:cs="Arial"/>
              </w:rPr>
            </w:pPr>
            <w:r w:rsidRPr="009653C7">
              <w:rPr>
                <w:rFonts w:ascii="Arial" w:hAnsi="Arial" w:cs="Arial"/>
              </w:rPr>
              <w:t>N Martin</w:t>
            </w:r>
          </w:p>
        </w:tc>
        <w:tc>
          <w:tcPr>
            <w:tcW w:w="1417" w:type="dxa"/>
            <w:tcBorders>
              <w:top w:val="nil"/>
              <w:bottom w:val="nil"/>
            </w:tcBorders>
          </w:tcPr>
          <w:p w14:paraId="029E42E6" w14:textId="584FC123"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10&lt;15</w:t>
            </w:r>
          </w:p>
        </w:tc>
        <w:tc>
          <w:tcPr>
            <w:tcW w:w="1276" w:type="dxa"/>
            <w:tcBorders>
              <w:top w:val="nil"/>
              <w:bottom w:val="nil"/>
            </w:tcBorders>
            <w:shd w:val="clear" w:color="auto" w:fill="EAF1DD" w:themeFill="accent3" w:themeFillTint="33"/>
          </w:tcPr>
          <w:p w14:paraId="0C7934F4" w14:textId="0F65D316"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20F11C1C" w14:textId="02D7D924"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5CD01E4D" w14:textId="29C5F48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37274D26" w14:textId="166E826E"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79C76C70" w14:textId="36A1595E"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1C362F81" w14:textId="77777777" w:rsidTr="005E3E52">
        <w:trPr>
          <w:trHeight w:val="340"/>
        </w:trPr>
        <w:tc>
          <w:tcPr>
            <w:tcW w:w="2978" w:type="dxa"/>
            <w:tcBorders>
              <w:top w:val="nil"/>
              <w:bottom w:val="nil"/>
            </w:tcBorders>
            <w:vAlign w:val="bottom"/>
          </w:tcPr>
          <w:p w14:paraId="4DACE8D1" w14:textId="1320D255" w:rsidR="00423887" w:rsidRPr="009653C7" w:rsidRDefault="00423887" w:rsidP="00423887">
            <w:pPr>
              <w:spacing w:line="360" w:lineRule="auto"/>
              <w:ind w:right="-142"/>
              <w:rPr>
                <w:rFonts w:ascii="Arial" w:hAnsi="Arial" w:cs="Arial"/>
              </w:rPr>
            </w:pPr>
            <w:r w:rsidRPr="009653C7">
              <w:rPr>
                <w:rFonts w:ascii="Arial" w:hAnsi="Arial" w:cs="Arial"/>
              </w:rPr>
              <w:t>M Hill</w:t>
            </w:r>
          </w:p>
        </w:tc>
        <w:tc>
          <w:tcPr>
            <w:tcW w:w="1417" w:type="dxa"/>
            <w:tcBorders>
              <w:top w:val="nil"/>
              <w:bottom w:val="nil"/>
            </w:tcBorders>
          </w:tcPr>
          <w:p w14:paraId="7D6C6945" w14:textId="06B145E4"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430F89FB" w14:textId="505FAB43"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462D3D39" w14:textId="2DB1E337"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509281C8" w14:textId="2A42F5F3"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1F89B9D6" w14:textId="288E6E1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01AB1AF7" w14:textId="66EE300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3C4DF46F" w14:textId="77777777" w:rsidTr="005E3E52">
        <w:trPr>
          <w:trHeight w:val="340"/>
        </w:trPr>
        <w:tc>
          <w:tcPr>
            <w:tcW w:w="2978" w:type="dxa"/>
            <w:tcBorders>
              <w:top w:val="nil"/>
              <w:bottom w:val="nil"/>
            </w:tcBorders>
            <w:vAlign w:val="bottom"/>
          </w:tcPr>
          <w:p w14:paraId="65C91D10" w14:textId="16F2B0E5" w:rsidR="00423887" w:rsidRPr="009653C7" w:rsidRDefault="00423887" w:rsidP="00423887">
            <w:pPr>
              <w:spacing w:line="360" w:lineRule="auto"/>
              <w:ind w:right="-142"/>
              <w:rPr>
                <w:rFonts w:ascii="Arial" w:hAnsi="Arial" w:cs="Arial"/>
              </w:rPr>
            </w:pPr>
            <w:r w:rsidRPr="009653C7">
              <w:rPr>
                <w:rFonts w:ascii="Arial" w:hAnsi="Arial" w:cs="Arial"/>
              </w:rPr>
              <w:t>F Van Dijk</w:t>
            </w:r>
          </w:p>
        </w:tc>
        <w:tc>
          <w:tcPr>
            <w:tcW w:w="1417" w:type="dxa"/>
            <w:tcBorders>
              <w:top w:val="nil"/>
              <w:bottom w:val="nil"/>
            </w:tcBorders>
          </w:tcPr>
          <w:p w14:paraId="6F6CDE4E" w14:textId="59D2FE1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3E993AF7" w14:textId="013A12FE"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1777ED79" w14:textId="1C66841C"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6EDE0954" w14:textId="65E23E5F"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5718DB91" w14:textId="7B22815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6FAC33D9" w14:textId="5AB493CB"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6F6095CE" w14:textId="77777777" w:rsidTr="005E3E52">
        <w:trPr>
          <w:trHeight w:val="340"/>
        </w:trPr>
        <w:tc>
          <w:tcPr>
            <w:tcW w:w="2978" w:type="dxa"/>
            <w:tcBorders>
              <w:top w:val="nil"/>
              <w:bottom w:val="nil"/>
            </w:tcBorders>
            <w:vAlign w:val="bottom"/>
          </w:tcPr>
          <w:p w14:paraId="15A70FAF" w14:textId="0E6791D2" w:rsidR="00423887" w:rsidRPr="009653C7" w:rsidRDefault="00423887" w:rsidP="00423887">
            <w:pPr>
              <w:spacing w:line="360" w:lineRule="auto"/>
              <w:ind w:right="-142"/>
              <w:rPr>
                <w:rFonts w:ascii="Arial" w:hAnsi="Arial" w:cs="Arial"/>
              </w:rPr>
            </w:pPr>
            <w:r w:rsidRPr="009653C7">
              <w:rPr>
                <w:rFonts w:ascii="Arial" w:hAnsi="Arial" w:cs="Arial"/>
              </w:rPr>
              <w:t>N Gordon</w:t>
            </w:r>
          </w:p>
        </w:tc>
        <w:tc>
          <w:tcPr>
            <w:tcW w:w="1417" w:type="dxa"/>
            <w:tcBorders>
              <w:top w:val="nil"/>
              <w:bottom w:val="nil"/>
            </w:tcBorders>
          </w:tcPr>
          <w:p w14:paraId="45115962" w14:textId="0E699B8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459ECFE8" w14:textId="2BF7521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789ABFCF" w14:textId="23E6E976"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63BD61CE" w14:textId="337FAD36"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735E148B" w14:textId="75C80CE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7B470A3C" w14:textId="5C96AF22"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7599BCFF" w14:textId="77777777" w:rsidTr="005E3E52">
        <w:trPr>
          <w:trHeight w:val="340"/>
        </w:trPr>
        <w:tc>
          <w:tcPr>
            <w:tcW w:w="2978" w:type="dxa"/>
            <w:tcBorders>
              <w:top w:val="nil"/>
              <w:bottom w:val="nil"/>
            </w:tcBorders>
            <w:vAlign w:val="bottom"/>
          </w:tcPr>
          <w:p w14:paraId="67600355" w14:textId="6B6907F9" w:rsidR="00423887" w:rsidRPr="009653C7" w:rsidRDefault="00423887" w:rsidP="00423887">
            <w:pPr>
              <w:spacing w:line="360" w:lineRule="auto"/>
              <w:ind w:right="-142"/>
              <w:rPr>
                <w:rFonts w:ascii="Arial" w:hAnsi="Arial" w:cs="Arial"/>
              </w:rPr>
            </w:pPr>
            <w:r w:rsidRPr="009653C7">
              <w:rPr>
                <w:rFonts w:ascii="Arial" w:hAnsi="Arial" w:cs="Arial"/>
              </w:rPr>
              <w:t>C Hume</w:t>
            </w:r>
          </w:p>
        </w:tc>
        <w:tc>
          <w:tcPr>
            <w:tcW w:w="1417" w:type="dxa"/>
            <w:tcBorders>
              <w:top w:val="nil"/>
              <w:bottom w:val="nil"/>
            </w:tcBorders>
          </w:tcPr>
          <w:p w14:paraId="696CCBB0" w14:textId="04808395"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0DCF09CA" w14:textId="4A1548EC"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5AB73E9B" w14:textId="6C970BB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42E9B14D" w14:textId="4424BD45"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1A43AD84" w14:textId="16A2ED2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316472ED" w14:textId="1BC983C5"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55354415" w14:textId="77777777" w:rsidTr="005E3E52">
        <w:trPr>
          <w:trHeight w:val="340"/>
        </w:trPr>
        <w:tc>
          <w:tcPr>
            <w:tcW w:w="2978" w:type="dxa"/>
            <w:tcBorders>
              <w:top w:val="nil"/>
              <w:bottom w:val="nil"/>
            </w:tcBorders>
            <w:vAlign w:val="bottom"/>
          </w:tcPr>
          <w:p w14:paraId="25F466BE" w14:textId="7361942E" w:rsidR="00423887" w:rsidRPr="009653C7" w:rsidRDefault="00423887" w:rsidP="00423887">
            <w:pPr>
              <w:spacing w:line="360" w:lineRule="auto"/>
              <w:ind w:right="-142"/>
              <w:rPr>
                <w:rFonts w:ascii="Arial" w:hAnsi="Arial" w:cs="Arial"/>
              </w:rPr>
            </w:pPr>
            <w:r w:rsidRPr="009653C7">
              <w:rPr>
                <w:rFonts w:ascii="Arial" w:hAnsi="Arial" w:cs="Arial"/>
              </w:rPr>
              <w:t>J Hutchison</w:t>
            </w:r>
          </w:p>
        </w:tc>
        <w:tc>
          <w:tcPr>
            <w:tcW w:w="1417" w:type="dxa"/>
            <w:tcBorders>
              <w:top w:val="nil"/>
              <w:bottom w:val="nil"/>
            </w:tcBorders>
          </w:tcPr>
          <w:p w14:paraId="2C165447" w14:textId="5144901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6FABE5AE" w14:textId="2D9B61C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309745C3" w14:textId="79A84523"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365C25ED" w14:textId="507DD2F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0827D802" w14:textId="036FD94B"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7B966F35" w14:textId="1CD0DCEF"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1B15ECAE" w14:textId="77777777" w:rsidTr="005E3E52">
        <w:trPr>
          <w:trHeight w:val="340"/>
        </w:trPr>
        <w:tc>
          <w:tcPr>
            <w:tcW w:w="2978" w:type="dxa"/>
            <w:tcBorders>
              <w:top w:val="nil"/>
              <w:bottom w:val="nil"/>
            </w:tcBorders>
            <w:vAlign w:val="bottom"/>
          </w:tcPr>
          <w:p w14:paraId="7781AEF8" w14:textId="2567E6F3" w:rsidR="00423887" w:rsidRPr="009653C7" w:rsidRDefault="00423887" w:rsidP="00423887">
            <w:pPr>
              <w:spacing w:line="360" w:lineRule="auto"/>
              <w:ind w:right="-142"/>
              <w:rPr>
                <w:rFonts w:ascii="Arial" w:hAnsi="Arial" w:cs="Arial"/>
              </w:rPr>
            </w:pPr>
            <w:r w:rsidRPr="009653C7">
              <w:rPr>
                <w:rFonts w:ascii="Arial" w:hAnsi="Arial" w:cs="Arial"/>
              </w:rPr>
              <w:t>H Kohli</w:t>
            </w:r>
          </w:p>
        </w:tc>
        <w:tc>
          <w:tcPr>
            <w:tcW w:w="1417" w:type="dxa"/>
            <w:tcBorders>
              <w:top w:val="nil"/>
              <w:bottom w:val="nil"/>
            </w:tcBorders>
          </w:tcPr>
          <w:p w14:paraId="45225C06" w14:textId="4E57CB12"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52313CCD" w14:textId="3D03284C"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45F67085" w14:textId="477146A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1A477550" w14:textId="061216FC"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426C2D1E" w14:textId="74EFBE9A"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4B0BB46F" w14:textId="13B8716D"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55241713" w14:textId="77777777" w:rsidTr="005E3E52">
        <w:trPr>
          <w:trHeight w:val="340"/>
        </w:trPr>
        <w:tc>
          <w:tcPr>
            <w:tcW w:w="2978" w:type="dxa"/>
            <w:tcBorders>
              <w:top w:val="nil"/>
              <w:bottom w:val="nil"/>
            </w:tcBorders>
            <w:vAlign w:val="bottom"/>
          </w:tcPr>
          <w:p w14:paraId="33258755" w14:textId="66442A5C" w:rsidR="00423887" w:rsidRPr="009653C7" w:rsidRDefault="00423887" w:rsidP="00423887">
            <w:pPr>
              <w:spacing w:line="360" w:lineRule="auto"/>
              <w:ind w:right="-142"/>
              <w:rPr>
                <w:rFonts w:ascii="Arial" w:hAnsi="Arial" w:cs="Arial"/>
              </w:rPr>
            </w:pPr>
            <w:r w:rsidRPr="009653C7">
              <w:rPr>
                <w:rFonts w:ascii="Arial" w:hAnsi="Arial" w:cs="Arial"/>
              </w:rPr>
              <w:t>P Matthews</w:t>
            </w:r>
          </w:p>
        </w:tc>
        <w:tc>
          <w:tcPr>
            <w:tcW w:w="1417" w:type="dxa"/>
            <w:tcBorders>
              <w:top w:val="nil"/>
              <w:bottom w:val="nil"/>
            </w:tcBorders>
          </w:tcPr>
          <w:p w14:paraId="41C5A397" w14:textId="191644C9"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shd w:val="clear" w:color="auto" w:fill="EAF1DD" w:themeFill="accent3" w:themeFillTint="33"/>
          </w:tcPr>
          <w:p w14:paraId="5621BE48" w14:textId="3D2DC20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5&lt;10</w:t>
            </w:r>
          </w:p>
        </w:tc>
        <w:tc>
          <w:tcPr>
            <w:tcW w:w="1276" w:type="dxa"/>
            <w:tcBorders>
              <w:top w:val="nil"/>
              <w:bottom w:val="nil"/>
            </w:tcBorders>
          </w:tcPr>
          <w:p w14:paraId="678DB59B" w14:textId="5FAF4C27"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427CF943" w14:textId="7F087432"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4F736624" w14:textId="2C70082B"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19225503" w14:textId="25E429B5"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4A3D8623" w14:textId="77777777" w:rsidTr="005E3E52">
        <w:trPr>
          <w:trHeight w:val="340"/>
        </w:trPr>
        <w:tc>
          <w:tcPr>
            <w:tcW w:w="2978" w:type="dxa"/>
            <w:tcBorders>
              <w:top w:val="nil"/>
              <w:bottom w:val="nil"/>
            </w:tcBorders>
            <w:vAlign w:val="bottom"/>
          </w:tcPr>
          <w:p w14:paraId="64961C93" w14:textId="6B0A993A" w:rsidR="00423887" w:rsidRPr="009653C7" w:rsidRDefault="00423887" w:rsidP="00423887">
            <w:pPr>
              <w:spacing w:line="360" w:lineRule="auto"/>
              <w:ind w:right="-142"/>
              <w:rPr>
                <w:rFonts w:ascii="Arial" w:hAnsi="Arial" w:cs="Arial"/>
              </w:rPr>
            </w:pPr>
            <w:r w:rsidRPr="009653C7">
              <w:rPr>
                <w:rFonts w:ascii="Arial" w:hAnsi="Arial" w:cs="Arial"/>
              </w:rPr>
              <w:t xml:space="preserve">N Chambers </w:t>
            </w:r>
          </w:p>
        </w:tc>
        <w:tc>
          <w:tcPr>
            <w:tcW w:w="1417" w:type="dxa"/>
            <w:tcBorders>
              <w:top w:val="nil"/>
              <w:bottom w:val="nil"/>
            </w:tcBorders>
          </w:tcPr>
          <w:p w14:paraId="6DD32A16" w14:textId="0659A54B"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59028367" w14:textId="1F786467"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0&lt;5</w:t>
            </w:r>
          </w:p>
        </w:tc>
        <w:tc>
          <w:tcPr>
            <w:tcW w:w="1276" w:type="dxa"/>
            <w:tcBorders>
              <w:top w:val="nil"/>
              <w:bottom w:val="nil"/>
            </w:tcBorders>
          </w:tcPr>
          <w:p w14:paraId="5077F888" w14:textId="630960D0"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bottom w:val="nil"/>
            </w:tcBorders>
            <w:shd w:val="clear" w:color="auto" w:fill="EAF1DD" w:themeFill="accent3" w:themeFillTint="33"/>
          </w:tcPr>
          <w:p w14:paraId="25866BC0" w14:textId="025E9A47"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tcPr>
          <w:p w14:paraId="30E05F45" w14:textId="60F61497"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bottom w:val="nil"/>
            </w:tcBorders>
            <w:shd w:val="clear" w:color="auto" w:fill="EAF1DD" w:themeFill="accent3" w:themeFillTint="33"/>
          </w:tcPr>
          <w:p w14:paraId="2AB3AE96" w14:textId="3D20C6B1"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r w:rsidR="00423887" w14:paraId="763E0AFB" w14:textId="77777777" w:rsidTr="005E3E52">
        <w:trPr>
          <w:trHeight w:val="340"/>
        </w:trPr>
        <w:tc>
          <w:tcPr>
            <w:tcW w:w="2978" w:type="dxa"/>
            <w:tcBorders>
              <w:top w:val="nil"/>
            </w:tcBorders>
            <w:vAlign w:val="bottom"/>
          </w:tcPr>
          <w:p w14:paraId="354FB7CB" w14:textId="252D1D29" w:rsidR="00423887" w:rsidRPr="009653C7" w:rsidRDefault="00423887" w:rsidP="00423887">
            <w:pPr>
              <w:spacing w:line="360" w:lineRule="auto"/>
              <w:ind w:right="-142"/>
              <w:rPr>
                <w:rFonts w:ascii="Arial" w:hAnsi="Arial" w:cs="Arial"/>
              </w:rPr>
            </w:pPr>
            <w:r w:rsidRPr="009653C7">
              <w:rPr>
                <w:rFonts w:ascii="Arial" w:hAnsi="Arial" w:cs="Arial"/>
              </w:rPr>
              <w:t xml:space="preserve">V </w:t>
            </w:r>
            <w:proofErr w:type="spellStart"/>
            <w:r w:rsidRPr="009653C7">
              <w:rPr>
                <w:rFonts w:ascii="Arial" w:hAnsi="Arial" w:cs="Arial"/>
              </w:rPr>
              <w:t>Mulgundmath</w:t>
            </w:r>
            <w:proofErr w:type="spellEnd"/>
            <w:r w:rsidRPr="009653C7">
              <w:rPr>
                <w:rFonts w:ascii="Arial" w:hAnsi="Arial" w:cs="Arial"/>
              </w:rPr>
              <w:t xml:space="preserve"> </w:t>
            </w:r>
          </w:p>
        </w:tc>
        <w:tc>
          <w:tcPr>
            <w:tcW w:w="1417" w:type="dxa"/>
            <w:tcBorders>
              <w:top w:val="nil"/>
            </w:tcBorders>
          </w:tcPr>
          <w:p w14:paraId="4E4AC0BC" w14:textId="3826F2A8"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24D0CBE8" w14:textId="68B07432"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0&lt;5</w:t>
            </w:r>
          </w:p>
        </w:tc>
        <w:tc>
          <w:tcPr>
            <w:tcW w:w="1276" w:type="dxa"/>
            <w:tcBorders>
              <w:top w:val="nil"/>
            </w:tcBorders>
          </w:tcPr>
          <w:p w14:paraId="792B546D" w14:textId="79D3F3EF"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5" w:type="dxa"/>
            <w:tcBorders>
              <w:top w:val="nil"/>
            </w:tcBorders>
            <w:shd w:val="clear" w:color="auto" w:fill="EAF1DD" w:themeFill="accent3" w:themeFillTint="33"/>
          </w:tcPr>
          <w:p w14:paraId="0E52CEF0" w14:textId="02514FDE"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tcPr>
          <w:p w14:paraId="19D9920D" w14:textId="5B80BCD2"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c>
          <w:tcPr>
            <w:tcW w:w="1276" w:type="dxa"/>
            <w:tcBorders>
              <w:top w:val="nil"/>
            </w:tcBorders>
            <w:shd w:val="clear" w:color="auto" w:fill="EAF1DD" w:themeFill="accent3" w:themeFillTint="33"/>
          </w:tcPr>
          <w:p w14:paraId="4AC4AD6D" w14:textId="2D734826" w:rsidR="00423887" w:rsidRPr="009653C7" w:rsidRDefault="00423887" w:rsidP="00423887">
            <w:pPr>
              <w:spacing w:line="360" w:lineRule="auto"/>
              <w:jc w:val="center"/>
              <w:rPr>
                <w:rFonts w:ascii="Arial" w:hAnsi="Arial" w:cs="Arial"/>
              </w:rPr>
            </w:pPr>
            <w:r w:rsidRPr="009653C7">
              <w:rPr>
                <w:rFonts w:ascii="Arial" w:hAnsi="Arial" w:cs="Arial"/>
                <w:color w:val="000000" w:themeColor="text1"/>
              </w:rPr>
              <w:t>-</w:t>
            </w:r>
          </w:p>
        </w:tc>
      </w:tr>
    </w:tbl>
    <w:p w14:paraId="6B9DDAAD" w14:textId="77777777" w:rsidR="009D528A" w:rsidRDefault="009D528A" w:rsidP="00684883">
      <w:pPr>
        <w:spacing w:line="360" w:lineRule="auto"/>
        <w:ind w:right="-141"/>
        <w:rPr>
          <w:rFonts w:ascii="Arial" w:hAnsi="Arial" w:cs="Arial"/>
        </w:rPr>
      </w:pPr>
    </w:p>
    <w:p w14:paraId="485CF598" w14:textId="528979B3" w:rsidR="00E26D69" w:rsidRPr="00E10032" w:rsidRDefault="00E26D69" w:rsidP="0089672B">
      <w:pPr>
        <w:spacing w:line="360" w:lineRule="auto"/>
        <w:ind w:left="-284" w:right="-141"/>
        <w:rPr>
          <w:rFonts w:ascii="Arial" w:hAnsi="Arial" w:cs="Arial"/>
        </w:rPr>
      </w:pPr>
      <w:r w:rsidRPr="00E10032">
        <w:rPr>
          <w:rFonts w:ascii="Arial" w:hAnsi="Arial" w:cs="Arial"/>
        </w:rPr>
        <w:lastRenderedPageBreak/>
        <w:t>The Chief Executive, Executive Directors</w:t>
      </w:r>
      <w:r w:rsidR="001B068C" w:rsidRPr="00E10032">
        <w:rPr>
          <w:rFonts w:ascii="Arial" w:hAnsi="Arial" w:cs="Arial"/>
        </w:rPr>
        <w:t>,</w:t>
      </w:r>
      <w:r w:rsidRPr="00E10032">
        <w:rPr>
          <w:rFonts w:ascii="Arial" w:hAnsi="Arial" w:cs="Arial"/>
        </w:rPr>
        <w:t xml:space="preserve"> and Chief Officers are ordinary members of Falkirk Pension Scheme. SEPA pays a fixed percentage employers</w:t>
      </w:r>
      <w:r w:rsidR="001E4F65">
        <w:rPr>
          <w:rFonts w:ascii="Arial" w:hAnsi="Arial" w:cs="Arial"/>
        </w:rPr>
        <w:t>’</w:t>
      </w:r>
      <w:r w:rsidRPr="00E10032">
        <w:rPr>
          <w:rFonts w:ascii="Arial" w:hAnsi="Arial" w:cs="Arial"/>
        </w:rPr>
        <w:t xml:space="preserve"> pension contribution and staff pay an employee contribution, which is based on a percentage of their pensionable salary. The employers’ contribution was </w:t>
      </w:r>
      <w:r w:rsidR="00EF15E8">
        <w:rPr>
          <w:rFonts w:ascii="Arial" w:hAnsi="Arial" w:cs="Arial"/>
        </w:rPr>
        <w:t>20%</w:t>
      </w:r>
      <w:r w:rsidRPr="00E10032">
        <w:rPr>
          <w:rFonts w:ascii="Arial" w:hAnsi="Arial" w:cs="Arial"/>
        </w:rPr>
        <w:t xml:space="preserve"> in </w:t>
      </w:r>
      <w:r w:rsidR="000845C9">
        <w:rPr>
          <w:rFonts w:ascii="Arial" w:hAnsi="Arial" w:cs="Arial"/>
        </w:rPr>
        <w:t>2021/22</w:t>
      </w:r>
      <w:r w:rsidRPr="00E10032">
        <w:rPr>
          <w:rFonts w:ascii="Arial" w:hAnsi="Arial" w:cs="Arial"/>
        </w:rPr>
        <w:t xml:space="preserve"> (20% in </w:t>
      </w:r>
      <w:r w:rsidR="000845C9">
        <w:rPr>
          <w:rFonts w:ascii="Arial" w:hAnsi="Arial" w:cs="Arial"/>
        </w:rPr>
        <w:t>2020/21</w:t>
      </w:r>
      <w:r w:rsidRPr="00E10032">
        <w:rPr>
          <w:rFonts w:ascii="Arial" w:hAnsi="Arial" w:cs="Arial"/>
        </w:rPr>
        <w:t>)</w:t>
      </w:r>
      <w:r w:rsidR="00082B6F">
        <w:rPr>
          <w:rFonts w:ascii="Arial" w:hAnsi="Arial" w:cs="Arial"/>
        </w:rPr>
        <w:t>.</w:t>
      </w:r>
    </w:p>
    <w:p w14:paraId="3146A08F" w14:textId="77777777" w:rsidR="00E26D69" w:rsidRPr="00E10032" w:rsidRDefault="00E26D69" w:rsidP="0089672B">
      <w:pPr>
        <w:spacing w:line="360" w:lineRule="auto"/>
        <w:ind w:left="-284" w:right="-141"/>
        <w:rPr>
          <w:rFonts w:ascii="Arial" w:hAnsi="Arial" w:cs="Arial"/>
        </w:rPr>
      </w:pPr>
    </w:p>
    <w:p w14:paraId="7304B26F" w14:textId="414C052D" w:rsidR="00E26D69" w:rsidRDefault="00E26D69" w:rsidP="0089672B">
      <w:pPr>
        <w:spacing w:line="360" w:lineRule="auto"/>
        <w:ind w:left="-284" w:right="-141"/>
        <w:rPr>
          <w:rFonts w:ascii="Arial" w:hAnsi="Arial" w:cs="Arial"/>
        </w:rPr>
      </w:pPr>
      <w:r w:rsidRPr="00E10032">
        <w:rPr>
          <w:rFonts w:ascii="Arial" w:hAnsi="Arial" w:cs="Arial"/>
        </w:rPr>
        <w:t>All staff including the Chief Executive, Executive Directors</w:t>
      </w:r>
      <w:r w:rsidR="001E4F65">
        <w:rPr>
          <w:rFonts w:ascii="Arial" w:hAnsi="Arial" w:cs="Arial"/>
        </w:rPr>
        <w:t>,</w:t>
      </w:r>
      <w:r w:rsidRPr="00E10032">
        <w:rPr>
          <w:rFonts w:ascii="Arial" w:hAnsi="Arial" w:cs="Arial"/>
        </w:rPr>
        <w:t xml:space="preserve"> and Chief Officers are on incremental pay scales.</w:t>
      </w:r>
      <w:r w:rsidRPr="00E26D69">
        <w:rPr>
          <w:rFonts w:ascii="Arial" w:hAnsi="Arial" w:cs="Arial"/>
        </w:rPr>
        <w:t xml:space="preserve"> </w:t>
      </w:r>
    </w:p>
    <w:p w14:paraId="58B1263D" w14:textId="1E9D6D58" w:rsidR="00573947" w:rsidRPr="00EF01F2" w:rsidRDefault="00573947" w:rsidP="00EF01F2">
      <w:pPr>
        <w:spacing w:line="360" w:lineRule="auto"/>
        <w:ind w:right="-141"/>
        <w:jc w:val="both"/>
        <w:rPr>
          <w:rFonts w:ascii="Arial" w:hAnsi="Arial" w:cs="Arial"/>
          <w:sz w:val="22"/>
          <w:szCs w:val="22"/>
        </w:rPr>
      </w:pPr>
    </w:p>
    <w:p w14:paraId="48A84E6A" w14:textId="388ABC23" w:rsidR="00E26D69" w:rsidRPr="00E26D69" w:rsidRDefault="00E26D69" w:rsidP="00307002">
      <w:pPr>
        <w:spacing w:line="360" w:lineRule="auto"/>
        <w:ind w:left="-284"/>
        <w:rPr>
          <w:rFonts w:ascii="Arial" w:hAnsi="Arial" w:cs="Arial"/>
          <w:b/>
        </w:rPr>
      </w:pPr>
      <w:r w:rsidRPr="00E26D69">
        <w:rPr>
          <w:rFonts w:ascii="Arial" w:hAnsi="Arial" w:cs="Arial"/>
          <w:b/>
        </w:rPr>
        <w:t>Pension entitlements of Chief Executive, Executive Director, and Chief Officers</w:t>
      </w:r>
      <w:r w:rsidR="001E4F65">
        <w:rPr>
          <w:rFonts w:ascii="Arial" w:hAnsi="Arial" w:cs="Arial"/>
          <w:b/>
        </w:rPr>
        <w:t>’</w:t>
      </w:r>
      <w:r w:rsidR="00B91AD6">
        <w:rPr>
          <w:rFonts w:ascii="Arial" w:hAnsi="Arial" w:cs="Arial"/>
          <w:b/>
        </w:rPr>
        <w:t xml:space="preserve"> </w:t>
      </w:r>
      <w:r w:rsidR="000845C9">
        <w:rPr>
          <w:rFonts w:ascii="Arial" w:hAnsi="Arial" w:cs="Arial"/>
          <w:b/>
        </w:rPr>
        <w:t>2021/22</w:t>
      </w:r>
      <w:r w:rsidR="00F43E62">
        <w:rPr>
          <w:rFonts w:ascii="Arial" w:hAnsi="Arial" w:cs="Arial"/>
          <w:b/>
        </w:rPr>
        <w:t xml:space="preserve"> (subject to audit)</w:t>
      </w:r>
    </w:p>
    <w:tbl>
      <w:tblPr>
        <w:tblStyle w:val="GridTable7Colorful-Accent4"/>
        <w:tblW w:w="10485" w:type="dxa"/>
        <w:tblInd w:w="-28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FFFFF" w:themeFill="background1"/>
        <w:tblLook w:val="0280" w:firstRow="0" w:lastRow="0" w:firstColumn="1" w:lastColumn="0" w:noHBand="1" w:noVBand="0"/>
      </w:tblPr>
      <w:tblGrid>
        <w:gridCol w:w="2632"/>
        <w:gridCol w:w="1178"/>
        <w:gridCol w:w="1177"/>
        <w:gridCol w:w="1270"/>
        <w:gridCol w:w="1191"/>
        <w:gridCol w:w="923"/>
        <w:gridCol w:w="923"/>
        <w:gridCol w:w="1191"/>
      </w:tblGrid>
      <w:tr w:rsidR="00A0095D" w:rsidRPr="00E26D69" w14:paraId="48C29414" w14:textId="77777777" w:rsidTr="007F23CB">
        <w:trPr>
          <w:trHeight w:val="1042"/>
        </w:trPr>
        <w:tc>
          <w:tcPr>
            <w:cnfStyle w:val="001000000000" w:firstRow="0" w:lastRow="0" w:firstColumn="1" w:lastColumn="0" w:oddVBand="0" w:evenVBand="0" w:oddHBand="0" w:evenHBand="0" w:firstRowFirstColumn="0" w:firstRowLastColumn="0" w:lastRowFirstColumn="0" w:lastRowLastColumn="0"/>
            <w:tcW w:w="2632" w:type="dxa"/>
            <w:tcBorders>
              <w:top w:val="single" w:sz="4" w:space="0" w:color="auto"/>
              <w:left w:val="single" w:sz="4" w:space="0" w:color="auto"/>
              <w:bottom w:val="single" w:sz="4" w:space="0" w:color="7F7F7F" w:themeColor="text1" w:themeTint="80"/>
            </w:tcBorders>
            <w:shd w:val="clear" w:color="auto" w:fill="EAF1DD" w:themeFill="accent3" w:themeFillTint="33"/>
            <w:vAlign w:val="center"/>
          </w:tcPr>
          <w:p w14:paraId="7BD510D8" w14:textId="77777777" w:rsidR="00E26D69" w:rsidRPr="00A14C77" w:rsidRDefault="00E26D69" w:rsidP="004E5F76">
            <w:pPr>
              <w:spacing w:line="360" w:lineRule="auto"/>
              <w:ind w:left="-687"/>
              <w:jc w:val="left"/>
              <w:rPr>
                <w:rFonts w:ascii="Arial" w:hAnsi="Arial" w:cs="Arial"/>
                <w:i w:val="0"/>
                <w:iCs w:val="0"/>
                <w:color w:val="000000" w:themeColor="text1"/>
                <w:sz w:val="22"/>
                <w:szCs w:val="22"/>
              </w:rPr>
            </w:pPr>
          </w:p>
          <w:p w14:paraId="37F43497" w14:textId="77777777" w:rsidR="00E26D69" w:rsidRPr="00A14C77" w:rsidRDefault="00E26D69" w:rsidP="004E5F76">
            <w:pPr>
              <w:spacing w:line="360" w:lineRule="auto"/>
              <w:rPr>
                <w:rFonts w:ascii="Arial" w:hAnsi="Arial" w:cs="Arial"/>
                <w:i w:val="0"/>
                <w:iCs w:val="0"/>
                <w:sz w:val="22"/>
                <w:szCs w:val="22"/>
              </w:rPr>
            </w:pPr>
          </w:p>
          <w:p w14:paraId="2E926417" w14:textId="77777777" w:rsidR="00E26D69" w:rsidRPr="00A14C77" w:rsidRDefault="00E26D69" w:rsidP="004E5F76">
            <w:pPr>
              <w:spacing w:line="360" w:lineRule="auto"/>
              <w:rPr>
                <w:rFonts w:ascii="Arial" w:hAnsi="Arial" w:cs="Arial"/>
                <w:i w:val="0"/>
                <w:iCs w:val="0"/>
                <w:sz w:val="22"/>
                <w:szCs w:val="22"/>
              </w:rPr>
            </w:pPr>
          </w:p>
          <w:p w14:paraId="41169B06" w14:textId="77777777" w:rsidR="00E26D69" w:rsidRPr="00A14C77" w:rsidRDefault="00E26D69" w:rsidP="004E5F76">
            <w:pPr>
              <w:spacing w:line="360" w:lineRule="auto"/>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178" w:type="dxa"/>
            <w:tcBorders>
              <w:top w:val="single" w:sz="4" w:space="0" w:color="auto"/>
              <w:bottom w:val="single" w:sz="4" w:space="0" w:color="7F7F7F" w:themeColor="text1" w:themeTint="80"/>
            </w:tcBorders>
            <w:shd w:val="clear" w:color="auto" w:fill="EAF1DD" w:themeFill="accent3" w:themeFillTint="33"/>
          </w:tcPr>
          <w:p w14:paraId="1B4618C3" w14:textId="5EA6773E" w:rsidR="00E26D69" w:rsidRPr="00A14C77" w:rsidRDefault="00457458"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Accrued pension</w:t>
            </w:r>
            <w:r w:rsidR="00E26D69" w:rsidRPr="00A14C77">
              <w:rPr>
                <w:rFonts w:ascii="Arial" w:hAnsi="Arial" w:cs="Arial"/>
                <w:b/>
                <w:color w:val="000000" w:themeColor="text1"/>
                <w:sz w:val="22"/>
                <w:szCs w:val="22"/>
              </w:rPr>
              <w:t xml:space="preserve"> at 31 March 202</w:t>
            </w:r>
            <w:r w:rsidR="00CE5304" w:rsidRPr="00A14C77">
              <w:rPr>
                <w:rFonts w:ascii="Arial" w:hAnsi="Arial" w:cs="Arial"/>
                <w:b/>
                <w:color w:val="000000" w:themeColor="text1"/>
                <w:sz w:val="22"/>
                <w:szCs w:val="22"/>
              </w:rPr>
              <w:t>2</w:t>
            </w:r>
          </w:p>
          <w:p w14:paraId="6B30B3AC" w14:textId="77777777" w:rsidR="00E26D69" w:rsidRPr="00A14C77" w:rsidRDefault="00E26D69" w:rsidP="004E5F76">
            <w:pPr>
              <w:spacing w:line="360" w:lineRule="auto"/>
              <w:rPr>
                <w:rFonts w:ascii="Arial" w:hAnsi="Arial" w:cs="Arial"/>
                <w:b/>
                <w:color w:val="000000" w:themeColor="text1"/>
                <w:sz w:val="22"/>
                <w:szCs w:val="22"/>
              </w:rPr>
            </w:pPr>
          </w:p>
          <w:p w14:paraId="05B78D93" w14:textId="7A2752FF" w:rsidR="009D54B5" w:rsidRPr="00A14C77" w:rsidRDefault="009D54B5" w:rsidP="004E5F76">
            <w:pPr>
              <w:spacing w:line="360" w:lineRule="auto"/>
              <w:jc w:val="center"/>
              <w:rPr>
                <w:rFonts w:ascii="Arial" w:hAnsi="Arial" w:cs="Arial"/>
                <w:b/>
                <w:color w:val="000000" w:themeColor="text1"/>
                <w:sz w:val="22"/>
                <w:szCs w:val="22"/>
              </w:rPr>
            </w:pPr>
          </w:p>
          <w:p w14:paraId="51A7F094" w14:textId="77777777" w:rsidR="009D54B5" w:rsidRPr="00A14C77" w:rsidRDefault="009D54B5" w:rsidP="004E5F76">
            <w:pPr>
              <w:spacing w:line="360" w:lineRule="auto"/>
              <w:jc w:val="center"/>
              <w:rPr>
                <w:rFonts w:ascii="Arial" w:hAnsi="Arial" w:cs="Arial"/>
                <w:b/>
                <w:color w:val="000000" w:themeColor="text1"/>
                <w:sz w:val="22"/>
                <w:szCs w:val="22"/>
              </w:rPr>
            </w:pPr>
          </w:p>
          <w:p w14:paraId="4669CE96" w14:textId="41A8D9C7"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tcW w:w="1177" w:type="dxa"/>
            <w:tcBorders>
              <w:top w:val="single" w:sz="4" w:space="0" w:color="auto"/>
              <w:bottom w:val="single" w:sz="4" w:space="0" w:color="7F7F7F" w:themeColor="text1" w:themeTint="80"/>
            </w:tcBorders>
            <w:shd w:val="clear" w:color="auto" w:fill="EAF1DD" w:themeFill="accent3" w:themeFillTint="33"/>
          </w:tcPr>
          <w:p w14:paraId="64272921" w14:textId="400E4AC7" w:rsidR="00E26D69" w:rsidRPr="00A14C77" w:rsidRDefault="00457458"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Accrued lump</w:t>
            </w:r>
            <w:r w:rsidR="00E26D69" w:rsidRPr="00A14C77">
              <w:rPr>
                <w:rFonts w:ascii="Arial" w:hAnsi="Arial" w:cs="Arial"/>
                <w:b/>
                <w:color w:val="000000" w:themeColor="text1"/>
                <w:sz w:val="22"/>
                <w:szCs w:val="22"/>
              </w:rPr>
              <w:t xml:space="preserve"> sum at 31 March 202</w:t>
            </w:r>
            <w:r w:rsidR="00CE5304" w:rsidRPr="00A14C77">
              <w:rPr>
                <w:rFonts w:ascii="Arial" w:hAnsi="Arial" w:cs="Arial"/>
                <w:b/>
                <w:color w:val="000000" w:themeColor="text1"/>
                <w:sz w:val="22"/>
                <w:szCs w:val="22"/>
              </w:rPr>
              <w:t>2</w:t>
            </w:r>
          </w:p>
          <w:p w14:paraId="4D61D29F" w14:textId="32C545FE"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551AEE26" w14:textId="77777777" w:rsidR="009D54B5" w:rsidRPr="00A14C77" w:rsidRDefault="009D54B5"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4D766115" w14:textId="77777777" w:rsidR="00A14C77" w:rsidRDefault="00A14C77"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3CD9EC5D" w14:textId="5436981D"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cnfStyle w:val="000010000000" w:firstRow="0" w:lastRow="0" w:firstColumn="0" w:lastColumn="0" w:oddVBand="1" w:evenVBand="0" w:oddHBand="0" w:evenHBand="0" w:firstRowFirstColumn="0" w:firstRowLastColumn="0" w:lastRowFirstColumn="0" w:lastRowLastColumn="0"/>
            <w:tcW w:w="1270" w:type="dxa"/>
            <w:tcBorders>
              <w:top w:val="single" w:sz="4" w:space="0" w:color="auto"/>
              <w:bottom w:val="single" w:sz="4" w:space="0" w:color="7F7F7F" w:themeColor="text1" w:themeTint="80"/>
            </w:tcBorders>
            <w:shd w:val="clear" w:color="auto" w:fill="EAF1DD" w:themeFill="accent3" w:themeFillTint="33"/>
          </w:tcPr>
          <w:p w14:paraId="0F4D7405" w14:textId="77777777"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Real increase in annual pensions</w:t>
            </w:r>
          </w:p>
          <w:p w14:paraId="29689B31" w14:textId="7BE5DA1D"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20</w:t>
            </w:r>
            <w:r w:rsidR="000055D5" w:rsidRPr="00A14C77">
              <w:rPr>
                <w:rFonts w:ascii="Arial" w:hAnsi="Arial" w:cs="Arial"/>
                <w:b/>
                <w:color w:val="000000" w:themeColor="text1"/>
                <w:sz w:val="22"/>
                <w:szCs w:val="22"/>
              </w:rPr>
              <w:t>2</w:t>
            </w:r>
            <w:r w:rsidR="00CE5304" w:rsidRPr="00A14C77">
              <w:rPr>
                <w:rFonts w:ascii="Arial" w:hAnsi="Arial" w:cs="Arial"/>
                <w:b/>
                <w:color w:val="000000" w:themeColor="text1"/>
                <w:sz w:val="22"/>
                <w:szCs w:val="22"/>
              </w:rPr>
              <w:t>1</w:t>
            </w:r>
            <w:r w:rsidRPr="00A14C77">
              <w:rPr>
                <w:rFonts w:ascii="Arial" w:hAnsi="Arial" w:cs="Arial"/>
                <w:b/>
                <w:color w:val="000000" w:themeColor="text1"/>
                <w:sz w:val="22"/>
                <w:szCs w:val="22"/>
              </w:rPr>
              <w:t>/</w:t>
            </w:r>
            <w:r w:rsidR="000055D5" w:rsidRPr="00A14C77">
              <w:rPr>
                <w:rFonts w:ascii="Arial" w:hAnsi="Arial" w:cs="Arial"/>
                <w:b/>
                <w:color w:val="000000" w:themeColor="text1"/>
                <w:sz w:val="22"/>
                <w:szCs w:val="22"/>
              </w:rPr>
              <w:t>2</w:t>
            </w:r>
            <w:r w:rsidR="00CE5304" w:rsidRPr="00A14C77">
              <w:rPr>
                <w:rFonts w:ascii="Arial" w:hAnsi="Arial" w:cs="Arial"/>
                <w:b/>
                <w:color w:val="000000" w:themeColor="text1"/>
                <w:sz w:val="22"/>
                <w:szCs w:val="22"/>
              </w:rPr>
              <w:t>2</w:t>
            </w:r>
          </w:p>
          <w:p w14:paraId="2D166332" w14:textId="77777777" w:rsidR="00E26D69" w:rsidRPr="00A14C77" w:rsidRDefault="00E26D69" w:rsidP="004E5F76">
            <w:pPr>
              <w:spacing w:line="360" w:lineRule="auto"/>
              <w:jc w:val="center"/>
              <w:rPr>
                <w:rFonts w:ascii="Arial" w:hAnsi="Arial" w:cs="Arial"/>
                <w:b/>
                <w:color w:val="000000" w:themeColor="text1"/>
                <w:sz w:val="22"/>
                <w:szCs w:val="22"/>
              </w:rPr>
            </w:pPr>
          </w:p>
          <w:p w14:paraId="5145B46B" w14:textId="052F0F96" w:rsidR="009D54B5" w:rsidRPr="00A14C77" w:rsidRDefault="009D54B5" w:rsidP="004E5F76">
            <w:pPr>
              <w:spacing w:line="360" w:lineRule="auto"/>
              <w:jc w:val="center"/>
              <w:rPr>
                <w:rFonts w:ascii="Arial" w:hAnsi="Arial" w:cs="Arial"/>
                <w:b/>
                <w:color w:val="000000" w:themeColor="text1"/>
                <w:sz w:val="22"/>
                <w:szCs w:val="22"/>
              </w:rPr>
            </w:pPr>
          </w:p>
          <w:p w14:paraId="7975908E" w14:textId="77777777" w:rsidR="009D54B5" w:rsidRPr="00A14C77" w:rsidRDefault="009D54B5" w:rsidP="004E5F76">
            <w:pPr>
              <w:spacing w:line="360" w:lineRule="auto"/>
              <w:jc w:val="center"/>
              <w:rPr>
                <w:rFonts w:ascii="Arial" w:hAnsi="Arial" w:cs="Arial"/>
                <w:b/>
                <w:color w:val="000000" w:themeColor="text1"/>
                <w:sz w:val="22"/>
                <w:szCs w:val="22"/>
              </w:rPr>
            </w:pPr>
          </w:p>
          <w:p w14:paraId="4EE83813" w14:textId="6DBEF18E"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tcW w:w="1191" w:type="dxa"/>
            <w:tcBorders>
              <w:top w:val="single" w:sz="4" w:space="0" w:color="auto"/>
              <w:bottom w:val="single" w:sz="4" w:space="0" w:color="7F7F7F" w:themeColor="text1" w:themeTint="80"/>
            </w:tcBorders>
            <w:shd w:val="clear" w:color="auto" w:fill="EAF1DD" w:themeFill="accent3" w:themeFillTint="33"/>
          </w:tcPr>
          <w:p w14:paraId="3DBC129C" w14:textId="0D8148D3"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Real increase in annual lump sum 20</w:t>
            </w:r>
            <w:r w:rsidR="000055D5" w:rsidRPr="00A14C77">
              <w:rPr>
                <w:rFonts w:ascii="Arial" w:hAnsi="Arial" w:cs="Arial"/>
                <w:b/>
                <w:color w:val="000000" w:themeColor="text1"/>
                <w:sz w:val="22"/>
                <w:szCs w:val="22"/>
              </w:rPr>
              <w:t>2</w:t>
            </w:r>
            <w:r w:rsidR="00CE5304" w:rsidRPr="00A14C77">
              <w:rPr>
                <w:rFonts w:ascii="Arial" w:hAnsi="Arial" w:cs="Arial"/>
                <w:b/>
                <w:color w:val="000000" w:themeColor="text1"/>
                <w:sz w:val="22"/>
                <w:szCs w:val="22"/>
              </w:rPr>
              <w:t>1</w:t>
            </w:r>
            <w:r w:rsidRPr="00A14C77">
              <w:rPr>
                <w:rFonts w:ascii="Arial" w:hAnsi="Arial" w:cs="Arial"/>
                <w:b/>
                <w:color w:val="000000" w:themeColor="text1"/>
                <w:sz w:val="22"/>
                <w:szCs w:val="22"/>
              </w:rPr>
              <w:t>/2</w:t>
            </w:r>
            <w:r w:rsidR="00CE5304" w:rsidRPr="00A14C77">
              <w:rPr>
                <w:rFonts w:ascii="Arial" w:hAnsi="Arial" w:cs="Arial"/>
                <w:b/>
                <w:color w:val="000000" w:themeColor="text1"/>
                <w:sz w:val="22"/>
                <w:szCs w:val="22"/>
              </w:rPr>
              <w:t>2</w:t>
            </w:r>
          </w:p>
          <w:p w14:paraId="25D2719D" w14:textId="77777777" w:rsidR="009D54B5" w:rsidRPr="00A14C77" w:rsidRDefault="009D54B5"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67DBA7CE" w14:textId="77777777" w:rsidR="00A14C77" w:rsidRDefault="00A14C77"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7322BF1D" w14:textId="51774695"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cnfStyle w:val="000010000000" w:firstRow="0" w:lastRow="0" w:firstColumn="0" w:lastColumn="0" w:oddVBand="1" w:evenVBand="0" w:oddHBand="0" w:evenHBand="0" w:firstRowFirstColumn="0" w:firstRowLastColumn="0" w:lastRowFirstColumn="0" w:lastRowLastColumn="0"/>
            <w:tcW w:w="923" w:type="dxa"/>
            <w:tcBorders>
              <w:top w:val="single" w:sz="4" w:space="0" w:color="auto"/>
              <w:bottom w:val="single" w:sz="4" w:space="0" w:color="7F7F7F" w:themeColor="text1" w:themeTint="80"/>
            </w:tcBorders>
            <w:shd w:val="clear" w:color="auto" w:fill="EAF1DD" w:themeFill="accent3" w:themeFillTint="33"/>
          </w:tcPr>
          <w:p w14:paraId="170AB093" w14:textId="16282244"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bCs/>
                <w:color w:val="000000" w:themeColor="text1"/>
                <w:sz w:val="22"/>
                <w:szCs w:val="22"/>
              </w:rPr>
              <w:t xml:space="preserve">CETV </w:t>
            </w:r>
            <w:r w:rsidRPr="00A14C77">
              <w:rPr>
                <w:rFonts w:ascii="Arial" w:hAnsi="Arial" w:cs="Arial"/>
                <w:b/>
                <w:bCs/>
                <w:color w:val="000000" w:themeColor="text1"/>
                <w:sz w:val="22"/>
                <w:szCs w:val="22"/>
                <w:vertAlign w:val="superscript"/>
              </w:rPr>
              <w:footnoteReference w:id="12"/>
            </w:r>
            <w:r w:rsidRPr="00A14C77">
              <w:rPr>
                <w:rFonts w:ascii="Arial" w:hAnsi="Arial" w:cs="Arial"/>
                <w:b/>
                <w:bCs/>
                <w:color w:val="000000" w:themeColor="text1"/>
                <w:sz w:val="22"/>
                <w:szCs w:val="22"/>
              </w:rPr>
              <w:t>at 31 March 202</w:t>
            </w:r>
            <w:r w:rsidR="00CE5304" w:rsidRPr="00A14C77">
              <w:rPr>
                <w:rFonts w:ascii="Arial" w:hAnsi="Arial" w:cs="Arial"/>
                <w:b/>
                <w:bCs/>
                <w:color w:val="000000" w:themeColor="text1"/>
                <w:sz w:val="22"/>
                <w:szCs w:val="22"/>
              </w:rPr>
              <w:t>2</w:t>
            </w:r>
          </w:p>
          <w:p w14:paraId="1024C6C1" w14:textId="77777777" w:rsidR="00E26D69" w:rsidRPr="00A14C77" w:rsidRDefault="00E26D69" w:rsidP="004E5F76">
            <w:pPr>
              <w:spacing w:line="360" w:lineRule="auto"/>
              <w:jc w:val="center"/>
              <w:rPr>
                <w:rFonts w:ascii="Arial" w:hAnsi="Arial" w:cs="Arial"/>
                <w:b/>
                <w:color w:val="000000" w:themeColor="text1"/>
                <w:sz w:val="22"/>
                <w:szCs w:val="22"/>
              </w:rPr>
            </w:pPr>
          </w:p>
          <w:p w14:paraId="6DE99B4C" w14:textId="155D63E9" w:rsidR="00E26D69" w:rsidRPr="00A14C77" w:rsidRDefault="00E26D69" w:rsidP="004E5F76">
            <w:pPr>
              <w:spacing w:line="360" w:lineRule="auto"/>
              <w:jc w:val="center"/>
              <w:rPr>
                <w:rFonts w:ascii="Arial" w:hAnsi="Arial" w:cs="Arial"/>
                <w:b/>
                <w:color w:val="000000" w:themeColor="text1"/>
                <w:sz w:val="22"/>
                <w:szCs w:val="22"/>
              </w:rPr>
            </w:pPr>
          </w:p>
          <w:p w14:paraId="17D1B603" w14:textId="77777777" w:rsidR="009D54B5" w:rsidRPr="00A14C77" w:rsidRDefault="009D54B5" w:rsidP="0074031C">
            <w:pPr>
              <w:spacing w:line="360" w:lineRule="auto"/>
              <w:rPr>
                <w:rFonts w:ascii="Arial" w:hAnsi="Arial" w:cs="Arial"/>
                <w:b/>
                <w:color w:val="000000" w:themeColor="text1"/>
                <w:sz w:val="22"/>
                <w:szCs w:val="22"/>
              </w:rPr>
            </w:pPr>
          </w:p>
          <w:p w14:paraId="3D02E0CA" w14:textId="77777777" w:rsidR="00087BD9" w:rsidRDefault="00087BD9" w:rsidP="004E5F76">
            <w:pPr>
              <w:spacing w:line="360" w:lineRule="auto"/>
              <w:jc w:val="center"/>
              <w:rPr>
                <w:rFonts w:ascii="Arial" w:hAnsi="Arial" w:cs="Arial"/>
                <w:b/>
                <w:color w:val="000000" w:themeColor="text1"/>
                <w:sz w:val="22"/>
                <w:szCs w:val="22"/>
              </w:rPr>
            </w:pPr>
          </w:p>
          <w:p w14:paraId="35F7B3DD" w14:textId="0DBA3EAB"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tcW w:w="923" w:type="dxa"/>
            <w:tcBorders>
              <w:top w:val="single" w:sz="4" w:space="0" w:color="auto"/>
              <w:bottom w:val="single" w:sz="4" w:space="0" w:color="7F7F7F" w:themeColor="text1" w:themeTint="80"/>
            </w:tcBorders>
            <w:shd w:val="clear" w:color="auto" w:fill="EAF1DD" w:themeFill="accent3" w:themeFillTint="33"/>
          </w:tcPr>
          <w:p w14:paraId="7ABBE57F" w14:textId="2609B02D"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CETV at 31 March 20</w:t>
            </w:r>
            <w:r w:rsidR="009D54B5" w:rsidRPr="00A14C77">
              <w:rPr>
                <w:rFonts w:ascii="Arial" w:hAnsi="Arial" w:cs="Arial"/>
                <w:b/>
                <w:color w:val="000000" w:themeColor="text1"/>
                <w:sz w:val="22"/>
                <w:szCs w:val="22"/>
              </w:rPr>
              <w:t>2</w:t>
            </w:r>
            <w:r w:rsidR="007A1ED9" w:rsidRPr="00A14C77">
              <w:rPr>
                <w:rFonts w:ascii="Arial" w:hAnsi="Arial" w:cs="Arial"/>
                <w:b/>
                <w:color w:val="000000" w:themeColor="text1"/>
                <w:sz w:val="22"/>
                <w:szCs w:val="22"/>
              </w:rPr>
              <w:t>1</w:t>
            </w:r>
            <w:r w:rsidRPr="00A14C77">
              <w:rPr>
                <w:rFonts w:ascii="Arial" w:hAnsi="Arial" w:cs="Arial"/>
                <w:b/>
                <w:color w:val="000000" w:themeColor="text1"/>
                <w:sz w:val="22"/>
                <w:szCs w:val="22"/>
              </w:rPr>
              <w:t xml:space="preserve"> </w:t>
            </w:r>
          </w:p>
          <w:p w14:paraId="15602C87" w14:textId="77777777"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25990665" w14:textId="63403E7F"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32AA6AD3" w14:textId="4ED0EE94" w:rsidR="009D54B5" w:rsidRPr="00A14C77" w:rsidRDefault="009D54B5"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405D7A02" w14:textId="77777777" w:rsidR="009D54B5" w:rsidRPr="00A14C77" w:rsidRDefault="009D54B5"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p w14:paraId="7A9711E0" w14:textId="77777777"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r w:rsidRPr="00A14C77">
              <w:rPr>
                <w:rFonts w:ascii="Arial" w:hAnsi="Arial" w:cs="Arial"/>
                <w:b/>
                <w:color w:val="000000" w:themeColor="text1"/>
                <w:sz w:val="22"/>
                <w:szCs w:val="22"/>
              </w:rPr>
              <w:t>£’000</w:t>
            </w:r>
          </w:p>
        </w:tc>
        <w:tc>
          <w:tcPr>
            <w:cnfStyle w:val="000010000000" w:firstRow="0" w:lastRow="0" w:firstColumn="0" w:lastColumn="0" w:oddVBand="1" w:evenVBand="0" w:oddHBand="0" w:evenHBand="0" w:firstRowFirstColumn="0" w:firstRowLastColumn="0" w:lastRowFirstColumn="0" w:lastRowLastColumn="0"/>
            <w:tcW w:w="1191" w:type="dxa"/>
            <w:tcBorders>
              <w:top w:val="single" w:sz="4" w:space="0" w:color="auto"/>
              <w:bottom w:val="single" w:sz="4" w:space="0" w:color="7F7F7F" w:themeColor="text1" w:themeTint="80"/>
              <w:right w:val="single" w:sz="4" w:space="0" w:color="auto"/>
            </w:tcBorders>
            <w:shd w:val="clear" w:color="auto" w:fill="EAF1DD" w:themeFill="accent3" w:themeFillTint="33"/>
          </w:tcPr>
          <w:p w14:paraId="1095BFA1" w14:textId="77777777"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 xml:space="preserve">Real increase in CETV </w:t>
            </w:r>
          </w:p>
          <w:p w14:paraId="5BE543B3" w14:textId="3DFF63B5"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20</w:t>
            </w:r>
            <w:r w:rsidR="00EF01F2" w:rsidRPr="00A14C77">
              <w:rPr>
                <w:rFonts w:ascii="Arial" w:hAnsi="Arial" w:cs="Arial"/>
                <w:b/>
                <w:color w:val="000000" w:themeColor="text1"/>
                <w:sz w:val="22"/>
                <w:szCs w:val="22"/>
              </w:rPr>
              <w:t>2</w:t>
            </w:r>
            <w:r w:rsidR="007A1ED9" w:rsidRPr="00A14C77">
              <w:rPr>
                <w:rFonts w:ascii="Arial" w:hAnsi="Arial" w:cs="Arial"/>
                <w:b/>
                <w:color w:val="000000" w:themeColor="text1"/>
                <w:sz w:val="22"/>
                <w:szCs w:val="22"/>
              </w:rPr>
              <w:t>1</w:t>
            </w:r>
            <w:r w:rsidRPr="00A14C77">
              <w:rPr>
                <w:rFonts w:ascii="Arial" w:hAnsi="Arial" w:cs="Arial"/>
                <w:b/>
                <w:color w:val="000000" w:themeColor="text1"/>
                <w:sz w:val="22"/>
                <w:szCs w:val="22"/>
              </w:rPr>
              <w:t>/2</w:t>
            </w:r>
            <w:r w:rsidR="007A1ED9" w:rsidRPr="00A14C77">
              <w:rPr>
                <w:rFonts w:ascii="Arial" w:hAnsi="Arial" w:cs="Arial"/>
                <w:b/>
                <w:color w:val="000000" w:themeColor="text1"/>
                <w:sz w:val="22"/>
                <w:szCs w:val="22"/>
              </w:rPr>
              <w:t>2</w:t>
            </w:r>
          </w:p>
          <w:p w14:paraId="05631D6C" w14:textId="77777777" w:rsidR="00E26D69" w:rsidRPr="00A14C77" w:rsidRDefault="00E26D69" w:rsidP="004E5F76">
            <w:pPr>
              <w:spacing w:line="360" w:lineRule="auto"/>
              <w:jc w:val="center"/>
              <w:rPr>
                <w:rFonts w:ascii="Arial" w:hAnsi="Arial" w:cs="Arial"/>
                <w:b/>
                <w:color w:val="000000" w:themeColor="text1"/>
                <w:sz w:val="22"/>
                <w:szCs w:val="22"/>
              </w:rPr>
            </w:pPr>
          </w:p>
          <w:p w14:paraId="466C6138" w14:textId="5D1E7B30" w:rsidR="00E26D69" w:rsidRPr="00A14C77" w:rsidRDefault="00E26D69" w:rsidP="004E5F76">
            <w:pPr>
              <w:spacing w:line="360" w:lineRule="auto"/>
              <w:jc w:val="center"/>
              <w:rPr>
                <w:rFonts w:ascii="Arial" w:hAnsi="Arial" w:cs="Arial"/>
                <w:b/>
                <w:color w:val="000000" w:themeColor="text1"/>
                <w:sz w:val="22"/>
                <w:szCs w:val="22"/>
              </w:rPr>
            </w:pPr>
          </w:p>
          <w:p w14:paraId="7568BFD1" w14:textId="4E93BDE5" w:rsidR="009D54B5" w:rsidRPr="00A14C77" w:rsidRDefault="009D54B5" w:rsidP="004E5F76">
            <w:pPr>
              <w:spacing w:line="360" w:lineRule="auto"/>
              <w:jc w:val="center"/>
              <w:rPr>
                <w:rFonts w:ascii="Arial" w:hAnsi="Arial" w:cs="Arial"/>
                <w:b/>
                <w:color w:val="000000" w:themeColor="text1"/>
                <w:sz w:val="22"/>
                <w:szCs w:val="22"/>
              </w:rPr>
            </w:pPr>
          </w:p>
          <w:p w14:paraId="14E8D588" w14:textId="77777777" w:rsidR="009D54B5" w:rsidRPr="00A14C77" w:rsidRDefault="009D54B5" w:rsidP="004E5F76">
            <w:pPr>
              <w:spacing w:line="360" w:lineRule="auto"/>
              <w:jc w:val="center"/>
              <w:rPr>
                <w:rFonts w:ascii="Arial" w:hAnsi="Arial" w:cs="Arial"/>
                <w:b/>
                <w:color w:val="000000" w:themeColor="text1"/>
                <w:sz w:val="22"/>
                <w:szCs w:val="22"/>
              </w:rPr>
            </w:pPr>
          </w:p>
          <w:p w14:paraId="46DA88E5" w14:textId="77777777" w:rsidR="00E26D69" w:rsidRPr="00A14C77" w:rsidRDefault="00E26D69" w:rsidP="004E5F76">
            <w:pPr>
              <w:spacing w:line="360" w:lineRule="auto"/>
              <w:jc w:val="center"/>
              <w:rPr>
                <w:rFonts w:ascii="Arial" w:hAnsi="Arial" w:cs="Arial"/>
                <w:b/>
                <w:color w:val="000000" w:themeColor="text1"/>
                <w:sz w:val="22"/>
                <w:szCs w:val="22"/>
              </w:rPr>
            </w:pPr>
            <w:r w:rsidRPr="00A14C77">
              <w:rPr>
                <w:rFonts w:ascii="Arial" w:hAnsi="Arial" w:cs="Arial"/>
                <w:b/>
                <w:color w:val="000000" w:themeColor="text1"/>
                <w:sz w:val="22"/>
                <w:szCs w:val="22"/>
              </w:rPr>
              <w:t>£’000</w:t>
            </w:r>
          </w:p>
        </w:tc>
      </w:tr>
      <w:tr w:rsidR="00A0095D" w:rsidRPr="00E26D69" w14:paraId="49C93F8C" w14:textId="77777777" w:rsidTr="00914F89">
        <w:trPr>
          <w:trHeight w:val="241"/>
        </w:trPr>
        <w:tc>
          <w:tcPr>
            <w:cnfStyle w:val="001000000000" w:firstRow="0" w:lastRow="0" w:firstColumn="1" w:lastColumn="0" w:oddVBand="0" w:evenVBand="0" w:oddHBand="0" w:evenHBand="0" w:firstRowFirstColumn="0" w:firstRowLastColumn="0" w:lastRowFirstColumn="0" w:lastRowLastColumn="0"/>
            <w:tcW w:w="2632" w:type="dxa"/>
            <w:tcBorders>
              <w:left w:val="single" w:sz="4" w:space="0" w:color="auto"/>
            </w:tcBorders>
            <w:shd w:val="clear" w:color="auto" w:fill="EAF1DD" w:themeFill="accent3" w:themeFillTint="33"/>
          </w:tcPr>
          <w:p w14:paraId="6BB7A9C4" w14:textId="5C9B3CA6" w:rsidR="009914D9" w:rsidRPr="00914F89" w:rsidRDefault="00E26D69" w:rsidP="00914F89">
            <w:pPr>
              <w:spacing w:line="360" w:lineRule="auto"/>
              <w:jc w:val="left"/>
              <w:rPr>
                <w:rFonts w:ascii="Arial" w:hAnsi="Arial" w:cs="Arial"/>
                <w:b/>
                <w:iCs w:val="0"/>
                <w:color w:val="000000" w:themeColor="text1"/>
                <w:sz w:val="22"/>
                <w:szCs w:val="22"/>
              </w:rPr>
            </w:pPr>
            <w:r w:rsidRPr="00A14C77">
              <w:rPr>
                <w:rFonts w:ascii="Arial" w:hAnsi="Arial" w:cs="Arial"/>
                <w:b/>
                <w:i w:val="0"/>
                <w:color w:val="000000" w:themeColor="text1"/>
                <w:sz w:val="22"/>
                <w:szCs w:val="22"/>
              </w:rPr>
              <w:t>Chief Executive</w:t>
            </w:r>
          </w:p>
        </w:tc>
        <w:tc>
          <w:tcPr>
            <w:cnfStyle w:val="000010000000" w:firstRow="0" w:lastRow="0" w:firstColumn="0" w:lastColumn="0" w:oddVBand="1" w:evenVBand="0" w:oddHBand="0" w:evenHBand="0" w:firstRowFirstColumn="0" w:firstRowLastColumn="0" w:lastRowFirstColumn="0" w:lastRowLastColumn="0"/>
            <w:tcW w:w="1178" w:type="dxa"/>
            <w:tcBorders>
              <w:bottom w:val="nil"/>
            </w:tcBorders>
            <w:shd w:val="clear" w:color="auto" w:fill="EAF1DD" w:themeFill="accent3" w:themeFillTint="33"/>
          </w:tcPr>
          <w:p w14:paraId="7FF8B09F" w14:textId="09F4B4C9" w:rsidR="009914D9" w:rsidRPr="00A14C77" w:rsidRDefault="009914D9" w:rsidP="00DB7920">
            <w:pPr>
              <w:spacing w:line="360" w:lineRule="auto"/>
              <w:rPr>
                <w:rFonts w:ascii="Arial" w:hAnsi="Arial" w:cs="Arial"/>
                <w:b/>
                <w:color w:val="000000" w:themeColor="text1"/>
                <w:sz w:val="22"/>
                <w:szCs w:val="22"/>
              </w:rPr>
            </w:pPr>
          </w:p>
        </w:tc>
        <w:tc>
          <w:tcPr>
            <w:tcW w:w="1177" w:type="dxa"/>
            <w:tcBorders>
              <w:bottom w:val="nil"/>
            </w:tcBorders>
            <w:shd w:val="clear" w:color="auto" w:fill="EAF1DD" w:themeFill="accent3" w:themeFillTint="33"/>
          </w:tcPr>
          <w:p w14:paraId="029CBDAD" w14:textId="77777777"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1270" w:type="dxa"/>
            <w:tcBorders>
              <w:bottom w:val="nil"/>
            </w:tcBorders>
            <w:shd w:val="clear" w:color="auto" w:fill="EAF1DD" w:themeFill="accent3" w:themeFillTint="33"/>
          </w:tcPr>
          <w:p w14:paraId="52253757" w14:textId="77777777" w:rsidR="00E26D69" w:rsidRPr="00A14C77" w:rsidRDefault="00E26D69" w:rsidP="004E5F76">
            <w:pPr>
              <w:spacing w:line="360" w:lineRule="auto"/>
              <w:jc w:val="center"/>
              <w:rPr>
                <w:rFonts w:ascii="Arial" w:hAnsi="Arial" w:cs="Arial"/>
                <w:b/>
                <w:color w:val="000000" w:themeColor="text1"/>
                <w:sz w:val="22"/>
                <w:szCs w:val="22"/>
              </w:rPr>
            </w:pPr>
          </w:p>
        </w:tc>
        <w:tc>
          <w:tcPr>
            <w:tcW w:w="1191" w:type="dxa"/>
            <w:tcBorders>
              <w:bottom w:val="nil"/>
            </w:tcBorders>
            <w:shd w:val="clear" w:color="auto" w:fill="EAF1DD" w:themeFill="accent3" w:themeFillTint="33"/>
          </w:tcPr>
          <w:p w14:paraId="78C8E5DD" w14:textId="77777777" w:rsidR="00E26D69" w:rsidRPr="00A14C77" w:rsidRDefault="00E26D69" w:rsidP="004E5F7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923" w:type="dxa"/>
            <w:tcBorders>
              <w:bottom w:val="nil"/>
            </w:tcBorders>
            <w:shd w:val="clear" w:color="auto" w:fill="EAF1DD" w:themeFill="accent3" w:themeFillTint="33"/>
          </w:tcPr>
          <w:p w14:paraId="4E273749" w14:textId="77777777" w:rsidR="00E26D69" w:rsidRPr="00A14C77" w:rsidRDefault="00E26D69" w:rsidP="004E5F76">
            <w:pPr>
              <w:spacing w:line="360" w:lineRule="auto"/>
              <w:jc w:val="center"/>
              <w:rPr>
                <w:rFonts w:ascii="Arial" w:hAnsi="Arial" w:cs="Arial"/>
                <w:b/>
                <w:color w:val="000000" w:themeColor="text1"/>
                <w:sz w:val="22"/>
                <w:szCs w:val="22"/>
              </w:rPr>
            </w:pPr>
          </w:p>
        </w:tc>
        <w:tc>
          <w:tcPr>
            <w:tcW w:w="923" w:type="dxa"/>
            <w:tcBorders>
              <w:bottom w:val="nil"/>
            </w:tcBorders>
            <w:shd w:val="clear" w:color="auto" w:fill="EAF1DD" w:themeFill="accent3" w:themeFillTint="33"/>
          </w:tcPr>
          <w:p w14:paraId="5180C9DA" w14:textId="4A821FB8" w:rsidR="002D6891" w:rsidRPr="00A14C77" w:rsidRDefault="002D6891" w:rsidP="007356C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1191" w:type="dxa"/>
            <w:tcBorders>
              <w:bottom w:val="nil"/>
              <w:right w:val="single" w:sz="4" w:space="0" w:color="auto"/>
            </w:tcBorders>
            <w:shd w:val="clear" w:color="auto" w:fill="EAF1DD" w:themeFill="accent3" w:themeFillTint="33"/>
          </w:tcPr>
          <w:p w14:paraId="54CCA455" w14:textId="77777777" w:rsidR="00E26D69" w:rsidRPr="00A14C77" w:rsidRDefault="00E26D69" w:rsidP="004E5F76">
            <w:pPr>
              <w:spacing w:line="360" w:lineRule="auto"/>
              <w:jc w:val="center"/>
              <w:rPr>
                <w:rFonts w:ascii="Arial" w:hAnsi="Arial" w:cs="Arial"/>
                <w:b/>
                <w:color w:val="000000" w:themeColor="text1"/>
                <w:sz w:val="22"/>
                <w:szCs w:val="22"/>
              </w:rPr>
            </w:pPr>
          </w:p>
        </w:tc>
      </w:tr>
      <w:tr w:rsidR="00A0095D" w:rsidRPr="00E26D69" w14:paraId="68BA8457" w14:textId="77777777" w:rsidTr="005D6C80">
        <w:trPr>
          <w:trHeight w:val="340"/>
        </w:trPr>
        <w:tc>
          <w:tcPr>
            <w:cnfStyle w:val="001000000000" w:firstRow="0" w:lastRow="0" w:firstColumn="1" w:lastColumn="0" w:oddVBand="0" w:evenVBand="0" w:oddHBand="0" w:evenHBand="0" w:firstRowFirstColumn="0" w:firstRowLastColumn="0" w:lastRowFirstColumn="0" w:lastRowLastColumn="0"/>
            <w:tcW w:w="2632" w:type="dxa"/>
            <w:tcBorders>
              <w:left w:val="single" w:sz="4" w:space="0" w:color="auto"/>
              <w:bottom w:val="single" w:sz="4" w:space="0" w:color="7F7F7F" w:themeColor="text1" w:themeTint="80"/>
            </w:tcBorders>
            <w:shd w:val="clear" w:color="auto" w:fill="EAF1DD" w:themeFill="accent3" w:themeFillTint="33"/>
            <w:vAlign w:val="center"/>
          </w:tcPr>
          <w:p w14:paraId="17A148DD" w14:textId="3F0AE6B5" w:rsidR="00070E84" w:rsidRDefault="00070E84" w:rsidP="00070E84">
            <w:pPr>
              <w:spacing w:line="360" w:lineRule="auto"/>
              <w:jc w:val="left"/>
              <w:rPr>
                <w:rFonts w:ascii="Arial" w:hAnsi="Arial" w:cs="Arial"/>
                <w:iCs w:val="0"/>
                <w:color w:val="auto"/>
                <w:sz w:val="22"/>
                <w:szCs w:val="22"/>
              </w:rPr>
            </w:pPr>
            <w:r w:rsidRPr="00A14C77">
              <w:rPr>
                <w:rFonts w:ascii="Arial" w:hAnsi="Arial" w:cs="Arial"/>
                <w:i w:val="0"/>
                <w:color w:val="auto"/>
                <w:sz w:val="22"/>
                <w:szCs w:val="22"/>
              </w:rPr>
              <w:t xml:space="preserve">T </w:t>
            </w:r>
            <w:proofErr w:type="spellStart"/>
            <w:r w:rsidRPr="00A14C77">
              <w:rPr>
                <w:rFonts w:ascii="Arial" w:hAnsi="Arial" w:cs="Arial"/>
                <w:i w:val="0"/>
                <w:color w:val="auto"/>
                <w:sz w:val="22"/>
                <w:szCs w:val="22"/>
              </w:rPr>
              <w:t>A’Hearn</w:t>
            </w:r>
            <w:proofErr w:type="spellEnd"/>
            <w:r w:rsidR="00B86334">
              <w:rPr>
                <w:rFonts w:ascii="Arial" w:hAnsi="Arial" w:cs="Arial"/>
                <w:i w:val="0"/>
                <w:color w:val="auto"/>
                <w:sz w:val="22"/>
                <w:szCs w:val="22"/>
              </w:rPr>
              <w:t xml:space="preserve"> (left 09/01/22)</w:t>
            </w:r>
          </w:p>
          <w:p w14:paraId="4897C290" w14:textId="23EC015B" w:rsidR="008F7827" w:rsidRPr="00A14C77" w:rsidRDefault="008F7827" w:rsidP="00070E84">
            <w:pPr>
              <w:spacing w:line="360" w:lineRule="auto"/>
              <w:jc w:val="left"/>
              <w:rPr>
                <w:rFonts w:ascii="Arial" w:hAnsi="Arial" w:cs="Arial"/>
                <w:i w:val="0"/>
                <w:color w:val="auto"/>
                <w:sz w:val="22"/>
                <w:szCs w:val="22"/>
              </w:rPr>
            </w:pPr>
            <w:r w:rsidRPr="00A14C77">
              <w:rPr>
                <w:rFonts w:ascii="Arial" w:hAnsi="Arial" w:cs="Arial"/>
                <w:i w:val="0"/>
                <w:color w:val="auto"/>
                <w:sz w:val="22"/>
                <w:szCs w:val="22"/>
              </w:rPr>
              <w:t>J Green</w:t>
            </w:r>
            <w:r w:rsidR="00895917">
              <w:rPr>
                <w:rFonts w:ascii="Arial" w:hAnsi="Arial" w:cs="Arial"/>
                <w:i w:val="0"/>
                <w:color w:val="auto"/>
                <w:sz w:val="22"/>
                <w:szCs w:val="22"/>
              </w:rPr>
              <w:t xml:space="preserve"> (</w:t>
            </w:r>
            <w:r w:rsidR="00B92C61">
              <w:rPr>
                <w:rFonts w:ascii="Arial" w:hAnsi="Arial" w:cs="Arial"/>
                <w:i w:val="0"/>
                <w:color w:val="auto"/>
                <w:sz w:val="22"/>
                <w:szCs w:val="22"/>
              </w:rPr>
              <w:t>Acting</w:t>
            </w:r>
            <w:r w:rsidR="00895917">
              <w:rPr>
                <w:rFonts w:ascii="Arial" w:hAnsi="Arial" w:cs="Arial"/>
                <w:i w:val="0"/>
                <w:color w:val="auto"/>
                <w:sz w:val="22"/>
                <w:szCs w:val="22"/>
              </w:rPr>
              <w:t xml:space="preserve"> </w:t>
            </w:r>
            <w:r w:rsidR="00E90CEA">
              <w:rPr>
                <w:rFonts w:ascii="Arial" w:hAnsi="Arial" w:cs="Arial"/>
                <w:i w:val="0"/>
                <w:color w:val="auto"/>
                <w:sz w:val="22"/>
                <w:szCs w:val="22"/>
              </w:rPr>
              <w:t xml:space="preserve">CEO </w:t>
            </w:r>
            <w:r w:rsidR="00895917">
              <w:rPr>
                <w:rFonts w:ascii="Arial" w:hAnsi="Arial" w:cs="Arial"/>
                <w:i w:val="0"/>
                <w:color w:val="auto"/>
                <w:sz w:val="22"/>
                <w:szCs w:val="22"/>
              </w:rPr>
              <w:t>appointed 06/01/22)</w:t>
            </w:r>
          </w:p>
        </w:tc>
        <w:tc>
          <w:tcPr>
            <w:cnfStyle w:val="000010000000" w:firstRow="0" w:lastRow="0" w:firstColumn="0" w:lastColumn="0" w:oddVBand="1" w:evenVBand="0" w:oddHBand="0" w:evenHBand="0" w:firstRowFirstColumn="0" w:firstRowLastColumn="0" w:lastRowFirstColumn="0" w:lastRowLastColumn="0"/>
            <w:tcW w:w="1178" w:type="dxa"/>
            <w:tcBorders>
              <w:top w:val="nil"/>
              <w:bottom w:val="single" w:sz="4" w:space="0" w:color="7F7F7F" w:themeColor="text1" w:themeTint="80"/>
            </w:tcBorders>
            <w:shd w:val="clear" w:color="auto" w:fill="EAF1DD" w:themeFill="accent3" w:themeFillTint="33"/>
          </w:tcPr>
          <w:p w14:paraId="71BCBC88" w14:textId="77777777" w:rsidR="009914D9" w:rsidRDefault="009914D9" w:rsidP="005D6C80">
            <w:pPr>
              <w:spacing w:line="360" w:lineRule="auto"/>
              <w:jc w:val="center"/>
              <w:rPr>
                <w:rFonts w:ascii="Arial" w:hAnsi="Arial" w:cs="Arial"/>
                <w:color w:val="000000" w:themeColor="text1"/>
                <w:sz w:val="22"/>
                <w:szCs w:val="22"/>
              </w:rPr>
            </w:pPr>
          </w:p>
          <w:p w14:paraId="010FECF3" w14:textId="3EC39F22" w:rsidR="00503380" w:rsidRPr="00A14C77" w:rsidRDefault="00503380" w:rsidP="005D6C80">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35</w:t>
            </w:r>
            <w:r w:rsidR="00B55DAF">
              <w:rPr>
                <w:rFonts w:ascii="Arial" w:hAnsi="Arial" w:cs="Arial"/>
                <w:color w:val="000000" w:themeColor="text1"/>
                <w:sz w:val="22"/>
                <w:szCs w:val="22"/>
              </w:rPr>
              <w:t>&lt;</w:t>
            </w:r>
            <w:r w:rsidRPr="00A14C77">
              <w:rPr>
                <w:rFonts w:ascii="Arial" w:hAnsi="Arial" w:cs="Arial"/>
                <w:color w:val="000000" w:themeColor="text1"/>
                <w:sz w:val="22"/>
                <w:szCs w:val="22"/>
              </w:rPr>
              <w:t>40</w:t>
            </w:r>
          </w:p>
        </w:tc>
        <w:tc>
          <w:tcPr>
            <w:tcW w:w="1177" w:type="dxa"/>
            <w:tcBorders>
              <w:top w:val="nil"/>
              <w:bottom w:val="single" w:sz="4" w:space="0" w:color="7F7F7F" w:themeColor="text1" w:themeTint="80"/>
            </w:tcBorders>
            <w:shd w:val="clear" w:color="auto" w:fill="EAF1DD" w:themeFill="accent3" w:themeFillTint="33"/>
          </w:tcPr>
          <w:p w14:paraId="77612137" w14:textId="77777777" w:rsidR="00805394" w:rsidRDefault="00805394"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p w14:paraId="5B01E990" w14:textId="27BF77BC" w:rsidR="00070E84" w:rsidRPr="00A14C77" w:rsidRDefault="00533095"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40&lt;45</w:t>
            </w:r>
          </w:p>
        </w:tc>
        <w:tc>
          <w:tcPr>
            <w:cnfStyle w:val="000010000000" w:firstRow="0" w:lastRow="0" w:firstColumn="0" w:lastColumn="0" w:oddVBand="1" w:evenVBand="0" w:oddHBand="0" w:evenHBand="0" w:firstRowFirstColumn="0" w:firstRowLastColumn="0" w:lastRowFirstColumn="0" w:lastRowLastColumn="0"/>
            <w:tcW w:w="1270" w:type="dxa"/>
            <w:tcBorders>
              <w:top w:val="nil"/>
              <w:bottom w:val="single" w:sz="4" w:space="0" w:color="7F7F7F" w:themeColor="text1" w:themeTint="80"/>
            </w:tcBorders>
            <w:shd w:val="clear" w:color="auto" w:fill="EAF1DD" w:themeFill="accent3" w:themeFillTint="33"/>
          </w:tcPr>
          <w:p w14:paraId="253852EF" w14:textId="77777777" w:rsidR="00805394" w:rsidRDefault="00805394" w:rsidP="005D6C80">
            <w:pPr>
              <w:spacing w:line="360" w:lineRule="auto"/>
              <w:jc w:val="center"/>
              <w:rPr>
                <w:rFonts w:ascii="Arial" w:hAnsi="Arial" w:cs="Arial"/>
                <w:color w:val="000000" w:themeColor="text1"/>
                <w:sz w:val="22"/>
                <w:szCs w:val="22"/>
              </w:rPr>
            </w:pPr>
          </w:p>
          <w:p w14:paraId="736A177F" w14:textId="6444247A" w:rsidR="004401E5" w:rsidRPr="00A14C77" w:rsidRDefault="004401E5" w:rsidP="005D6C80">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5</w:t>
            </w:r>
            <w:r w:rsidR="00B55DAF">
              <w:rPr>
                <w:rFonts w:ascii="Arial" w:hAnsi="Arial" w:cs="Arial"/>
                <w:color w:val="000000" w:themeColor="text1"/>
                <w:sz w:val="22"/>
                <w:szCs w:val="22"/>
              </w:rPr>
              <w:t>&lt;</w:t>
            </w:r>
            <w:r w:rsidRPr="00A14C77">
              <w:rPr>
                <w:rFonts w:ascii="Arial" w:hAnsi="Arial" w:cs="Arial"/>
                <w:color w:val="000000" w:themeColor="text1"/>
                <w:sz w:val="22"/>
                <w:szCs w:val="22"/>
              </w:rPr>
              <w:t>10</w:t>
            </w:r>
          </w:p>
        </w:tc>
        <w:tc>
          <w:tcPr>
            <w:tcW w:w="1191" w:type="dxa"/>
            <w:tcBorders>
              <w:top w:val="nil"/>
              <w:bottom w:val="single" w:sz="4" w:space="0" w:color="7F7F7F" w:themeColor="text1" w:themeTint="80"/>
            </w:tcBorders>
            <w:shd w:val="clear" w:color="auto" w:fill="EAF1DD" w:themeFill="accent3" w:themeFillTint="33"/>
          </w:tcPr>
          <w:p w14:paraId="2E292E15" w14:textId="77777777" w:rsidR="00805394" w:rsidRDefault="00805394"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p w14:paraId="481454CE" w14:textId="7CD262E7" w:rsidR="0098622D" w:rsidRPr="00A14C77" w:rsidRDefault="0098622D"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10</w:t>
            </w:r>
            <w:r w:rsidR="00B55DAF">
              <w:rPr>
                <w:rFonts w:ascii="Arial" w:hAnsi="Arial" w:cs="Arial"/>
                <w:color w:val="000000" w:themeColor="text1"/>
                <w:sz w:val="22"/>
                <w:szCs w:val="22"/>
              </w:rPr>
              <w:t>&lt;</w:t>
            </w:r>
            <w:r w:rsidRPr="00A14C77">
              <w:rPr>
                <w:rFonts w:ascii="Arial" w:hAnsi="Arial" w:cs="Arial"/>
                <w:color w:val="000000" w:themeColor="text1"/>
                <w:sz w:val="22"/>
                <w:szCs w:val="22"/>
              </w:rPr>
              <w:t>15</w:t>
            </w:r>
          </w:p>
        </w:tc>
        <w:tc>
          <w:tcPr>
            <w:cnfStyle w:val="000010000000" w:firstRow="0" w:lastRow="0" w:firstColumn="0" w:lastColumn="0" w:oddVBand="1" w:evenVBand="0" w:oddHBand="0" w:evenHBand="0" w:firstRowFirstColumn="0" w:firstRowLastColumn="0" w:lastRowFirstColumn="0" w:lastRowLastColumn="0"/>
            <w:tcW w:w="923" w:type="dxa"/>
            <w:tcBorders>
              <w:top w:val="nil"/>
              <w:bottom w:val="single" w:sz="4" w:space="0" w:color="7F7F7F" w:themeColor="text1" w:themeTint="80"/>
            </w:tcBorders>
            <w:shd w:val="clear" w:color="auto" w:fill="EAF1DD" w:themeFill="accent3" w:themeFillTint="33"/>
          </w:tcPr>
          <w:p w14:paraId="43E8F2BC" w14:textId="77777777" w:rsidR="00805394" w:rsidRDefault="00805394" w:rsidP="005D6C80">
            <w:pPr>
              <w:spacing w:line="360" w:lineRule="auto"/>
              <w:jc w:val="center"/>
              <w:rPr>
                <w:rFonts w:ascii="Arial" w:hAnsi="Arial" w:cs="Arial"/>
                <w:color w:val="000000" w:themeColor="text1"/>
                <w:sz w:val="22"/>
                <w:szCs w:val="22"/>
              </w:rPr>
            </w:pPr>
          </w:p>
          <w:p w14:paraId="4F062B71" w14:textId="7CD9A056" w:rsidR="0098622D" w:rsidRPr="00A14C77" w:rsidRDefault="00F85109" w:rsidP="005D6C80">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685</w:t>
            </w:r>
          </w:p>
        </w:tc>
        <w:tc>
          <w:tcPr>
            <w:tcW w:w="923" w:type="dxa"/>
            <w:tcBorders>
              <w:top w:val="nil"/>
              <w:bottom w:val="single" w:sz="4" w:space="0" w:color="7F7F7F" w:themeColor="text1" w:themeTint="80"/>
            </w:tcBorders>
            <w:shd w:val="clear" w:color="auto" w:fill="EAF1DD" w:themeFill="accent3" w:themeFillTint="33"/>
          </w:tcPr>
          <w:p w14:paraId="6C0B2DC3" w14:textId="7FD6D513" w:rsidR="00805394" w:rsidRDefault="002D6891"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213</w:t>
            </w:r>
          </w:p>
          <w:p w14:paraId="3ABD6844" w14:textId="5AB4FAED" w:rsidR="00070E84" w:rsidRPr="00A14C77" w:rsidRDefault="00F85109" w:rsidP="005D6C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498</w:t>
            </w: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4" w:space="0" w:color="7F7F7F" w:themeColor="text1" w:themeTint="80"/>
              <w:right w:val="single" w:sz="4" w:space="0" w:color="auto"/>
            </w:tcBorders>
            <w:shd w:val="clear" w:color="auto" w:fill="EAF1DD" w:themeFill="accent3" w:themeFillTint="33"/>
          </w:tcPr>
          <w:p w14:paraId="6317618E" w14:textId="77777777" w:rsidR="00805394" w:rsidRDefault="00805394" w:rsidP="005D6C80">
            <w:pPr>
              <w:spacing w:line="360" w:lineRule="auto"/>
              <w:jc w:val="center"/>
              <w:rPr>
                <w:rFonts w:ascii="Arial" w:hAnsi="Arial" w:cs="Arial"/>
                <w:color w:val="000000" w:themeColor="text1"/>
                <w:sz w:val="22"/>
                <w:szCs w:val="22"/>
              </w:rPr>
            </w:pPr>
          </w:p>
          <w:p w14:paraId="0F55C6DB" w14:textId="03E77F9D" w:rsidR="0098622D" w:rsidRPr="00A14C77" w:rsidRDefault="00F85109" w:rsidP="005D6C80">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143</w:t>
            </w:r>
          </w:p>
        </w:tc>
      </w:tr>
      <w:tr w:rsidR="000C75C5" w:rsidRPr="00E26D69" w14:paraId="2B606D62" w14:textId="77777777">
        <w:trPr>
          <w:trHeight w:val="131"/>
        </w:trPr>
        <w:tc>
          <w:tcPr>
            <w:cnfStyle w:val="001000000000" w:firstRow="0" w:lastRow="0" w:firstColumn="1" w:lastColumn="0" w:oddVBand="0" w:evenVBand="0" w:oddHBand="0" w:evenHBand="0" w:firstRowFirstColumn="0" w:firstRowLastColumn="0" w:lastRowFirstColumn="0" w:lastRowLastColumn="0"/>
            <w:tcW w:w="10485" w:type="dxa"/>
            <w:gridSpan w:val="8"/>
            <w:tcBorders>
              <w:left w:val="single" w:sz="4" w:space="0" w:color="auto"/>
              <w:right w:val="single" w:sz="4" w:space="0" w:color="auto"/>
            </w:tcBorders>
            <w:shd w:val="clear" w:color="auto" w:fill="EAF1DD" w:themeFill="accent3" w:themeFillTint="33"/>
            <w:vAlign w:val="center"/>
          </w:tcPr>
          <w:p w14:paraId="62E5F7CD" w14:textId="045F0523" w:rsidR="000C75C5" w:rsidRPr="000C75C5" w:rsidRDefault="000C75C5" w:rsidP="000C75C5">
            <w:pPr>
              <w:spacing w:line="360" w:lineRule="auto"/>
              <w:jc w:val="left"/>
              <w:rPr>
                <w:rFonts w:ascii="Arial" w:hAnsi="Arial" w:cs="Arial"/>
                <w:b/>
                <w:iCs w:val="0"/>
                <w:color w:val="000000" w:themeColor="text1"/>
                <w:sz w:val="22"/>
                <w:szCs w:val="22"/>
              </w:rPr>
            </w:pPr>
            <w:r w:rsidRPr="00A14C77">
              <w:rPr>
                <w:rFonts w:ascii="Arial" w:hAnsi="Arial" w:cs="Arial"/>
                <w:b/>
                <w:i w:val="0"/>
                <w:color w:val="000000" w:themeColor="text1"/>
                <w:sz w:val="22"/>
                <w:szCs w:val="22"/>
              </w:rPr>
              <w:t>Executive Director</w:t>
            </w:r>
            <w:r w:rsidR="00914F89">
              <w:rPr>
                <w:rFonts w:ascii="Arial" w:hAnsi="Arial" w:cs="Arial"/>
                <w:b/>
                <w:color w:val="000000" w:themeColor="text1"/>
                <w:sz w:val="22"/>
                <w:szCs w:val="22"/>
              </w:rPr>
              <w:t xml:space="preserve"> </w:t>
            </w:r>
            <w:r w:rsidRPr="00A14C77">
              <w:rPr>
                <w:rFonts w:ascii="Arial" w:hAnsi="Arial" w:cs="Arial"/>
                <w:b/>
                <w:i w:val="0"/>
                <w:color w:val="000000" w:themeColor="text1"/>
                <w:sz w:val="22"/>
                <w:szCs w:val="22"/>
              </w:rPr>
              <w:t>&amp; Chief Officers’</w:t>
            </w:r>
          </w:p>
        </w:tc>
      </w:tr>
      <w:tr w:rsidR="00A0095D" w:rsidRPr="00E26D69" w14:paraId="23B88F10" w14:textId="77777777" w:rsidTr="00070E84">
        <w:trPr>
          <w:trHeight w:val="1497"/>
        </w:trPr>
        <w:tc>
          <w:tcPr>
            <w:cnfStyle w:val="001000000000" w:firstRow="0" w:lastRow="0" w:firstColumn="1" w:lastColumn="0" w:oddVBand="0" w:evenVBand="0" w:oddHBand="0" w:evenHBand="0" w:firstRowFirstColumn="0" w:firstRowLastColumn="0" w:lastRowFirstColumn="0" w:lastRowLastColumn="0"/>
            <w:tcW w:w="2632" w:type="dxa"/>
            <w:tcBorders>
              <w:left w:val="single" w:sz="4" w:space="0" w:color="auto"/>
              <w:bottom w:val="single" w:sz="4" w:space="0" w:color="auto"/>
            </w:tcBorders>
            <w:shd w:val="clear" w:color="auto" w:fill="EAF1DD" w:themeFill="accent3" w:themeFillTint="33"/>
          </w:tcPr>
          <w:p w14:paraId="67FB54F2" w14:textId="6DBC49FA" w:rsidR="00070E84" w:rsidRPr="00A14C77" w:rsidRDefault="00070E84" w:rsidP="00070E84">
            <w:pPr>
              <w:spacing w:line="360" w:lineRule="auto"/>
              <w:jc w:val="left"/>
              <w:rPr>
                <w:rFonts w:ascii="Arial" w:hAnsi="Arial" w:cs="Arial"/>
                <w:b/>
                <w:i w:val="0"/>
                <w:color w:val="000000" w:themeColor="text1"/>
                <w:sz w:val="22"/>
                <w:szCs w:val="22"/>
              </w:rPr>
            </w:pPr>
            <w:r w:rsidRPr="00A14C77">
              <w:rPr>
                <w:rFonts w:ascii="Arial" w:hAnsi="Arial" w:cs="Arial"/>
                <w:i w:val="0"/>
                <w:color w:val="000000" w:themeColor="text1"/>
                <w:sz w:val="22"/>
                <w:szCs w:val="22"/>
              </w:rPr>
              <w:t>D Pirie</w:t>
            </w:r>
          </w:p>
          <w:p w14:paraId="25A22407" w14:textId="77777777" w:rsidR="00070E84" w:rsidRPr="00A14C77" w:rsidRDefault="00070E84" w:rsidP="00070E84">
            <w:pPr>
              <w:spacing w:line="360" w:lineRule="auto"/>
              <w:jc w:val="left"/>
              <w:rPr>
                <w:rFonts w:ascii="Arial" w:hAnsi="Arial" w:cs="Arial"/>
                <w:b/>
                <w:i w:val="0"/>
                <w:color w:val="000000" w:themeColor="text1"/>
                <w:sz w:val="22"/>
                <w:szCs w:val="22"/>
              </w:rPr>
            </w:pPr>
            <w:r w:rsidRPr="00A14C77">
              <w:rPr>
                <w:rFonts w:ascii="Arial" w:hAnsi="Arial" w:cs="Arial"/>
                <w:i w:val="0"/>
                <w:color w:val="000000" w:themeColor="text1"/>
                <w:sz w:val="22"/>
                <w:szCs w:val="22"/>
              </w:rPr>
              <w:t>S McGregor</w:t>
            </w:r>
            <w:r w:rsidRPr="00A14C77">
              <w:rPr>
                <w:rFonts w:ascii="Arial" w:hAnsi="Arial" w:cs="Arial"/>
                <w:b/>
                <w:i w:val="0"/>
                <w:color w:val="000000" w:themeColor="text1"/>
                <w:sz w:val="22"/>
                <w:szCs w:val="22"/>
              </w:rPr>
              <w:t xml:space="preserve"> </w:t>
            </w:r>
          </w:p>
          <w:p w14:paraId="16E7500F" w14:textId="446FA7FE" w:rsidR="00070E84" w:rsidRPr="00A14C77" w:rsidRDefault="0058702B" w:rsidP="00070E84">
            <w:pPr>
              <w:spacing w:line="360" w:lineRule="auto"/>
              <w:jc w:val="left"/>
              <w:rPr>
                <w:rFonts w:ascii="Arial" w:hAnsi="Arial" w:cs="Arial"/>
                <w:i w:val="0"/>
                <w:color w:val="000000" w:themeColor="text1"/>
                <w:sz w:val="22"/>
                <w:szCs w:val="22"/>
              </w:rPr>
            </w:pPr>
            <w:r w:rsidRPr="00A14C77">
              <w:rPr>
                <w:rFonts w:ascii="Arial" w:hAnsi="Arial" w:cs="Arial"/>
                <w:i w:val="0"/>
                <w:color w:val="000000" w:themeColor="text1"/>
                <w:sz w:val="22"/>
                <w:szCs w:val="22"/>
              </w:rPr>
              <w:t>J</w:t>
            </w:r>
            <w:r w:rsidR="00070E84" w:rsidRPr="00A14C77">
              <w:rPr>
                <w:rFonts w:ascii="Arial" w:hAnsi="Arial" w:cs="Arial"/>
                <w:i w:val="0"/>
                <w:color w:val="000000" w:themeColor="text1"/>
                <w:sz w:val="22"/>
                <w:szCs w:val="22"/>
              </w:rPr>
              <w:t xml:space="preserve"> Kenny </w:t>
            </w:r>
          </w:p>
          <w:p w14:paraId="20108907" w14:textId="77777777" w:rsidR="00070E84" w:rsidRPr="00A14C77" w:rsidRDefault="00070E84" w:rsidP="00070E84">
            <w:pPr>
              <w:spacing w:line="360" w:lineRule="auto"/>
              <w:jc w:val="left"/>
              <w:rPr>
                <w:rFonts w:ascii="Arial" w:hAnsi="Arial" w:cs="Arial"/>
                <w:iCs w:val="0"/>
                <w:color w:val="000000" w:themeColor="text1"/>
                <w:sz w:val="22"/>
                <w:szCs w:val="22"/>
              </w:rPr>
            </w:pPr>
            <w:r w:rsidRPr="00A14C77">
              <w:rPr>
                <w:rFonts w:ascii="Arial" w:hAnsi="Arial" w:cs="Arial"/>
                <w:i w:val="0"/>
                <w:color w:val="000000" w:themeColor="text1"/>
                <w:sz w:val="22"/>
                <w:szCs w:val="22"/>
              </w:rPr>
              <w:t>I Buchanan</w:t>
            </w:r>
          </w:p>
          <w:p w14:paraId="06F4FBDC" w14:textId="37322304" w:rsidR="00A22944" w:rsidRPr="00A14C77" w:rsidRDefault="00A22944" w:rsidP="00070E84">
            <w:pPr>
              <w:spacing w:line="360" w:lineRule="auto"/>
              <w:jc w:val="left"/>
              <w:rPr>
                <w:rFonts w:ascii="Arial" w:hAnsi="Arial" w:cs="Arial"/>
                <w:iCs w:val="0"/>
                <w:color w:val="000000" w:themeColor="text1"/>
                <w:sz w:val="22"/>
                <w:szCs w:val="22"/>
              </w:rPr>
            </w:pPr>
            <w:r w:rsidRPr="00A14C77">
              <w:rPr>
                <w:rFonts w:ascii="Arial" w:hAnsi="Arial" w:cs="Arial"/>
                <w:i w:val="0"/>
                <w:color w:val="000000" w:themeColor="text1"/>
                <w:sz w:val="22"/>
                <w:szCs w:val="22"/>
              </w:rPr>
              <w:t>D Harley</w:t>
            </w:r>
            <w:r w:rsidR="0040585B">
              <w:rPr>
                <w:rFonts w:ascii="Arial" w:hAnsi="Arial" w:cs="Arial"/>
                <w:i w:val="0"/>
                <w:color w:val="000000" w:themeColor="text1"/>
                <w:sz w:val="22"/>
                <w:szCs w:val="22"/>
              </w:rPr>
              <w:t xml:space="preserve"> (appointed 01/02/22)</w:t>
            </w:r>
          </w:p>
          <w:p w14:paraId="42F71535" w14:textId="573076E3" w:rsidR="00A22944" w:rsidRPr="00A14C77" w:rsidRDefault="00A22944" w:rsidP="00070E84">
            <w:pPr>
              <w:spacing w:line="360" w:lineRule="auto"/>
              <w:jc w:val="left"/>
              <w:rPr>
                <w:rFonts w:ascii="Arial" w:hAnsi="Arial" w:cs="Arial"/>
                <w:i w:val="0"/>
                <w:color w:val="000000" w:themeColor="text1"/>
                <w:sz w:val="22"/>
                <w:szCs w:val="22"/>
              </w:rPr>
            </w:pPr>
            <w:r w:rsidRPr="00A14C77">
              <w:rPr>
                <w:rFonts w:ascii="Arial" w:hAnsi="Arial" w:cs="Arial"/>
                <w:i w:val="0"/>
                <w:color w:val="000000" w:themeColor="text1"/>
                <w:sz w:val="22"/>
                <w:szCs w:val="22"/>
              </w:rPr>
              <w:t>B Marshall</w:t>
            </w:r>
            <w:r w:rsidR="0040585B">
              <w:rPr>
                <w:rFonts w:ascii="Arial" w:hAnsi="Arial" w:cs="Arial"/>
                <w:i w:val="0"/>
                <w:color w:val="000000" w:themeColor="text1"/>
                <w:sz w:val="22"/>
                <w:szCs w:val="22"/>
              </w:rPr>
              <w:t xml:space="preserve"> (appointed 20/01/22</w:t>
            </w:r>
            <w:r w:rsidR="007C782A">
              <w:rPr>
                <w:rFonts w:ascii="Arial" w:hAnsi="Arial" w:cs="Arial"/>
                <w:i w:val="0"/>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1178" w:type="dxa"/>
            <w:tcBorders>
              <w:top w:val="nil"/>
              <w:bottom w:val="single" w:sz="4" w:space="0" w:color="auto"/>
            </w:tcBorders>
            <w:shd w:val="clear" w:color="auto" w:fill="EAF1DD" w:themeFill="accent3" w:themeFillTint="33"/>
          </w:tcPr>
          <w:p w14:paraId="6FF56990" w14:textId="3311ED00" w:rsidR="00070E84" w:rsidRPr="00A14C77" w:rsidRDefault="00971184"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50</w:t>
            </w:r>
            <w:r w:rsidR="00B55DAF">
              <w:rPr>
                <w:rFonts w:ascii="Arial" w:hAnsi="Arial" w:cs="Arial"/>
                <w:color w:val="000000" w:themeColor="text1"/>
                <w:sz w:val="22"/>
                <w:szCs w:val="22"/>
              </w:rPr>
              <w:t>&lt;</w:t>
            </w:r>
            <w:r w:rsidRPr="00A14C77">
              <w:rPr>
                <w:rFonts w:ascii="Arial" w:hAnsi="Arial" w:cs="Arial"/>
                <w:color w:val="000000" w:themeColor="text1"/>
                <w:sz w:val="22"/>
                <w:szCs w:val="22"/>
              </w:rPr>
              <w:t>55</w:t>
            </w:r>
          </w:p>
          <w:p w14:paraId="417E143B" w14:textId="3E67E96D" w:rsidR="008F7827" w:rsidRPr="00A14C77" w:rsidRDefault="00FF52F5"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40</w:t>
            </w:r>
            <w:r w:rsidR="00D41D91">
              <w:rPr>
                <w:rFonts w:ascii="Arial" w:hAnsi="Arial" w:cs="Arial"/>
                <w:color w:val="000000" w:themeColor="text1"/>
                <w:sz w:val="22"/>
                <w:szCs w:val="22"/>
              </w:rPr>
              <w:t>&lt;</w:t>
            </w:r>
            <w:r w:rsidRPr="00A14C77">
              <w:rPr>
                <w:rFonts w:ascii="Arial" w:hAnsi="Arial" w:cs="Arial"/>
                <w:color w:val="000000" w:themeColor="text1"/>
                <w:sz w:val="22"/>
                <w:szCs w:val="22"/>
              </w:rPr>
              <w:t>45</w:t>
            </w:r>
          </w:p>
          <w:p w14:paraId="69A032FD" w14:textId="77777777" w:rsidR="008F7827" w:rsidRDefault="0017326A"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40&lt;45</w:t>
            </w:r>
          </w:p>
          <w:p w14:paraId="76DE5CEA" w14:textId="77777777" w:rsidR="00743A0B" w:rsidRDefault="00E76385"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40&lt;45</w:t>
            </w:r>
          </w:p>
          <w:p w14:paraId="46331DD7" w14:textId="5BB0EAE1" w:rsidR="0007763E" w:rsidRDefault="0062296B"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35&lt;40</w:t>
            </w:r>
          </w:p>
          <w:p w14:paraId="52FD4004" w14:textId="77777777" w:rsidR="00640368" w:rsidRDefault="00640368" w:rsidP="00070E84">
            <w:pPr>
              <w:spacing w:line="360" w:lineRule="auto"/>
              <w:jc w:val="center"/>
              <w:rPr>
                <w:rFonts w:ascii="Arial" w:hAnsi="Arial" w:cs="Arial"/>
                <w:color w:val="000000" w:themeColor="text1"/>
                <w:sz w:val="22"/>
                <w:szCs w:val="22"/>
              </w:rPr>
            </w:pPr>
          </w:p>
          <w:p w14:paraId="65CE7A04" w14:textId="107E2926" w:rsidR="00D04ADC" w:rsidRPr="00A14C77" w:rsidRDefault="00D04ADC"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25&lt;30</w:t>
            </w:r>
          </w:p>
        </w:tc>
        <w:tc>
          <w:tcPr>
            <w:tcW w:w="1177" w:type="dxa"/>
            <w:tcBorders>
              <w:top w:val="nil"/>
              <w:bottom w:val="single" w:sz="4" w:space="0" w:color="auto"/>
            </w:tcBorders>
            <w:shd w:val="clear" w:color="auto" w:fill="EAF1DD" w:themeFill="accent3" w:themeFillTint="33"/>
          </w:tcPr>
          <w:p w14:paraId="5426F6DB" w14:textId="5104DB5C" w:rsidR="00070E84" w:rsidRPr="00A14C77" w:rsidRDefault="00D14796"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80</w:t>
            </w:r>
            <w:r w:rsidR="00B55DAF">
              <w:rPr>
                <w:rFonts w:ascii="Arial" w:hAnsi="Arial" w:cs="Arial"/>
                <w:color w:val="000000" w:themeColor="text1"/>
                <w:sz w:val="22"/>
                <w:szCs w:val="22"/>
              </w:rPr>
              <w:t>&lt;85</w:t>
            </w:r>
          </w:p>
          <w:p w14:paraId="7DAE9A10" w14:textId="77777777" w:rsidR="007D27C7" w:rsidRDefault="00D41D91"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65&lt;70</w:t>
            </w:r>
          </w:p>
          <w:p w14:paraId="58848BA4" w14:textId="77777777" w:rsidR="0017326A" w:rsidRDefault="00722CA7"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60&lt;65</w:t>
            </w:r>
          </w:p>
          <w:p w14:paraId="5971041B" w14:textId="277D68B4" w:rsidR="00E76385" w:rsidRDefault="00F704C3"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70</w:t>
            </w:r>
            <w:r w:rsidR="00856A9D">
              <w:rPr>
                <w:rFonts w:ascii="Arial" w:hAnsi="Arial" w:cs="Arial"/>
                <w:color w:val="000000" w:themeColor="text1"/>
                <w:sz w:val="22"/>
                <w:szCs w:val="22"/>
              </w:rPr>
              <w:t>&lt;</w:t>
            </w:r>
            <w:r>
              <w:rPr>
                <w:rFonts w:ascii="Arial" w:hAnsi="Arial" w:cs="Arial"/>
                <w:color w:val="000000" w:themeColor="text1"/>
                <w:sz w:val="22"/>
                <w:szCs w:val="22"/>
              </w:rPr>
              <w:t>75</w:t>
            </w:r>
          </w:p>
          <w:p w14:paraId="12748479" w14:textId="2CA9033B" w:rsidR="0062296B" w:rsidRDefault="00D04ADC"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55&lt;60</w:t>
            </w:r>
          </w:p>
          <w:p w14:paraId="459AAB4B" w14:textId="77777777" w:rsidR="00640368" w:rsidRDefault="00640368"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p w14:paraId="435C867C" w14:textId="5342D2B7" w:rsidR="00270DE7" w:rsidRPr="00A14C77" w:rsidRDefault="00270DE7"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25&lt;30</w:t>
            </w:r>
          </w:p>
        </w:tc>
        <w:tc>
          <w:tcPr>
            <w:cnfStyle w:val="000010000000" w:firstRow="0" w:lastRow="0" w:firstColumn="0" w:lastColumn="0" w:oddVBand="1" w:evenVBand="0" w:oddHBand="0" w:evenHBand="0" w:firstRowFirstColumn="0" w:firstRowLastColumn="0" w:lastRowFirstColumn="0" w:lastRowLastColumn="0"/>
            <w:tcW w:w="1270" w:type="dxa"/>
            <w:tcBorders>
              <w:top w:val="nil"/>
              <w:bottom w:val="single" w:sz="4" w:space="0" w:color="auto"/>
            </w:tcBorders>
            <w:shd w:val="clear" w:color="auto" w:fill="EAF1DD" w:themeFill="accent3" w:themeFillTint="33"/>
          </w:tcPr>
          <w:p w14:paraId="5A22BC95" w14:textId="01567E0B" w:rsidR="00070E84" w:rsidRPr="00A14C77" w:rsidRDefault="00FF52F5"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w:t>
            </w:r>
          </w:p>
          <w:p w14:paraId="5DFDEDA9" w14:textId="18C7D117" w:rsidR="007D27C7" w:rsidRPr="00A14C77" w:rsidRDefault="009C013F"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0</w:t>
            </w:r>
            <w:r w:rsidR="00901337">
              <w:rPr>
                <w:rFonts w:ascii="Arial" w:hAnsi="Arial" w:cs="Arial"/>
                <w:color w:val="000000" w:themeColor="text1"/>
                <w:sz w:val="22"/>
                <w:szCs w:val="22"/>
              </w:rPr>
              <w:t>&lt;2.5</w:t>
            </w:r>
          </w:p>
          <w:p w14:paraId="300F6EF6" w14:textId="77777777" w:rsidR="007D27C7" w:rsidRDefault="000D0553"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0&lt;2.5</w:t>
            </w:r>
          </w:p>
          <w:p w14:paraId="563B17DE" w14:textId="77777777" w:rsidR="00856A9D" w:rsidRDefault="001C7102"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0&lt;2.5</w:t>
            </w:r>
          </w:p>
          <w:p w14:paraId="3B7EC6EF" w14:textId="77777777" w:rsidR="004C42FE"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p w14:paraId="3BE1B949" w14:textId="77777777" w:rsidR="004C42FE" w:rsidRDefault="004C42FE" w:rsidP="00070E84">
            <w:pPr>
              <w:spacing w:line="360" w:lineRule="auto"/>
              <w:jc w:val="center"/>
              <w:rPr>
                <w:rFonts w:ascii="Arial" w:hAnsi="Arial" w:cs="Arial"/>
                <w:color w:val="000000" w:themeColor="text1"/>
                <w:sz w:val="22"/>
                <w:szCs w:val="22"/>
              </w:rPr>
            </w:pPr>
          </w:p>
          <w:p w14:paraId="451B47D6" w14:textId="5D8E04D4" w:rsidR="004C42FE" w:rsidRPr="00A14C77"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tc>
        <w:tc>
          <w:tcPr>
            <w:tcW w:w="1191" w:type="dxa"/>
            <w:tcBorders>
              <w:top w:val="nil"/>
              <w:bottom w:val="single" w:sz="4" w:space="0" w:color="auto"/>
            </w:tcBorders>
            <w:shd w:val="clear" w:color="auto" w:fill="EAF1DD" w:themeFill="accent3" w:themeFillTint="33"/>
          </w:tcPr>
          <w:p w14:paraId="61BF392A" w14:textId="5AAD9B88" w:rsidR="00070E84" w:rsidRPr="00A14C77" w:rsidRDefault="00DA79C2"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6494C20B" w14:textId="0D184D7A" w:rsidR="00337DB7" w:rsidRDefault="009D6CB5"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w:t>
            </w:r>
          </w:p>
          <w:p w14:paraId="57E3C7C8" w14:textId="27082186" w:rsidR="000D0553" w:rsidRDefault="00D20E01"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63912A20" w14:textId="77777777" w:rsidR="001C7102" w:rsidRDefault="00983A1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405D36BF" w14:textId="41E28381" w:rsidR="004C42FE"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29DBD357" w14:textId="71478486" w:rsidR="004C42FE"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p w14:paraId="5FB3F34D" w14:textId="1589BD19" w:rsidR="004C42FE"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7215C725" w14:textId="5309F733" w:rsidR="004C42FE" w:rsidRPr="00A14C77"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923" w:type="dxa"/>
            <w:tcBorders>
              <w:top w:val="nil"/>
              <w:bottom w:val="single" w:sz="4" w:space="0" w:color="auto"/>
            </w:tcBorders>
            <w:shd w:val="clear" w:color="auto" w:fill="EAF1DD" w:themeFill="accent3" w:themeFillTint="33"/>
          </w:tcPr>
          <w:p w14:paraId="239C8412" w14:textId="1FCCF493" w:rsidR="00070E84" w:rsidRPr="00A14C77" w:rsidRDefault="008F7827"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1,</w:t>
            </w:r>
            <w:r w:rsidR="00C21BFF">
              <w:rPr>
                <w:rFonts w:ascii="Arial" w:hAnsi="Arial" w:cs="Arial"/>
                <w:color w:val="000000" w:themeColor="text1"/>
                <w:sz w:val="22"/>
                <w:szCs w:val="22"/>
              </w:rPr>
              <w:t>012</w:t>
            </w:r>
          </w:p>
          <w:p w14:paraId="547C925B" w14:textId="77777777" w:rsidR="00337DB7" w:rsidRDefault="00337DB7"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886</w:t>
            </w:r>
          </w:p>
          <w:p w14:paraId="2A10D76B" w14:textId="77777777" w:rsidR="00D20E01" w:rsidRDefault="00743A0B"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697</w:t>
            </w:r>
          </w:p>
          <w:p w14:paraId="52179CD0" w14:textId="77777777" w:rsidR="00983A1E" w:rsidRDefault="00E72D77"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76</w:t>
            </w:r>
            <w:r w:rsidR="0007763E">
              <w:rPr>
                <w:rFonts w:ascii="Arial" w:hAnsi="Arial" w:cs="Arial"/>
                <w:color w:val="000000" w:themeColor="text1"/>
                <w:sz w:val="22"/>
                <w:szCs w:val="22"/>
              </w:rPr>
              <w:t>2</w:t>
            </w:r>
          </w:p>
          <w:p w14:paraId="6FE6082F" w14:textId="77777777" w:rsidR="004C42FE"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p w14:paraId="0E5B4C73" w14:textId="77777777" w:rsidR="004C42FE" w:rsidRDefault="004C42FE" w:rsidP="00070E84">
            <w:pPr>
              <w:spacing w:line="360" w:lineRule="auto"/>
              <w:jc w:val="center"/>
              <w:rPr>
                <w:rFonts w:ascii="Arial" w:hAnsi="Arial" w:cs="Arial"/>
                <w:color w:val="000000" w:themeColor="text1"/>
                <w:sz w:val="22"/>
                <w:szCs w:val="22"/>
              </w:rPr>
            </w:pPr>
          </w:p>
          <w:p w14:paraId="1824CFA2" w14:textId="5F90852F" w:rsidR="004C42FE" w:rsidRPr="00A14C77"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tc>
        <w:tc>
          <w:tcPr>
            <w:tcW w:w="923" w:type="dxa"/>
            <w:tcBorders>
              <w:top w:val="nil"/>
              <w:bottom w:val="single" w:sz="4" w:space="0" w:color="auto"/>
            </w:tcBorders>
            <w:shd w:val="clear" w:color="auto" w:fill="EAF1DD" w:themeFill="accent3" w:themeFillTint="33"/>
          </w:tcPr>
          <w:p w14:paraId="35E29611" w14:textId="77777777" w:rsidR="00070E84" w:rsidRPr="00A14C77" w:rsidRDefault="00070E84"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947</w:t>
            </w:r>
          </w:p>
          <w:p w14:paraId="398C2958" w14:textId="09F58235" w:rsidR="00070E84" w:rsidRPr="00A14C77" w:rsidRDefault="008E2DB3"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83</w:t>
            </w:r>
            <w:r w:rsidR="007C51EE">
              <w:rPr>
                <w:rFonts w:ascii="Arial" w:hAnsi="Arial" w:cs="Arial"/>
                <w:color w:val="000000" w:themeColor="text1"/>
                <w:sz w:val="22"/>
                <w:szCs w:val="22"/>
              </w:rPr>
              <w:t>4</w:t>
            </w:r>
          </w:p>
          <w:p w14:paraId="0E430FAA" w14:textId="77777777" w:rsidR="00070E84" w:rsidRPr="00A14C77" w:rsidRDefault="00070E84"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639</w:t>
            </w:r>
          </w:p>
          <w:p w14:paraId="5B585EC4" w14:textId="77777777" w:rsidR="00070E84" w:rsidRDefault="00070E84"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A14C77">
              <w:rPr>
                <w:rFonts w:ascii="Arial" w:hAnsi="Arial" w:cs="Arial"/>
                <w:color w:val="000000" w:themeColor="text1"/>
                <w:sz w:val="22"/>
                <w:szCs w:val="22"/>
              </w:rPr>
              <w:t>701</w:t>
            </w:r>
          </w:p>
          <w:p w14:paraId="3B4370C2" w14:textId="77777777" w:rsidR="004C42FE"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p w14:paraId="154EF1F8" w14:textId="77777777" w:rsidR="004C42FE"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p w14:paraId="14BB8305" w14:textId="10A57AAF" w:rsidR="004C42FE" w:rsidRPr="00A14C77" w:rsidRDefault="004C42FE" w:rsidP="00070E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4" w:space="0" w:color="auto"/>
              <w:right w:val="single" w:sz="4" w:space="0" w:color="auto"/>
            </w:tcBorders>
            <w:shd w:val="clear" w:color="auto" w:fill="EAF1DD" w:themeFill="accent3" w:themeFillTint="33"/>
          </w:tcPr>
          <w:p w14:paraId="22D25263" w14:textId="631751F5" w:rsidR="00070E84" w:rsidRPr="00A14C77" w:rsidRDefault="00DA79C2"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p w14:paraId="45D1E253" w14:textId="60281FAD" w:rsidR="0058702B" w:rsidRDefault="0058702B" w:rsidP="00070E84">
            <w:pPr>
              <w:spacing w:line="360" w:lineRule="auto"/>
              <w:jc w:val="center"/>
              <w:rPr>
                <w:rFonts w:ascii="Arial" w:hAnsi="Arial" w:cs="Arial"/>
                <w:color w:val="000000" w:themeColor="text1"/>
                <w:sz w:val="22"/>
                <w:szCs w:val="22"/>
              </w:rPr>
            </w:pPr>
            <w:r w:rsidRPr="00A14C77">
              <w:rPr>
                <w:rFonts w:ascii="Arial" w:hAnsi="Arial" w:cs="Arial"/>
                <w:color w:val="000000" w:themeColor="text1"/>
                <w:sz w:val="22"/>
                <w:szCs w:val="22"/>
              </w:rPr>
              <w:t>-</w:t>
            </w:r>
          </w:p>
          <w:p w14:paraId="57B13005" w14:textId="77777777" w:rsidR="00743A0B" w:rsidRDefault="00743A0B"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10</w:t>
            </w:r>
          </w:p>
          <w:p w14:paraId="0173F201" w14:textId="77777777" w:rsidR="0007763E" w:rsidRDefault="0007763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9</w:t>
            </w:r>
          </w:p>
          <w:p w14:paraId="0FE11285" w14:textId="77777777" w:rsidR="004C42FE"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p w14:paraId="60A47D1F" w14:textId="77777777" w:rsidR="004C42FE" w:rsidRDefault="004C42FE" w:rsidP="00070E84">
            <w:pPr>
              <w:spacing w:line="360" w:lineRule="auto"/>
              <w:jc w:val="center"/>
              <w:rPr>
                <w:rFonts w:ascii="Arial" w:hAnsi="Arial" w:cs="Arial"/>
                <w:color w:val="000000" w:themeColor="text1"/>
                <w:sz w:val="22"/>
                <w:szCs w:val="22"/>
              </w:rPr>
            </w:pPr>
          </w:p>
          <w:p w14:paraId="476FB67C" w14:textId="2160E7CE" w:rsidR="004C42FE" w:rsidRPr="00A14C77" w:rsidRDefault="004C42FE" w:rsidP="00070E84">
            <w:pPr>
              <w:spacing w:line="360" w:lineRule="auto"/>
              <w:jc w:val="center"/>
              <w:rPr>
                <w:rFonts w:ascii="Arial" w:hAnsi="Arial" w:cs="Arial"/>
                <w:color w:val="000000" w:themeColor="text1"/>
                <w:sz w:val="22"/>
                <w:szCs w:val="22"/>
              </w:rPr>
            </w:pPr>
            <w:r>
              <w:rPr>
                <w:rFonts w:ascii="Arial" w:hAnsi="Arial" w:cs="Arial"/>
                <w:color w:val="000000" w:themeColor="text1"/>
                <w:sz w:val="22"/>
                <w:szCs w:val="22"/>
              </w:rPr>
              <w:t>-</w:t>
            </w:r>
          </w:p>
        </w:tc>
      </w:tr>
    </w:tbl>
    <w:p w14:paraId="24D5E40D" w14:textId="69254708" w:rsidR="00B42438" w:rsidRDefault="00B42438" w:rsidP="00E26D69">
      <w:pPr>
        <w:spacing w:line="360" w:lineRule="auto"/>
        <w:rPr>
          <w:rFonts w:ascii="Arial" w:hAnsi="Arial" w:cs="Arial"/>
          <w:b/>
        </w:rPr>
      </w:pPr>
    </w:p>
    <w:p w14:paraId="5622DAAB" w14:textId="122BBE05" w:rsidR="00087BD9" w:rsidRDefault="00087BD9" w:rsidP="00E26D69">
      <w:pPr>
        <w:spacing w:line="360" w:lineRule="auto"/>
        <w:rPr>
          <w:rFonts w:ascii="Arial" w:hAnsi="Arial" w:cs="Arial"/>
          <w:b/>
        </w:rPr>
      </w:pPr>
    </w:p>
    <w:p w14:paraId="30F6EAB8" w14:textId="49B03B0B" w:rsidR="00546E82" w:rsidRPr="00E26D69" w:rsidRDefault="00066116" w:rsidP="00E26D69">
      <w:pPr>
        <w:spacing w:line="360" w:lineRule="auto"/>
        <w:rPr>
          <w:rFonts w:ascii="Arial" w:hAnsi="Arial" w:cs="Arial"/>
          <w:b/>
        </w:rPr>
      </w:pPr>
      <w:r>
        <w:rPr>
          <w:rFonts w:ascii="Arial" w:hAnsi="Arial" w:cs="Arial"/>
          <w:b/>
        </w:rPr>
        <w:br w:type="page"/>
      </w:r>
    </w:p>
    <w:p w14:paraId="742B916D" w14:textId="75A236F1" w:rsidR="00932357" w:rsidRPr="00E26D69" w:rsidRDefault="00932357" w:rsidP="00932357">
      <w:pPr>
        <w:spacing w:line="360" w:lineRule="auto"/>
        <w:ind w:left="-284"/>
        <w:rPr>
          <w:rFonts w:ascii="Arial" w:hAnsi="Arial" w:cs="Arial"/>
          <w:b/>
        </w:rPr>
      </w:pPr>
      <w:r w:rsidRPr="00E26D69">
        <w:rPr>
          <w:rFonts w:ascii="Arial" w:hAnsi="Arial" w:cs="Arial"/>
          <w:b/>
        </w:rPr>
        <w:lastRenderedPageBreak/>
        <w:t>Pension entitlements of Chief Executive, Executive Director, and Chief Officers</w:t>
      </w:r>
      <w:r>
        <w:rPr>
          <w:rFonts w:ascii="Arial" w:hAnsi="Arial" w:cs="Arial"/>
          <w:b/>
        </w:rPr>
        <w:t xml:space="preserve">’ </w:t>
      </w:r>
      <w:r w:rsidR="000845C9">
        <w:rPr>
          <w:rFonts w:ascii="Arial" w:hAnsi="Arial" w:cs="Arial"/>
          <w:b/>
        </w:rPr>
        <w:t>2020/21</w:t>
      </w:r>
      <w:r w:rsidR="00104DDD">
        <w:rPr>
          <w:rFonts w:ascii="Arial" w:hAnsi="Arial" w:cs="Arial"/>
          <w:b/>
        </w:rPr>
        <w:t xml:space="preserve"> (subject to audit) </w:t>
      </w:r>
      <w:r>
        <w:rPr>
          <w:rStyle w:val="FootnoteReference"/>
          <w:rFonts w:ascii="Arial" w:hAnsi="Arial" w:cs="Arial"/>
          <w:b/>
        </w:rPr>
        <w:footnoteReference w:id="13"/>
      </w:r>
    </w:p>
    <w:tbl>
      <w:tblPr>
        <w:tblStyle w:val="GridTable7Colorful-Accent4"/>
        <w:tblW w:w="10485" w:type="dxa"/>
        <w:tblInd w:w="-28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FFFFF" w:themeFill="background1"/>
        <w:tblLook w:val="0280" w:firstRow="0" w:lastRow="0" w:firstColumn="1" w:lastColumn="0" w:noHBand="1" w:noVBand="0"/>
      </w:tblPr>
      <w:tblGrid>
        <w:gridCol w:w="2628"/>
        <w:gridCol w:w="1177"/>
        <w:gridCol w:w="1177"/>
        <w:gridCol w:w="1270"/>
        <w:gridCol w:w="1191"/>
        <w:gridCol w:w="928"/>
        <w:gridCol w:w="923"/>
        <w:gridCol w:w="1191"/>
      </w:tblGrid>
      <w:tr w:rsidR="00722032" w:rsidRPr="00E26D69" w14:paraId="7E96C07E" w14:textId="77777777" w:rsidTr="00E85992">
        <w:trPr>
          <w:trHeight w:val="1042"/>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7F7F7F" w:themeColor="text1" w:themeTint="80"/>
            </w:tcBorders>
            <w:shd w:val="clear" w:color="auto" w:fill="auto"/>
            <w:vAlign w:val="center"/>
          </w:tcPr>
          <w:p w14:paraId="4676F949" w14:textId="77777777" w:rsidR="00932357" w:rsidRPr="00E26D69" w:rsidRDefault="00932357" w:rsidP="00CF1904">
            <w:pPr>
              <w:spacing w:line="360" w:lineRule="auto"/>
              <w:ind w:left="-687"/>
              <w:jc w:val="left"/>
              <w:rPr>
                <w:rFonts w:ascii="Arial" w:hAnsi="Arial" w:cs="Arial"/>
                <w:i w:val="0"/>
                <w:iCs w:val="0"/>
                <w:color w:val="000000" w:themeColor="text1"/>
              </w:rPr>
            </w:pPr>
          </w:p>
          <w:p w14:paraId="5D463491" w14:textId="77777777" w:rsidR="00932357" w:rsidRPr="00E26D69" w:rsidRDefault="00932357" w:rsidP="00CF1904">
            <w:pPr>
              <w:spacing w:line="360" w:lineRule="auto"/>
              <w:rPr>
                <w:rFonts w:ascii="Arial" w:hAnsi="Arial" w:cs="Arial"/>
                <w:i w:val="0"/>
                <w:iCs w:val="0"/>
              </w:rPr>
            </w:pPr>
          </w:p>
          <w:p w14:paraId="695B90B7" w14:textId="77777777" w:rsidR="00932357" w:rsidRPr="00E26D69" w:rsidRDefault="00932357" w:rsidP="00CF1904">
            <w:pPr>
              <w:spacing w:line="360" w:lineRule="auto"/>
              <w:rPr>
                <w:rFonts w:ascii="Arial" w:hAnsi="Arial" w:cs="Arial"/>
                <w:i w:val="0"/>
                <w:iCs w:val="0"/>
              </w:rPr>
            </w:pPr>
          </w:p>
          <w:p w14:paraId="78CBA7D9" w14:textId="77777777" w:rsidR="00932357" w:rsidRPr="00E26D69" w:rsidRDefault="00932357" w:rsidP="00CF1904">
            <w:pPr>
              <w:spacing w:line="360" w:lineRule="auto"/>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77" w:type="dxa"/>
            <w:tcBorders>
              <w:top w:val="single" w:sz="4" w:space="0" w:color="auto"/>
              <w:bottom w:val="single" w:sz="4" w:space="0" w:color="7F7F7F" w:themeColor="text1" w:themeTint="80"/>
            </w:tcBorders>
            <w:shd w:val="clear" w:color="auto" w:fill="auto"/>
          </w:tcPr>
          <w:p w14:paraId="37F33B33"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Accrued pension at 31 March 202</w:t>
            </w:r>
            <w:r>
              <w:rPr>
                <w:rFonts w:ascii="Arial" w:hAnsi="Arial" w:cs="Arial"/>
                <w:b/>
                <w:color w:val="000000" w:themeColor="text1"/>
              </w:rPr>
              <w:t>1</w:t>
            </w:r>
          </w:p>
          <w:p w14:paraId="0932E7AD" w14:textId="77777777" w:rsidR="00932357" w:rsidRPr="00E26D69" w:rsidRDefault="00932357" w:rsidP="00CF1904">
            <w:pPr>
              <w:spacing w:line="360" w:lineRule="auto"/>
              <w:rPr>
                <w:rFonts w:ascii="Arial" w:hAnsi="Arial" w:cs="Arial"/>
                <w:b/>
                <w:color w:val="000000" w:themeColor="text1"/>
              </w:rPr>
            </w:pPr>
          </w:p>
          <w:p w14:paraId="00EE8AA7" w14:textId="77777777" w:rsidR="00932357" w:rsidRDefault="00932357" w:rsidP="00CF1904">
            <w:pPr>
              <w:spacing w:line="360" w:lineRule="auto"/>
              <w:jc w:val="center"/>
              <w:rPr>
                <w:rFonts w:ascii="Arial" w:hAnsi="Arial" w:cs="Arial"/>
                <w:b/>
                <w:color w:val="000000" w:themeColor="text1"/>
              </w:rPr>
            </w:pPr>
          </w:p>
          <w:p w14:paraId="5A49E1FD" w14:textId="77777777" w:rsidR="00932357" w:rsidRDefault="00932357" w:rsidP="00CF1904">
            <w:pPr>
              <w:spacing w:line="360" w:lineRule="auto"/>
              <w:jc w:val="center"/>
              <w:rPr>
                <w:rFonts w:ascii="Arial" w:hAnsi="Arial" w:cs="Arial"/>
                <w:b/>
                <w:color w:val="000000" w:themeColor="text1"/>
              </w:rPr>
            </w:pPr>
          </w:p>
          <w:p w14:paraId="5F6F7F07"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£’000</w:t>
            </w:r>
          </w:p>
        </w:tc>
        <w:tc>
          <w:tcPr>
            <w:tcW w:w="1177" w:type="dxa"/>
            <w:tcBorders>
              <w:top w:val="single" w:sz="4" w:space="0" w:color="auto"/>
              <w:bottom w:val="single" w:sz="4" w:space="0" w:color="7F7F7F" w:themeColor="text1" w:themeTint="80"/>
            </w:tcBorders>
          </w:tcPr>
          <w:p w14:paraId="536905DC"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Accrued lump sum at 31 March 202</w:t>
            </w:r>
            <w:r>
              <w:rPr>
                <w:rFonts w:ascii="Arial" w:hAnsi="Arial" w:cs="Arial"/>
                <w:b/>
                <w:color w:val="000000" w:themeColor="text1"/>
              </w:rPr>
              <w:t>1</w:t>
            </w:r>
          </w:p>
          <w:p w14:paraId="7F12AC59"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0A6AD3F6"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3F524122"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£’000</w:t>
            </w:r>
          </w:p>
        </w:tc>
        <w:tc>
          <w:tcPr>
            <w:cnfStyle w:val="000010000000" w:firstRow="0" w:lastRow="0" w:firstColumn="0" w:lastColumn="0" w:oddVBand="1" w:evenVBand="0" w:oddHBand="0" w:evenHBand="0" w:firstRowFirstColumn="0" w:firstRowLastColumn="0" w:lastRowFirstColumn="0" w:lastRowLastColumn="0"/>
            <w:tcW w:w="1270" w:type="dxa"/>
            <w:tcBorders>
              <w:top w:val="single" w:sz="4" w:space="0" w:color="auto"/>
              <w:bottom w:val="single" w:sz="4" w:space="0" w:color="7F7F7F" w:themeColor="text1" w:themeTint="80"/>
            </w:tcBorders>
            <w:shd w:val="clear" w:color="auto" w:fill="auto"/>
          </w:tcPr>
          <w:p w14:paraId="51999B1A"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Real increase in annual pensions</w:t>
            </w:r>
          </w:p>
          <w:p w14:paraId="0CE027EA"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20</w:t>
            </w:r>
            <w:r>
              <w:rPr>
                <w:rFonts w:ascii="Arial" w:hAnsi="Arial" w:cs="Arial"/>
                <w:b/>
                <w:color w:val="000000" w:themeColor="text1"/>
              </w:rPr>
              <w:t>20</w:t>
            </w:r>
            <w:r w:rsidRPr="00E26D69">
              <w:rPr>
                <w:rFonts w:ascii="Arial" w:hAnsi="Arial" w:cs="Arial"/>
                <w:b/>
                <w:color w:val="000000" w:themeColor="text1"/>
              </w:rPr>
              <w:t>/</w:t>
            </w:r>
            <w:r>
              <w:rPr>
                <w:rFonts w:ascii="Arial" w:hAnsi="Arial" w:cs="Arial"/>
                <w:b/>
                <w:color w:val="000000" w:themeColor="text1"/>
              </w:rPr>
              <w:t>21</w:t>
            </w:r>
          </w:p>
          <w:p w14:paraId="0E67EBF7" w14:textId="77777777" w:rsidR="00932357" w:rsidRPr="00E26D69" w:rsidRDefault="00932357" w:rsidP="00CF1904">
            <w:pPr>
              <w:spacing w:line="360" w:lineRule="auto"/>
              <w:jc w:val="center"/>
              <w:rPr>
                <w:rFonts w:ascii="Arial" w:hAnsi="Arial" w:cs="Arial"/>
                <w:b/>
                <w:color w:val="000000" w:themeColor="text1"/>
              </w:rPr>
            </w:pPr>
          </w:p>
          <w:p w14:paraId="43D41FCC" w14:textId="77777777" w:rsidR="00932357" w:rsidRDefault="00932357" w:rsidP="00CF1904">
            <w:pPr>
              <w:spacing w:line="360" w:lineRule="auto"/>
              <w:jc w:val="center"/>
              <w:rPr>
                <w:rFonts w:ascii="Arial" w:hAnsi="Arial" w:cs="Arial"/>
                <w:b/>
                <w:color w:val="000000" w:themeColor="text1"/>
              </w:rPr>
            </w:pPr>
          </w:p>
          <w:p w14:paraId="3BD4B05F" w14:textId="77777777" w:rsidR="00932357" w:rsidRDefault="00932357" w:rsidP="00CF1904">
            <w:pPr>
              <w:spacing w:line="360" w:lineRule="auto"/>
              <w:jc w:val="center"/>
              <w:rPr>
                <w:rFonts w:ascii="Arial" w:hAnsi="Arial" w:cs="Arial"/>
                <w:b/>
                <w:color w:val="000000" w:themeColor="text1"/>
              </w:rPr>
            </w:pPr>
          </w:p>
          <w:p w14:paraId="697F0F7D"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£’000</w:t>
            </w:r>
          </w:p>
        </w:tc>
        <w:tc>
          <w:tcPr>
            <w:tcW w:w="1191" w:type="dxa"/>
            <w:tcBorders>
              <w:top w:val="single" w:sz="4" w:space="0" w:color="auto"/>
              <w:bottom w:val="single" w:sz="4" w:space="0" w:color="7F7F7F" w:themeColor="text1" w:themeTint="80"/>
            </w:tcBorders>
          </w:tcPr>
          <w:p w14:paraId="4A822C97"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Real increase in annual lump sum 20</w:t>
            </w:r>
            <w:r>
              <w:rPr>
                <w:rFonts w:ascii="Arial" w:hAnsi="Arial" w:cs="Arial"/>
                <w:b/>
                <w:color w:val="000000" w:themeColor="text1"/>
              </w:rPr>
              <w:t>20</w:t>
            </w:r>
            <w:r w:rsidRPr="00E26D69">
              <w:rPr>
                <w:rFonts w:ascii="Arial" w:hAnsi="Arial" w:cs="Arial"/>
                <w:b/>
                <w:color w:val="000000" w:themeColor="text1"/>
              </w:rPr>
              <w:t>/2</w:t>
            </w:r>
            <w:r>
              <w:rPr>
                <w:rFonts w:ascii="Arial" w:hAnsi="Arial" w:cs="Arial"/>
                <w:b/>
                <w:color w:val="000000" w:themeColor="text1"/>
              </w:rPr>
              <w:t>1</w:t>
            </w:r>
          </w:p>
          <w:p w14:paraId="7EF57232"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292AE419"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£’000</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auto"/>
              <w:bottom w:val="single" w:sz="4" w:space="0" w:color="7F7F7F" w:themeColor="text1" w:themeTint="80"/>
            </w:tcBorders>
            <w:shd w:val="clear" w:color="auto" w:fill="auto"/>
          </w:tcPr>
          <w:p w14:paraId="37962DCF" w14:textId="32F3ED65" w:rsidR="00932357" w:rsidRDefault="00D77AC5" w:rsidP="00CF1904">
            <w:pPr>
              <w:spacing w:line="360" w:lineRule="auto"/>
              <w:jc w:val="center"/>
              <w:rPr>
                <w:rFonts w:ascii="Arial" w:hAnsi="Arial" w:cs="Arial"/>
                <w:b/>
                <w:color w:val="000000" w:themeColor="text1"/>
              </w:rPr>
            </w:pPr>
            <w:r>
              <w:rPr>
                <w:rFonts w:ascii="Arial" w:hAnsi="Arial" w:cs="Arial"/>
                <w:b/>
                <w:color w:val="000000" w:themeColor="text1"/>
              </w:rPr>
              <w:t>CETV at 31 March 2021</w:t>
            </w:r>
            <w:r w:rsidR="00FC30C5">
              <w:rPr>
                <w:rStyle w:val="FootnoteReference"/>
                <w:rFonts w:ascii="Arial" w:hAnsi="Arial" w:cs="Arial"/>
                <w:b/>
                <w:color w:val="000000" w:themeColor="text1"/>
              </w:rPr>
              <w:footnoteReference w:id="14"/>
            </w:r>
          </w:p>
          <w:p w14:paraId="176841A2" w14:textId="7F6EE1D3" w:rsidR="00932357" w:rsidRDefault="00932357" w:rsidP="00CF1904">
            <w:pPr>
              <w:spacing w:line="360" w:lineRule="auto"/>
              <w:rPr>
                <w:rFonts w:ascii="Arial" w:hAnsi="Arial" w:cs="Arial"/>
                <w:b/>
                <w:color w:val="000000" w:themeColor="text1"/>
              </w:rPr>
            </w:pPr>
          </w:p>
          <w:p w14:paraId="5BDA4A52" w14:textId="60621091" w:rsidR="00D77AC5" w:rsidRDefault="00D77AC5" w:rsidP="00CF1904">
            <w:pPr>
              <w:spacing w:line="360" w:lineRule="auto"/>
              <w:rPr>
                <w:rFonts w:ascii="Arial" w:hAnsi="Arial" w:cs="Arial"/>
                <w:b/>
                <w:color w:val="000000" w:themeColor="text1"/>
              </w:rPr>
            </w:pPr>
          </w:p>
          <w:p w14:paraId="2D227048" w14:textId="1D3A3953" w:rsidR="00D77AC5" w:rsidRDefault="00D77AC5" w:rsidP="00CF1904">
            <w:pPr>
              <w:spacing w:line="360" w:lineRule="auto"/>
              <w:rPr>
                <w:rFonts w:ascii="Arial" w:hAnsi="Arial" w:cs="Arial"/>
                <w:b/>
                <w:color w:val="000000" w:themeColor="text1"/>
              </w:rPr>
            </w:pPr>
          </w:p>
          <w:p w14:paraId="5DB5DD59" w14:textId="77777777" w:rsidR="00D77AC5" w:rsidRPr="00E26D69" w:rsidRDefault="00D77AC5" w:rsidP="00CF1904">
            <w:pPr>
              <w:spacing w:line="360" w:lineRule="auto"/>
              <w:rPr>
                <w:rFonts w:ascii="Arial" w:hAnsi="Arial" w:cs="Arial"/>
                <w:b/>
                <w:color w:val="000000" w:themeColor="text1"/>
              </w:rPr>
            </w:pPr>
          </w:p>
          <w:p w14:paraId="15AA98C1"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£’000</w:t>
            </w:r>
          </w:p>
        </w:tc>
        <w:tc>
          <w:tcPr>
            <w:tcW w:w="923" w:type="dxa"/>
            <w:tcBorders>
              <w:top w:val="single" w:sz="4" w:space="0" w:color="auto"/>
              <w:bottom w:val="single" w:sz="4" w:space="0" w:color="7F7F7F" w:themeColor="text1" w:themeTint="80"/>
            </w:tcBorders>
          </w:tcPr>
          <w:p w14:paraId="4CB2E0BB"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CETV at 31 March 20</w:t>
            </w:r>
            <w:r>
              <w:rPr>
                <w:rFonts w:ascii="Arial" w:hAnsi="Arial" w:cs="Arial"/>
                <w:b/>
                <w:color w:val="000000" w:themeColor="text1"/>
              </w:rPr>
              <w:t>20</w:t>
            </w:r>
            <w:r w:rsidRPr="00E26D69">
              <w:rPr>
                <w:rFonts w:ascii="Arial" w:hAnsi="Arial" w:cs="Arial"/>
                <w:b/>
                <w:color w:val="000000" w:themeColor="text1"/>
              </w:rPr>
              <w:t xml:space="preserve"> </w:t>
            </w:r>
          </w:p>
          <w:p w14:paraId="05643DC1"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71A1C417"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65ECA249"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421AB525"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p w14:paraId="15A41221"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E26D69">
              <w:rPr>
                <w:rFonts w:ascii="Arial" w:hAnsi="Arial" w:cs="Arial"/>
                <w:b/>
                <w:color w:val="000000" w:themeColor="text1"/>
              </w:rPr>
              <w:t>£’000</w:t>
            </w:r>
          </w:p>
        </w:tc>
        <w:tc>
          <w:tcPr>
            <w:cnfStyle w:val="000010000000" w:firstRow="0" w:lastRow="0" w:firstColumn="0" w:lastColumn="0" w:oddVBand="1" w:evenVBand="0" w:oddHBand="0" w:evenHBand="0" w:firstRowFirstColumn="0" w:firstRowLastColumn="0" w:lastRowFirstColumn="0" w:lastRowLastColumn="0"/>
            <w:tcW w:w="1191" w:type="dxa"/>
            <w:tcBorders>
              <w:top w:val="single" w:sz="4" w:space="0" w:color="auto"/>
              <w:bottom w:val="single" w:sz="4" w:space="0" w:color="7F7F7F" w:themeColor="text1" w:themeTint="80"/>
              <w:right w:val="single" w:sz="4" w:space="0" w:color="auto"/>
            </w:tcBorders>
            <w:shd w:val="clear" w:color="auto" w:fill="auto"/>
          </w:tcPr>
          <w:p w14:paraId="52582C9E"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 xml:space="preserve">Real increase in CETV </w:t>
            </w:r>
          </w:p>
          <w:p w14:paraId="1BB47ED2"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20</w:t>
            </w:r>
            <w:r>
              <w:rPr>
                <w:rFonts w:ascii="Arial" w:hAnsi="Arial" w:cs="Arial"/>
                <w:b/>
                <w:color w:val="000000" w:themeColor="text1"/>
              </w:rPr>
              <w:t>20</w:t>
            </w:r>
            <w:r w:rsidRPr="00E26D69">
              <w:rPr>
                <w:rFonts w:ascii="Arial" w:hAnsi="Arial" w:cs="Arial"/>
                <w:b/>
                <w:color w:val="000000" w:themeColor="text1"/>
              </w:rPr>
              <w:t>/2</w:t>
            </w:r>
            <w:r>
              <w:rPr>
                <w:rFonts w:ascii="Arial" w:hAnsi="Arial" w:cs="Arial"/>
                <w:b/>
                <w:color w:val="000000" w:themeColor="text1"/>
              </w:rPr>
              <w:t>1</w:t>
            </w:r>
          </w:p>
          <w:p w14:paraId="7671F476" w14:textId="77777777" w:rsidR="00932357" w:rsidRPr="00E26D69" w:rsidRDefault="00932357" w:rsidP="00CF1904">
            <w:pPr>
              <w:spacing w:line="360" w:lineRule="auto"/>
              <w:jc w:val="center"/>
              <w:rPr>
                <w:rFonts w:ascii="Arial" w:hAnsi="Arial" w:cs="Arial"/>
                <w:b/>
                <w:color w:val="000000" w:themeColor="text1"/>
              </w:rPr>
            </w:pPr>
          </w:p>
          <w:p w14:paraId="0CBC3939" w14:textId="77777777" w:rsidR="00932357" w:rsidRDefault="00932357" w:rsidP="00CF1904">
            <w:pPr>
              <w:spacing w:line="360" w:lineRule="auto"/>
              <w:jc w:val="center"/>
              <w:rPr>
                <w:rFonts w:ascii="Arial" w:hAnsi="Arial" w:cs="Arial"/>
                <w:b/>
                <w:color w:val="000000" w:themeColor="text1"/>
              </w:rPr>
            </w:pPr>
          </w:p>
          <w:p w14:paraId="2BEBF7FB" w14:textId="77777777" w:rsidR="00932357" w:rsidRDefault="00932357" w:rsidP="00CF1904">
            <w:pPr>
              <w:spacing w:line="360" w:lineRule="auto"/>
              <w:jc w:val="center"/>
              <w:rPr>
                <w:rFonts w:ascii="Arial" w:hAnsi="Arial" w:cs="Arial"/>
                <w:b/>
                <w:color w:val="000000" w:themeColor="text1"/>
              </w:rPr>
            </w:pPr>
          </w:p>
          <w:p w14:paraId="16951B79" w14:textId="77777777" w:rsidR="00932357" w:rsidRPr="00E26D69" w:rsidRDefault="00932357" w:rsidP="00CF1904">
            <w:pPr>
              <w:spacing w:line="360" w:lineRule="auto"/>
              <w:jc w:val="center"/>
              <w:rPr>
                <w:rFonts w:ascii="Arial" w:hAnsi="Arial" w:cs="Arial"/>
                <w:b/>
                <w:color w:val="000000" w:themeColor="text1"/>
              </w:rPr>
            </w:pPr>
          </w:p>
          <w:p w14:paraId="714BA8C7" w14:textId="77777777" w:rsidR="00932357" w:rsidRPr="00E26D69" w:rsidRDefault="00932357" w:rsidP="00CF1904">
            <w:pPr>
              <w:spacing w:line="360" w:lineRule="auto"/>
              <w:jc w:val="center"/>
              <w:rPr>
                <w:rFonts w:ascii="Arial" w:hAnsi="Arial" w:cs="Arial"/>
                <w:b/>
                <w:color w:val="000000" w:themeColor="text1"/>
              </w:rPr>
            </w:pPr>
            <w:r w:rsidRPr="00E26D69">
              <w:rPr>
                <w:rFonts w:ascii="Arial" w:hAnsi="Arial" w:cs="Arial"/>
                <w:b/>
                <w:color w:val="000000" w:themeColor="text1"/>
              </w:rPr>
              <w:t>£’000</w:t>
            </w:r>
          </w:p>
        </w:tc>
      </w:tr>
      <w:tr w:rsidR="001240C6" w:rsidRPr="00E26D69" w14:paraId="446DB0F3" w14:textId="77777777" w:rsidTr="00E85992">
        <w:trPr>
          <w:trHeight w:val="241"/>
        </w:trPr>
        <w:tc>
          <w:tcPr>
            <w:cnfStyle w:val="001000000000" w:firstRow="0" w:lastRow="0" w:firstColumn="1" w:lastColumn="0" w:oddVBand="0" w:evenVBand="0" w:oddHBand="0" w:evenHBand="0" w:firstRowFirstColumn="0" w:firstRowLastColumn="0" w:lastRowFirstColumn="0" w:lastRowLastColumn="0"/>
            <w:tcW w:w="2628" w:type="dxa"/>
            <w:tcBorders>
              <w:left w:val="single" w:sz="4" w:space="0" w:color="auto"/>
            </w:tcBorders>
            <w:shd w:val="clear" w:color="auto" w:fill="auto"/>
            <w:vAlign w:val="center"/>
          </w:tcPr>
          <w:p w14:paraId="786398AE" w14:textId="77777777" w:rsidR="00932357" w:rsidRPr="00E26D69" w:rsidRDefault="00932357" w:rsidP="00CF1904">
            <w:pPr>
              <w:spacing w:line="360" w:lineRule="auto"/>
              <w:jc w:val="left"/>
              <w:rPr>
                <w:rFonts w:ascii="Arial" w:hAnsi="Arial" w:cs="Arial"/>
                <w:b/>
                <w:i w:val="0"/>
                <w:color w:val="000000" w:themeColor="text1"/>
              </w:rPr>
            </w:pPr>
            <w:r w:rsidRPr="00E26D69">
              <w:rPr>
                <w:rFonts w:ascii="Arial" w:hAnsi="Arial" w:cs="Arial"/>
                <w:b/>
                <w:i w:val="0"/>
                <w:color w:val="000000" w:themeColor="text1"/>
              </w:rPr>
              <w:t>Chief Executive</w:t>
            </w:r>
          </w:p>
        </w:tc>
        <w:tc>
          <w:tcPr>
            <w:cnfStyle w:val="000010000000" w:firstRow="0" w:lastRow="0" w:firstColumn="0" w:lastColumn="0" w:oddVBand="1" w:evenVBand="0" w:oddHBand="0" w:evenHBand="0" w:firstRowFirstColumn="0" w:firstRowLastColumn="0" w:lastRowFirstColumn="0" w:lastRowLastColumn="0"/>
            <w:tcW w:w="1177" w:type="dxa"/>
            <w:tcBorders>
              <w:bottom w:val="nil"/>
            </w:tcBorders>
            <w:shd w:val="clear" w:color="auto" w:fill="auto"/>
          </w:tcPr>
          <w:p w14:paraId="1FE5559B" w14:textId="77777777" w:rsidR="00932357" w:rsidRPr="00E26D69" w:rsidRDefault="00932357" w:rsidP="00CF1904">
            <w:pPr>
              <w:spacing w:line="360" w:lineRule="auto"/>
              <w:rPr>
                <w:rFonts w:ascii="Arial" w:hAnsi="Arial" w:cs="Arial"/>
                <w:b/>
                <w:color w:val="000000" w:themeColor="text1"/>
              </w:rPr>
            </w:pPr>
          </w:p>
        </w:tc>
        <w:tc>
          <w:tcPr>
            <w:tcW w:w="1177" w:type="dxa"/>
            <w:tcBorders>
              <w:bottom w:val="nil"/>
            </w:tcBorders>
          </w:tcPr>
          <w:p w14:paraId="3C11E1AB"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c>
          <w:tcPr>
            <w:cnfStyle w:val="000010000000" w:firstRow="0" w:lastRow="0" w:firstColumn="0" w:lastColumn="0" w:oddVBand="1" w:evenVBand="0" w:oddHBand="0" w:evenHBand="0" w:firstRowFirstColumn="0" w:firstRowLastColumn="0" w:lastRowFirstColumn="0" w:lastRowLastColumn="0"/>
            <w:tcW w:w="1270" w:type="dxa"/>
            <w:tcBorders>
              <w:bottom w:val="nil"/>
            </w:tcBorders>
            <w:shd w:val="clear" w:color="auto" w:fill="auto"/>
          </w:tcPr>
          <w:p w14:paraId="150B261B" w14:textId="77777777" w:rsidR="00932357" w:rsidRPr="00E26D69" w:rsidRDefault="00932357" w:rsidP="00CF1904">
            <w:pPr>
              <w:spacing w:line="360" w:lineRule="auto"/>
              <w:jc w:val="center"/>
              <w:rPr>
                <w:rFonts w:ascii="Arial" w:hAnsi="Arial" w:cs="Arial"/>
                <w:b/>
                <w:color w:val="000000" w:themeColor="text1"/>
              </w:rPr>
            </w:pPr>
          </w:p>
        </w:tc>
        <w:tc>
          <w:tcPr>
            <w:tcW w:w="1191" w:type="dxa"/>
            <w:tcBorders>
              <w:bottom w:val="nil"/>
            </w:tcBorders>
          </w:tcPr>
          <w:p w14:paraId="67C18A23"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c>
          <w:tcPr>
            <w:cnfStyle w:val="000010000000" w:firstRow="0" w:lastRow="0" w:firstColumn="0" w:lastColumn="0" w:oddVBand="1" w:evenVBand="0" w:oddHBand="0" w:evenHBand="0" w:firstRowFirstColumn="0" w:firstRowLastColumn="0" w:lastRowFirstColumn="0" w:lastRowLastColumn="0"/>
            <w:tcW w:w="928" w:type="dxa"/>
            <w:tcBorders>
              <w:bottom w:val="nil"/>
            </w:tcBorders>
            <w:shd w:val="clear" w:color="auto" w:fill="auto"/>
          </w:tcPr>
          <w:p w14:paraId="06DD40A0" w14:textId="77777777" w:rsidR="00932357" w:rsidRPr="00E26D69" w:rsidRDefault="00932357" w:rsidP="00CF1904">
            <w:pPr>
              <w:spacing w:line="360" w:lineRule="auto"/>
              <w:jc w:val="center"/>
              <w:rPr>
                <w:rFonts w:ascii="Arial" w:hAnsi="Arial" w:cs="Arial"/>
                <w:b/>
                <w:color w:val="000000" w:themeColor="text1"/>
              </w:rPr>
            </w:pPr>
          </w:p>
        </w:tc>
        <w:tc>
          <w:tcPr>
            <w:tcW w:w="923" w:type="dxa"/>
            <w:tcBorders>
              <w:bottom w:val="nil"/>
            </w:tcBorders>
          </w:tcPr>
          <w:p w14:paraId="710500C8"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c>
          <w:tcPr>
            <w:cnfStyle w:val="000010000000" w:firstRow="0" w:lastRow="0" w:firstColumn="0" w:lastColumn="0" w:oddVBand="1" w:evenVBand="0" w:oddHBand="0" w:evenHBand="0" w:firstRowFirstColumn="0" w:firstRowLastColumn="0" w:lastRowFirstColumn="0" w:lastRowLastColumn="0"/>
            <w:tcW w:w="1191" w:type="dxa"/>
            <w:tcBorders>
              <w:bottom w:val="nil"/>
              <w:right w:val="single" w:sz="4" w:space="0" w:color="auto"/>
            </w:tcBorders>
            <w:shd w:val="clear" w:color="auto" w:fill="auto"/>
          </w:tcPr>
          <w:p w14:paraId="67FBDD82" w14:textId="77777777" w:rsidR="00932357" w:rsidRPr="00E26D69" w:rsidRDefault="00932357" w:rsidP="00CF1904">
            <w:pPr>
              <w:spacing w:line="360" w:lineRule="auto"/>
              <w:jc w:val="center"/>
              <w:rPr>
                <w:rFonts w:ascii="Arial" w:hAnsi="Arial" w:cs="Arial"/>
                <w:b/>
                <w:color w:val="000000" w:themeColor="text1"/>
              </w:rPr>
            </w:pPr>
          </w:p>
        </w:tc>
      </w:tr>
      <w:tr w:rsidR="00722032" w:rsidRPr="00E26D69" w14:paraId="026C2C0E" w14:textId="77777777" w:rsidTr="00E85992">
        <w:trPr>
          <w:trHeight w:val="340"/>
        </w:trPr>
        <w:tc>
          <w:tcPr>
            <w:cnfStyle w:val="001000000000" w:firstRow="0" w:lastRow="0" w:firstColumn="1" w:lastColumn="0" w:oddVBand="0" w:evenVBand="0" w:oddHBand="0" w:evenHBand="0" w:firstRowFirstColumn="0" w:firstRowLastColumn="0" w:lastRowFirstColumn="0" w:lastRowLastColumn="0"/>
            <w:tcW w:w="2628" w:type="dxa"/>
            <w:tcBorders>
              <w:left w:val="single" w:sz="4" w:space="0" w:color="auto"/>
              <w:bottom w:val="single" w:sz="4" w:space="0" w:color="7F7F7F" w:themeColor="text1" w:themeTint="80"/>
            </w:tcBorders>
            <w:shd w:val="clear" w:color="auto" w:fill="auto"/>
            <w:vAlign w:val="center"/>
          </w:tcPr>
          <w:p w14:paraId="3F2A2342" w14:textId="77777777" w:rsidR="00932357" w:rsidRPr="00E26D69" w:rsidRDefault="00932357" w:rsidP="00CF1904">
            <w:pPr>
              <w:spacing w:line="360" w:lineRule="auto"/>
              <w:jc w:val="left"/>
              <w:rPr>
                <w:rFonts w:ascii="Arial" w:hAnsi="Arial" w:cs="Arial"/>
                <w:i w:val="0"/>
                <w:color w:val="auto"/>
              </w:rPr>
            </w:pPr>
            <w:r w:rsidRPr="00E26D69">
              <w:rPr>
                <w:rFonts w:ascii="Arial" w:hAnsi="Arial" w:cs="Arial"/>
                <w:i w:val="0"/>
                <w:color w:val="auto"/>
              </w:rPr>
              <w:t xml:space="preserve">T </w:t>
            </w:r>
            <w:proofErr w:type="spellStart"/>
            <w:r w:rsidRPr="00E26D69">
              <w:rPr>
                <w:rFonts w:ascii="Arial" w:hAnsi="Arial" w:cs="Arial"/>
                <w:i w:val="0"/>
                <w:color w:val="auto"/>
              </w:rPr>
              <w:t>A’Hearn</w:t>
            </w:r>
            <w:proofErr w:type="spellEnd"/>
          </w:p>
        </w:tc>
        <w:tc>
          <w:tcPr>
            <w:cnfStyle w:val="000010000000" w:firstRow="0" w:lastRow="0" w:firstColumn="0" w:lastColumn="0" w:oddVBand="1" w:evenVBand="0" w:oddHBand="0" w:evenHBand="0" w:firstRowFirstColumn="0" w:firstRowLastColumn="0" w:lastRowFirstColumn="0" w:lastRowLastColumn="0"/>
            <w:tcW w:w="1177" w:type="dxa"/>
            <w:tcBorders>
              <w:top w:val="nil"/>
              <w:bottom w:val="single" w:sz="4" w:space="0" w:color="7F7F7F" w:themeColor="text1" w:themeTint="80"/>
            </w:tcBorders>
            <w:shd w:val="clear" w:color="auto" w:fill="auto"/>
            <w:vAlign w:val="center"/>
          </w:tcPr>
          <w:p w14:paraId="4E9771AB"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15&lt;20</w:t>
            </w:r>
          </w:p>
        </w:tc>
        <w:tc>
          <w:tcPr>
            <w:tcW w:w="1177" w:type="dxa"/>
            <w:tcBorders>
              <w:top w:val="nil"/>
              <w:bottom w:val="single" w:sz="4" w:space="0" w:color="7F7F7F" w:themeColor="text1" w:themeTint="80"/>
            </w:tcBorders>
            <w:vAlign w:val="center"/>
          </w:tcPr>
          <w:p w14:paraId="22F08D08"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w:t>
            </w:r>
          </w:p>
        </w:tc>
        <w:tc>
          <w:tcPr>
            <w:cnfStyle w:val="000010000000" w:firstRow="0" w:lastRow="0" w:firstColumn="0" w:lastColumn="0" w:oddVBand="1" w:evenVBand="0" w:oddHBand="0" w:evenHBand="0" w:firstRowFirstColumn="0" w:firstRowLastColumn="0" w:lastRowFirstColumn="0" w:lastRowLastColumn="0"/>
            <w:tcW w:w="1270" w:type="dxa"/>
            <w:tcBorders>
              <w:top w:val="nil"/>
              <w:bottom w:val="single" w:sz="4" w:space="0" w:color="7F7F7F" w:themeColor="text1" w:themeTint="80"/>
            </w:tcBorders>
            <w:shd w:val="clear" w:color="auto" w:fill="auto"/>
            <w:vAlign w:val="center"/>
          </w:tcPr>
          <w:p w14:paraId="015F3291"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tc>
        <w:tc>
          <w:tcPr>
            <w:tcW w:w="1191" w:type="dxa"/>
            <w:tcBorders>
              <w:top w:val="nil"/>
              <w:bottom w:val="single" w:sz="4" w:space="0" w:color="7F7F7F" w:themeColor="text1" w:themeTint="80"/>
            </w:tcBorders>
            <w:vAlign w:val="center"/>
          </w:tcPr>
          <w:p w14:paraId="3C23A32B"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w:t>
            </w:r>
          </w:p>
        </w:tc>
        <w:tc>
          <w:tcPr>
            <w:cnfStyle w:val="000010000000" w:firstRow="0" w:lastRow="0" w:firstColumn="0" w:lastColumn="0" w:oddVBand="1" w:evenVBand="0" w:oddHBand="0" w:evenHBand="0" w:firstRowFirstColumn="0" w:firstRowLastColumn="0" w:lastRowFirstColumn="0" w:lastRowLastColumn="0"/>
            <w:tcW w:w="928" w:type="dxa"/>
            <w:tcBorders>
              <w:top w:val="nil"/>
              <w:bottom w:val="single" w:sz="4" w:space="0" w:color="7F7F7F" w:themeColor="text1" w:themeTint="80"/>
            </w:tcBorders>
            <w:shd w:val="clear" w:color="auto" w:fill="auto"/>
            <w:vAlign w:val="center"/>
          </w:tcPr>
          <w:p w14:paraId="3E376ED5"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213</w:t>
            </w:r>
          </w:p>
        </w:tc>
        <w:tc>
          <w:tcPr>
            <w:tcW w:w="923" w:type="dxa"/>
            <w:tcBorders>
              <w:top w:val="nil"/>
              <w:bottom w:val="single" w:sz="4" w:space="0" w:color="7F7F7F" w:themeColor="text1" w:themeTint="80"/>
            </w:tcBorders>
            <w:vAlign w:val="center"/>
          </w:tcPr>
          <w:p w14:paraId="6FA3A7E2"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168</w:t>
            </w: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4" w:space="0" w:color="7F7F7F" w:themeColor="text1" w:themeTint="80"/>
              <w:right w:val="single" w:sz="4" w:space="0" w:color="auto"/>
            </w:tcBorders>
            <w:shd w:val="clear" w:color="auto" w:fill="auto"/>
            <w:vAlign w:val="center"/>
          </w:tcPr>
          <w:p w14:paraId="746C8661"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30</w:t>
            </w:r>
          </w:p>
        </w:tc>
      </w:tr>
      <w:tr w:rsidR="00E85992" w:rsidRPr="00E26D69" w14:paraId="61491B1A" w14:textId="77777777">
        <w:trPr>
          <w:trHeight w:val="131"/>
        </w:trPr>
        <w:tc>
          <w:tcPr>
            <w:cnfStyle w:val="001000000000" w:firstRow="0" w:lastRow="0" w:firstColumn="1" w:lastColumn="0" w:oddVBand="0" w:evenVBand="0" w:oddHBand="0" w:evenHBand="0" w:firstRowFirstColumn="0" w:firstRowLastColumn="0" w:lastRowFirstColumn="0" w:lastRowLastColumn="0"/>
            <w:tcW w:w="10485" w:type="dxa"/>
            <w:gridSpan w:val="8"/>
            <w:tcBorders>
              <w:left w:val="single" w:sz="4" w:space="0" w:color="auto"/>
              <w:right w:val="single" w:sz="4" w:space="0" w:color="auto"/>
            </w:tcBorders>
            <w:shd w:val="clear" w:color="auto" w:fill="auto"/>
            <w:vAlign w:val="center"/>
          </w:tcPr>
          <w:p w14:paraId="6FB72D13" w14:textId="2CA300B6" w:rsidR="00E85992" w:rsidRPr="00E85992" w:rsidRDefault="00E85992" w:rsidP="00E85992">
            <w:pPr>
              <w:spacing w:line="360" w:lineRule="auto"/>
              <w:jc w:val="left"/>
              <w:rPr>
                <w:rFonts w:ascii="Arial" w:hAnsi="Arial" w:cs="Arial"/>
                <w:b/>
                <w:i w:val="0"/>
                <w:color w:val="000000" w:themeColor="text1"/>
              </w:rPr>
            </w:pPr>
            <w:r w:rsidRPr="00E26D69">
              <w:rPr>
                <w:rFonts w:ascii="Arial" w:hAnsi="Arial" w:cs="Arial"/>
                <w:b/>
                <w:i w:val="0"/>
                <w:color w:val="000000" w:themeColor="text1"/>
              </w:rPr>
              <w:t>Executive</w:t>
            </w:r>
            <w:r>
              <w:rPr>
                <w:rFonts w:ascii="Arial" w:hAnsi="Arial" w:cs="Arial"/>
                <w:b/>
                <w:i w:val="0"/>
                <w:color w:val="000000" w:themeColor="text1"/>
              </w:rPr>
              <w:t xml:space="preserve"> D</w:t>
            </w:r>
            <w:r w:rsidRPr="00E26D69">
              <w:rPr>
                <w:rFonts w:ascii="Arial" w:hAnsi="Arial" w:cs="Arial"/>
                <w:b/>
                <w:i w:val="0"/>
                <w:color w:val="000000" w:themeColor="text1"/>
              </w:rPr>
              <w:t>irector &amp; Chief Officers</w:t>
            </w:r>
            <w:r>
              <w:rPr>
                <w:rFonts w:ascii="Arial" w:hAnsi="Arial" w:cs="Arial"/>
                <w:b/>
                <w:i w:val="0"/>
                <w:color w:val="000000" w:themeColor="text1"/>
              </w:rPr>
              <w:t>’</w:t>
            </w:r>
          </w:p>
        </w:tc>
      </w:tr>
      <w:tr w:rsidR="00722032" w:rsidRPr="00E26D69" w14:paraId="1A16890D" w14:textId="77777777" w:rsidTr="00E85992">
        <w:trPr>
          <w:trHeight w:val="1497"/>
        </w:trPr>
        <w:tc>
          <w:tcPr>
            <w:cnfStyle w:val="001000000000" w:firstRow="0" w:lastRow="0" w:firstColumn="1" w:lastColumn="0" w:oddVBand="0" w:evenVBand="0" w:oddHBand="0" w:evenHBand="0" w:firstRowFirstColumn="0" w:firstRowLastColumn="0" w:lastRowFirstColumn="0" w:lastRowLastColumn="0"/>
            <w:tcW w:w="2628" w:type="dxa"/>
            <w:tcBorders>
              <w:left w:val="single" w:sz="4" w:space="0" w:color="auto"/>
              <w:bottom w:val="single" w:sz="4" w:space="0" w:color="auto"/>
            </w:tcBorders>
            <w:shd w:val="clear" w:color="auto" w:fill="auto"/>
          </w:tcPr>
          <w:p w14:paraId="4CA18F2F" w14:textId="77777777" w:rsidR="00932357" w:rsidRPr="00E26D69" w:rsidRDefault="00932357" w:rsidP="00CF1904">
            <w:pPr>
              <w:spacing w:line="360" w:lineRule="auto"/>
              <w:jc w:val="left"/>
              <w:rPr>
                <w:rFonts w:ascii="Arial" w:hAnsi="Arial" w:cs="Arial"/>
                <w:b/>
                <w:i w:val="0"/>
                <w:color w:val="000000" w:themeColor="text1"/>
              </w:rPr>
            </w:pPr>
            <w:r w:rsidRPr="00E26D69">
              <w:rPr>
                <w:rFonts w:ascii="Arial" w:hAnsi="Arial" w:cs="Arial"/>
                <w:i w:val="0"/>
                <w:color w:val="000000" w:themeColor="text1"/>
              </w:rPr>
              <w:t>D Pirie</w:t>
            </w:r>
          </w:p>
          <w:p w14:paraId="6CFED6A3" w14:textId="77777777" w:rsidR="00932357" w:rsidRPr="00E26D69" w:rsidRDefault="00932357" w:rsidP="00CF1904">
            <w:pPr>
              <w:spacing w:line="360" w:lineRule="auto"/>
              <w:jc w:val="left"/>
              <w:rPr>
                <w:rFonts w:ascii="Arial" w:hAnsi="Arial" w:cs="Arial"/>
                <w:b/>
                <w:i w:val="0"/>
                <w:color w:val="000000" w:themeColor="text1"/>
              </w:rPr>
            </w:pPr>
            <w:r w:rsidRPr="00E26D69">
              <w:rPr>
                <w:rFonts w:ascii="Arial" w:hAnsi="Arial" w:cs="Arial"/>
                <w:i w:val="0"/>
                <w:color w:val="000000" w:themeColor="text1"/>
              </w:rPr>
              <w:t>F Martin</w:t>
            </w:r>
          </w:p>
          <w:p w14:paraId="077D1FE2" w14:textId="77777777" w:rsidR="00932357" w:rsidRPr="00E26D69" w:rsidRDefault="00932357" w:rsidP="00CF1904">
            <w:pPr>
              <w:spacing w:line="360" w:lineRule="auto"/>
              <w:jc w:val="left"/>
              <w:rPr>
                <w:rFonts w:ascii="Arial" w:hAnsi="Arial" w:cs="Arial"/>
                <w:b/>
                <w:i w:val="0"/>
                <w:color w:val="000000" w:themeColor="text1"/>
              </w:rPr>
            </w:pPr>
            <w:r w:rsidRPr="00E26D69">
              <w:rPr>
                <w:rFonts w:ascii="Arial" w:hAnsi="Arial" w:cs="Arial"/>
                <w:i w:val="0"/>
                <w:color w:val="000000" w:themeColor="text1"/>
              </w:rPr>
              <w:t>S McGregor</w:t>
            </w:r>
            <w:r w:rsidRPr="00E26D69">
              <w:rPr>
                <w:rFonts w:ascii="Arial" w:hAnsi="Arial" w:cs="Arial"/>
                <w:b/>
                <w:i w:val="0"/>
                <w:color w:val="000000" w:themeColor="text1"/>
              </w:rPr>
              <w:t xml:space="preserve"> </w:t>
            </w:r>
          </w:p>
          <w:p w14:paraId="663CCD88" w14:textId="77777777" w:rsidR="00932357" w:rsidRPr="00E26D69" w:rsidRDefault="00932357" w:rsidP="00CF1904">
            <w:pPr>
              <w:spacing w:line="360" w:lineRule="auto"/>
              <w:jc w:val="left"/>
              <w:rPr>
                <w:rFonts w:ascii="Arial" w:hAnsi="Arial" w:cs="Arial"/>
                <w:i w:val="0"/>
                <w:color w:val="000000" w:themeColor="text1"/>
              </w:rPr>
            </w:pPr>
            <w:r w:rsidRPr="00E26D69">
              <w:rPr>
                <w:rFonts w:ascii="Arial" w:hAnsi="Arial" w:cs="Arial"/>
                <w:i w:val="0"/>
                <w:color w:val="000000" w:themeColor="text1"/>
              </w:rPr>
              <w:t>J Green</w:t>
            </w:r>
          </w:p>
          <w:p w14:paraId="45A5CF98" w14:textId="77777777" w:rsidR="00932357" w:rsidRPr="00E26D69" w:rsidRDefault="00932357" w:rsidP="00CF1904">
            <w:pPr>
              <w:spacing w:line="360" w:lineRule="auto"/>
              <w:jc w:val="left"/>
              <w:rPr>
                <w:rFonts w:ascii="Arial" w:hAnsi="Arial" w:cs="Arial"/>
                <w:i w:val="0"/>
                <w:color w:val="000000" w:themeColor="text1"/>
              </w:rPr>
            </w:pPr>
            <w:r w:rsidRPr="00E26D69">
              <w:rPr>
                <w:rFonts w:ascii="Arial" w:hAnsi="Arial" w:cs="Arial"/>
                <w:i w:val="0"/>
                <w:color w:val="000000" w:themeColor="text1"/>
              </w:rPr>
              <w:t xml:space="preserve">J Kenny </w:t>
            </w:r>
          </w:p>
          <w:p w14:paraId="0519D75C" w14:textId="77777777" w:rsidR="00932357" w:rsidRPr="00E26D69" w:rsidRDefault="00932357" w:rsidP="00CF1904">
            <w:pPr>
              <w:spacing w:line="360" w:lineRule="auto"/>
              <w:jc w:val="left"/>
              <w:rPr>
                <w:rFonts w:ascii="Arial" w:hAnsi="Arial" w:cs="Arial"/>
                <w:i w:val="0"/>
                <w:color w:val="000000" w:themeColor="text1"/>
              </w:rPr>
            </w:pPr>
            <w:r w:rsidRPr="00E26D69">
              <w:rPr>
                <w:rFonts w:ascii="Arial" w:hAnsi="Arial" w:cs="Arial"/>
                <w:i w:val="0"/>
                <w:color w:val="000000" w:themeColor="text1"/>
              </w:rPr>
              <w:t>I Buchanan</w:t>
            </w:r>
          </w:p>
        </w:tc>
        <w:tc>
          <w:tcPr>
            <w:cnfStyle w:val="000010000000" w:firstRow="0" w:lastRow="0" w:firstColumn="0" w:lastColumn="0" w:oddVBand="1" w:evenVBand="0" w:oddHBand="0" w:evenHBand="0" w:firstRowFirstColumn="0" w:firstRowLastColumn="0" w:lastRowFirstColumn="0" w:lastRowLastColumn="0"/>
            <w:tcW w:w="1177" w:type="dxa"/>
            <w:tcBorders>
              <w:top w:val="nil"/>
              <w:bottom w:val="single" w:sz="4" w:space="0" w:color="auto"/>
            </w:tcBorders>
            <w:shd w:val="clear" w:color="auto" w:fill="auto"/>
          </w:tcPr>
          <w:p w14:paraId="4B678F6E"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50&lt;55</w:t>
            </w:r>
          </w:p>
          <w:p w14:paraId="5EF652D7"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40&lt;45</w:t>
            </w:r>
          </w:p>
          <w:p w14:paraId="2AD4E0D1"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40&lt;45</w:t>
            </w:r>
          </w:p>
          <w:p w14:paraId="43C17C2E"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25&lt;30</w:t>
            </w:r>
          </w:p>
          <w:p w14:paraId="70C5CAC6"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35&lt;40</w:t>
            </w:r>
          </w:p>
          <w:p w14:paraId="6F00F481"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40&lt;45</w:t>
            </w:r>
          </w:p>
        </w:tc>
        <w:tc>
          <w:tcPr>
            <w:tcW w:w="1177" w:type="dxa"/>
            <w:tcBorders>
              <w:top w:val="nil"/>
              <w:bottom w:val="single" w:sz="4" w:space="0" w:color="auto"/>
            </w:tcBorders>
          </w:tcPr>
          <w:p w14:paraId="12B0EC55"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80&lt;85</w:t>
            </w:r>
          </w:p>
          <w:p w14:paraId="286728E9"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60&lt;65</w:t>
            </w:r>
          </w:p>
          <w:p w14:paraId="189936AF"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60&lt;65</w:t>
            </w:r>
          </w:p>
          <w:p w14:paraId="48D3885A"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30&lt;35</w:t>
            </w:r>
          </w:p>
          <w:p w14:paraId="7622C80C"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55&lt;60</w:t>
            </w:r>
          </w:p>
          <w:p w14:paraId="2F616F05"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65&lt;70</w:t>
            </w:r>
          </w:p>
        </w:tc>
        <w:tc>
          <w:tcPr>
            <w:cnfStyle w:val="000010000000" w:firstRow="0" w:lastRow="0" w:firstColumn="0" w:lastColumn="0" w:oddVBand="1" w:evenVBand="0" w:oddHBand="0" w:evenHBand="0" w:firstRowFirstColumn="0" w:firstRowLastColumn="0" w:lastRowFirstColumn="0" w:lastRowLastColumn="0"/>
            <w:tcW w:w="1270" w:type="dxa"/>
            <w:tcBorders>
              <w:top w:val="nil"/>
              <w:bottom w:val="single" w:sz="4" w:space="0" w:color="auto"/>
            </w:tcBorders>
            <w:shd w:val="clear" w:color="auto" w:fill="auto"/>
          </w:tcPr>
          <w:p w14:paraId="47ECD3A1"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p w14:paraId="637FA5E5"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p w14:paraId="330C3D4D"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p w14:paraId="77987728"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p w14:paraId="2F201E9C"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p w14:paraId="7E4321DB"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2.5&lt;5</w:t>
            </w:r>
          </w:p>
        </w:tc>
        <w:tc>
          <w:tcPr>
            <w:tcW w:w="1191" w:type="dxa"/>
            <w:tcBorders>
              <w:top w:val="nil"/>
              <w:bottom w:val="single" w:sz="4" w:space="0" w:color="auto"/>
            </w:tcBorders>
          </w:tcPr>
          <w:p w14:paraId="7076D0EE" w14:textId="77777777" w:rsidR="00932357" w:rsidRPr="004B53B2"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4B53B2">
              <w:rPr>
                <w:rFonts w:ascii="Arial" w:hAnsi="Arial" w:cs="Arial"/>
                <w:bCs/>
                <w:color w:val="000000" w:themeColor="text1"/>
              </w:rPr>
              <w:t>0&lt;2.5</w:t>
            </w:r>
          </w:p>
          <w:p w14:paraId="193A3CC4" w14:textId="77777777" w:rsidR="00932357" w:rsidRPr="004B53B2"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4B53B2">
              <w:rPr>
                <w:rFonts w:ascii="Arial" w:hAnsi="Arial" w:cs="Arial"/>
                <w:bCs/>
                <w:color w:val="000000" w:themeColor="text1"/>
              </w:rPr>
              <w:t>0&lt;2.5</w:t>
            </w:r>
          </w:p>
          <w:p w14:paraId="6A39D9E2" w14:textId="77777777" w:rsidR="00932357" w:rsidRPr="004B53B2"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4B53B2">
              <w:rPr>
                <w:rFonts w:ascii="Arial" w:hAnsi="Arial" w:cs="Arial"/>
                <w:bCs/>
                <w:color w:val="000000" w:themeColor="text1"/>
              </w:rPr>
              <w:t>0&lt;2.5</w:t>
            </w:r>
          </w:p>
          <w:p w14:paraId="48689329" w14:textId="77777777" w:rsidR="00932357" w:rsidRPr="004B53B2"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4B53B2">
              <w:rPr>
                <w:rFonts w:ascii="Arial" w:hAnsi="Arial" w:cs="Arial"/>
                <w:bCs/>
                <w:color w:val="000000" w:themeColor="text1"/>
              </w:rPr>
              <w:t>0&lt;2.5</w:t>
            </w:r>
          </w:p>
          <w:p w14:paraId="6EE2607C"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0&lt;2.5</w:t>
            </w:r>
          </w:p>
          <w:p w14:paraId="7D9C7805"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0&lt;2.5</w:t>
            </w:r>
          </w:p>
        </w:tc>
        <w:tc>
          <w:tcPr>
            <w:cnfStyle w:val="000010000000" w:firstRow="0" w:lastRow="0" w:firstColumn="0" w:lastColumn="0" w:oddVBand="1" w:evenVBand="0" w:oddHBand="0" w:evenHBand="0" w:firstRowFirstColumn="0" w:firstRowLastColumn="0" w:lastRowFirstColumn="0" w:lastRowLastColumn="0"/>
            <w:tcW w:w="928" w:type="dxa"/>
            <w:tcBorders>
              <w:top w:val="nil"/>
              <w:bottom w:val="single" w:sz="4" w:space="0" w:color="auto"/>
            </w:tcBorders>
            <w:shd w:val="clear" w:color="auto" w:fill="auto"/>
          </w:tcPr>
          <w:p w14:paraId="76B54522"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947</w:t>
            </w:r>
          </w:p>
          <w:p w14:paraId="232A2A28"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679</w:t>
            </w:r>
          </w:p>
          <w:p w14:paraId="239FFD4D"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834</w:t>
            </w:r>
          </w:p>
          <w:p w14:paraId="4BC5325D"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498</w:t>
            </w:r>
          </w:p>
          <w:p w14:paraId="6729E6E2"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639</w:t>
            </w:r>
          </w:p>
          <w:p w14:paraId="4D8B68C8"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701</w:t>
            </w:r>
          </w:p>
        </w:tc>
        <w:tc>
          <w:tcPr>
            <w:tcW w:w="923" w:type="dxa"/>
            <w:tcBorders>
              <w:top w:val="nil"/>
              <w:bottom w:val="single" w:sz="4" w:space="0" w:color="auto"/>
            </w:tcBorders>
          </w:tcPr>
          <w:p w14:paraId="783FA415"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879</w:t>
            </w:r>
          </w:p>
          <w:p w14:paraId="3C86BB41"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619</w:t>
            </w:r>
          </w:p>
          <w:p w14:paraId="17CA8FBF"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765</w:t>
            </w:r>
          </w:p>
          <w:p w14:paraId="50F951C6"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447</w:t>
            </w:r>
          </w:p>
          <w:p w14:paraId="07C30C66" w14:textId="77777777" w:rsidR="00932357"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581</w:t>
            </w:r>
          </w:p>
          <w:p w14:paraId="60BF5502" w14:textId="77777777" w:rsidR="00932357" w:rsidRPr="00E26D69" w:rsidRDefault="00932357" w:rsidP="00CF190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639</w:t>
            </w: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4" w:space="0" w:color="auto"/>
              <w:right w:val="single" w:sz="4" w:space="0" w:color="auto"/>
            </w:tcBorders>
            <w:shd w:val="clear" w:color="auto" w:fill="auto"/>
          </w:tcPr>
          <w:p w14:paraId="272D1129"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48</w:t>
            </w:r>
          </w:p>
          <w:p w14:paraId="06F806CC"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46</w:t>
            </w:r>
          </w:p>
          <w:p w14:paraId="74297CB9"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53</w:t>
            </w:r>
          </w:p>
          <w:p w14:paraId="76A2C362"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39</w:t>
            </w:r>
          </w:p>
          <w:p w14:paraId="5D2E824F" w14:textId="77777777" w:rsidR="00932357" w:rsidRDefault="00932357" w:rsidP="00CF1904">
            <w:pPr>
              <w:spacing w:line="360" w:lineRule="auto"/>
              <w:jc w:val="center"/>
              <w:rPr>
                <w:rFonts w:ascii="Arial" w:hAnsi="Arial" w:cs="Arial"/>
                <w:color w:val="000000" w:themeColor="text1"/>
              </w:rPr>
            </w:pPr>
            <w:r>
              <w:rPr>
                <w:rFonts w:ascii="Arial" w:hAnsi="Arial" w:cs="Arial"/>
                <w:color w:val="000000" w:themeColor="text1"/>
              </w:rPr>
              <w:t>44</w:t>
            </w:r>
          </w:p>
          <w:p w14:paraId="5C49E657" w14:textId="77777777" w:rsidR="00932357" w:rsidRPr="00E26D69" w:rsidRDefault="00932357" w:rsidP="00CF1904">
            <w:pPr>
              <w:spacing w:line="360" w:lineRule="auto"/>
              <w:jc w:val="center"/>
              <w:rPr>
                <w:rFonts w:ascii="Arial" w:hAnsi="Arial" w:cs="Arial"/>
                <w:color w:val="000000" w:themeColor="text1"/>
              </w:rPr>
            </w:pPr>
            <w:r>
              <w:rPr>
                <w:rFonts w:ascii="Arial" w:hAnsi="Arial" w:cs="Arial"/>
                <w:color w:val="000000" w:themeColor="text1"/>
              </w:rPr>
              <w:t>48</w:t>
            </w:r>
          </w:p>
        </w:tc>
      </w:tr>
    </w:tbl>
    <w:p w14:paraId="24705C03" w14:textId="77777777" w:rsidR="00E26D69" w:rsidRPr="00E26D69" w:rsidRDefault="00E26D69" w:rsidP="00E26D69">
      <w:pPr>
        <w:spacing w:line="360" w:lineRule="auto"/>
        <w:rPr>
          <w:rFonts w:ascii="Arial" w:hAnsi="Arial" w:cs="Arial"/>
          <w:color w:val="000000" w:themeColor="text1"/>
        </w:rPr>
      </w:pPr>
    </w:p>
    <w:p w14:paraId="475B90CD" w14:textId="230DFDBF" w:rsidR="00A52C2E" w:rsidRPr="00E10032" w:rsidRDefault="00180EAC" w:rsidP="00E448EE">
      <w:pPr>
        <w:spacing w:line="360" w:lineRule="auto"/>
        <w:ind w:left="-284"/>
        <w:rPr>
          <w:rFonts w:ascii="Arial" w:hAnsi="Arial" w:cs="Arial"/>
          <w:b/>
          <w:bCs/>
        </w:rPr>
      </w:pPr>
      <w:r w:rsidRPr="00E10032">
        <w:rPr>
          <w:rFonts w:ascii="Arial" w:hAnsi="Arial" w:cs="Arial"/>
          <w:b/>
          <w:bCs/>
        </w:rPr>
        <w:t xml:space="preserve">Fair </w:t>
      </w:r>
      <w:r w:rsidR="00404713">
        <w:rPr>
          <w:rFonts w:ascii="Arial" w:hAnsi="Arial" w:cs="Arial"/>
          <w:b/>
          <w:bCs/>
        </w:rPr>
        <w:t>p</w:t>
      </w:r>
      <w:r w:rsidRPr="00E10032">
        <w:rPr>
          <w:rFonts w:ascii="Arial" w:hAnsi="Arial" w:cs="Arial"/>
          <w:b/>
          <w:bCs/>
        </w:rPr>
        <w:t xml:space="preserve">ay </w:t>
      </w:r>
      <w:r w:rsidR="00404713">
        <w:rPr>
          <w:rFonts w:ascii="Arial" w:hAnsi="Arial" w:cs="Arial"/>
          <w:b/>
          <w:bCs/>
        </w:rPr>
        <w:t>d</w:t>
      </w:r>
      <w:r w:rsidR="00A52C2E" w:rsidRPr="00E10032">
        <w:rPr>
          <w:rFonts w:ascii="Arial" w:hAnsi="Arial" w:cs="Arial"/>
          <w:b/>
          <w:bCs/>
        </w:rPr>
        <w:t>isclosure</w:t>
      </w:r>
      <w:r w:rsidR="009E0B71">
        <w:rPr>
          <w:rFonts w:ascii="Arial" w:hAnsi="Arial" w:cs="Arial"/>
          <w:b/>
          <w:bCs/>
        </w:rPr>
        <w:t xml:space="preserve"> (subject to audit)</w:t>
      </w:r>
    </w:p>
    <w:p w14:paraId="02E68A3B" w14:textId="38B1A18B" w:rsidR="00C13279" w:rsidRDefault="00E26D69" w:rsidP="00E448EE">
      <w:pPr>
        <w:spacing w:line="360" w:lineRule="auto"/>
        <w:ind w:left="-284"/>
        <w:rPr>
          <w:rFonts w:ascii="Arial" w:hAnsi="Arial" w:cs="Arial"/>
        </w:rPr>
      </w:pPr>
      <w:r w:rsidRPr="00E10032">
        <w:rPr>
          <w:rFonts w:ascii="Arial" w:hAnsi="Arial" w:cs="Arial"/>
        </w:rPr>
        <w:t>The highest paid person of the management team was the Chief Executive</w:t>
      </w:r>
      <w:r w:rsidR="0098665F">
        <w:rPr>
          <w:rFonts w:ascii="Arial" w:hAnsi="Arial" w:cs="Arial"/>
        </w:rPr>
        <w:t xml:space="preserve"> (T </w:t>
      </w:r>
      <w:proofErr w:type="spellStart"/>
      <w:r w:rsidR="0098665F">
        <w:rPr>
          <w:rFonts w:ascii="Arial" w:hAnsi="Arial" w:cs="Arial"/>
        </w:rPr>
        <w:t>A</w:t>
      </w:r>
      <w:r w:rsidR="0038326D">
        <w:rPr>
          <w:rFonts w:ascii="Arial" w:hAnsi="Arial" w:cs="Arial"/>
        </w:rPr>
        <w:t>’</w:t>
      </w:r>
      <w:r w:rsidR="00D91320">
        <w:rPr>
          <w:rFonts w:ascii="Arial" w:hAnsi="Arial" w:cs="Arial"/>
        </w:rPr>
        <w:t>H</w:t>
      </w:r>
      <w:r w:rsidR="0098665F">
        <w:rPr>
          <w:rFonts w:ascii="Arial" w:hAnsi="Arial" w:cs="Arial"/>
        </w:rPr>
        <w:t>earn</w:t>
      </w:r>
      <w:proofErr w:type="spellEnd"/>
      <w:r w:rsidR="0098665F">
        <w:rPr>
          <w:rFonts w:ascii="Arial" w:hAnsi="Arial" w:cs="Arial"/>
        </w:rPr>
        <w:t>)</w:t>
      </w:r>
      <w:r w:rsidRPr="00E10032">
        <w:rPr>
          <w:rFonts w:ascii="Arial" w:hAnsi="Arial" w:cs="Arial"/>
        </w:rPr>
        <w:t xml:space="preserve">. </w:t>
      </w:r>
      <w:r w:rsidR="0098665F">
        <w:rPr>
          <w:rFonts w:ascii="Arial" w:hAnsi="Arial" w:cs="Arial"/>
        </w:rPr>
        <w:t>His</w:t>
      </w:r>
      <w:r w:rsidRPr="00E10032">
        <w:rPr>
          <w:rFonts w:ascii="Arial" w:hAnsi="Arial" w:cs="Arial"/>
        </w:rPr>
        <w:t xml:space="preserve"> annual salary was within the </w:t>
      </w:r>
      <w:r w:rsidRPr="00D91320">
        <w:rPr>
          <w:rFonts w:ascii="Arial" w:hAnsi="Arial" w:cs="Arial"/>
        </w:rPr>
        <w:t>range £</w:t>
      </w:r>
      <w:r w:rsidR="002C406D" w:rsidRPr="00D91320">
        <w:rPr>
          <w:rFonts w:ascii="Arial" w:hAnsi="Arial" w:cs="Arial"/>
        </w:rPr>
        <w:t>1</w:t>
      </w:r>
      <w:r w:rsidR="0098665F" w:rsidRPr="00D91320">
        <w:rPr>
          <w:rFonts w:ascii="Arial" w:hAnsi="Arial" w:cs="Arial"/>
        </w:rPr>
        <w:t>30</w:t>
      </w:r>
      <w:r w:rsidR="002C406D" w:rsidRPr="00D91320">
        <w:rPr>
          <w:rFonts w:ascii="Arial" w:hAnsi="Arial" w:cs="Arial"/>
        </w:rPr>
        <w:t>,000</w:t>
      </w:r>
      <w:r w:rsidRPr="00D91320">
        <w:rPr>
          <w:rFonts w:ascii="Arial" w:hAnsi="Arial" w:cs="Arial"/>
        </w:rPr>
        <w:t xml:space="preserve"> to £</w:t>
      </w:r>
      <w:r w:rsidR="002C406D" w:rsidRPr="00D91320">
        <w:rPr>
          <w:rFonts w:ascii="Arial" w:hAnsi="Arial" w:cs="Arial"/>
        </w:rPr>
        <w:t>13</w:t>
      </w:r>
      <w:r w:rsidR="0098665F" w:rsidRPr="00D91320">
        <w:rPr>
          <w:rFonts w:ascii="Arial" w:hAnsi="Arial" w:cs="Arial"/>
        </w:rPr>
        <w:t>5</w:t>
      </w:r>
      <w:r w:rsidR="002C406D" w:rsidRPr="00D91320">
        <w:rPr>
          <w:rFonts w:ascii="Arial" w:hAnsi="Arial" w:cs="Arial"/>
        </w:rPr>
        <w:t>,000</w:t>
      </w:r>
      <w:r w:rsidRPr="00D91320">
        <w:rPr>
          <w:rFonts w:ascii="Arial" w:hAnsi="Arial" w:cs="Arial"/>
        </w:rPr>
        <w:t xml:space="preserve"> (£</w:t>
      </w:r>
      <w:r w:rsidR="00B941F9" w:rsidRPr="00E10032">
        <w:rPr>
          <w:rFonts w:ascii="Arial" w:hAnsi="Arial" w:cs="Arial"/>
        </w:rPr>
        <w:t>125,000</w:t>
      </w:r>
      <w:r w:rsidRPr="00E10032">
        <w:rPr>
          <w:rFonts w:ascii="Arial" w:hAnsi="Arial" w:cs="Arial"/>
        </w:rPr>
        <w:t xml:space="preserve"> to £1</w:t>
      </w:r>
      <w:r w:rsidR="00B941F9" w:rsidRPr="00E10032">
        <w:rPr>
          <w:rFonts w:ascii="Arial" w:hAnsi="Arial" w:cs="Arial"/>
        </w:rPr>
        <w:t>30</w:t>
      </w:r>
      <w:r w:rsidRPr="00E10032">
        <w:rPr>
          <w:rFonts w:ascii="Arial" w:hAnsi="Arial" w:cs="Arial"/>
        </w:rPr>
        <w:t xml:space="preserve">,000 in </w:t>
      </w:r>
      <w:r w:rsidR="000845C9">
        <w:rPr>
          <w:rFonts w:ascii="Arial" w:hAnsi="Arial" w:cs="Arial"/>
        </w:rPr>
        <w:t>2020/21</w:t>
      </w:r>
      <w:r w:rsidRPr="00E10032">
        <w:rPr>
          <w:rFonts w:ascii="Arial" w:hAnsi="Arial" w:cs="Arial"/>
        </w:rPr>
        <w:t>). Th</w:t>
      </w:r>
      <w:r w:rsidR="0038326D">
        <w:rPr>
          <w:rFonts w:ascii="Arial" w:hAnsi="Arial" w:cs="Arial"/>
        </w:rPr>
        <w:t xml:space="preserve">e table below shows this in comparison to </w:t>
      </w:r>
      <w:r w:rsidR="00331981">
        <w:rPr>
          <w:rFonts w:ascii="Arial" w:hAnsi="Arial" w:cs="Arial"/>
        </w:rPr>
        <w:t xml:space="preserve">remuneration paid to staff </w:t>
      </w:r>
      <w:r w:rsidR="006A5182">
        <w:rPr>
          <w:rFonts w:ascii="Arial" w:hAnsi="Arial" w:cs="Arial"/>
        </w:rPr>
        <w:t xml:space="preserve">and agency workers </w:t>
      </w:r>
      <w:r w:rsidR="00331981">
        <w:rPr>
          <w:rFonts w:ascii="Arial" w:hAnsi="Arial" w:cs="Arial"/>
        </w:rPr>
        <w:t>at the 25</w:t>
      </w:r>
      <w:r w:rsidR="00331981" w:rsidRPr="00331981">
        <w:rPr>
          <w:rFonts w:ascii="Arial" w:hAnsi="Arial" w:cs="Arial"/>
          <w:vertAlign w:val="superscript"/>
        </w:rPr>
        <w:t>th</w:t>
      </w:r>
      <w:r w:rsidR="00331981">
        <w:rPr>
          <w:rFonts w:ascii="Arial" w:hAnsi="Arial" w:cs="Arial"/>
        </w:rPr>
        <w:t>, 50</w:t>
      </w:r>
      <w:r w:rsidR="00331981" w:rsidRPr="00331981">
        <w:rPr>
          <w:rFonts w:ascii="Arial" w:hAnsi="Arial" w:cs="Arial"/>
          <w:vertAlign w:val="superscript"/>
        </w:rPr>
        <w:t>th</w:t>
      </w:r>
      <w:r w:rsidR="00331981">
        <w:rPr>
          <w:rFonts w:ascii="Arial" w:hAnsi="Arial" w:cs="Arial"/>
        </w:rPr>
        <w:t xml:space="preserve"> and 75</w:t>
      </w:r>
      <w:r w:rsidR="00331981" w:rsidRPr="00331981">
        <w:rPr>
          <w:rFonts w:ascii="Arial" w:hAnsi="Arial" w:cs="Arial"/>
          <w:vertAlign w:val="superscript"/>
        </w:rPr>
        <w:t>th</w:t>
      </w:r>
      <w:r w:rsidR="00331981">
        <w:rPr>
          <w:rFonts w:ascii="Arial" w:hAnsi="Arial" w:cs="Arial"/>
        </w:rPr>
        <w:t xml:space="preserve"> per</w:t>
      </w:r>
      <w:r w:rsidR="00C13279">
        <w:rPr>
          <w:rFonts w:ascii="Arial" w:hAnsi="Arial" w:cs="Arial"/>
        </w:rPr>
        <w:t>centile.</w:t>
      </w:r>
      <w:r w:rsidR="000A3CDC">
        <w:rPr>
          <w:rFonts w:ascii="Arial" w:hAnsi="Arial" w:cs="Arial"/>
        </w:rPr>
        <w:t xml:space="preserve">  These have been calculated </w:t>
      </w:r>
      <w:r w:rsidR="00573BEE">
        <w:rPr>
          <w:rFonts w:ascii="Arial" w:hAnsi="Arial" w:cs="Arial"/>
        </w:rPr>
        <w:t>on the annualised salary of the highest paid Director.</w:t>
      </w:r>
    </w:p>
    <w:p w14:paraId="60F2EE2A" w14:textId="77777777" w:rsidR="00963CB0" w:rsidRDefault="00963CB0" w:rsidP="00E448EE">
      <w:pPr>
        <w:spacing w:line="360" w:lineRule="auto"/>
        <w:ind w:left="-284"/>
        <w:rPr>
          <w:rFonts w:ascii="Arial" w:hAnsi="Arial" w:cs="Arial"/>
        </w:rPr>
      </w:pPr>
    </w:p>
    <w:tbl>
      <w:tblPr>
        <w:tblStyle w:val="TableGrid"/>
        <w:tblW w:w="0" w:type="auto"/>
        <w:tblInd w:w="-284" w:type="dxa"/>
        <w:tblLook w:val="04A0" w:firstRow="1" w:lastRow="0" w:firstColumn="1" w:lastColumn="0" w:noHBand="0" w:noVBand="1"/>
      </w:tblPr>
      <w:tblGrid>
        <w:gridCol w:w="3256"/>
        <w:gridCol w:w="3260"/>
        <w:gridCol w:w="3680"/>
      </w:tblGrid>
      <w:tr w:rsidR="00EF6BF1" w:rsidRPr="0034193D" w14:paraId="7D02793F" w14:textId="77777777" w:rsidTr="0034193D">
        <w:tc>
          <w:tcPr>
            <w:tcW w:w="3256" w:type="dxa"/>
            <w:shd w:val="clear" w:color="auto" w:fill="EAF1DD" w:themeFill="accent3" w:themeFillTint="33"/>
          </w:tcPr>
          <w:p w14:paraId="53D8D1E7" w14:textId="5EC37294" w:rsidR="00C13279" w:rsidRPr="0034193D" w:rsidRDefault="00C13279" w:rsidP="00E448EE">
            <w:pPr>
              <w:spacing w:line="360" w:lineRule="auto"/>
              <w:rPr>
                <w:rFonts w:ascii="Arial" w:hAnsi="Arial" w:cs="Arial"/>
                <w:b/>
                <w:bCs/>
              </w:rPr>
            </w:pPr>
            <w:r w:rsidRPr="0034193D">
              <w:rPr>
                <w:rFonts w:ascii="Arial" w:hAnsi="Arial" w:cs="Arial"/>
                <w:b/>
                <w:bCs/>
              </w:rPr>
              <w:t>Percentile</w:t>
            </w:r>
          </w:p>
        </w:tc>
        <w:tc>
          <w:tcPr>
            <w:tcW w:w="3260" w:type="dxa"/>
            <w:shd w:val="clear" w:color="auto" w:fill="EAF1DD" w:themeFill="accent3" w:themeFillTint="33"/>
          </w:tcPr>
          <w:p w14:paraId="3FF9752B" w14:textId="0E60C5AA" w:rsidR="00C13279" w:rsidRPr="0034193D" w:rsidRDefault="00C13279" w:rsidP="00E448EE">
            <w:pPr>
              <w:spacing w:line="360" w:lineRule="auto"/>
              <w:rPr>
                <w:rFonts w:ascii="Arial" w:hAnsi="Arial" w:cs="Arial"/>
                <w:b/>
                <w:bCs/>
              </w:rPr>
            </w:pPr>
            <w:r w:rsidRPr="0034193D">
              <w:rPr>
                <w:rFonts w:ascii="Arial" w:hAnsi="Arial" w:cs="Arial"/>
                <w:b/>
                <w:bCs/>
              </w:rPr>
              <w:t>Sala</w:t>
            </w:r>
            <w:r w:rsidR="00250C30" w:rsidRPr="0034193D">
              <w:rPr>
                <w:rFonts w:ascii="Arial" w:hAnsi="Arial" w:cs="Arial"/>
                <w:b/>
                <w:bCs/>
              </w:rPr>
              <w:t>ry</w:t>
            </w:r>
          </w:p>
        </w:tc>
        <w:tc>
          <w:tcPr>
            <w:tcW w:w="3680" w:type="dxa"/>
            <w:shd w:val="clear" w:color="auto" w:fill="EAF1DD" w:themeFill="accent3" w:themeFillTint="33"/>
          </w:tcPr>
          <w:p w14:paraId="6010BBD3" w14:textId="44E50663" w:rsidR="00C13279" w:rsidRPr="0034193D" w:rsidRDefault="00CA36E6" w:rsidP="00E448EE">
            <w:pPr>
              <w:spacing w:line="360" w:lineRule="auto"/>
              <w:rPr>
                <w:rFonts w:ascii="Arial" w:hAnsi="Arial" w:cs="Arial"/>
                <w:b/>
                <w:bCs/>
              </w:rPr>
            </w:pPr>
            <w:r w:rsidRPr="0034193D">
              <w:rPr>
                <w:rFonts w:ascii="Arial" w:hAnsi="Arial" w:cs="Arial"/>
                <w:b/>
                <w:bCs/>
              </w:rPr>
              <w:t>Ratio to highest paid person</w:t>
            </w:r>
          </w:p>
        </w:tc>
      </w:tr>
      <w:tr w:rsidR="00C13279" w14:paraId="36DC4AE9" w14:textId="77777777" w:rsidTr="0034193D">
        <w:tc>
          <w:tcPr>
            <w:tcW w:w="3256" w:type="dxa"/>
          </w:tcPr>
          <w:p w14:paraId="62F25FCB" w14:textId="08295A0F" w:rsidR="00C13279" w:rsidRDefault="00250C30" w:rsidP="00E448EE">
            <w:pPr>
              <w:spacing w:line="360" w:lineRule="auto"/>
              <w:rPr>
                <w:rFonts w:ascii="Arial" w:hAnsi="Arial" w:cs="Arial"/>
              </w:rPr>
            </w:pPr>
            <w:r>
              <w:rPr>
                <w:rFonts w:ascii="Arial" w:hAnsi="Arial" w:cs="Arial"/>
              </w:rPr>
              <w:t>25</w:t>
            </w:r>
            <w:r w:rsidRPr="00250C30">
              <w:rPr>
                <w:rFonts w:ascii="Arial" w:hAnsi="Arial" w:cs="Arial"/>
                <w:vertAlign w:val="superscript"/>
              </w:rPr>
              <w:t>th</w:t>
            </w:r>
          </w:p>
        </w:tc>
        <w:tc>
          <w:tcPr>
            <w:tcW w:w="3260" w:type="dxa"/>
          </w:tcPr>
          <w:p w14:paraId="0751DCF8" w14:textId="7EB08424" w:rsidR="00C13279" w:rsidRDefault="00CA36E6" w:rsidP="00E448EE">
            <w:pPr>
              <w:spacing w:line="360" w:lineRule="auto"/>
              <w:rPr>
                <w:rFonts w:ascii="Arial" w:hAnsi="Arial" w:cs="Arial"/>
              </w:rPr>
            </w:pPr>
            <w:r>
              <w:rPr>
                <w:rFonts w:ascii="Arial" w:hAnsi="Arial" w:cs="Arial"/>
              </w:rPr>
              <w:t>£33,</w:t>
            </w:r>
            <w:r w:rsidR="00660782">
              <w:rPr>
                <w:rFonts w:ascii="Arial" w:hAnsi="Arial" w:cs="Arial"/>
              </w:rPr>
              <w:t>5</w:t>
            </w:r>
            <w:r w:rsidR="00822965">
              <w:rPr>
                <w:rFonts w:ascii="Arial" w:hAnsi="Arial" w:cs="Arial"/>
              </w:rPr>
              <w:t>57</w:t>
            </w:r>
          </w:p>
        </w:tc>
        <w:tc>
          <w:tcPr>
            <w:tcW w:w="3680" w:type="dxa"/>
          </w:tcPr>
          <w:p w14:paraId="6A96D0FC" w14:textId="58226159" w:rsidR="00C13279" w:rsidRDefault="00404505" w:rsidP="00E448EE">
            <w:pPr>
              <w:spacing w:line="360" w:lineRule="auto"/>
              <w:rPr>
                <w:rFonts w:ascii="Arial" w:hAnsi="Arial" w:cs="Arial"/>
              </w:rPr>
            </w:pPr>
            <w:r>
              <w:rPr>
                <w:rFonts w:ascii="Arial" w:hAnsi="Arial" w:cs="Arial"/>
              </w:rPr>
              <w:t>3.9</w:t>
            </w:r>
            <w:r w:rsidR="00660782">
              <w:rPr>
                <w:rFonts w:ascii="Arial" w:hAnsi="Arial" w:cs="Arial"/>
              </w:rPr>
              <w:t>5</w:t>
            </w:r>
          </w:p>
        </w:tc>
      </w:tr>
      <w:tr w:rsidR="00C13279" w14:paraId="59C3A90E" w14:textId="77777777" w:rsidTr="0034193D">
        <w:tc>
          <w:tcPr>
            <w:tcW w:w="3256" w:type="dxa"/>
          </w:tcPr>
          <w:p w14:paraId="3C328DAF" w14:textId="4E090B7A" w:rsidR="00250C30" w:rsidRDefault="00250C30" w:rsidP="00250C30">
            <w:pPr>
              <w:spacing w:line="360" w:lineRule="auto"/>
              <w:rPr>
                <w:rFonts w:ascii="Arial" w:hAnsi="Arial" w:cs="Arial"/>
              </w:rPr>
            </w:pPr>
            <w:r>
              <w:rPr>
                <w:rFonts w:ascii="Arial" w:hAnsi="Arial" w:cs="Arial"/>
              </w:rPr>
              <w:t>50</w:t>
            </w:r>
            <w:r w:rsidRPr="00250C30">
              <w:rPr>
                <w:rFonts w:ascii="Arial" w:hAnsi="Arial" w:cs="Arial"/>
                <w:vertAlign w:val="superscript"/>
              </w:rPr>
              <w:t>th</w:t>
            </w:r>
          </w:p>
        </w:tc>
        <w:tc>
          <w:tcPr>
            <w:tcW w:w="3260" w:type="dxa"/>
          </w:tcPr>
          <w:p w14:paraId="7A723F86" w14:textId="5216C10F" w:rsidR="00C13279" w:rsidRDefault="00CA36E6" w:rsidP="00E448EE">
            <w:pPr>
              <w:spacing w:line="360" w:lineRule="auto"/>
              <w:rPr>
                <w:rFonts w:ascii="Arial" w:hAnsi="Arial" w:cs="Arial"/>
              </w:rPr>
            </w:pPr>
            <w:r>
              <w:rPr>
                <w:rFonts w:ascii="Arial" w:hAnsi="Arial" w:cs="Arial"/>
              </w:rPr>
              <w:t>£</w:t>
            </w:r>
            <w:r w:rsidR="000E05D1">
              <w:rPr>
                <w:rFonts w:ascii="Arial" w:hAnsi="Arial" w:cs="Arial"/>
              </w:rPr>
              <w:t>38</w:t>
            </w:r>
            <w:r>
              <w:rPr>
                <w:rFonts w:ascii="Arial" w:hAnsi="Arial" w:cs="Arial"/>
              </w:rPr>
              <w:t>,</w:t>
            </w:r>
            <w:r w:rsidR="000E05D1">
              <w:rPr>
                <w:rFonts w:ascii="Arial" w:hAnsi="Arial" w:cs="Arial"/>
              </w:rPr>
              <w:t>123</w:t>
            </w:r>
          </w:p>
        </w:tc>
        <w:tc>
          <w:tcPr>
            <w:tcW w:w="3680" w:type="dxa"/>
          </w:tcPr>
          <w:p w14:paraId="0BFBE66D" w14:textId="6C7A2130" w:rsidR="00C13279" w:rsidRDefault="00404505" w:rsidP="00E448EE">
            <w:pPr>
              <w:spacing w:line="360" w:lineRule="auto"/>
              <w:rPr>
                <w:rFonts w:ascii="Arial" w:hAnsi="Arial" w:cs="Arial"/>
              </w:rPr>
            </w:pPr>
            <w:r>
              <w:rPr>
                <w:rFonts w:ascii="Arial" w:hAnsi="Arial" w:cs="Arial"/>
              </w:rPr>
              <w:t>3.</w:t>
            </w:r>
            <w:r w:rsidR="00095A98">
              <w:rPr>
                <w:rFonts w:ascii="Arial" w:hAnsi="Arial" w:cs="Arial"/>
              </w:rPr>
              <w:t>47</w:t>
            </w:r>
          </w:p>
        </w:tc>
      </w:tr>
      <w:tr w:rsidR="00250C30" w14:paraId="0C83A3EB" w14:textId="77777777" w:rsidTr="0034193D">
        <w:tc>
          <w:tcPr>
            <w:tcW w:w="3256" w:type="dxa"/>
          </w:tcPr>
          <w:p w14:paraId="3FD0D7CD" w14:textId="7F752E3A" w:rsidR="00250C30" w:rsidRDefault="00250C30" w:rsidP="00250C30">
            <w:pPr>
              <w:spacing w:line="360" w:lineRule="auto"/>
              <w:rPr>
                <w:rFonts w:ascii="Arial" w:hAnsi="Arial" w:cs="Arial"/>
              </w:rPr>
            </w:pPr>
            <w:r>
              <w:rPr>
                <w:rFonts w:ascii="Arial" w:hAnsi="Arial" w:cs="Arial"/>
              </w:rPr>
              <w:t>75</w:t>
            </w:r>
            <w:r w:rsidRPr="00250C30">
              <w:rPr>
                <w:rFonts w:ascii="Arial" w:hAnsi="Arial" w:cs="Arial"/>
                <w:vertAlign w:val="superscript"/>
              </w:rPr>
              <w:t>th</w:t>
            </w:r>
          </w:p>
        </w:tc>
        <w:tc>
          <w:tcPr>
            <w:tcW w:w="3260" w:type="dxa"/>
          </w:tcPr>
          <w:p w14:paraId="49F3A43F" w14:textId="3E1607FD" w:rsidR="00250C30" w:rsidRDefault="00CA36E6" w:rsidP="00250C30">
            <w:pPr>
              <w:spacing w:line="360" w:lineRule="auto"/>
              <w:rPr>
                <w:rFonts w:ascii="Arial" w:hAnsi="Arial" w:cs="Arial"/>
              </w:rPr>
            </w:pPr>
            <w:r>
              <w:rPr>
                <w:rFonts w:ascii="Arial" w:hAnsi="Arial" w:cs="Arial"/>
              </w:rPr>
              <w:t>£4</w:t>
            </w:r>
            <w:r w:rsidR="00613CAD">
              <w:rPr>
                <w:rFonts w:ascii="Arial" w:hAnsi="Arial" w:cs="Arial"/>
              </w:rPr>
              <w:t>3</w:t>
            </w:r>
            <w:r>
              <w:rPr>
                <w:rFonts w:ascii="Arial" w:hAnsi="Arial" w:cs="Arial"/>
              </w:rPr>
              <w:t>,</w:t>
            </w:r>
            <w:r w:rsidR="00613CAD">
              <w:rPr>
                <w:rFonts w:ascii="Arial" w:hAnsi="Arial" w:cs="Arial"/>
              </w:rPr>
              <w:t>6</w:t>
            </w:r>
            <w:r w:rsidR="00822965">
              <w:rPr>
                <w:rFonts w:ascii="Arial" w:hAnsi="Arial" w:cs="Arial"/>
              </w:rPr>
              <w:t>20</w:t>
            </w:r>
          </w:p>
        </w:tc>
        <w:tc>
          <w:tcPr>
            <w:tcW w:w="3680" w:type="dxa"/>
          </w:tcPr>
          <w:p w14:paraId="22F0D763" w14:textId="01389A3D" w:rsidR="00250C30" w:rsidRDefault="00404505" w:rsidP="00250C30">
            <w:pPr>
              <w:spacing w:line="360" w:lineRule="auto"/>
              <w:rPr>
                <w:rFonts w:ascii="Arial" w:hAnsi="Arial" w:cs="Arial"/>
              </w:rPr>
            </w:pPr>
            <w:r>
              <w:rPr>
                <w:rFonts w:ascii="Arial" w:hAnsi="Arial" w:cs="Arial"/>
              </w:rPr>
              <w:t>3.04</w:t>
            </w:r>
          </w:p>
        </w:tc>
      </w:tr>
    </w:tbl>
    <w:p w14:paraId="7691163C" w14:textId="44F4EAF5" w:rsidR="00C13279" w:rsidRDefault="00C13279" w:rsidP="00E448EE">
      <w:pPr>
        <w:spacing w:line="360" w:lineRule="auto"/>
        <w:ind w:left="-284"/>
        <w:rPr>
          <w:rFonts w:ascii="Arial" w:hAnsi="Arial" w:cs="Arial"/>
        </w:rPr>
      </w:pPr>
    </w:p>
    <w:p w14:paraId="7CE9BDC3" w14:textId="16603184" w:rsidR="00012BB3" w:rsidRDefault="00404505" w:rsidP="00012BB3">
      <w:pPr>
        <w:spacing w:line="360" w:lineRule="auto"/>
        <w:ind w:left="-284"/>
        <w:rPr>
          <w:rFonts w:ascii="Arial" w:hAnsi="Arial" w:cs="Arial"/>
        </w:rPr>
      </w:pPr>
      <w:r>
        <w:rPr>
          <w:rFonts w:ascii="Arial" w:hAnsi="Arial" w:cs="Arial"/>
        </w:rPr>
        <w:lastRenderedPageBreak/>
        <w:t xml:space="preserve">In </w:t>
      </w:r>
      <w:r w:rsidR="000845C9">
        <w:rPr>
          <w:rFonts w:ascii="Arial" w:hAnsi="Arial" w:cs="Arial"/>
        </w:rPr>
        <w:t>2020/21</w:t>
      </w:r>
      <w:r w:rsidR="001A4B55">
        <w:rPr>
          <w:rFonts w:ascii="Arial" w:hAnsi="Arial" w:cs="Arial"/>
        </w:rPr>
        <w:t xml:space="preserve"> the highest paid persons salary was </w:t>
      </w:r>
      <w:r w:rsidR="00772020" w:rsidRPr="001A4B55">
        <w:rPr>
          <w:rFonts w:ascii="Arial" w:hAnsi="Arial" w:cs="Arial"/>
        </w:rPr>
        <w:t>3.</w:t>
      </w:r>
      <w:r w:rsidR="00A52C2E" w:rsidRPr="001A4B55">
        <w:rPr>
          <w:rFonts w:ascii="Arial" w:hAnsi="Arial" w:cs="Arial"/>
        </w:rPr>
        <w:t>7</w:t>
      </w:r>
      <w:r w:rsidR="00772020" w:rsidRPr="001A4B55">
        <w:rPr>
          <w:rFonts w:ascii="Arial" w:hAnsi="Arial" w:cs="Arial"/>
        </w:rPr>
        <w:t>1</w:t>
      </w:r>
      <w:r w:rsidR="00E26D69" w:rsidRPr="001A4B55">
        <w:rPr>
          <w:rFonts w:ascii="Arial" w:hAnsi="Arial" w:cs="Arial"/>
        </w:rPr>
        <w:t xml:space="preserve"> times</w:t>
      </w:r>
      <w:r w:rsidR="00E26D69" w:rsidRPr="00E10032">
        <w:rPr>
          <w:rFonts w:ascii="Arial" w:hAnsi="Arial" w:cs="Arial"/>
        </w:rPr>
        <w:t xml:space="preserve"> the median remuneration paid to SEPA staff in </w:t>
      </w:r>
      <w:r w:rsidR="000845C9">
        <w:rPr>
          <w:rFonts w:ascii="Arial" w:hAnsi="Arial" w:cs="Arial"/>
        </w:rPr>
        <w:t>2020/21</w:t>
      </w:r>
      <w:r w:rsidR="00E26D69" w:rsidRPr="00E10032">
        <w:rPr>
          <w:rFonts w:ascii="Arial" w:hAnsi="Arial" w:cs="Arial"/>
        </w:rPr>
        <w:t xml:space="preserve">. The median salary paid in </w:t>
      </w:r>
      <w:r w:rsidR="000845C9">
        <w:rPr>
          <w:rFonts w:ascii="Arial" w:hAnsi="Arial" w:cs="Arial"/>
        </w:rPr>
        <w:t>2020/21</w:t>
      </w:r>
      <w:r w:rsidR="00E26D69" w:rsidRPr="00E10032">
        <w:rPr>
          <w:rFonts w:ascii="Arial" w:hAnsi="Arial" w:cs="Arial"/>
        </w:rPr>
        <w:t xml:space="preserve"> was </w:t>
      </w:r>
      <w:r w:rsidR="00E26D69" w:rsidRPr="00012BB3">
        <w:rPr>
          <w:rFonts w:ascii="Arial" w:hAnsi="Arial" w:cs="Arial"/>
        </w:rPr>
        <w:t>£</w:t>
      </w:r>
      <w:r w:rsidR="00772020" w:rsidRPr="00012BB3">
        <w:rPr>
          <w:rFonts w:ascii="Arial" w:hAnsi="Arial" w:cs="Arial"/>
        </w:rPr>
        <w:t>34</w:t>
      </w:r>
      <w:r w:rsidR="003C2D23" w:rsidRPr="00012BB3">
        <w:rPr>
          <w:rFonts w:ascii="Arial" w:hAnsi="Arial" w:cs="Arial"/>
        </w:rPr>
        <w:t>,378</w:t>
      </w:r>
      <w:r w:rsidR="00E26D69" w:rsidRPr="00E10032">
        <w:rPr>
          <w:rFonts w:ascii="Arial" w:hAnsi="Arial" w:cs="Arial"/>
        </w:rPr>
        <w:t>.</w:t>
      </w:r>
    </w:p>
    <w:p w14:paraId="03584CB4" w14:textId="77777777" w:rsidR="008723AD" w:rsidRDefault="008723AD" w:rsidP="00012BB3">
      <w:pPr>
        <w:spacing w:line="360" w:lineRule="auto"/>
        <w:ind w:left="-284"/>
        <w:rPr>
          <w:rFonts w:ascii="Arial" w:hAnsi="Arial" w:cs="Arial"/>
        </w:rPr>
      </w:pPr>
    </w:p>
    <w:p w14:paraId="570EC5F5" w14:textId="7B25C4C9" w:rsidR="00280161" w:rsidRDefault="008723AD" w:rsidP="00012BB3">
      <w:pPr>
        <w:spacing w:line="360" w:lineRule="auto"/>
        <w:ind w:left="-284"/>
        <w:rPr>
          <w:rFonts w:ascii="Arial" w:hAnsi="Arial" w:cs="Arial"/>
        </w:rPr>
      </w:pPr>
      <w:r>
        <w:rPr>
          <w:rFonts w:ascii="Arial" w:hAnsi="Arial" w:cs="Arial"/>
        </w:rPr>
        <w:t>T</w:t>
      </w:r>
      <w:r w:rsidRPr="008723AD">
        <w:rPr>
          <w:rFonts w:ascii="Arial" w:hAnsi="Arial" w:cs="Arial"/>
        </w:rPr>
        <w:t>he percentage change from the previous financial year in respect of the highest paid director</w:t>
      </w:r>
      <w:r w:rsidR="00BC2CD8">
        <w:rPr>
          <w:rFonts w:ascii="Arial" w:hAnsi="Arial" w:cs="Arial"/>
        </w:rPr>
        <w:t xml:space="preserve"> was 0.64% based on the midpoint of the salary band.</w:t>
      </w:r>
      <w:r w:rsidR="00CF7CB3">
        <w:rPr>
          <w:rFonts w:ascii="Arial" w:hAnsi="Arial" w:cs="Arial"/>
        </w:rPr>
        <w:t xml:space="preserve"> </w:t>
      </w:r>
      <w:r w:rsidRPr="008723AD">
        <w:rPr>
          <w:rFonts w:ascii="Arial" w:hAnsi="Arial" w:cs="Arial"/>
        </w:rPr>
        <w:t xml:space="preserve">The average percentage change from the previous financial year in respect of the employees </w:t>
      </w:r>
      <w:r w:rsidR="00E82BE5">
        <w:rPr>
          <w:rFonts w:ascii="Arial" w:hAnsi="Arial" w:cs="Arial"/>
        </w:rPr>
        <w:t>was 2.48%.</w:t>
      </w:r>
    </w:p>
    <w:p w14:paraId="6D006A96" w14:textId="77777777" w:rsidR="00684883" w:rsidRDefault="00684883" w:rsidP="00012BB3">
      <w:pPr>
        <w:spacing w:line="360" w:lineRule="auto"/>
        <w:ind w:left="-284"/>
        <w:rPr>
          <w:rFonts w:ascii="Arial" w:hAnsi="Arial" w:cs="Arial"/>
        </w:rPr>
      </w:pPr>
    </w:p>
    <w:p w14:paraId="06B39D3F" w14:textId="1B095A4A" w:rsidR="00E26D69" w:rsidRDefault="00E26D69" w:rsidP="00012BB3">
      <w:pPr>
        <w:spacing w:line="360" w:lineRule="auto"/>
        <w:ind w:left="-284"/>
        <w:rPr>
          <w:rFonts w:ascii="Arial" w:hAnsi="Arial" w:cs="Arial"/>
          <w:b/>
          <w:lang w:eastAsia="en-US"/>
        </w:rPr>
      </w:pPr>
      <w:r w:rsidRPr="008C476E">
        <w:rPr>
          <w:rFonts w:ascii="Arial" w:hAnsi="Arial" w:cs="Arial"/>
          <w:b/>
          <w:lang w:eastAsia="en-US"/>
        </w:rPr>
        <w:t>Staff report</w:t>
      </w:r>
      <w:r w:rsidR="0013200E" w:rsidRPr="008C476E">
        <w:rPr>
          <w:rFonts w:ascii="Arial" w:hAnsi="Arial" w:cs="Arial"/>
          <w:b/>
          <w:lang w:eastAsia="en-US"/>
        </w:rPr>
        <w:t xml:space="preserve"> as at </w:t>
      </w:r>
      <w:r w:rsidR="00895917" w:rsidRPr="008C476E">
        <w:rPr>
          <w:rFonts w:ascii="Arial" w:hAnsi="Arial" w:cs="Arial"/>
          <w:b/>
          <w:lang w:eastAsia="en-US"/>
        </w:rPr>
        <w:t>31 March</w:t>
      </w:r>
      <w:r w:rsidR="0013200E" w:rsidRPr="008C476E">
        <w:rPr>
          <w:rFonts w:ascii="Arial" w:hAnsi="Arial" w:cs="Arial"/>
          <w:b/>
          <w:lang w:eastAsia="en-US"/>
        </w:rPr>
        <w:t xml:space="preserve"> 2022</w:t>
      </w:r>
      <w:r w:rsidR="003B2F34" w:rsidRPr="008C476E">
        <w:rPr>
          <w:rStyle w:val="FootnoteReference"/>
          <w:rFonts w:ascii="Arial" w:hAnsi="Arial" w:cs="Arial"/>
          <w:b/>
          <w:lang w:eastAsia="en-US"/>
        </w:rPr>
        <w:footnoteReference w:id="15"/>
      </w:r>
    </w:p>
    <w:tbl>
      <w:tblPr>
        <w:tblStyle w:val="TableGrid"/>
        <w:tblW w:w="10485" w:type="dxa"/>
        <w:tblInd w:w="-284" w:type="dxa"/>
        <w:tblLook w:val="04A0" w:firstRow="1" w:lastRow="0" w:firstColumn="1" w:lastColumn="0" w:noHBand="0" w:noVBand="1"/>
      </w:tblPr>
      <w:tblGrid>
        <w:gridCol w:w="2547"/>
        <w:gridCol w:w="2552"/>
        <w:gridCol w:w="2551"/>
        <w:gridCol w:w="2835"/>
      </w:tblGrid>
      <w:tr w:rsidR="005A4491" w14:paraId="6C562F78" w14:textId="77777777" w:rsidTr="006D7408">
        <w:tc>
          <w:tcPr>
            <w:tcW w:w="2547" w:type="dxa"/>
            <w:shd w:val="clear" w:color="auto" w:fill="EAF1DD" w:themeFill="accent3" w:themeFillTint="33"/>
          </w:tcPr>
          <w:p w14:paraId="19262749" w14:textId="77777777" w:rsidR="00870B31" w:rsidRDefault="00870B31" w:rsidP="00012BB3">
            <w:pPr>
              <w:spacing w:line="360" w:lineRule="auto"/>
              <w:rPr>
                <w:rFonts w:ascii="Arial" w:hAnsi="Arial" w:cs="Arial"/>
                <w:b/>
                <w:lang w:eastAsia="en-US"/>
              </w:rPr>
            </w:pPr>
          </w:p>
        </w:tc>
        <w:tc>
          <w:tcPr>
            <w:tcW w:w="2552" w:type="dxa"/>
            <w:shd w:val="clear" w:color="auto" w:fill="EAF1DD" w:themeFill="accent3" w:themeFillTint="33"/>
          </w:tcPr>
          <w:p w14:paraId="67BDC913" w14:textId="6F149428" w:rsidR="00870B31" w:rsidRDefault="000845C9" w:rsidP="0080082D">
            <w:pPr>
              <w:spacing w:line="360" w:lineRule="auto"/>
              <w:jc w:val="center"/>
              <w:rPr>
                <w:rFonts w:ascii="Arial" w:hAnsi="Arial" w:cs="Arial"/>
                <w:b/>
                <w:lang w:eastAsia="en-US"/>
              </w:rPr>
            </w:pPr>
            <w:r>
              <w:rPr>
                <w:rFonts w:ascii="Arial" w:hAnsi="Arial" w:cs="Arial"/>
                <w:b/>
                <w:lang w:eastAsia="en-US"/>
              </w:rPr>
              <w:t>2021/22</w:t>
            </w:r>
          </w:p>
        </w:tc>
        <w:tc>
          <w:tcPr>
            <w:tcW w:w="2551" w:type="dxa"/>
            <w:shd w:val="clear" w:color="auto" w:fill="EAF1DD" w:themeFill="accent3" w:themeFillTint="33"/>
          </w:tcPr>
          <w:p w14:paraId="76D7C886" w14:textId="19A28087" w:rsidR="00870B31" w:rsidRDefault="000845C9" w:rsidP="0080082D">
            <w:pPr>
              <w:spacing w:line="360" w:lineRule="auto"/>
              <w:jc w:val="center"/>
              <w:rPr>
                <w:rFonts w:ascii="Arial" w:hAnsi="Arial" w:cs="Arial"/>
                <w:b/>
                <w:lang w:eastAsia="en-US"/>
              </w:rPr>
            </w:pPr>
            <w:r>
              <w:rPr>
                <w:rFonts w:ascii="Arial" w:hAnsi="Arial" w:cs="Arial"/>
                <w:b/>
                <w:lang w:eastAsia="en-US"/>
              </w:rPr>
              <w:t>2020/21</w:t>
            </w:r>
          </w:p>
        </w:tc>
        <w:tc>
          <w:tcPr>
            <w:tcW w:w="2835" w:type="dxa"/>
            <w:shd w:val="clear" w:color="auto" w:fill="EAF1DD" w:themeFill="accent3" w:themeFillTint="33"/>
          </w:tcPr>
          <w:p w14:paraId="4F34A8BA" w14:textId="603660C0" w:rsidR="00870B31" w:rsidRDefault="00870B31" w:rsidP="0080082D">
            <w:pPr>
              <w:spacing w:line="360" w:lineRule="auto"/>
              <w:jc w:val="center"/>
              <w:rPr>
                <w:rFonts w:ascii="Arial" w:hAnsi="Arial" w:cs="Arial"/>
                <w:b/>
                <w:lang w:eastAsia="en-US"/>
              </w:rPr>
            </w:pPr>
            <w:r>
              <w:rPr>
                <w:rFonts w:ascii="Arial" w:hAnsi="Arial" w:cs="Arial"/>
                <w:b/>
                <w:lang w:eastAsia="en-US"/>
              </w:rPr>
              <w:t>2019</w:t>
            </w:r>
            <w:r w:rsidR="00895917">
              <w:rPr>
                <w:rFonts w:ascii="Arial" w:hAnsi="Arial" w:cs="Arial"/>
                <w:b/>
                <w:lang w:eastAsia="en-US"/>
              </w:rPr>
              <w:t>/</w:t>
            </w:r>
            <w:r>
              <w:rPr>
                <w:rFonts w:ascii="Arial" w:hAnsi="Arial" w:cs="Arial"/>
                <w:b/>
                <w:lang w:eastAsia="en-US"/>
              </w:rPr>
              <w:t>20</w:t>
            </w:r>
          </w:p>
        </w:tc>
      </w:tr>
      <w:tr w:rsidR="003C3E9C" w14:paraId="62CF851F" w14:textId="77777777" w:rsidTr="006D7408">
        <w:tc>
          <w:tcPr>
            <w:tcW w:w="2547" w:type="dxa"/>
            <w:tcBorders>
              <w:bottom w:val="nil"/>
            </w:tcBorders>
          </w:tcPr>
          <w:p w14:paraId="1591A855" w14:textId="4B8F3C43" w:rsidR="00433711" w:rsidRDefault="00870B31" w:rsidP="000845C9">
            <w:pPr>
              <w:spacing w:line="360" w:lineRule="auto"/>
              <w:ind w:left="-115"/>
              <w:rPr>
                <w:rFonts w:ascii="Arial" w:hAnsi="Arial" w:cs="Arial"/>
                <w:b/>
                <w:lang w:eastAsia="en-US"/>
              </w:rPr>
            </w:pPr>
            <w:r>
              <w:rPr>
                <w:rFonts w:ascii="Arial" w:hAnsi="Arial" w:cs="Arial"/>
                <w:b/>
                <w:lang w:eastAsia="en-US"/>
              </w:rPr>
              <w:t>Headcount</w:t>
            </w:r>
            <w:r w:rsidR="005079B8">
              <w:rPr>
                <w:rStyle w:val="FootnoteReference"/>
                <w:rFonts w:ascii="Arial" w:hAnsi="Arial" w:cs="Arial"/>
                <w:b/>
                <w:lang w:eastAsia="en-US"/>
              </w:rPr>
              <w:footnoteReference w:id="16"/>
            </w:r>
          </w:p>
          <w:p w14:paraId="26A430F2" w14:textId="77777777" w:rsidR="008C476E" w:rsidRDefault="008C476E" w:rsidP="000845C9">
            <w:pPr>
              <w:spacing w:line="360" w:lineRule="auto"/>
              <w:ind w:left="-115"/>
              <w:rPr>
                <w:rFonts w:ascii="Arial" w:hAnsi="Arial" w:cs="Arial"/>
                <w:b/>
                <w:lang w:eastAsia="en-US"/>
              </w:rPr>
            </w:pPr>
          </w:p>
          <w:p w14:paraId="1EF7DF42" w14:textId="67E9CAEA" w:rsidR="00870B31" w:rsidRDefault="00051C04" w:rsidP="000845C9">
            <w:pPr>
              <w:spacing w:line="360" w:lineRule="auto"/>
              <w:ind w:left="-115"/>
              <w:rPr>
                <w:rFonts w:ascii="Arial" w:hAnsi="Arial" w:cs="Arial"/>
                <w:b/>
                <w:lang w:eastAsia="en-US"/>
              </w:rPr>
            </w:pPr>
            <w:r>
              <w:rPr>
                <w:rFonts w:ascii="Arial" w:hAnsi="Arial" w:cs="Arial"/>
                <w:b/>
                <w:lang w:eastAsia="en-US"/>
              </w:rPr>
              <w:t>Full Time Equivalent (</w:t>
            </w:r>
            <w:r w:rsidR="00870B31">
              <w:rPr>
                <w:rFonts w:ascii="Arial" w:hAnsi="Arial" w:cs="Arial"/>
                <w:b/>
                <w:lang w:eastAsia="en-US"/>
              </w:rPr>
              <w:t>FTE</w:t>
            </w:r>
            <w:r>
              <w:rPr>
                <w:rFonts w:ascii="Arial" w:hAnsi="Arial" w:cs="Arial"/>
                <w:b/>
                <w:lang w:eastAsia="en-US"/>
              </w:rPr>
              <w:t>)</w:t>
            </w:r>
          </w:p>
        </w:tc>
        <w:tc>
          <w:tcPr>
            <w:tcW w:w="2552" w:type="dxa"/>
            <w:tcBorders>
              <w:bottom w:val="nil"/>
            </w:tcBorders>
            <w:shd w:val="clear" w:color="auto" w:fill="EAF1DD" w:themeFill="accent3" w:themeFillTint="33"/>
          </w:tcPr>
          <w:p w14:paraId="752E5EF9" w14:textId="4D46DF7E" w:rsidR="00870B31" w:rsidRDefault="00870B31" w:rsidP="00BB3F79">
            <w:pPr>
              <w:spacing w:line="360" w:lineRule="auto"/>
              <w:jc w:val="center"/>
              <w:rPr>
                <w:rFonts w:ascii="Arial" w:hAnsi="Arial" w:cs="Arial"/>
                <w:bCs/>
                <w:lang w:eastAsia="en-US"/>
              </w:rPr>
            </w:pPr>
            <w:r w:rsidRPr="00335CE4">
              <w:rPr>
                <w:rFonts w:ascii="Arial" w:hAnsi="Arial" w:cs="Arial"/>
                <w:bCs/>
                <w:lang w:eastAsia="en-US"/>
              </w:rPr>
              <w:t>1,222</w:t>
            </w:r>
          </w:p>
          <w:p w14:paraId="22199446" w14:textId="77777777" w:rsidR="008C476E" w:rsidRPr="00335CE4" w:rsidRDefault="008C476E" w:rsidP="00BB3F79">
            <w:pPr>
              <w:spacing w:line="360" w:lineRule="auto"/>
              <w:jc w:val="center"/>
              <w:rPr>
                <w:rFonts w:ascii="Arial" w:hAnsi="Arial" w:cs="Arial"/>
                <w:bCs/>
                <w:lang w:eastAsia="en-US"/>
              </w:rPr>
            </w:pPr>
          </w:p>
          <w:p w14:paraId="263CB3C8" w14:textId="4FFF4928" w:rsidR="00870B31" w:rsidRPr="00335CE4" w:rsidRDefault="00870B31" w:rsidP="00BB3F79">
            <w:pPr>
              <w:spacing w:line="360" w:lineRule="auto"/>
              <w:jc w:val="center"/>
              <w:rPr>
                <w:rFonts w:ascii="Arial" w:hAnsi="Arial" w:cs="Arial"/>
                <w:bCs/>
                <w:lang w:eastAsia="en-US"/>
              </w:rPr>
            </w:pPr>
            <w:r w:rsidRPr="00335CE4">
              <w:rPr>
                <w:rFonts w:ascii="Arial" w:hAnsi="Arial" w:cs="Arial"/>
                <w:bCs/>
                <w:lang w:eastAsia="en-US"/>
              </w:rPr>
              <w:t>1,15</w:t>
            </w:r>
            <w:r w:rsidR="00C32B3E" w:rsidRPr="00335CE4">
              <w:rPr>
                <w:rFonts w:ascii="Arial" w:hAnsi="Arial" w:cs="Arial"/>
                <w:bCs/>
                <w:lang w:eastAsia="en-US"/>
              </w:rPr>
              <w:t>6</w:t>
            </w:r>
          </w:p>
        </w:tc>
        <w:tc>
          <w:tcPr>
            <w:tcW w:w="2551" w:type="dxa"/>
            <w:tcBorders>
              <w:bottom w:val="nil"/>
            </w:tcBorders>
          </w:tcPr>
          <w:p w14:paraId="29F1DD12" w14:textId="0E3C219D" w:rsidR="00870B31" w:rsidRDefault="00870B31" w:rsidP="00FE506A">
            <w:pPr>
              <w:spacing w:line="360" w:lineRule="auto"/>
              <w:jc w:val="center"/>
              <w:rPr>
                <w:rFonts w:ascii="Arial" w:hAnsi="Arial" w:cs="Arial"/>
                <w:bCs/>
                <w:lang w:eastAsia="en-US"/>
              </w:rPr>
            </w:pPr>
            <w:r w:rsidRPr="00335CE4">
              <w:rPr>
                <w:rFonts w:ascii="Arial" w:hAnsi="Arial" w:cs="Arial"/>
                <w:bCs/>
                <w:lang w:eastAsia="en-US"/>
              </w:rPr>
              <w:t>1,268</w:t>
            </w:r>
          </w:p>
          <w:p w14:paraId="7AD85A23" w14:textId="77777777" w:rsidR="008C476E" w:rsidRPr="00335CE4" w:rsidRDefault="008C476E" w:rsidP="00FE506A">
            <w:pPr>
              <w:spacing w:line="360" w:lineRule="auto"/>
              <w:jc w:val="center"/>
              <w:rPr>
                <w:rFonts w:ascii="Arial" w:hAnsi="Arial" w:cs="Arial"/>
                <w:bCs/>
                <w:lang w:eastAsia="en-US"/>
              </w:rPr>
            </w:pPr>
          </w:p>
          <w:p w14:paraId="01C9BA1B" w14:textId="09C24C47" w:rsidR="00870B31" w:rsidRPr="00335CE4" w:rsidRDefault="00870B31" w:rsidP="00FE506A">
            <w:pPr>
              <w:spacing w:line="360" w:lineRule="auto"/>
              <w:jc w:val="center"/>
              <w:rPr>
                <w:rFonts w:ascii="Arial" w:hAnsi="Arial" w:cs="Arial"/>
                <w:bCs/>
                <w:lang w:eastAsia="en-US"/>
              </w:rPr>
            </w:pPr>
            <w:r w:rsidRPr="00335CE4">
              <w:rPr>
                <w:rFonts w:ascii="Arial" w:hAnsi="Arial" w:cs="Arial"/>
                <w:bCs/>
                <w:lang w:eastAsia="en-US"/>
              </w:rPr>
              <w:t>1,193</w:t>
            </w:r>
          </w:p>
        </w:tc>
        <w:tc>
          <w:tcPr>
            <w:tcW w:w="2835" w:type="dxa"/>
            <w:tcBorders>
              <w:bottom w:val="nil"/>
            </w:tcBorders>
          </w:tcPr>
          <w:p w14:paraId="60E711FD" w14:textId="076D1A4B" w:rsidR="00870B31" w:rsidRDefault="00870B31" w:rsidP="00EA4B41">
            <w:pPr>
              <w:spacing w:line="360" w:lineRule="auto"/>
              <w:jc w:val="center"/>
              <w:rPr>
                <w:rFonts w:ascii="Arial" w:hAnsi="Arial" w:cs="Arial"/>
                <w:bCs/>
                <w:lang w:eastAsia="en-US"/>
              </w:rPr>
            </w:pPr>
            <w:r w:rsidRPr="00335CE4">
              <w:rPr>
                <w:rFonts w:ascii="Arial" w:hAnsi="Arial" w:cs="Arial"/>
                <w:bCs/>
                <w:lang w:eastAsia="en-US"/>
              </w:rPr>
              <w:t>1,274</w:t>
            </w:r>
          </w:p>
          <w:p w14:paraId="77D15615" w14:textId="77777777" w:rsidR="008C476E" w:rsidRPr="00335CE4" w:rsidRDefault="008C476E" w:rsidP="00EA4B41">
            <w:pPr>
              <w:spacing w:line="360" w:lineRule="auto"/>
              <w:jc w:val="center"/>
              <w:rPr>
                <w:rFonts w:ascii="Arial" w:hAnsi="Arial" w:cs="Arial"/>
                <w:bCs/>
                <w:lang w:eastAsia="en-US"/>
              </w:rPr>
            </w:pPr>
          </w:p>
          <w:p w14:paraId="32F544FF" w14:textId="7EC15DBD" w:rsidR="00870B31" w:rsidRPr="00335CE4" w:rsidRDefault="00870B31" w:rsidP="00EA4B41">
            <w:pPr>
              <w:spacing w:line="360" w:lineRule="auto"/>
              <w:jc w:val="center"/>
              <w:rPr>
                <w:rFonts w:ascii="Arial" w:hAnsi="Arial" w:cs="Arial"/>
                <w:bCs/>
                <w:lang w:eastAsia="en-US"/>
              </w:rPr>
            </w:pPr>
            <w:r w:rsidRPr="00335CE4">
              <w:rPr>
                <w:rFonts w:ascii="Arial" w:hAnsi="Arial" w:cs="Arial"/>
                <w:bCs/>
                <w:lang w:eastAsia="en-US"/>
              </w:rPr>
              <w:t>1,166</w:t>
            </w:r>
          </w:p>
        </w:tc>
      </w:tr>
      <w:tr w:rsidR="003C3E9C" w14:paraId="0EA8B3FD" w14:textId="77777777" w:rsidTr="006D7408">
        <w:tc>
          <w:tcPr>
            <w:tcW w:w="2547" w:type="dxa"/>
            <w:tcBorders>
              <w:top w:val="nil"/>
            </w:tcBorders>
          </w:tcPr>
          <w:p w14:paraId="4E32F112" w14:textId="55F3B1D6" w:rsidR="00870B31" w:rsidRDefault="00870B31" w:rsidP="000845C9">
            <w:pPr>
              <w:spacing w:line="360" w:lineRule="auto"/>
              <w:ind w:left="-115"/>
              <w:rPr>
                <w:rFonts w:ascii="Arial" w:hAnsi="Arial" w:cs="Arial"/>
                <w:b/>
                <w:lang w:eastAsia="en-US"/>
              </w:rPr>
            </w:pPr>
          </w:p>
        </w:tc>
        <w:tc>
          <w:tcPr>
            <w:tcW w:w="2552" w:type="dxa"/>
            <w:tcBorders>
              <w:top w:val="nil"/>
            </w:tcBorders>
            <w:shd w:val="clear" w:color="auto" w:fill="EAF1DD" w:themeFill="accent3" w:themeFillTint="33"/>
          </w:tcPr>
          <w:p w14:paraId="6712C7C5" w14:textId="553D0551"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17654B">
              <w:rPr>
                <w:rFonts w:ascii="Arial" w:hAnsi="Arial" w:cs="Arial"/>
                <w:bCs/>
                <w:lang w:eastAsia="en-US"/>
              </w:rPr>
              <w:t xml:space="preserve"> - </w:t>
            </w:r>
            <w:r w:rsidRPr="00335CE4">
              <w:rPr>
                <w:rFonts w:ascii="Arial" w:hAnsi="Arial" w:cs="Arial"/>
                <w:bCs/>
                <w:lang w:eastAsia="en-US"/>
              </w:rPr>
              <w:t>5</w:t>
            </w:r>
            <w:r w:rsidR="00D71493" w:rsidRPr="00335CE4">
              <w:rPr>
                <w:rFonts w:ascii="Arial" w:hAnsi="Arial" w:cs="Arial"/>
                <w:bCs/>
                <w:lang w:eastAsia="en-US"/>
              </w:rPr>
              <w:t>6</w:t>
            </w:r>
            <w:r w:rsidRPr="00335CE4">
              <w:rPr>
                <w:rFonts w:ascii="Arial" w:hAnsi="Arial" w:cs="Arial"/>
                <w:bCs/>
                <w:lang w:eastAsia="en-US"/>
              </w:rPr>
              <w:t>%</w:t>
            </w:r>
          </w:p>
          <w:p w14:paraId="13570E38" w14:textId="68264F13"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17654B">
              <w:rPr>
                <w:rFonts w:ascii="Arial" w:hAnsi="Arial" w:cs="Arial"/>
                <w:bCs/>
                <w:lang w:eastAsia="en-US"/>
              </w:rPr>
              <w:t xml:space="preserve"> - </w:t>
            </w:r>
            <w:r w:rsidRPr="00335CE4">
              <w:rPr>
                <w:rFonts w:ascii="Arial" w:hAnsi="Arial" w:cs="Arial"/>
                <w:bCs/>
                <w:lang w:eastAsia="en-US"/>
              </w:rPr>
              <w:t>4</w:t>
            </w:r>
            <w:r w:rsidR="002C0BEE" w:rsidRPr="00335CE4">
              <w:rPr>
                <w:rFonts w:ascii="Arial" w:hAnsi="Arial" w:cs="Arial"/>
                <w:bCs/>
                <w:lang w:eastAsia="en-US"/>
              </w:rPr>
              <w:t>4</w:t>
            </w:r>
            <w:r w:rsidRPr="00335CE4">
              <w:rPr>
                <w:rFonts w:ascii="Arial" w:hAnsi="Arial" w:cs="Arial"/>
                <w:bCs/>
                <w:lang w:eastAsia="en-US"/>
              </w:rPr>
              <w:t>%</w:t>
            </w:r>
          </w:p>
        </w:tc>
        <w:tc>
          <w:tcPr>
            <w:tcW w:w="2551" w:type="dxa"/>
            <w:tcBorders>
              <w:top w:val="nil"/>
            </w:tcBorders>
          </w:tcPr>
          <w:p w14:paraId="0021E389" w14:textId="3486FBF9"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17654B">
              <w:rPr>
                <w:rFonts w:ascii="Arial" w:hAnsi="Arial" w:cs="Arial"/>
                <w:bCs/>
                <w:lang w:eastAsia="en-US"/>
              </w:rPr>
              <w:t xml:space="preserve"> - </w:t>
            </w:r>
            <w:r w:rsidRPr="00335CE4">
              <w:rPr>
                <w:rFonts w:ascii="Arial" w:hAnsi="Arial" w:cs="Arial"/>
                <w:bCs/>
                <w:lang w:eastAsia="en-US"/>
              </w:rPr>
              <w:t>5</w:t>
            </w:r>
            <w:r w:rsidR="00EF5111" w:rsidRPr="00335CE4">
              <w:rPr>
                <w:rFonts w:ascii="Arial" w:hAnsi="Arial" w:cs="Arial"/>
                <w:bCs/>
                <w:lang w:eastAsia="en-US"/>
              </w:rPr>
              <w:t>5</w:t>
            </w:r>
            <w:r w:rsidRPr="00335CE4">
              <w:rPr>
                <w:rFonts w:ascii="Arial" w:hAnsi="Arial" w:cs="Arial"/>
                <w:bCs/>
                <w:lang w:eastAsia="en-US"/>
              </w:rPr>
              <w:t>%</w:t>
            </w:r>
          </w:p>
          <w:p w14:paraId="0DC9232F" w14:textId="3C0B1A8E"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17654B">
              <w:rPr>
                <w:rFonts w:ascii="Arial" w:hAnsi="Arial" w:cs="Arial"/>
                <w:bCs/>
                <w:lang w:eastAsia="en-US"/>
              </w:rPr>
              <w:t xml:space="preserve"> - </w:t>
            </w:r>
            <w:r w:rsidRPr="00335CE4">
              <w:rPr>
                <w:rFonts w:ascii="Arial" w:hAnsi="Arial" w:cs="Arial"/>
                <w:bCs/>
                <w:lang w:eastAsia="en-US"/>
              </w:rPr>
              <w:t>4</w:t>
            </w:r>
            <w:r w:rsidR="00EF5111" w:rsidRPr="00335CE4">
              <w:rPr>
                <w:rFonts w:ascii="Arial" w:hAnsi="Arial" w:cs="Arial"/>
                <w:bCs/>
                <w:lang w:eastAsia="en-US"/>
              </w:rPr>
              <w:t>5</w:t>
            </w:r>
            <w:r w:rsidRPr="00335CE4">
              <w:rPr>
                <w:rFonts w:ascii="Arial" w:hAnsi="Arial" w:cs="Arial"/>
                <w:bCs/>
                <w:lang w:eastAsia="en-US"/>
              </w:rPr>
              <w:t>%</w:t>
            </w:r>
          </w:p>
        </w:tc>
        <w:tc>
          <w:tcPr>
            <w:tcW w:w="2835" w:type="dxa"/>
            <w:tcBorders>
              <w:top w:val="nil"/>
            </w:tcBorders>
          </w:tcPr>
          <w:p w14:paraId="4CF25B1B" w14:textId="43436807"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Pr="00335CE4">
              <w:rPr>
                <w:rFonts w:ascii="Arial" w:hAnsi="Arial" w:cs="Arial"/>
                <w:bCs/>
                <w:lang w:eastAsia="en-US"/>
              </w:rPr>
              <w:t>54%</w:t>
            </w:r>
          </w:p>
          <w:p w14:paraId="78577552" w14:textId="14DFFED7"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Pr="00335CE4">
              <w:rPr>
                <w:rFonts w:ascii="Arial" w:hAnsi="Arial" w:cs="Arial"/>
                <w:bCs/>
                <w:lang w:eastAsia="en-US"/>
              </w:rPr>
              <w:t>46%</w:t>
            </w:r>
          </w:p>
        </w:tc>
      </w:tr>
      <w:tr w:rsidR="00722032" w14:paraId="0E8A0924" w14:textId="77777777" w:rsidTr="006D7408">
        <w:tc>
          <w:tcPr>
            <w:tcW w:w="2547" w:type="dxa"/>
          </w:tcPr>
          <w:p w14:paraId="790D9E9D" w14:textId="4C4989B8" w:rsidR="00870B31" w:rsidRDefault="00870B31" w:rsidP="000845C9">
            <w:pPr>
              <w:spacing w:line="360" w:lineRule="auto"/>
              <w:ind w:left="-115"/>
              <w:rPr>
                <w:rFonts w:ascii="Arial" w:hAnsi="Arial" w:cs="Arial"/>
                <w:b/>
                <w:lang w:eastAsia="en-US"/>
              </w:rPr>
            </w:pPr>
            <w:r>
              <w:rPr>
                <w:rFonts w:ascii="Arial" w:hAnsi="Arial" w:cs="Arial"/>
                <w:b/>
                <w:lang w:eastAsia="en-US"/>
              </w:rPr>
              <w:t xml:space="preserve">Board </w:t>
            </w:r>
            <w:r w:rsidR="00877FE2">
              <w:rPr>
                <w:rStyle w:val="FootnoteReference"/>
                <w:rFonts w:ascii="Arial" w:hAnsi="Arial" w:cs="Arial"/>
                <w:b/>
                <w:lang w:eastAsia="en-US"/>
              </w:rPr>
              <w:footnoteReference w:id="17"/>
            </w:r>
          </w:p>
        </w:tc>
        <w:tc>
          <w:tcPr>
            <w:tcW w:w="2552" w:type="dxa"/>
            <w:shd w:val="clear" w:color="auto" w:fill="EAF1DD" w:themeFill="accent3" w:themeFillTint="33"/>
          </w:tcPr>
          <w:p w14:paraId="1F178892" w14:textId="0E5C8006"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001454AD" w:rsidRPr="00335CE4">
              <w:rPr>
                <w:rFonts w:ascii="Arial" w:hAnsi="Arial" w:cs="Arial"/>
                <w:bCs/>
                <w:lang w:eastAsia="en-US"/>
              </w:rPr>
              <w:t>45</w:t>
            </w:r>
            <w:r w:rsidRPr="00335CE4">
              <w:rPr>
                <w:rFonts w:ascii="Arial" w:hAnsi="Arial" w:cs="Arial"/>
                <w:bCs/>
                <w:lang w:eastAsia="en-US"/>
              </w:rPr>
              <w:t>%</w:t>
            </w:r>
          </w:p>
          <w:p w14:paraId="1A8AE599" w14:textId="2FAECBEE"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001454AD" w:rsidRPr="00335CE4">
              <w:rPr>
                <w:rFonts w:ascii="Arial" w:hAnsi="Arial" w:cs="Arial"/>
                <w:bCs/>
                <w:lang w:eastAsia="en-US"/>
              </w:rPr>
              <w:t>55</w:t>
            </w:r>
            <w:r w:rsidRPr="00335CE4">
              <w:rPr>
                <w:rFonts w:ascii="Arial" w:hAnsi="Arial" w:cs="Arial"/>
                <w:bCs/>
                <w:lang w:eastAsia="en-US"/>
              </w:rPr>
              <w:t>%</w:t>
            </w:r>
          </w:p>
        </w:tc>
        <w:tc>
          <w:tcPr>
            <w:tcW w:w="2551" w:type="dxa"/>
          </w:tcPr>
          <w:p w14:paraId="0CF744F3" w14:textId="77707544"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Pr="00335CE4">
              <w:rPr>
                <w:rFonts w:ascii="Arial" w:hAnsi="Arial" w:cs="Arial"/>
                <w:bCs/>
                <w:lang w:eastAsia="en-US"/>
              </w:rPr>
              <w:t>36%</w:t>
            </w:r>
          </w:p>
          <w:p w14:paraId="5D96DC19" w14:textId="6740439D"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Pr="00335CE4">
              <w:rPr>
                <w:rFonts w:ascii="Arial" w:hAnsi="Arial" w:cs="Arial"/>
                <w:bCs/>
                <w:lang w:eastAsia="en-US"/>
              </w:rPr>
              <w:t>64%</w:t>
            </w:r>
          </w:p>
        </w:tc>
        <w:tc>
          <w:tcPr>
            <w:tcW w:w="2835" w:type="dxa"/>
          </w:tcPr>
          <w:p w14:paraId="043205FF" w14:textId="7DB60B75"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Pr="00335CE4">
              <w:rPr>
                <w:rFonts w:ascii="Arial" w:hAnsi="Arial" w:cs="Arial"/>
                <w:bCs/>
                <w:lang w:eastAsia="en-US"/>
              </w:rPr>
              <w:t>36%</w:t>
            </w:r>
          </w:p>
          <w:p w14:paraId="7F8689CA" w14:textId="79442C36"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Pr="00335CE4">
              <w:rPr>
                <w:rFonts w:ascii="Arial" w:hAnsi="Arial" w:cs="Arial"/>
                <w:bCs/>
                <w:lang w:eastAsia="en-US"/>
              </w:rPr>
              <w:t>64%</w:t>
            </w:r>
          </w:p>
        </w:tc>
      </w:tr>
      <w:tr w:rsidR="00722032" w14:paraId="168295DD" w14:textId="77777777" w:rsidTr="006D7408">
        <w:tc>
          <w:tcPr>
            <w:tcW w:w="2547" w:type="dxa"/>
          </w:tcPr>
          <w:p w14:paraId="608D7142" w14:textId="1E8DD259" w:rsidR="00870B31" w:rsidRDefault="00DF5B1C" w:rsidP="000845C9">
            <w:pPr>
              <w:spacing w:line="360" w:lineRule="auto"/>
              <w:ind w:left="-115"/>
              <w:rPr>
                <w:rFonts w:ascii="Arial" w:hAnsi="Arial" w:cs="Arial"/>
                <w:b/>
                <w:lang w:eastAsia="en-US"/>
              </w:rPr>
            </w:pPr>
            <w:r>
              <w:rPr>
                <w:rFonts w:ascii="Arial" w:hAnsi="Arial" w:cs="Arial"/>
                <w:b/>
                <w:lang w:eastAsia="en-US"/>
              </w:rPr>
              <w:t xml:space="preserve">Agency </w:t>
            </w:r>
            <w:r w:rsidR="00870B31">
              <w:rPr>
                <w:rFonts w:ascii="Arial" w:hAnsi="Arial" w:cs="Arial"/>
                <w:b/>
                <w:lang w:eastAsia="en-US"/>
              </w:rPr>
              <w:t>Management Team</w:t>
            </w:r>
          </w:p>
        </w:tc>
        <w:tc>
          <w:tcPr>
            <w:tcW w:w="2552" w:type="dxa"/>
            <w:shd w:val="clear" w:color="auto" w:fill="EAF1DD" w:themeFill="accent3" w:themeFillTint="33"/>
          </w:tcPr>
          <w:p w14:paraId="15358AA9" w14:textId="24EF9B60"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w:t>
            </w:r>
            <w:r w:rsidR="000531A8">
              <w:rPr>
                <w:rFonts w:ascii="Arial" w:hAnsi="Arial" w:cs="Arial"/>
                <w:bCs/>
                <w:lang w:eastAsia="en-US"/>
              </w:rPr>
              <w:t xml:space="preserve">e - </w:t>
            </w:r>
            <w:r w:rsidR="004E0613" w:rsidRPr="00335CE4">
              <w:rPr>
                <w:rFonts w:ascii="Arial" w:hAnsi="Arial" w:cs="Arial"/>
                <w:bCs/>
                <w:lang w:eastAsia="en-US"/>
              </w:rPr>
              <w:t>29</w:t>
            </w:r>
            <w:r w:rsidRPr="00335CE4">
              <w:rPr>
                <w:rFonts w:ascii="Arial" w:hAnsi="Arial" w:cs="Arial"/>
                <w:bCs/>
                <w:lang w:eastAsia="en-US"/>
              </w:rPr>
              <w:t>%</w:t>
            </w:r>
          </w:p>
          <w:p w14:paraId="2D3EE03F" w14:textId="0216E23B"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009D28F6" w:rsidRPr="00335CE4">
              <w:rPr>
                <w:rFonts w:ascii="Arial" w:hAnsi="Arial" w:cs="Arial"/>
                <w:bCs/>
                <w:lang w:eastAsia="en-US"/>
              </w:rPr>
              <w:t>71</w:t>
            </w:r>
            <w:r w:rsidRPr="00335CE4">
              <w:rPr>
                <w:rFonts w:ascii="Arial" w:hAnsi="Arial" w:cs="Arial"/>
                <w:bCs/>
                <w:lang w:eastAsia="en-US"/>
              </w:rPr>
              <w:t>%</w:t>
            </w:r>
          </w:p>
        </w:tc>
        <w:tc>
          <w:tcPr>
            <w:tcW w:w="2551" w:type="dxa"/>
          </w:tcPr>
          <w:p w14:paraId="7CA63A6C" w14:textId="1423B6FF"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Pr="00335CE4">
              <w:rPr>
                <w:rFonts w:ascii="Arial" w:hAnsi="Arial" w:cs="Arial"/>
                <w:bCs/>
                <w:lang w:eastAsia="en-US"/>
              </w:rPr>
              <w:t>29%</w:t>
            </w:r>
          </w:p>
          <w:p w14:paraId="602DA09C" w14:textId="2B953A6A"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Male</w:t>
            </w:r>
            <w:r w:rsidR="000531A8">
              <w:rPr>
                <w:rFonts w:ascii="Arial" w:hAnsi="Arial" w:cs="Arial"/>
                <w:bCs/>
                <w:lang w:eastAsia="en-US"/>
              </w:rPr>
              <w:t xml:space="preserve"> - </w:t>
            </w:r>
            <w:r w:rsidR="009D28F6" w:rsidRPr="00335CE4">
              <w:rPr>
                <w:rFonts w:ascii="Arial" w:hAnsi="Arial" w:cs="Arial"/>
                <w:bCs/>
                <w:lang w:eastAsia="en-US"/>
              </w:rPr>
              <w:t>71</w:t>
            </w:r>
            <w:r w:rsidRPr="00335CE4">
              <w:rPr>
                <w:rFonts w:ascii="Arial" w:hAnsi="Arial" w:cs="Arial"/>
                <w:bCs/>
                <w:lang w:eastAsia="en-US"/>
              </w:rPr>
              <w:t>%</w:t>
            </w:r>
          </w:p>
        </w:tc>
        <w:tc>
          <w:tcPr>
            <w:tcW w:w="2835" w:type="dxa"/>
          </w:tcPr>
          <w:p w14:paraId="6C58695F" w14:textId="28035A1A"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Female</w:t>
            </w:r>
            <w:r w:rsidR="000531A8">
              <w:rPr>
                <w:rFonts w:ascii="Arial" w:hAnsi="Arial" w:cs="Arial"/>
                <w:bCs/>
                <w:lang w:eastAsia="en-US"/>
              </w:rPr>
              <w:t xml:space="preserve"> - </w:t>
            </w:r>
            <w:r w:rsidRPr="00335CE4">
              <w:rPr>
                <w:rFonts w:ascii="Arial" w:hAnsi="Arial" w:cs="Arial"/>
                <w:bCs/>
                <w:lang w:eastAsia="en-US"/>
              </w:rPr>
              <w:t>29%</w:t>
            </w:r>
          </w:p>
          <w:p w14:paraId="517764B3" w14:textId="356276D9"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Mal</w:t>
            </w:r>
            <w:r w:rsidR="000531A8">
              <w:rPr>
                <w:rFonts w:ascii="Arial" w:hAnsi="Arial" w:cs="Arial"/>
                <w:bCs/>
                <w:lang w:eastAsia="en-US"/>
              </w:rPr>
              <w:t xml:space="preserve">e - </w:t>
            </w:r>
            <w:r w:rsidR="009D28F6" w:rsidRPr="00335CE4">
              <w:rPr>
                <w:rFonts w:ascii="Arial" w:hAnsi="Arial" w:cs="Arial"/>
                <w:bCs/>
                <w:lang w:eastAsia="en-US"/>
              </w:rPr>
              <w:t>71</w:t>
            </w:r>
            <w:r w:rsidRPr="00335CE4">
              <w:rPr>
                <w:rFonts w:ascii="Arial" w:hAnsi="Arial" w:cs="Arial"/>
                <w:bCs/>
                <w:lang w:eastAsia="en-US"/>
              </w:rPr>
              <w:t>%</w:t>
            </w:r>
          </w:p>
        </w:tc>
      </w:tr>
      <w:tr w:rsidR="00722032" w14:paraId="6CC49038" w14:textId="77777777" w:rsidTr="006D7408">
        <w:tc>
          <w:tcPr>
            <w:tcW w:w="2547" w:type="dxa"/>
          </w:tcPr>
          <w:p w14:paraId="2ABBF3D0" w14:textId="7B3EBE0B" w:rsidR="00870B31" w:rsidRDefault="00870B31" w:rsidP="000845C9">
            <w:pPr>
              <w:spacing w:line="360" w:lineRule="auto"/>
              <w:ind w:left="-115"/>
              <w:rPr>
                <w:rFonts w:ascii="Arial" w:hAnsi="Arial" w:cs="Arial"/>
                <w:b/>
                <w:lang w:eastAsia="en-US"/>
              </w:rPr>
            </w:pPr>
            <w:r>
              <w:rPr>
                <w:rFonts w:ascii="Arial" w:hAnsi="Arial" w:cs="Arial"/>
                <w:b/>
                <w:lang w:eastAsia="en-US"/>
              </w:rPr>
              <w:t xml:space="preserve">Absence </w:t>
            </w:r>
            <w:r w:rsidR="00895917">
              <w:rPr>
                <w:rFonts w:ascii="Arial" w:hAnsi="Arial" w:cs="Arial"/>
                <w:b/>
                <w:lang w:eastAsia="en-US"/>
              </w:rPr>
              <w:t>r</w:t>
            </w:r>
            <w:r>
              <w:rPr>
                <w:rFonts w:ascii="Arial" w:hAnsi="Arial" w:cs="Arial"/>
                <w:b/>
                <w:lang w:eastAsia="en-US"/>
              </w:rPr>
              <w:t>ate</w:t>
            </w:r>
          </w:p>
        </w:tc>
        <w:tc>
          <w:tcPr>
            <w:tcW w:w="2552" w:type="dxa"/>
            <w:shd w:val="clear" w:color="auto" w:fill="EAF1DD" w:themeFill="accent3" w:themeFillTint="33"/>
          </w:tcPr>
          <w:p w14:paraId="078532B4" w14:textId="32B8C6F8"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1.99%</w:t>
            </w:r>
          </w:p>
        </w:tc>
        <w:tc>
          <w:tcPr>
            <w:tcW w:w="2551" w:type="dxa"/>
          </w:tcPr>
          <w:p w14:paraId="1BF6E973" w14:textId="5DCC4D46" w:rsidR="00870B31" w:rsidRPr="00335CE4" w:rsidRDefault="00870B31" w:rsidP="00870B31">
            <w:pPr>
              <w:spacing w:line="360" w:lineRule="auto"/>
              <w:jc w:val="center"/>
              <w:rPr>
                <w:rFonts w:ascii="Arial" w:hAnsi="Arial" w:cs="Arial"/>
                <w:bCs/>
                <w:lang w:eastAsia="en-US"/>
              </w:rPr>
            </w:pPr>
          </w:p>
        </w:tc>
        <w:tc>
          <w:tcPr>
            <w:tcW w:w="2835" w:type="dxa"/>
          </w:tcPr>
          <w:p w14:paraId="6A66B43F" w14:textId="4282E5DA" w:rsidR="00870B31" w:rsidRPr="00335CE4" w:rsidRDefault="00870B31" w:rsidP="00870B31">
            <w:pPr>
              <w:spacing w:line="360" w:lineRule="auto"/>
              <w:jc w:val="center"/>
              <w:rPr>
                <w:rFonts w:ascii="Arial" w:hAnsi="Arial" w:cs="Arial"/>
                <w:bCs/>
                <w:lang w:eastAsia="en-US"/>
              </w:rPr>
            </w:pPr>
            <w:r w:rsidRPr="00335CE4">
              <w:rPr>
                <w:rFonts w:ascii="Arial" w:hAnsi="Arial" w:cs="Arial"/>
                <w:bCs/>
                <w:lang w:eastAsia="en-US"/>
              </w:rPr>
              <w:t>4.28%</w:t>
            </w:r>
          </w:p>
        </w:tc>
      </w:tr>
      <w:tr w:rsidR="00722032" w14:paraId="4A400C19" w14:textId="77777777" w:rsidTr="006D7408">
        <w:tc>
          <w:tcPr>
            <w:tcW w:w="2547" w:type="dxa"/>
          </w:tcPr>
          <w:p w14:paraId="31725352" w14:textId="26C222FC" w:rsidR="00267AFE" w:rsidRDefault="00267AFE" w:rsidP="000845C9">
            <w:pPr>
              <w:spacing w:line="360" w:lineRule="auto"/>
              <w:ind w:left="-115"/>
              <w:rPr>
                <w:rFonts w:ascii="Arial" w:hAnsi="Arial" w:cs="Arial"/>
                <w:b/>
                <w:lang w:eastAsia="en-US"/>
              </w:rPr>
            </w:pPr>
            <w:r>
              <w:rPr>
                <w:rFonts w:ascii="Arial" w:hAnsi="Arial" w:cs="Arial"/>
                <w:b/>
                <w:lang w:eastAsia="en-US"/>
              </w:rPr>
              <w:t>Turnover</w:t>
            </w:r>
          </w:p>
        </w:tc>
        <w:tc>
          <w:tcPr>
            <w:tcW w:w="2552" w:type="dxa"/>
            <w:shd w:val="clear" w:color="auto" w:fill="EAF1DD" w:themeFill="accent3" w:themeFillTint="33"/>
          </w:tcPr>
          <w:p w14:paraId="09F32E4F" w14:textId="5EB19AB3" w:rsidR="00267AFE" w:rsidRPr="00335CE4" w:rsidRDefault="00685A29" w:rsidP="00870B31">
            <w:pPr>
              <w:spacing w:line="360" w:lineRule="auto"/>
              <w:jc w:val="center"/>
              <w:rPr>
                <w:rFonts w:ascii="Arial" w:hAnsi="Arial" w:cs="Arial"/>
                <w:bCs/>
                <w:lang w:eastAsia="en-US"/>
              </w:rPr>
            </w:pPr>
            <w:r w:rsidRPr="00335CE4">
              <w:rPr>
                <w:rFonts w:ascii="Arial" w:hAnsi="Arial" w:cs="Arial"/>
                <w:bCs/>
                <w:lang w:eastAsia="en-US"/>
              </w:rPr>
              <w:t>5.80%</w:t>
            </w:r>
          </w:p>
        </w:tc>
        <w:tc>
          <w:tcPr>
            <w:tcW w:w="2551" w:type="dxa"/>
          </w:tcPr>
          <w:p w14:paraId="5144450B" w14:textId="77777777" w:rsidR="00267AFE" w:rsidRPr="00335CE4" w:rsidRDefault="00267AFE" w:rsidP="00870B31">
            <w:pPr>
              <w:spacing w:line="360" w:lineRule="auto"/>
              <w:jc w:val="center"/>
              <w:rPr>
                <w:rFonts w:ascii="Arial" w:hAnsi="Arial" w:cs="Arial"/>
                <w:bCs/>
                <w:lang w:eastAsia="en-US"/>
              </w:rPr>
            </w:pPr>
          </w:p>
        </w:tc>
        <w:tc>
          <w:tcPr>
            <w:tcW w:w="2835" w:type="dxa"/>
          </w:tcPr>
          <w:p w14:paraId="4319A79D" w14:textId="77777777" w:rsidR="00267AFE" w:rsidRPr="00335CE4" w:rsidRDefault="00267AFE" w:rsidP="00870B31">
            <w:pPr>
              <w:spacing w:line="360" w:lineRule="auto"/>
              <w:jc w:val="center"/>
              <w:rPr>
                <w:rFonts w:ascii="Arial" w:hAnsi="Arial" w:cs="Arial"/>
                <w:bCs/>
                <w:lang w:eastAsia="en-US"/>
              </w:rPr>
            </w:pPr>
          </w:p>
        </w:tc>
      </w:tr>
    </w:tbl>
    <w:p w14:paraId="184E325D" w14:textId="77777777" w:rsidR="00280161" w:rsidRDefault="00280161" w:rsidP="00012BB3">
      <w:pPr>
        <w:spacing w:line="360" w:lineRule="auto"/>
        <w:ind w:left="-284"/>
        <w:rPr>
          <w:rFonts w:ascii="Arial" w:hAnsi="Arial" w:cs="Arial"/>
          <w:b/>
          <w:lang w:eastAsia="en-US"/>
        </w:rPr>
      </w:pPr>
    </w:p>
    <w:p w14:paraId="088FBAA2" w14:textId="71699AC1" w:rsidR="00280161" w:rsidRPr="00AE1F86" w:rsidRDefault="0036248D" w:rsidP="00012BB3">
      <w:pPr>
        <w:spacing w:line="360" w:lineRule="auto"/>
        <w:ind w:left="-284"/>
        <w:rPr>
          <w:rFonts w:ascii="Arial" w:hAnsi="Arial" w:cs="Arial"/>
          <w:bCs/>
          <w:lang w:eastAsia="en-US"/>
        </w:rPr>
      </w:pPr>
      <w:r w:rsidRPr="00AE1F86">
        <w:rPr>
          <w:rFonts w:ascii="Arial" w:hAnsi="Arial" w:cs="Arial"/>
          <w:bCs/>
          <w:lang w:eastAsia="en-US"/>
        </w:rPr>
        <w:t xml:space="preserve">Due to the </w:t>
      </w:r>
      <w:r w:rsidR="00787C4F" w:rsidRPr="00AE1F86">
        <w:rPr>
          <w:rFonts w:ascii="Arial" w:hAnsi="Arial" w:cs="Arial"/>
          <w:bCs/>
          <w:lang w:eastAsia="en-US"/>
        </w:rPr>
        <w:t>cyber-attack</w:t>
      </w:r>
      <w:r w:rsidRPr="00AE1F86">
        <w:rPr>
          <w:rFonts w:ascii="Arial" w:hAnsi="Arial" w:cs="Arial"/>
          <w:bCs/>
          <w:lang w:eastAsia="en-US"/>
        </w:rPr>
        <w:t xml:space="preserve"> in December 2020 and the loss of our staff</w:t>
      </w:r>
      <w:r w:rsidR="00132A7C" w:rsidRPr="00AE1F86">
        <w:rPr>
          <w:rFonts w:ascii="Arial" w:hAnsi="Arial" w:cs="Arial"/>
          <w:bCs/>
          <w:lang w:eastAsia="en-US"/>
        </w:rPr>
        <w:t xml:space="preserve"> records </w:t>
      </w:r>
      <w:r w:rsidR="0000602C" w:rsidRPr="00AE1F86">
        <w:rPr>
          <w:rFonts w:ascii="Arial" w:hAnsi="Arial" w:cs="Arial"/>
          <w:bCs/>
          <w:lang w:eastAsia="en-US"/>
        </w:rPr>
        <w:t xml:space="preserve">we could not report an absence or turnover rate in </w:t>
      </w:r>
      <w:r w:rsidR="000845C9">
        <w:rPr>
          <w:rFonts w:ascii="Arial" w:hAnsi="Arial" w:cs="Arial"/>
          <w:bCs/>
          <w:lang w:eastAsia="en-US"/>
        </w:rPr>
        <w:t>2020/21</w:t>
      </w:r>
      <w:r w:rsidR="004A7F11">
        <w:rPr>
          <w:rFonts w:ascii="Arial" w:hAnsi="Arial" w:cs="Arial"/>
          <w:bCs/>
          <w:lang w:eastAsia="en-US"/>
        </w:rPr>
        <w:t>.  The</w:t>
      </w:r>
      <w:r w:rsidR="00B850AB" w:rsidRPr="00AE1F86">
        <w:rPr>
          <w:rFonts w:ascii="Arial" w:hAnsi="Arial" w:cs="Arial"/>
          <w:bCs/>
          <w:lang w:eastAsia="en-US"/>
        </w:rPr>
        <w:t xml:space="preserve"> table above does not include agency staff.  In </w:t>
      </w:r>
      <w:r w:rsidR="000845C9">
        <w:rPr>
          <w:rFonts w:ascii="Arial" w:hAnsi="Arial" w:cs="Arial"/>
          <w:bCs/>
          <w:lang w:eastAsia="en-US"/>
        </w:rPr>
        <w:t>2021/22</w:t>
      </w:r>
      <w:r w:rsidR="00B850AB" w:rsidRPr="00AE1F86">
        <w:rPr>
          <w:rFonts w:ascii="Arial" w:hAnsi="Arial" w:cs="Arial"/>
          <w:bCs/>
          <w:lang w:eastAsia="en-US"/>
        </w:rPr>
        <w:t xml:space="preserve"> SEPA</w:t>
      </w:r>
      <w:r w:rsidR="00281922">
        <w:rPr>
          <w:rFonts w:ascii="Arial" w:hAnsi="Arial" w:cs="Arial"/>
          <w:bCs/>
          <w:lang w:eastAsia="en-US"/>
        </w:rPr>
        <w:t xml:space="preserve"> contracted</w:t>
      </w:r>
      <w:r w:rsidR="00B850AB" w:rsidRPr="00AE1F86">
        <w:rPr>
          <w:rFonts w:ascii="Arial" w:hAnsi="Arial" w:cs="Arial"/>
          <w:bCs/>
          <w:lang w:eastAsia="en-US"/>
        </w:rPr>
        <w:t xml:space="preserve"> </w:t>
      </w:r>
      <w:r w:rsidR="000C219C" w:rsidRPr="00AE1F86">
        <w:rPr>
          <w:rFonts w:ascii="Arial" w:hAnsi="Arial" w:cs="Arial"/>
          <w:bCs/>
          <w:lang w:eastAsia="en-US"/>
        </w:rPr>
        <w:t>13 agency staff</w:t>
      </w:r>
      <w:r w:rsidR="00D109B6" w:rsidRPr="00AE1F86">
        <w:rPr>
          <w:rFonts w:ascii="Arial" w:hAnsi="Arial" w:cs="Arial"/>
          <w:bCs/>
          <w:lang w:eastAsia="en-US"/>
        </w:rPr>
        <w:t>.</w:t>
      </w:r>
      <w:r w:rsidR="000C219C" w:rsidRPr="00AE1F86">
        <w:rPr>
          <w:rFonts w:ascii="Arial" w:hAnsi="Arial" w:cs="Arial"/>
          <w:bCs/>
          <w:lang w:eastAsia="en-US"/>
        </w:rPr>
        <w:t xml:space="preserve"> </w:t>
      </w:r>
    </w:p>
    <w:p w14:paraId="29389DAA" w14:textId="02F5555A" w:rsidR="001968EB" w:rsidRDefault="001968EB" w:rsidP="00012BB3">
      <w:pPr>
        <w:spacing w:line="360" w:lineRule="auto"/>
        <w:ind w:left="-284"/>
        <w:rPr>
          <w:rFonts w:ascii="Arial" w:hAnsi="Arial" w:cs="Arial"/>
          <w:b/>
          <w:lang w:eastAsia="en-US"/>
        </w:rPr>
      </w:pPr>
      <w:r>
        <w:rPr>
          <w:rFonts w:ascii="Arial" w:hAnsi="Arial" w:cs="Arial"/>
          <w:b/>
          <w:lang w:eastAsia="en-US"/>
        </w:rPr>
        <w:br w:type="page"/>
      </w:r>
    </w:p>
    <w:p w14:paraId="3A3F1DA5" w14:textId="5CCD09C0" w:rsidR="00937A93" w:rsidRPr="00E9310E" w:rsidRDefault="009325BF" w:rsidP="00937A93">
      <w:pPr>
        <w:pStyle w:val="Caption"/>
        <w:keepNext/>
        <w:ind w:left="-284"/>
        <w:rPr>
          <w:rFonts w:ascii="Arial" w:hAnsi="Arial" w:cs="Arial"/>
          <w:color w:val="000000" w:themeColor="text1"/>
          <w:sz w:val="24"/>
          <w:szCs w:val="24"/>
        </w:rPr>
      </w:pPr>
      <w:r w:rsidRPr="00431432">
        <w:rPr>
          <w:rFonts w:ascii="Arial" w:hAnsi="Arial" w:cs="Arial"/>
          <w:color w:val="000000" w:themeColor="text1"/>
          <w:sz w:val="24"/>
          <w:szCs w:val="24"/>
        </w:rPr>
        <w:lastRenderedPageBreak/>
        <w:t xml:space="preserve">Average </w:t>
      </w:r>
      <w:r w:rsidR="00937A93" w:rsidRPr="00431432">
        <w:rPr>
          <w:rFonts w:ascii="Arial" w:hAnsi="Arial" w:cs="Arial"/>
          <w:color w:val="000000" w:themeColor="text1"/>
          <w:sz w:val="24"/>
          <w:szCs w:val="24"/>
        </w:rPr>
        <w:t xml:space="preserve">Full Time Equivalent (FTE) employed </w:t>
      </w:r>
      <w:r w:rsidR="00477B0E" w:rsidRPr="00431432">
        <w:rPr>
          <w:rFonts w:ascii="Arial" w:hAnsi="Arial" w:cs="Arial"/>
          <w:color w:val="000000" w:themeColor="text1"/>
          <w:sz w:val="24"/>
          <w:szCs w:val="24"/>
        </w:rPr>
        <w:t>(subject to audit</w:t>
      </w:r>
      <w:r w:rsidR="00C12E10" w:rsidRPr="00431432">
        <w:rPr>
          <w:rFonts w:ascii="Arial" w:hAnsi="Arial" w:cs="Arial"/>
          <w:color w:val="000000" w:themeColor="text1"/>
          <w:sz w:val="24"/>
          <w:szCs w:val="24"/>
        </w:rPr>
        <w:t>)</w:t>
      </w:r>
    </w:p>
    <w:tbl>
      <w:tblPr>
        <w:tblW w:w="10761" w:type="dxa"/>
        <w:tblInd w:w="-426" w:type="dxa"/>
        <w:tblLook w:val="04A0" w:firstRow="1" w:lastRow="0" w:firstColumn="1" w:lastColumn="0" w:noHBand="0" w:noVBand="1"/>
      </w:tblPr>
      <w:tblGrid>
        <w:gridCol w:w="5088"/>
        <w:gridCol w:w="1744"/>
        <w:gridCol w:w="1059"/>
        <w:gridCol w:w="1435"/>
        <w:gridCol w:w="1435"/>
      </w:tblGrid>
      <w:tr w:rsidR="00722032" w:rsidRPr="00E26D69" w14:paraId="16E1CE3C" w14:textId="77777777" w:rsidTr="007F437E">
        <w:trPr>
          <w:trHeight w:val="1070"/>
        </w:trPr>
        <w:tc>
          <w:tcPr>
            <w:tcW w:w="4954" w:type="dxa"/>
          </w:tcPr>
          <w:p w14:paraId="226103D5" w14:textId="1C2074B8" w:rsidR="00937A93" w:rsidRPr="00E26D69" w:rsidRDefault="00937A93" w:rsidP="00CF1904">
            <w:pPr>
              <w:spacing w:line="360" w:lineRule="auto"/>
              <w:ind w:left="41"/>
              <w:rPr>
                <w:rFonts w:ascii="Arial" w:hAnsi="Arial" w:cs="Arial"/>
                <w:b/>
                <w:bCs/>
              </w:rPr>
            </w:pPr>
          </w:p>
        </w:tc>
        <w:tc>
          <w:tcPr>
            <w:tcW w:w="1698" w:type="dxa"/>
            <w:shd w:val="clear" w:color="auto" w:fill="EAF1DD" w:themeFill="accent3" w:themeFillTint="33"/>
          </w:tcPr>
          <w:p w14:paraId="7EDCC164" w14:textId="77777777" w:rsidR="00937A93" w:rsidRPr="00E26D69" w:rsidRDefault="00937A93" w:rsidP="00CF1904">
            <w:pPr>
              <w:spacing w:line="360" w:lineRule="auto"/>
              <w:ind w:left="41"/>
              <w:jc w:val="right"/>
              <w:rPr>
                <w:rFonts w:ascii="Arial" w:hAnsi="Arial" w:cs="Arial"/>
                <w:b/>
              </w:rPr>
            </w:pPr>
            <w:r w:rsidRPr="00E26D69">
              <w:rPr>
                <w:rFonts w:ascii="Arial" w:hAnsi="Arial" w:cs="Arial"/>
                <w:b/>
              </w:rPr>
              <w:t>Permanently employed staff</w:t>
            </w:r>
          </w:p>
        </w:tc>
        <w:tc>
          <w:tcPr>
            <w:tcW w:w="1031" w:type="dxa"/>
            <w:shd w:val="clear" w:color="auto" w:fill="EAF1DD" w:themeFill="accent3" w:themeFillTint="33"/>
          </w:tcPr>
          <w:p w14:paraId="75F41050" w14:textId="77777777" w:rsidR="00937A93" w:rsidRPr="00E26D69" w:rsidRDefault="00937A93" w:rsidP="00CF1904">
            <w:pPr>
              <w:spacing w:line="360" w:lineRule="auto"/>
              <w:ind w:left="41"/>
              <w:jc w:val="right"/>
              <w:rPr>
                <w:rFonts w:ascii="Arial" w:hAnsi="Arial" w:cs="Arial"/>
                <w:b/>
              </w:rPr>
            </w:pPr>
            <w:r w:rsidRPr="00E26D69">
              <w:rPr>
                <w:rFonts w:ascii="Arial" w:hAnsi="Arial" w:cs="Arial"/>
                <w:b/>
              </w:rPr>
              <w:t>Others</w:t>
            </w:r>
          </w:p>
        </w:tc>
        <w:tc>
          <w:tcPr>
            <w:tcW w:w="1397" w:type="dxa"/>
            <w:shd w:val="clear" w:color="auto" w:fill="EAF1DD" w:themeFill="accent3" w:themeFillTint="33"/>
          </w:tcPr>
          <w:p w14:paraId="2F22B7FD" w14:textId="77777777" w:rsidR="00937A93" w:rsidRPr="00E26D69" w:rsidRDefault="00937A93" w:rsidP="00CF1904">
            <w:pPr>
              <w:spacing w:line="360" w:lineRule="auto"/>
              <w:ind w:left="41"/>
              <w:jc w:val="right"/>
              <w:rPr>
                <w:rFonts w:ascii="Arial" w:hAnsi="Arial" w:cs="Arial"/>
                <w:b/>
                <w:bCs/>
              </w:rPr>
            </w:pPr>
            <w:r w:rsidRPr="00E26D69">
              <w:rPr>
                <w:rFonts w:ascii="Arial" w:hAnsi="Arial" w:cs="Arial"/>
                <w:b/>
                <w:bCs/>
              </w:rPr>
              <w:t>Year to 31 March 2</w:t>
            </w:r>
            <w:r>
              <w:rPr>
                <w:rFonts w:ascii="Arial" w:hAnsi="Arial" w:cs="Arial"/>
                <w:b/>
                <w:bCs/>
              </w:rPr>
              <w:t>022</w:t>
            </w:r>
          </w:p>
          <w:p w14:paraId="61F9202D" w14:textId="77777777" w:rsidR="00937A93" w:rsidRPr="00E26D69" w:rsidRDefault="00937A93" w:rsidP="00CF1904">
            <w:pPr>
              <w:spacing w:line="360" w:lineRule="auto"/>
              <w:ind w:left="41"/>
              <w:jc w:val="right"/>
              <w:rPr>
                <w:rFonts w:ascii="Arial" w:hAnsi="Arial" w:cs="Arial"/>
                <w:b/>
                <w:bCs/>
              </w:rPr>
            </w:pPr>
          </w:p>
        </w:tc>
        <w:tc>
          <w:tcPr>
            <w:tcW w:w="1397" w:type="dxa"/>
          </w:tcPr>
          <w:p w14:paraId="2D545230" w14:textId="77777777" w:rsidR="00937A93" w:rsidRPr="00E26D69" w:rsidRDefault="00937A93" w:rsidP="00CF1904">
            <w:pPr>
              <w:spacing w:line="360" w:lineRule="auto"/>
              <w:ind w:left="41"/>
              <w:jc w:val="right"/>
              <w:rPr>
                <w:rFonts w:ascii="Arial" w:hAnsi="Arial" w:cs="Arial"/>
                <w:b/>
                <w:bCs/>
              </w:rPr>
            </w:pPr>
            <w:r w:rsidRPr="00E26D69">
              <w:rPr>
                <w:rFonts w:ascii="Arial" w:hAnsi="Arial" w:cs="Arial"/>
                <w:b/>
                <w:bCs/>
              </w:rPr>
              <w:t>Year to 31 March 202</w:t>
            </w:r>
            <w:r>
              <w:rPr>
                <w:rFonts w:ascii="Arial" w:hAnsi="Arial" w:cs="Arial"/>
                <w:b/>
                <w:bCs/>
              </w:rPr>
              <w:t>1</w:t>
            </w:r>
            <w:r w:rsidRPr="00E26D69">
              <w:rPr>
                <w:rFonts w:ascii="Arial" w:hAnsi="Arial" w:cs="Arial"/>
                <w:b/>
                <w:bCs/>
              </w:rPr>
              <w:t xml:space="preserve">  </w:t>
            </w:r>
          </w:p>
        </w:tc>
      </w:tr>
      <w:tr w:rsidR="005A4491" w:rsidRPr="00E26D69" w14:paraId="18BB4DDE" w14:textId="77777777" w:rsidTr="007F437E">
        <w:trPr>
          <w:trHeight w:val="397"/>
        </w:trPr>
        <w:tc>
          <w:tcPr>
            <w:tcW w:w="4954" w:type="dxa"/>
          </w:tcPr>
          <w:p w14:paraId="6FB1A29E" w14:textId="77777777" w:rsidR="00937A93" w:rsidRPr="00E26D69" w:rsidRDefault="00937A93" w:rsidP="00CF1904">
            <w:pPr>
              <w:spacing w:line="360" w:lineRule="auto"/>
              <w:ind w:left="41"/>
              <w:rPr>
                <w:rFonts w:ascii="Arial" w:hAnsi="Arial" w:cs="Arial"/>
                <w:b/>
                <w:bCs/>
              </w:rPr>
            </w:pPr>
          </w:p>
        </w:tc>
        <w:tc>
          <w:tcPr>
            <w:tcW w:w="1698" w:type="dxa"/>
            <w:shd w:val="clear" w:color="auto" w:fill="EAF1DD" w:themeFill="accent3" w:themeFillTint="33"/>
            <w:vAlign w:val="center"/>
          </w:tcPr>
          <w:p w14:paraId="0CB88AE7" w14:textId="77777777" w:rsidR="00937A93" w:rsidRPr="00E26D69" w:rsidRDefault="00937A93" w:rsidP="00CF1904">
            <w:pPr>
              <w:spacing w:line="360" w:lineRule="auto"/>
              <w:ind w:left="41"/>
              <w:jc w:val="right"/>
              <w:rPr>
                <w:rFonts w:ascii="Arial" w:hAnsi="Arial" w:cs="Arial"/>
                <w:b/>
              </w:rPr>
            </w:pPr>
            <w:r w:rsidRPr="00E26D69">
              <w:rPr>
                <w:rFonts w:ascii="Arial" w:hAnsi="Arial" w:cs="Arial"/>
                <w:b/>
              </w:rPr>
              <w:t>FTE</w:t>
            </w:r>
          </w:p>
        </w:tc>
        <w:tc>
          <w:tcPr>
            <w:tcW w:w="1031" w:type="dxa"/>
            <w:shd w:val="clear" w:color="auto" w:fill="EAF1DD" w:themeFill="accent3" w:themeFillTint="33"/>
            <w:vAlign w:val="center"/>
          </w:tcPr>
          <w:p w14:paraId="1EB56B01" w14:textId="77777777" w:rsidR="00937A93" w:rsidRPr="00E26D69" w:rsidRDefault="00937A93" w:rsidP="00CF1904">
            <w:pPr>
              <w:spacing w:line="360" w:lineRule="auto"/>
              <w:ind w:left="41"/>
              <w:jc w:val="right"/>
              <w:rPr>
                <w:rFonts w:ascii="Arial" w:hAnsi="Arial" w:cs="Arial"/>
                <w:b/>
              </w:rPr>
            </w:pPr>
            <w:r w:rsidRPr="00E26D69">
              <w:rPr>
                <w:rFonts w:ascii="Arial" w:hAnsi="Arial" w:cs="Arial"/>
                <w:b/>
              </w:rPr>
              <w:t>FTE</w:t>
            </w:r>
          </w:p>
        </w:tc>
        <w:tc>
          <w:tcPr>
            <w:tcW w:w="1397" w:type="dxa"/>
            <w:shd w:val="clear" w:color="auto" w:fill="EAF1DD" w:themeFill="accent3" w:themeFillTint="33"/>
            <w:vAlign w:val="bottom"/>
          </w:tcPr>
          <w:p w14:paraId="30D6C9D9" w14:textId="77777777" w:rsidR="00937A93" w:rsidRPr="00E26D69" w:rsidRDefault="00937A93" w:rsidP="00CF1904">
            <w:pPr>
              <w:spacing w:line="360" w:lineRule="auto"/>
              <w:ind w:left="41"/>
              <w:jc w:val="right"/>
              <w:rPr>
                <w:rFonts w:ascii="Arial" w:hAnsi="Arial" w:cs="Arial"/>
                <w:b/>
                <w:bCs/>
              </w:rPr>
            </w:pPr>
            <w:r w:rsidRPr="00E26D69">
              <w:rPr>
                <w:rFonts w:ascii="Arial" w:hAnsi="Arial" w:cs="Arial"/>
                <w:b/>
                <w:bCs/>
              </w:rPr>
              <w:t>FTE</w:t>
            </w:r>
          </w:p>
        </w:tc>
        <w:tc>
          <w:tcPr>
            <w:tcW w:w="1397" w:type="dxa"/>
            <w:vAlign w:val="center"/>
          </w:tcPr>
          <w:p w14:paraId="3B0A646C" w14:textId="77777777" w:rsidR="00937A93" w:rsidRPr="00E26D69" w:rsidRDefault="00937A93" w:rsidP="00CF1904">
            <w:pPr>
              <w:spacing w:line="360" w:lineRule="auto"/>
              <w:ind w:left="41"/>
              <w:jc w:val="right"/>
              <w:rPr>
                <w:rFonts w:ascii="Arial" w:hAnsi="Arial" w:cs="Arial"/>
                <w:b/>
                <w:bCs/>
              </w:rPr>
            </w:pPr>
            <w:r w:rsidRPr="00E26D69">
              <w:rPr>
                <w:rFonts w:ascii="Arial" w:hAnsi="Arial" w:cs="Arial"/>
                <w:b/>
                <w:bCs/>
              </w:rPr>
              <w:t>FTE</w:t>
            </w:r>
          </w:p>
        </w:tc>
      </w:tr>
      <w:tr w:rsidR="005A4491" w:rsidRPr="00E26D69" w14:paraId="256F99A4" w14:textId="77777777" w:rsidTr="007F437E">
        <w:trPr>
          <w:trHeight w:val="397"/>
        </w:trPr>
        <w:tc>
          <w:tcPr>
            <w:tcW w:w="4954" w:type="dxa"/>
            <w:vAlign w:val="bottom"/>
          </w:tcPr>
          <w:p w14:paraId="64A6EDD3" w14:textId="77777777" w:rsidR="00937A93" w:rsidRPr="00E26D69" w:rsidRDefault="00937A93" w:rsidP="00CF1904">
            <w:pPr>
              <w:spacing w:line="360" w:lineRule="auto"/>
              <w:ind w:left="34"/>
              <w:rPr>
                <w:rFonts w:ascii="Arial" w:hAnsi="Arial" w:cs="Arial"/>
              </w:rPr>
            </w:pPr>
            <w:r w:rsidRPr="121466EA">
              <w:rPr>
                <w:rFonts w:ascii="Arial" w:hAnsi="Arial" w:cs="Arial"/>
              </w:rPr>
              <w:t>Average FTE</w:t>
            </w:r>
          </w:p>
        </w:tc>
        <w:tc>
          <w:tcPr>
            <w:tcW w:w="1698" w:type="dxa"/>
            <w:shd w:val="clear" w:color="auto" w:fill="EAF1DD" w:themeFill="accent3" w:themeFillTint="33"/>
            <w:noWrap/>
            <w:vAlign w:val="bottom"/>
          </w:tcPr>
          <w:p w14:paraId="72FEAFFC" w14:textId="4312977A" w:rsidR="00937A93" w:rsidRPr="0006587E" w:rsidRDefault="00937A93" w:rsidP="00CF1904">
            <w:pPr>
              <w:spacing w:line="360" w:lineRule="auto"/>
              <w:ind w:left="41"/>
              <w:jc w:val="right"/>
              <w:rPr>
                <w:rFonts w:ascii="Arial" w:hAnsi="Arial" w:cs="Arial"/>
              </w:rPr>
            </w:pPr>
            <w:r w:rsidRPr="0006587E">
              <w:rPr>
                <w:rFonts w:ascii="Arial" w:hAnsi="Arial" w:cs="Arial"/>
              </w:rPr>
              <w:t>1,1</w:t>
            </w:r>
            <w:r w:rsidR="002F1286">
              <w:rPr>
                <w:rFonts w:ascii="Arial" w:hAnsi="Arial" w:cs="Arial"/>
              </w:rPr>
              <w:t>55</w:t>
            </w:r>
          </w:p>
        </w:tc>
        <w:tc>
          <w:tcPr>
            <w:tcW w:w="1031" w:type="dxa"/>
            <w:shd w:val="clear" w:color="auto" w:fill="EAF1DD" w:themeFill="accent3" w:themeFillTint="33"/>
            <w:noWrap/>
            <w:vAlign w:val="bottom"/>
          </w:tcPr>
          <w:p w14:paraId="2FB24BD0" w14:textId="222E2C4D" w:rsidR="00937A93" w:rsidRPr="0006587E" w:rsidRDefault="002F1286" w:rsidP="00CF1904">
            <w:pPr>
              <w:spacing w:line="360" w:lineRule="auto"/>
              <w:ind w:left="41"/>
              <w:jc w:val="right"/>
              <w:rPr>
                <w:rFonts w:ascii="Arial" w:hAnsi="Arial" w:cs="Arial"/>
              </w:rPr>
            </w:pPr>
            <w:r>
              <w:rPr>
                <w:rFonts w:ascii="Arial" w:hAnsi="Arial" w:cs="Arial"/>
              </w:rPr>
              <w:t>6</w:t>
            </w:r>
          </w:p>
        </w:tc>
        <w:tc>
          <w:tcPr>
            <w:tcW w:w="1397" w:type="dxa"/>
            <w:shd w:val="clear" w:color="auto" w:fill="EAF1DD" w:themeFill="accent3" w:themeFillTint="33"/>
            <w:vAlign w:val="bottom"/>
          </w:tcPr>
          <w:p w14:paraId="66132860" w14:textId="51E5A46D" w:rsidR="00937A93" w:rsidRPr="00445CE9" w:rsidRDefault="00445CE9" w:rsidP="00CF1904">
            <w:pPr>
              <w:spacing w:line="360" w:lineRule="auto"/>
              <w:ind w:left="41"/>
              <w:jc w:val="right"/>
              <w:rPr>
                <w:rFonts w:ascii="Arial" w:hAnsi="Arial" w:cs="Arial"/>
              </w:rPr>
            </w:pPr>
            <w:r w:rsidRPr="00445CE9">
              <w:rPr>
                <w:rFonts w:ascii="Arial" w:hAnsi="Arial" w:cs="Arial"/>
              </w:rPr>
              <w:t>1,161</w:t>
            </w:r>
          </w:p>
        </w:tc>
        <w:tc>
          <w:tcPr>
            <w:tcW w:w="1397" w:type="dxa"/>
            <w:vAlign w:val="bottom"/>
          </w:tcPr>
          <w:p w14:paraId="0800E576" w14:textId="77777777" w:rsidR="00937A93" w:rsidRPr="00E26D69" w:rsidRDefault="00937A93" w:rsidP="00CF1904">
            <w:pPr>
              <w:spacing w:line="360" w:lineRule="auto"/>
              <w:ind w:left="41"/>
              <w:jc w:val="right"/>
              <w:rPr>
                <w:rFonts w:ascii="Arial" w:hAnsi="Arial" w:cs="Arial"/>
              </w:rPr>
            </w:pPr>
            <w:r>
              <w:rPr>
                <w:rFonts w:ascii="Arial" w:hAnsi="Arial" w:cs="Arial"/>
              </w:rPr>
              <w:t>1,194</w:t>
            </w:r>
          </w:p>
        </w:tc>
      </w:tr>
      <w:tr w:rsidR="00EF6BF1" w:rsidRPr="00E26D69" w14:paraId="0AF6F8D1" w14:textId="77777777" w:rsidTr="007F437E">
        <w:trPr>
          <w:trHeight w:val="340"/>
        </w:trPr>
        <w:tc>
          <w:tcPr>
            <w:tcW w:w="4954" w:type="dxa"/>
            <w:tcBorders>
              <w:left w:val="nil"/>
              <w:right w:val="nil"/>
            </w:tcBorders>
            <w:vAlign w:val="bottom"/>
          </w:tcPr>
          <w:p w14:paraId="4565DDC7" w14:textId="77777777" w:rsidR="00937A93" w:rsidRPr="00E26D69" w:rsidRDefault="00937A93" w:rsidP="00CF1904">
            <w:pPr>
              <w:spacing w:line="360" w:lineRule="auto"/>
              <w:ind w:left="42" w:hanging="42"/>
              <w:jc w:val="both"/>
              <w:rPr>
                <w:rFonts w:ascii="Arial" w:hAnsi="Arial" w:cs="Arial"/>
              </w:rPr>
            </w:pPr>
          </w:p>
        </w:tc>
        <w:tc>
          <w:tcPr>
            <w:tcW w:w="1698" w:type="dxa"/>
            <w:tcBorders>
              <w:top w:val="single" w:sz="4" w:space="0" w:color="auto"/>
              <w:left w:val="nil"/>
              <w:bottom w:val="double" w:sz="4" w:space="0" w:color="auto"/>
              <w:right w:val="nil"/>
            </w:tcBorders>
            <w:shd w:val="clear" w:color="auto" w:fill="EAF1DD" w:themeFill="accent3" w:themeFillTint="33"/>
            <w:noWrap/>
            <w:vAlign w:val="bottom"/>
          </w:tcPr>
          <w:p w14:paraId="6FF9F3C8" w14:textId="35286106" w:rsidR="00937A93" w:rsidRPr="0006587E" w:rsidRDefault="00937A93" w:rsidP="00CF1904">
            <w:pPr>
              <w:spacing w:line="360" w:lineRule="auto"/>
              <w:jc w:val="right"/>
              <w:rPr>
                <w:rFonts w:ascii="Arial" w:hAnsi="Arial" w:cs="Arial"/>
                <w:b/>
                <w:bCs/>
              </w:rPr>
            </w:pPr>
            <w:r w:rsidRPr="0006587E">
              <w:rPr>
                <w:rFonts w:ascii="Arial" w:hAnsi="Arial" w:cs="Arial"/>
                <w:b/>
                <w:bCs/>
              </w:rPr>
              <w:t>1,1</w:t>
            </w:r>
            <w:r w:rsidR="002F1286">
              <w:rPr>
                <w:rFonts w:ascii="Arial" w:hAnsi="Arial" w:cs="Arial"/>
                <w:b/>
                <w:bCs/>
              </w:rPr>
              <w:t>55</w:t>
            </w:r>
          </w:p>
        </w:tc>
        <w:tc>
          <w:tcPr>
            <w:tcW w:w="1031" w:type="dxa"/>
            <w:tcBorders>
              <w:top w:val="single" w:sz="4" w:space="0" w:color="auto"/>
              <w:left w:val="nil"/>
              <w:bottom w:val="double" w:sz="4" w:space="0" w:color="auto"/>
              <w:right w:val="nil"/>
            </w:tcBorders>
            <w:shd w:val="clear" w:color="auto" w:fill="EAF1DD" w:themeFill="accent3" w:themeFillTint="33"/>
            <w:noWrap/>
            <w:vAlign w:val="bottom"/>
          </w:tcPr>
          <w:p w14:paraId="630A2D59" w14:textId="61C13E4F" w:rsidR="00937A93" w:rsidRPr="0006587E" w:rsidRDefault="002F1286" w:rsidP="00CF1904">
            <w:pPr>
              <w:spacing w:line="360" w:lineRule="auto"/>
              <w:jc w:val="right"/>
              <w:rPr>
                <w:rFonts w:ascii="Arial" w:hAnsi="Arial" w:cs="Arial"/>
                <w:b/>
                <w:bCs/>
              </w:rPr>
            </w:pPr>
            <w:r>
              <w:rPr>
                <w:rFonts w:ascii="Arial" w:hAnsi="Arial" w:cs="Arial"/>
                <w:b/>
                <w:bCs/>
              </w:rPr>
              <w:t>6</w:t>
            </w:r>
          </w:p>
        </w:tc>
        <w:tc>
          <w:tcPr>
            <w:tcW w:w="1397" w:type="dxa"/>
            <w:tcBorders>
              <w:top w:val="single" w:sz="4" w:space="0" w:color="auto"/>
              <w:left w:val="nil"/>
              <w:bottom w:val="double" w:sz="4" w:space="0" w:color="auto"/>
              <w:right w:val="nil"/>
            </w:tcBorders>
            <w:shd w:val="clear" w:color="auto" w:fill="EAF1DD" w:themeFill="accent3" w:themeFillTint="33"/>
            <w:vAlign w:val="bottom"/>
          </w:tcPr>
          <w:p w14:paraId="187AAC8A" w14:textId="1DC6BDFE" w:rsidR="00937A93" w:rsidRPr="00445CE9" w:rsidRDefault="00445CE9" w:rsidP="00CF1904">
            <w:pPr>
              <w:spacing w:line="360" w:lineRule="auto"/>
              <w:jc w:val="right"/>
              <w:rPr>
                <w:rFonts w:ascii="Arial" w:hAnsi="Arial" w:cs="Arial"/>
                <w:b/>
                <w:bCs/>
              </w:rPr>
            </w:pPr>
            <w:r w:rsidRPr="00445CE9">
              <w:rPr>
                <w:rFonts w:ascii="Arial" w:hAnsi="Arial" w:cs="Arial"/>
                <w:b/>
                <w:bCs/>
              </w:rPr>
              <w:t>1,161</w:t>
            </w:r>
          </w:p>
        </w:tc>
        <w:tc>
          <w:tcPr>
            <w:tcW w:w="1397" w:type="dxa"/>
            <w:tcBorders>
              <w:top w:val="single" w:sz="4" w:space="0" w:color="auto"/>
              <w:left w:val="nil"/>
              <w:bottom w:val="double" w:sz="4" w:space="0" w:color="auto"/>
              <w:right w:val="nil"/>
            </w:tcBorders>
            <w:vAlign w:val="bottom"/>
          </w:tcPr>
          <w:p w14:paraId="3539F19E" w14:textId="77777777" w:rsidR="00937A93" w:rsidRPr="0048787F" w:rsidRDefault="00937A93" w:rsidP="00CF1904">
            <w:pPr>
              <w:spacing w:line="360" w:lineRule="auto"/>
              <w:jc w:val="right"/>
              <w:rPr>
                <w:rFonts w:ascii="Arial" w:hAnsi="Arial" w:cs="Arial"/>
                <w:b/>
                <w:bCs/>
              </w:rPr>
            </w:pPr>
            <w:r w:rsidRPr="0048787F">
              <w:rPr>
                <w:rFonts w:ascii="Arial" w:hAnsi="Arial" w:cs="Arial"/>
                <w:b/>
                <w:bCs/>
              </w:rPr>
              <w:t>1,</w:t>
            </w:r>
            <w:r>
              <w:rPr>
                <w:rFonts w:ascii="Arial" w:hAnsi="Arial" w:cs="Arial"/>
                <w:b/>
                <w:bCs/>
              </w:rPr>
              <w:t>194</w:t>
            </w:r>
          </w:p>
        </w:tc>
      </w:tr>
    </w:tbl>
    <w:p w14:paraId="4405745C" w14:textId="77777777" w:rsidR="000E376F" w:rsidRDefault="000E376F" w:rsidP="00A8204F">
      <w:pPr>
        <w:spacing w:line="360" w:lineRule="auto"/>
        <w:rPr>
          <w:rFonts w:ascii="Arial" w:hAnsi="Arial" w:cs="Arial"/>
          <w:b/>
          <w:lang w:eastAsia="en-US"/>
        </w:rPr>
      </w:pPr>
    </w:p>
    <w:p w14:paraId="7EE24080" w14:textId="77777777" w:rsidR="00061EFF" w:rsidRDefault="00061EFF" w:rsidP="00431432">
      <w:pPr>
        <w:spacing w:line="360" w:lineRule="auto"/>
        <w:rPr>
          <w:rFonts w:ascii="Arial" w:hAnsi="Arial" w:cs="Arial"/>
          <w:b/>
          <w:lang w:eastAsia="en-US"/>
        </w:rPr>
      </w:pPr>
    </w:p>
    <w:p w14:paraId="63A59E37" w14:textId="56511011" w:rsidR="000E376F" w:rsidRDefault="000E376F" w:rsidP="00012BB3">
      <w:pPr>
        <w:spacing w:line="360" w:lineRule="auto"/>
        <w:ind w:left="-284"/>
        <w:rPr>
          <w:rFonts w:ascii="Arial" w:hAnsi="Arial" w:cs="Arial"/>
          <w:b/>
          <w:lang w:eastAsia="en-US"/>
        </w:rPr>
      </w:pPr>
      <w:r>
        <w:rPr>
          <w:rFonts w:ascii="Arial" w:hAnsi="Arial" w:cs="Arial"/>
          <w:b/>
          <w:lang w:eastAsia="en-US"/>
        </w:rPr>
        <w:t xml:space="preserve">Headcount </w:t>
      </w:r>
      <w:r w:rsidR="004B480D">
        <w:rPr>
          <w:rFonts w:ascii="Arial" w:hAnsi="Arial" w:cs="Arial"/>
          <w:b/>
          <w:lang w:eastAsia="en-US"/>
        </w:rPr>
        <w:t>b</w:t>
      </w:r>
      <w:r>
        <w:rPr>
          <w:rFonts w:ascii="Arial" w:hAnsi="Arial" w:cs="Arial"/>
          <w:b/>
          <w:lang w:eastAsia="en-US"/>
        </w:rPr>
        <w:t xml:space="preserve">y </w:t>
      </w:r>
      <w:r w:rsidR="004B480D">
        <w:rPr>
          <w:rFonts w:ascii="Arial" w:hAnsi="Arial" w:cs="Arial"/>
          <w:b/>
          <w:lang w:eastAsia="en-US"/>
        </w:rPr>
        <w:t>g</w:t>
      </w:r>
      <w:r>
        <w:rPr>
          <w:rFonts w:ascii="Arial" w:hAnsi="Arial" w:cs="Arial"/>
          <w:b/>
          <w:lang w:eastAsia="en-US"/>
        </w:rPr>
        <w:t>rade</w:t>
      </w:r>
    </w:p>
    <w:tbl>
      <w:tblPr>
        <w:tblW w:w="10489" w:type="dxa"/>
        <w:tblInd w:w="-284" w:type="dxa"/>
        <w:tblLook w:val="04A0" w:firstRow="1" w:lastRow="0" w:firstColumn="1" w:lastColumn="0" w:noHBand="0" w:noVBand="1"/>
      </w:tblPr>
      <w:tblGrid>
        <w:gridCol w:w="3686"/>
        <w:gridCol w:w="2551"/>
        <w:gridCol w:w="2126"/>
        <w:gridCol w:w="2126"/>
      </w:tblGrid>
      <w:tr w:rsidR="001240C6" w:rsidRPr="00E26D69" w14:paraId="065A54F1" w14:textId="77777777" w:rsidTr="004D0C84">
        <w:trPr>
          <w:trHeight w:val="340"/>
        </w:trPr>
        <w:tc>
          <w:tcPr>
            <w:tcW w:w="3686" w:type="dxa"/>
            <w:tcBorders>
              <w:top w:val="nil"/>
              <w:left w:val="nil"/>
              <w:bottom w:val="nil"/>
              <w:right w:val="nil"/>
            </w:tcBorders>
            <w:noWrap/>
            <w:vAlign w:val="bottom"/>
            <w:hideMark/>
          </w:tcPr>
          <w:p w14:paraId="7446CCC2" w14:textId="77777777" w:rsidR="00BE0312" w:rsidRPr="00E26D69" w:rsidRDefault="00BE0312" w:rsidP="00CF1904">
            <w:pPr>
              <w:spacing w:line="360" w:lineRule="auto"/>
              <w:jc w:val="right"/>
              <w:rPr>
                <w:rFonts w:ascii="Arial" w:hAnsi="Arial" w:cs="Arial"/>
              </w:rPr>
            </w:pPr>
          </w:p>
        </w:tc>
        <w:tc>
          <w:tcPr>
            <w:tcW w:w="2551" w:type="dxa"/>
            <w:tcBorders>
              <w:top w:val="nil"/>
              <w:left w:val="nil"/>
              <w:bottom w:val="nil"/>
              <w:right w:val="nil"/>
            </w:tcBorders>
            <w:noWrap/>
            <w:vAlign w:val="bottom"/>
            <w:hideMark/>
          </w:tcPr>
          <w:p w14:paraId="5B2A36C5" w14:textId="77777777" w:rsidR="00BE0312" w:rsidRPr="00E26D69" w:rsidRDefault="00BE0312" w:rsidP="00CF1904">
            <w:pPr>
              <w:spacing w:line="360" w:lineRule="auto"/>
              <w:rPr>
                <w:rFonts w:ascii="Arial" w:hAnsi="Arial" w:cs="Arial"/>
              </w:rPr>
            </w:pPr>
          </w:p>
        </w:tc>
        <w:tc>
          <w:tcPr>
            <w:tcW w:w="2126" w:type="dxa"/>
            <w:tcBorders>
              <w:top w:val="nil"/>
              <w:left w:val="nil"/>
              <w:bottom w:val="nil"/>
              <w:right w:val="nil"/>
            </w:tcBorders>
            <w:shd w:val="clear" w:color="auto" w:fill="EAF1DD" w:themeFill="accent3" w:themeFillTint="33"/>
            <w:vAlign w:val="bottom"/>
          </w:tcPr>
          <w:p w14:paraId="7D840CFD" w14:textId="77777777" w:rsidR="00BE0312" w:rsidRPr="00E26D69" w:rsidRDefault="00BE0312" w:rsidP="00CF1904">
            <w:pPr>
              <w:spacing w:line="360" w:lineRule="auto"/>
              <w:jc w:val="right"/>
              <w:rPr>
                <w:rFonts w:ascii="Arial" w:hAnsi="Arial" w:cs="Arial"/>
                <w:b/>
              </w:rPr>
            </w:pPr>
            <w:r w:rsidRPr="00E26D69">
              <w:rPr>
                <w:rFonts w:ascii="Arial" w:hAnsi="Arial" w:cs="Arial"/>
                <w:b/>
                <w:bCs/>
              </w:rPr>
              <w:t xml:space="preserve">Number of staff </w:t>
            </w:r>
          </w:p>
        </w:tc>
        <w:tc>
          <w:tcPr>
            <w:tcW w:w="2126" w:type="dxa"/>
            <w:tcBorders>
              <w:top w:val="nil"/>
              <w:left w:val="nil"/>
              <w:bottom w:val="nil"/>
              <w:right w:val="nil"/>
            </w:tcBorders>
            <w:vAlign w:val="bottom"/>
          </w:tcPr>
          <w:p w14:paraId="4DF3358E" w14:textId="77777777" w:rsidR="00BE0312" w:rsidRPr="00E26D69" w:rsidRDefault="00BE0312" w:rsidP="00CF1904">
            <w:pPr>
              <w:spacing w:line="360" w:lineRule="auto"/>
              <w:jc w:val="right"/>
              <w:rPr>
                <w:rFonts w:ascii="Arial" w:hAnsi="Arial" w:cs="Arial"/>
                <w:b/>
                <w:bCs/>
              </w:rPr>
            </w:pPr>
            <w:r w:rsidRPr="00E26D69">
              <w:rPr>
                <w:rFonts w:ascii="Arial" w:hAnsi="Arial" w:cs="Arial"/>
                <w:b/>
              </w:rPr>
              <w:t xml:space="preserve">Number of staff </w:t>
            </w:r>
          </w:p>
        </w:tc>
      </w:tr>
      <w:tr w:rsidR="00EF6BF1" w:rsidRPr="00E26D69" w14:paraId="4A8014D4" w14:textId="77777777" w:rsidTr="004D0C84">
        <w:trPr>
          <w:trHeight w:val="340"/>
        </w:trPr>
        <w:tc>
          <w:tcPr>
            <w:tcW w:w="3686" w:type="dxa"/>
            <w:tcBorders>
              <w:top w:val="nil"/>
              <w:left w:val="nil"/>
              <w:bottom w:val="nil"/>
              <w:right w:val="nil"/>
            </w:tcBorders>
            <w:vAlign w:val="bottom"/>
            <w:hideMark/>
          </w:tcPr>
          <w:p w14:paraId="5279588C" w14:textId="77777777" w:rsidR="00BE0312" w:rsidRPr="00E26D69" w:rsidRDefault="00BE0312" w:rsidP="00CF1904">
            <w:pPr>
              <w:spacing w:line="360" w:lineRule="auto"/>
              <w:ind w:left="-93"/>
              <w:rPr>
                <w:rFonts w:ascii="Arial" w:hAnsi="Arial" w:cs="Arial"/>
                <w:b/>
                <w:bCs/>
              </w:rPr>
            </w:pPr>
            <w:r w:rsidRPr="00E26D69">
              <w:rPr>
                <w:rFonts w:ascii="Arial" w:hAnsi="Arial" w:cs="Arial"/>
                <w:b/>
              </w:rPr>
              <w:t>Description</w:t>
            </w:r>
          </w:p>
        </w:tc>
        <w:tc>
          <w:tcPr>
            <w:tcW w:w="2551" w:type="dxa"/>
            <w:tcBorders>
              <w:top w:val="nil"/>
              <w:left w:val="nil"/>
              <w:right w:val="nil"/>
            </w:tcBorders>
            <w:vAlign w:val="bottom"/>
            <w:hideMark/>
          </w:tcPr>
          <w:p w14:paraId="1446D924" w14:textId="6F91C9A6" w:rsidR="00BE0312" w:rsidRPr="00E26D69" w:rsidRDefault="00BE0312" w:rsidP="00CF1904">
            <w:pPr>
              <w:spacing w:line="360" w:lineRule="auto"/>
              <w:jc w:val="center"/>
              <w:rPr>
                <w:rFonts w:ascii="Arial" w:hAnsi="Arial" w:cs="Arial"/>
                <w:b/>
                <w:bCs/>
              </w:rPr>
            </w:pPr>
            <w:r w:rsidRPr="00E26D69">
              <w:rPr>
                <w:rFonts w:ascii="Arial" w:hAnsi="Arial" w:cs="Arial"/>
                <w:b/>
                <w:bCs/>
              </w:rPr>
              <w:t xml:space="preserve">Pay </w:t>
            </w:r>
            <w:r w:rsidR="007E4FA0">
              <w:rPr>
                <w:rFonts w:ascii="Arial" w:hAnsi="Arial" w:cs="Arial"/>
                <w:b/>
                <w:bCs/>
              </w:rPr>
              <w:t>r</w:t>
            </w:r>
            <w:r w:rsidRPr="00E26D69">
              <w:rPr>
                <w:rFonts w:ascii="Arial" w:hAnsi="Arial" w:cs="Arial"/>
                <w:b/>
                <w:bCs/>
              </w:rPr>
              <w:t>ange</w:t>
            </w:r>
          </w:p>
        </w:tc>
        <w:tc>
          <w:tcPr>
            <w:tcW w:w="2126" w:type="dxa"/>
            <w:tcBorders>
              <w:top w:val="nil"/>
              <w:left w:val="nil"/>
              <w:bottom w:val="nil"/>
              <w:right w:val="nil"/>
            </w:tcBorders>
            <w:shd w:val="clear" w:color="auto" w:fill="EAF1DD" w:themeFill="accent3" w:themeFillTint="33"/>
            <w:vAlign w:val="bottom"/>
          </w:tcPr>
          <w:p w14:paraId="7D04EB3A" w14:textId="77777777" w:rsidR="00BE0312" w:rsidRPr="00E26D69" w:rsidRDefault="00BE0312" w:rsidP="00CF1904">
            <w:pPr>
              <w:spacing w:line="360" w:lineRule="auto"/>
              <w:jc w:val="right"/>
              <w:rPr>
                <w:rFonts w:ascii="Arial" w:hAnsi="Arial" w:cs="Arial"/>
                <w:b/>
              </w:rPr>
            </w:pPr>
            <w:r w:rsidRPr="00E26D69">
              <w:rPr>
                <w:rFonts w:ascii="Arial" w:hAnsi="Arial" w:cs="Arial"/>
                <w:b/>
                <w:bCs/>
              </w:rPr>
              <w:t>31 March 20</w:t>
            </w:r>
            <w:r>
              <w:rPr>
                <w:rFonts w:ascii="Arial" w:hAnsi="Arial" w:cs="Arial"/>
                <w:b/>
                <w:bCs/>
              </w:rPr>
              <w:t>22</w:t>
            </w:r>
          </w:p>
        </w:tc>
        <w:tc>
          <w:tcPr>
            <w:tcW w:w="2126" w:type="dxa"/>
            <w:tcBorders>
              <w:top w:val="nil"/>
              <w:left w:val="nil"/>
              <w:bottom w:val="nil"/>
              <w:right w:val="nil"/>
            </w:tcBorders>
            <w:vAlign w:val="bottom"/>
          </w:tcPr>
          <w:p w14:paraId="40C11644" w14:textId="77777777" w:rsidR="00BE0312" w:rsidRPr="00E26D69" w:rsidRDefault="00BE0312" w:rsidP="00CF1904">
            <w:pPr>
              <w:spacing w:line="360" w:lineRule="auto"/>
              <w:jc w:val="right"/>
              <w:rPr>
                <w:rFonts w:ascii="Arial" w:hAnsi="Arial" w:cs="Arial"/>
                <w:b/>
                <w:bCs/>
              </w:rPr>
            </w:pPr>
            <w:r w:rsidRPr="00E26D69">
              <w:rPr>
                <w:rFonts w:ascii="Arial" w:hAnsi="Arial" w:cs="Arial"/>
                <w:b/>
              </w:rPr>
              <w:t>31 March 202</w:t>
            </w:r>
            <w:r>
              <w:rPr>
                <w:rFonts w:ascii="Arial" w:hAnsi="Arial" w:cs="Arial"/>
                <w:b/>
              </w:rPr>
              <w:t>1</w:t>
            </w:r>
          </w:p>
        </w:tc>
      </w:tr>
      <w:tr w:rsidR="00863090" w:rsidRPr="00E26D69" w14:paraId="5726CE6B" w14:textId="77777777" w:rsidTr="004D0C84">
        <w:trPr>
          <w:trHeight w:val="340"/>
        </w:trPr>
        <w:tc>
          <w:tcPr>
            <w:tcW w:w="3686" w:type="dxa"/>
            <w:tcBorders>
              <w:top w:val="nil"/>
              <w:left w:val="nil"/>
              <w:bottom w:val="nil"/>
            </w:tcBorders>
            <w:vAlign w:val="bottom"/>
            <w:hideMark/>
          </w:tcPr>
          <w:p w14:paraId="2EABF8F6" w14:textId="310DA887" w:rsidR="00BE0312" w:rsidRPr="00E26D69" w:rsidRDefault="00BE0312" w:rsidP="00CF1904">
            <w:pPr>
              <w:spacing w:line="360" w:lineRule="auto"/>
              <w:ind w:left="-93"/>
              <w:rPr>
                <w:rFonts w:ascii="Arial" w:hAnsi="Arial" w:cs="Arial"/>
              </w:rPr>
            </w:pPr>
            <w:r w:rsidRPr="00E26D69">
              <w:rPr>
                <w:rFonts w:ascii="Arial" w:hAnsi="Arial" w:cs="Arial"/>
              </w:rPr>
              <w:t>Chief Executive, Directors</w:t>
            </w:r>
            <w:r w:rsidR="00895917">
              <w:rPr>
                <w:rFonts w:ascii="Arial" w:hAnsi="Arial" w:cs="Arial"/>
              </w:rPr>
              <w:t>,</w:t>
            </w:r>
            <w:r w:rsidRPr="00E26D69">
              <w:rPr>
                <w:rFonts w:ascii="Arial" w:hAnsi="Arial" w:cs="Arial"/>
              </w:rPr>
              <w:t xml:space="preserve"> and Chief Officers</w:t>
            </w:r>
          </w:p>
        </w:tc>
        <w:tc>
          <w:tcPr>
            <w:tcW w:w="2551" w:type="dxa"/>
            <w:tcBorders>
              <w:top w:val="nil"/>
              <w:left w:val="nil"/>
              <w:bottom w:val="nil"/>
              <w:right w:val="nil"/>
            </w:tcBorders>
            <w:vAlign w:val="bottom"/>
          </w:tcPr>
          <w:p w14:paraId="167AB715" w14:textId="45D46FF7" w:rsidR="00BE0312" w:rsidRPr="00B77A51" w:rsidRDefault="00BE0312" w:rsidP="00CF1904">
            <w:pPr>
              <w:spacing w:line="360" w:lineRule="auto"/>
              <w:jc w:val="center"/>
              <w:rPr>
                <w:rFonts w:ascii="Arial" w:hAnsi="Arial" w:cs="Arial"/>
              </w:rPr>
            </w:pPr>
            <w:r w:rsidRPr="00B77A51">
              <w:rPr>
                <w:rFonts w:ascii="Arial" w:hAnsi="Arial" w:cs="Arial"/>
              </w:rPr>
              <w:t>82,816-</w:t>
            </w:r>
            <w:r w:rsidR="00691603">
              <w:rPr>
                <w:rFonts w:ascii="Arial" w:hAnsi="Arial" w:cs="Arial"/>
              </w:rPr>
              <w:t>132,164</w:t>
            </w:r>
          </w:p>
        </w:tc>
        <w:tc>
          <w:tcPr>
            <w:tcW w:w="2126" w:type="dxa"/>
            <w:tcBorders>
              <w:top w:val="nil"/>
              <w:left w:val="nil"/>
              <w:bottom w:val="nil"/>
              <w:right w:val="nil"/>
            </w:tcBorders>
            <w:shd w:val="clear" w:color="auto" w:fill="EAF1DD" w:themeFill="accent3" w:themeFillTint="33"/>
            <w:vAlign w:val="bottom"/>
          </w:tcPr>
          <w:p w14:paraId="7CCE5F91" w14:textId="77777777" w:rsidR="00BE0312" w:rsidRPr="00E26D69" w:rsidRDefault="00BE0312" w:rsidP="00CF1904">
            <w:pPr>
              <w:spacing w:line="360" w:lineRule="auto"/>
              <w:jc w:val="right"/>
              <w:rPr>
                <w:rFonts w:ascii="Arial" w:hAnsi="Arial" w:cs="Arial"/>
              </w:rPr>
            </w:pPr>
            <w:r>
              <w:rPr>
                <w:rFonts w:ascii="Arial" w:hAnsi="Arial" w:cs="Arial"/>
              </w:rPr>
              <w:t>9</w:t>
            </w:r>
          </w:p>
        </w:tc>
        <w:tc>
          <w:tcPr>
            <w:tcW w:w="2126" w:type="dxa"/>
            <w:tcBorders>
              <w:top w:val="nil"/>
              <w:left w:val="nil"/>
              <w:bottom w:val="nil"/>
              <w:right w:val="nil"/>
            </w:tcBorders>
            <w:vAlign w:val="bottom"/>
          </w:tcPr>
          <w:p w14:paraId="14352DB2" w14:textId="77777777" w:rsidR="00BE0312" w:rsidRPr="00E26D69" w:rsidRDefault="00BE0312" w:rsidP="00CF1904">
            <w:pPr>
              <w:spacing w:line="360" w:lineRule="auto"/>
              <w:jc w:val="right"/>
              <w:rPr>
                <w:rFonts w:ascii="Arial" w:hAnsi="Arial" w:cs="Arial"/>
              </w:rPr>
            </w:pPr>
            <w:r>
              <w:rPr>
                <w:rFonts w:ascii="Arial" w:hAnsi="Arial" w:cs="Arial"/>
              </w:rPr>
              <w:t>9</w:t>
            </w:r>
          </w:p>
        </w:tc>
      </w:tr>
      <w:tr w:rsidR="00863090" w:rsidRPr="00E26D69" w14:paraId="481604C3" w14:textId="77777777" w:rsidTr="004D0C84">
        <w:trPr>
          <w:trHeight w:val="340"/>
        </w:trPr>
        <w:tc>
          <w:tcPr>
            <w:tcW w:w="3686" w:type="dxa"/>
            <w:tcBorders>
              <w:top w:val="nil"/>
              <w:left w:val="nil"/>
              <w:bottom w:val="nil"/>
            </w:tcBorders>
            <w:vAlign w:val="bottom"/>
            <w:hideMark/>
          </w:tcPr>
          <w:p w14:paraId="06C9C706" w14:textId="77777777" w:rsidR="00BE0312" w:rsidRPr="00E26D69" w:rsidRDefault="00BE0312" w:rsidP="00CF1904">
            <w:pPr>
              <w:spacing w:line="360" w:lineRule="auto"/>
              <w:ind w:left="-93"/>
              <w:rPr>
                <w:rFonts w:ascii="Arial" w:hAnsi="Arial" w:cs="Arial"/>
              </w:rPr>
            </w:pPr>
            <w:r w:rsidRPr="00E26D69">
              <w:rPr>
                <w:rFonts w:ascii="Arial" w:hAnsi="Arial" w:cs="Arial"/>
              </w:rPr>
              <w:t>Band A</w:t>
            </w:r>
          </w:p>
        </w:tc>
        <w:tc>
          <w:tcPr>
            <w:tcW w:w="2551" w:type="dxa"/>
            <w:tcBorders>
              <w:top w:val="nil"/>
              <w:left w:val="nil"/>
              <w:bottom w:val="nil"/>
              <w:right w:val="nil"/>
            </w:tcBorders>
            <w:vAlign w:val="bottom"/>
          </w:tcPr>
          <w:p w14:paraId="05E4F717" w14:textId="77777777" w:rsidR="00BE0312" w:rsidRPr="00B77A51" w:rsidRDefault="00BE0312" w:rsidP="00CF1904">
            <w:pPr>
              <w:spacing w:line="360" w:lineRule="auto"/>
              <w:jc w:val="center"/>
              <w:rPr>
                <w:rFonts w:ascii="Arial" w:hAnsi="Arial" w:cs="Arial"/>
              </w:rPr>
            </w:pPr>
            <w:r w:rsidRPr="00B77A51">
              <w:rPr>
                <w:rFonts w:ascii="Arial" w:hAnsi="Arial" w:cs="Arial"/>
              </w:rPr>
              <w:t>67,737-76,265</w:t>
            </w:r>
          </w:p>
        </w:tc>
        <w:tc>
          <w:tcPr>
            <w:tcW w:w="2126" w:type="dxa"/>
            <w:tcBorders>
              <w:top w:val="nil"/>
              <w:left w:val="nil"/>
              <w:bottom w:val="nil"/>
              <w:right w:val="nil"/>
            </w:tcBorders>
            <w:shd w:val="clear" w:color="auto" w:fill="EAF1DD" w:themeFill="accent3" w:themeFillTint="33"/>
            <w:vAlign w:val="bottom"/>
          </w:tcPr>
          <w:p w14:paraId="3BE7F2E4" w14:textId="10F29C13" w:rsidR="00BE0312" w:rsidRPr="00E26D69" w:rsidRDefault="00E576B2" w:rsidP="00CF1904">
            <w:pPr>
              <w:spacing w:line="360" w:lineRule="auto"/>
              <w:jc w:val="right"/>
              <w:rPr>
                <w:rFonts w:ascii="Arial" w:hAnsi="Arial" w:cs="Arial"/>
              </w:rPr>
            </w:pPr>
            <w:r>
              <w:rPr>
                <w:rFonts w:ascii="Arial" w:hAnsi="Arial" w:cs="Arial"/>
              </w:rPr>
              <w:t>21</w:t>
            </w:r>
          </w:p>
        </w:tc>
        <w:tc>
          <w:tcPr>
            <w:tcW w:w="2126" w:type="dxa"/>
            <w:tcBorders>
              <w:top w:val="nil"/>
              <w:left w:val="nil"/>
              <w:bottom w:val="nil"/>
              <w:right w:val="nil"/>
            </w:tcBorders>
            <w:vAlign w:val="bottom"/>
          </w:tcPr>
          <w:p w14:paraId="4C5DDDE2" w14:textId="77777777" w:rsidR="00BE0312" w:rsidRPr="00E26D69" w:rsidRDefault="00BE0312" w:rsidP="00CF1904">
            <w:pPr>
              <w:spacing w:line="360" w:lineRule="auto"/>
              <w:jc w:val="right"/>
              <w:rPr>
                <w:rFonts w:ascii="Arial" w:hAnsi="Arial" w:cs="Arial"/>
              </w:rPr>
            </w:pPr>
            <w:r>
              <w:rPr>
                <w:rFonts w:ascii="Arial" w:hAnsi="Arial" w:cs="Arial"/>
              </w:rPr>
              <w:t>22</w:t>
            </w:r>
          </w:p>
        </w:tc>
      </w:tr>
      <w:tr w:rsidR="00863090" w:rsidRPr="00E26D69" w14:paraId="0399245A" w14:textId="77777777" w:rsidTr="004D0C84">
        <w:trPr>
          <w:trHeight w:val="340"/>
        </w:trPr>
        <w:tc>
          <w:tcPr>
            <w:tcW w:w="3686" w:type="dxa"/>
            <w:tcBorders>
              <w:top w:val="nil"/>
              <w:left w:val="nil"/>
              <w:bottom w:val="nil"/>
            </w:tcBorders>
            <w:vAlign w:val="bottom"/>
            <w:hideMark/>
          </w:tcPr>
          <w:p w14:paraId="0FC188A1" w14:textId="77777777" w:rsidR="00BE0312" w:rsidRPr="00E26D69" w:rsidRDefault="00BE0312" w:rsidP="00CF1904">
            <w:pPr>
              <w:spacing w:line="360" w:lineRule="auto"/>
              <w:ind w:left="-93"/>
              <w:rPr>
                <w:rFonts w:ascii="Arial" w:hAnsi="Arial" w:cs="Arial"/>
              </w:rPr>
            </w:pPr>
            <w:r w:rsidRPr="00E26D69">
              <w:rPr>
                <w:rFonts w:ascii="Arial" w:hAnsi="Arial" w:cs="Arial"/>
              </w:rPr>
              <w:t>Band B</w:t>
            </w:r>
          </w:p>
        </w:tc>
        <w:tc>
          <w:tcPr>
            <w:tcW w:w="2551" w:type="dxa"/>
            <w:tcBorders>
              <w:top w:val="nil"/>
              <w:left w:val="nil"/>
              <w:bottom w:val="nil"/>
              <w:right w:val="nil"/>
            </w:tcBorders>
            <w:vAlign w:val="bottom"/>
          </w:tcPr>
          <w:p w14:paraId="0EA34F86" w14:textId="77777777" w:rsidR="00BE0312" w:rsidRPr="00B77A51" w:rsidRDefault="00BE0312" w:rsidP="00CF1904">
            <w:pPr>
              <w:spacing w:line="360" w:lineRule="auto"/>
              <w:jc w:val="center"/>
              <w:rPr>
                <w:rFonts w:ascii="Arial" w:hAnsi="Arial" w:cs="Arial"/>
              </w:rPr>
            </w:pPr>
            <w:r w:rsidRPr="00B77A51">
              <w:rPr>
                <w:rFonts w:ascii="Arial" w:hAnsi="Arial" w:cs="Arial"/>
              </w:rPr>
              <w:t>54,719-61,608</w:t>
            </w:r>
          </w:p>
        </w:tc>
        <w:tc>
          <w:tcPr>
            <w:tcW w:w="2126" w:type="dxa"/>
            <w:tcBorders>
              <w:top w:val="nil"/>
              <w:left w:val="nil"/>
              <w:bottom w:val="nil"/>
              <w:right w:val="nil"/>
            </w:tcBorders>
            <w:shd w:val="clear" w:color="auto" w:fill="EAF1DD" w:themeFill="accent3" w:themeFillTint="33"/>
            <w:vAlign w:val="bottom"/>
          </w:tcPr>
          <w:p w14:paraId="2A2E82A6" w14:textId="78790EF3" w:rsidR="00BE0312" w:rsidRPr="00E26D69" w:rsidRDefault="00E576B2" w:rsidP="00CF1904">
            <w:pPr>
              <w:spacing w:line="360" w:lineRule="auto"/>
              <w:jc w:val="right"/>
              <w:rPr>
                <w:rFonts w:ascii="Arial" w:hAnsi="Arial" w:cs="Arial"/>
              </w:rPr>
            </w:pPr>
            <w:r>
              <w:rPr>
                <w:rFonts w:ascii="Arial" w:hAnsi="Arial" w:cs="Arial"/>
              </w:rPr>
              <w:t>44</w:t>
            </w:r>
          </w:p>
        </w:tc>
        <w:tc>
          <w:tcPr>
            <w:tcW w:w="2126" w:type="dxa"/>
            <w:tcBorders>
              <w:top w:val="nil"/>
              <w:left w:val="nil"/>
              <w:bottom w:val="nil"/>
              <w:right w:val="nil"/>
            </w:tcBorders>
            <w:vAlign w:val="bottom"/>
          </w:tcPr>
          <w:p w14:paraId="5556F245" w14:textId="77777777" w:rsidR="00BE0312" w:rsidRPr="00E26D69" w:rsidRDefault="00BE0312" w:rsidP="00CF1904">
            <w:pPr>
              <w:spacing w:line="360" w:lineRule="auto"/>
              <w:jc w:val="right"/>
              <w:rPr>
                <w:rFonts w:ascii="Arial" w:hAnsi="Arial" w:cs="Arial"/>
              </w:rPr>
            </w:pPr>
            <w:r>
              <w:rPr>
                <w:rFonts w:ascii="Arial" w:hAnsi="Arial" w:cs="Arial"/>
              </w:rPr>
              <w:t>46</w:t>
            </w:r>
          </w:p>
        </w:tc>
      </w:tr>
      <w:tr w:rsidR="00863090" w:rsidRPr="00E26D69" w14:paraId="75E12BFF" w14:textId="77777777" w:rsidTr="004D0C84">
        <w:trPr>
          <w:trHeight w:val="340"/>
        </w:trPr>
        <w:tc>
          <w:tcPr>
            <w:tcW w:w="3686" w:type="dxa"/>
            <w:tcBorders>
              <w:top w:val="nil"/>
              <w:left w:val="nil"/>
              <w:bottom w:val="nil"/>
            </w:tcBorders>
            <w:vAlign w:val="bottom"/>
            <w:hideMark/>
          </w:tcPr>
          <w:p w14:paraId="251437A9" w14:textId="77777777" w:rsidR="00BE0312" w:rsidRPr="00E26D69" w:rsidRDefault="00BE0312" w:rsidP="00CF1904">
            <w:pPr>
              <w:spacing w:line="360" w:lineRule="auto"/>
              <w:ind w:left="-93"/>
              <w:rPr>
                <w:rFonts w:ascii="Arial" w:hAnsi="Arial" w:cs="Arial"/>
              </w:rPr>
            </w:pPr>
            <w:r w:rsidRPr="00E26D69">
              <w:rPr>
                <w:rFonts w:ascii="Arial" w:hAnsi="Arial" w:cs="Arial"/>
              </w:rPr>
              <w:t>Band C</w:t>
            </w:r>
          </w:p>
        </w:tc>
        <w:tc>
          <w:tcPr>
            <w:tcW w:w="2551" w:type="dxa"/>
            <w:tcBorders>
              <w:top w:val="nil"/>
              <w:left w:val="nil"/>
              <w:bottom w:val="nil"/>
              <w:right w:val="nil"/>
            </w:tcBorders>
            <w:vAlign w:val="bottom"/>
          </w:tcPr>
          <w:p w14:paraId="13A81342" w14:textId="77777777" w:rsidR="00BE0312" w:rsidRPr="00B77A51" w:rsidRDefault="00BE0312" w:rsidP="00CF1904">
            <w:pPr>
              <w:spacing w:line="360" w:lineRule="auto"/>
              <w:jc w:val="center"/>
              <w:rPr>
                <w:rFonts w:ascii="Arial" w:hAnsi="Arial" w:cs="Arial"/>
              </w:rPr>
            </w:pPr>
            <w:r w:rsidRPr="00B77A51">
              <w:rPr>
                <w:rFonts w:ascii="Arial" w:hAnsi="Arial" w:cs="Arial"/>
              </w:rPr>
              <w:t>46,349-52,184</w:t>
            </w:r>
          </w:p>
        </w:tc>
        <w:tc>
          <w:tcPr>
            <w:tcW w:w="2126" w:type="dxa"/>
            <w:tcBorders>
              <w:top w:val="nil"/>
              <w:left w:val="nil"/>
              <w:bottom w:val="nil"/>
              <w:right w:val="nil"/>
            </w:tcBorders>
            <w:shd w:val="clear" w:color="auto" w:fill="EAF1DD" w:themeFill="accent3" w:themeFillTint="33"/>
            <w:vAlign w:val="bottom"/>
          </w:tcPr>
          <w:p w14:paraId="31F77BAE" w14:textId="16EBF470" w:rsidR="00BE0312" w:rsidRPr="00E26D69" w:rsidRDefault="00BE0312" w:rsidP="00CF1904">
            <w:pPr>
              <w:spacing w:line="360" w:lineRule="auto"/>
              <w:jc w:val="right"/>
              <w:rPr>
                <w:rFonts w:ascii="Arial" w:hAnsi="Arial" w:cs="Arial"/>
              </w:rPr>
            </w:pPr>
            <w:r>
              <w:rPr>
                <w:rFonts w:ascii="Arial" w:hAnsi="Arial" w:cs="Arial"/>
              </w:rPr>
              <w:t>19</w:t>
            </w:r>
            <w:r w:rsidR="00E576B2">
              <w:rPr>
                <w:rFonts w:ascii="Arial" w:hAnsi="Arial" w:cs="Arial"/>
              </w:rPr>
              <w:t>9</w:t>
            </w:r>
          </w:p>
        </w:tc>
        <w:tc>
          <w:tcPr>
            <w:tcW w:w="2126" w:type="dxa"/>
            <w:tcBorders>
              <w:top w:val="nil"/>
              <w:left w:val="nil"/>
              <w:bottom w:val="nil"/>
              <w:right w:val="nil"/>
            </w:tcBorders>
            <w:vAlign w:val="bottom"/>
          </w:tcPr>
          <w:p w14:paraId="7E509E98" w14:textId="77777777" w:rsidR="00BE0312" w:rsidRPr="00E26D69" w:rsidRDefault="00BE0312" w:rsidP="00CF1904">
            <w:pPr>
              <w:spacing w:line="360" w:lineRule="auto"/>
              <w:jc w:val="right"/>
              <w:rPr>
                <w:rFonts w:ascii="Arial" w:hAnsi="Arial" w:cs="Arial"/>
              </w:rPr>
            </w:pPr>
            <w:r>
              <w:rPr>
                <w:rFonts w:ascii="Arial" w:hAnsi="Arial" w:cs="Arial"/>
              </w:rPr>
              <w:t>189</w:t>
            </w:r>
          </w:p>
        </w:tc>
      </w:tr>
      <w:tr w:rsidR="00863090" w:rsidRPr="00E26D69" w14:paraId="4B516AB6" w14:textId="77777777" w:rsidTr="004D0C84">
        <w:trPr>
          <w:trHeight w:val="340"/>
        </w:trPr>
        <w:tc>
          <w:tcPr>
            <w:tcW w:w="3686" w:type="dxa"/>
            <w:tcBorders>
              <w:top w:val="nil"/>
              <w:left w:val="nil"/>
              <w:bottom w:val="nil"/>
            </w:tcBorders>
            <w:vAlign w:val="bottom"/>
            <w:hideMark/>
          </w:tcPr>
          <w:p w14:paraId="5A61BC5D" w14:textId="77777777" w:rsidR="00BE0312" w:rsidRPr="00E26D69" w:rsidRDefault="00BE0312" w:rsidP="00CF1904">
            <w:pPr>
              <w:spacing w:line="360" w:lineRule="auto"/>
              <w:ind w:left="-93"/>
              <w:rPr>
                <w:rFonts w:ascii="Arial" w:hAnsi="Arial" w:cs="Arial"/>
              </w:rPr>
            </w:pPr>
            <w:r w:rsidRPr="00E26D69">
              <w:rPr>
                <w:rFonts w:ascii="Arial" w:hAnsi="Arial" w:cs="Arial"/>
              </w:rPr>
              <w:t xml:space="preserve">Band D </w:t>
            </w:r>
          </w:p>
        </w:tc>
        <w:tc>
          <w:tcPr>
            <w:tcW w:w="2551" w:type="dxa"/>
            <w:tcBorders>
              <w:top w:val="nil"/>
              <w:left w:val="nil"/>
              <w:bottom w:val="nil"/>
              <w:right w:val="nil"/>
            </w:tcBorders>
            <w:vAlign w:val="bottom"/>
          </w:tcPr>
          <w:p w14:paraId="728416D2" w14:textId="77777777" w:rsidR="00BE0312" w:rsidRPr="00B77A51" w:rsidRDefault="00BE0312" w:rsidP="00CF1904">
            <w:pPr>
              <w:spacing w:line="360" w:lineRule="auto"/>
              <w:jc w:val="center"/>
              <w:rPr>
                <w:rFonts w:ascii="Arial" w:hAnsi="Arial" w:cs="Arial"/>
              </w:rPr>
            </w:pPr>
            <w:r w:rsidRPr="00B77A51">
              <w:rPr>
                <w:rFonts w:ascii="Arial" w:hAnsi="Arial" w:cs="Arial"/>
              </w:rPr>
              <w:t>40,806-42,392</w:t>
            </w:r>
          </w:p>
        </w:tc>
        <w:tc>
          <w:tcPr>
            <w:tcW w:w="2126" w:type="dxa"/>
            <w:tcBorders>
              <w:top w:val="nil"/>
              <w:left w:val="nil"/>
              <w:bottom w:val="nil"/>
              <w:right w:val="nil"/>
            </w:tcBorders>
            <w:shd w:val="clear" w:color="auto" w:fill="EAF1DD" w:themeFill="accent3" w:themeFillTint="33"/>
            <w:vAlign w:val="bottom"/>
          </w:tcPr>
          <w:p w14:paraId="506C6ABA" w14:textId="6FD765B1" w:rsidR="00BE0312" w:rsidRPr="00E26D69" w:rsidRDefault="00BE0312" w:rsidP="00CF1904">
            <w:pPr>
              <w:spacing w:line="360" w:lineRule="auto"/>
              <w:jc w:val="right"/>
              <w:rPr>
                <w:rFonts w:ascii="Arial" w:hAnsi="Arial" w:cs="Arial"/>
              </w:rPr>
            </w:pPr>
            <w:r>
              <w:rPr>
                <w:rFonts w:ascii="Arial" w:hAnsi="Arial" w:cs="Arial"/>
              </w:rPr>
              <w:t>3</w:t>
            </w:r>
            <w:r w:rsidR="000266FF">
              <w:rPr>
                <w:rFonts w:ascii="Arial" w:hAnsi="Arial" w:cs="Arial"/>
              </w:rPr>
              <w:t>61</w:t>
            </w:r>
          </w:p>
        </w:tc>
        <w:tc>
          <w:tcPr>
            <w:tcW w:w="2126" w:type="dxa"/>
            <w:tcBorders>
              <w:top w:val="nil"/>
              <w:left w:val="nil"/>
              <w:bottom w:val="nil"/>
              <w:right w:val="nil"/>
            </w:tcBorders>
            <w:vAlign w:val="bottom"/>
          </w:tcPr>
          <w:p w14:paraId="6A4745E6" w14:textId="77777777" w:rsidR="00BE0312" w:rsidRPr="00E26D69" w:rsidRDefault="00BE0312" w:rsidP="00CF1904">
            <w:pPr>
              <w:spacing w:line="360" w:lineRule="auto"/>
              <w:jc w:val="right"/>
              <w:rPr>
                <w:rFonts w:ascii="Arial" w:hAnsi="Arial" w:cs="Arial"/>
              </w:rPr>
            </w:pPr>
            <w:r>
              <w:rPr>
                <w:rFonts w:ascii="Arial" w:hAnsi="Arial" w:cs="Arial"/>
              </w:rPr>
              <w:t>359</w:t>
            </w:r>
          </w:p>
        </w:tc>
      </w:tr>
      <w:tr w:rsidR="00863090" w:rsidRPr="00E26D69" w14:paraId="45F33B20" w14:textId="77777777" w:rsidTr="004D0C84">
        <w:trPr>
          <w:trHeight w:val="340"/>
        </w:trPr>
        <w:tc>
          <w:tcPr>
            <w:tcW w:w="3686" w:type="dxa"/>
            <w:tcBorders>
              <w:top w:val="nil"/>
              <w:left w:val="nil"/>
              <w:bottom w:val="nil"/>
            </w:tcBorders>
            <w:vAlign w:val="bottom"/>
            <w:hideMark/>
          </w:tcPr>
          <w:p w14:paraId="0D77A003" w14:textId="77777777" w:rsidR="00BE0312" w:rsidRPr="00E26D69" w:rsidRDefault="00BE0312" w:rsidP="00CF1904">
            <w:pPr>
              <w:spacing w:line="360" w:lineRule="auto"/>
              <w:ind w:left="-93"/>
              <w:rPr>
                <w:rFonts w:ascii="Arial" w:hAnsi="Arial" w:cs="Arial"/>
              </w:rPr>
            </w:pPr>
            <w:r w:rsidRPr="00E26D69">
              <w:rPr>
                <w:rFonts w:ascii="Arial" w:hAnsi="Arial" w:cs="Arial"/>
              </w:rPr>
              <w:t>Band E</w:t>
            </w:r>
          </w:p>
        </w:tc>
        <w:tc>
          <w:tcPr>
            <w:tcW w:w="2551" w:type="dxa"/>
            <w:tcBorders>
              <w:top w:val="nil"/>
              <w:left w:val="nil"/>
              <w:bottom w:val="nil"/>
              <w:right w:val="nil"/>
            </w:tcBorders>
            <w:vAlign w:val="bottom"/>
          </w:tcPr>
          <w:p w14:paraId="4142490A" w14:textId="77777777" w:rsidR="00BE0312" w:rsidRPr="00B77A51" w:rsidRDefault="00BE0312" w:rsidP="00CF1904">
            <w:pPr>
              <w:spacing w:line="360" w:lineRule="auto"/>
              <w:jc w:val="center"/>
              <w:rPr>
                <w:rFonts w:ascii="Arial" w:hAnsi="Arial" w:cs="Arial"/>
              </w:rPr>
            </w:pPr>
            <w:r w:rsidRPr="00B77A51">
              <w:rPr>
                <w:rFonts w:ascii="Arial" w:hAnsi="Arial" w:cs="Arial"/>
              </w:rPr>
              <w:t>31,143-35,066</w:t>
            </w:r>
          </w:p>
        </w:tc>
        <w:tc>
          <w:tcPr>
            <w:tcW w:w="2126" w:type="dxa"/>
            <w:tcBorders>
              <w:top w:val="nil"/>
              <w:left w:val="nil"/>
              <w:bottom w:val="nil"/>
              <w:right w:val="nil"/>
            </w:tcBorders>
            <w:shd w:val="clear" w:color="auto" w:fill="EAF1DD" w:themeFill="accent3" w:themeFillTint="33"/>
            <w:vAlign w:val="bottom"/>
          </w:tcPr>
          <w:p w14:paraId="26F8D615" w14:textId="05CD3019" w:rsidR="00BE0312" w:rsidRPr="00E26D69" w:rsidRDefault="00BE0312" w:rsidP="00CF1904">
            <w:pPr>
              <w:spacing w:line="360" w:lineRule="auto"/>
              <w:jc w:val="right"/>
              <w:rPr>
                <w:rFonts w:ascii="Arial" w:hAnsi="Arial" w:cs="Arial"/>
              </w:rPr>
            </w:pPr>
            <w:r>
              <w:rPr>
                <w:rFonts w:ascii="Arial" w:hAnsi="Arial" w:cs="Arial"/>
              </w:rPr>
              <w:t>37</w:t>
            </w:r>
            <w:r w:rsidR="000266FF">
              <w:rPr>
                <w:rFonts w:ascii="Arial" w:hAnsi="Arial" w:cs="Arial"/>
              </w:rPr>
              <w:t>5</w:t>
            </w:r>
          </w:p>
        </w:tc>
        <w:tc>
          <w:tcPr>
            <w:tcW w:w="2126" w:type="dxa"/>
            <w:tcBorders>
              <w:top w:val="nil"/>
              <w:left w:val="nil"/>
              <w:bottom w:val="nil"/>
              <w:right w:val="nil"/>
            </w:tcBorders>
            <w:vAlign w:val="bottom"/>
          </w:tcPr>
          <w:p w14:paraId="3339A81D" w14:textId="77777777" w:rsidR="00BE0312" w:rsidRPr="00E26D69" w:rsidRDefault="00BE0312" w:rsidP="00CF1904">
            <w:pPr>
              <w:spacing w:line="360" w:lineRule="auto"/>
              <w:jc w:val="right"/>
              <w:rPr>
                <w:rFonts w:ascii="Arial" w:hAnsi="Arial" w:cs="Arial"/>
              </w:rPr>
            </w:pPr>
            <w:r>
              <w:rPr>
                <w:rFonts w:ascii="Arial" w:hAnsi="Arial" w:cs="Arial"/>
              </w:rPr>
              <w:t>395</w:t>
            </w:r>
          </w:p>
        </w:tc>
      </w:tr>
      <w:tr w:rsidR="00863090" w:rsidRPr="00E26D69" w14:paraId="1FA61D05" w14:textId="77777777" w:rsidTr="004D0C84">
        <w:trPr>
          <w:trHeight w:val="340"/>
        </w:trPr>
        <w:tc>
          <w:tcPr>
            <w:tcW w:w="3686" w:type="dxa"/>
            <w:tcBorders>
              <w:top w:val="nil"/>
              <w:left w:val="nil"/>
              <w:bottom w:val="nil"/>
            </w:tcBorders>
            <w:vAlign w:val="bottom"/>
            <w:hideMark/>
          </w:tcPr>
          <w:p w14:paraId="1F300542" w14:textId="77777777" w:rsidR="00BE0312" w:rsidRPr="00E26D69" w:rsidRDefault="00BE0312" w:rsidP="00CF1904">
            <w:pPr>
              <w:spacing w:line="360" w:lineRule="auto"/>
              <w:ind w:left="-93"/>
              <w:rPr>
                <w:rFonts w:ascii="Arial" w:hAnsi="Arial" w:cs="Arial"/>
              </w:rPr>
            </w:pPr>
            <w:r w:rsidRPr="00E26D69">
              <w:rPr>
                <w:rFonts w:ascii="Arial" w:hAnsi="Arial" w:cs="Arial"/>
              </w:rPr>
              <w:t>Trainee</w:t>
            </w:r>
          </w:p>
        </w:tc>
        <w:tc>
          <w:tcPr>
            <w:tcW w:w="2551" w:type="dxa"/>
            <w:tcBorders>
              <w:top w:val="nil"/>
              <w:left w:val="nil"/>
              <w:bottom w:val="nil"/>
              <w:right w:val="nil"/>
            </w:tcBorders>
            <w:vAlign w:val="bottom"/>
          </w:tcPr>
          <w:p w14:paraId="10466529" w14:textId="77777777" w:rsidR="00BE0312" w:rsidRPr="00B77A51" w:rsidRDefault="00BE0312" w:rsidP="00CF1904">
            <w:pPr>
              <w:spacing w:line="360" w:lineRule="auto"/>
              <w:jc w:val="center"/>
              <w:rPr>
                <w:rFonts w:ascii="Arial" w:hAnsi="Arial" w:cs="Arial"/>
              </w:rPr>
            </w:pPr>
            <w:r w:rsidRPr="00B77A51">
              <w:rPr>
                <w:rFonts w:ascii="Arial" w:hAnsi="Arial" w:cs="Arial"/>
              </w:rPr>
              <w:t>27,657-28,320</w:t>
            </w:r>
          </w:p>
        </w:tc>
        <w:tc>
          <w:tcPr>
            <w:tcW w:w="2126" w:type="dxa"/>
            <w:tcBorders>
              <w:top w:val="nil"/>
              <w:left w:val="nil"/>
              <w:bottom w:val="nil"/>
              <w:right w:val="nil"/>
            </w:tcBorders>
            <w:shd w:val="clear" w:color="auto" w:fill="EAF1DD" w:themeFill="accent3" w:themeFillTint="33"/>
            <w:vAlign w:val="bottom"/>
          </w:tcPr>
          <w:p w14:paraId="77A38180" w14:textId="77777777" w:rsidR="00BE0312" w:rsidRPr="00E26D69" w:rsidRDefault="00BE0312" w:rsidP="00CF1904">
            <w:pPr>
              <w:spacing w:line="360" w:lineRule="auto"/>
              <w:jc w:val="right"/>
              <w:rPr>
                <w:rFonts w:ascii="Arial" w:hAnsi="Arial" w:cs="Arial"/>
              </w:rPr>
            </w:pPr>
            <w:r>
              <w:rPr>
                <w:rFonts w:ascii="Arial" w:hAnsi="Arial" w:cs="Arial"/>
              </w:rPr>
              <w:t>0</w:t>
            </w:r>
          </w:p>
        </w:tc>
        <w:tc>
          <w:tcPr>
            <w:tcW w:w="2126" w:type="dxa"/>
            <w:tcBorders>
              <w:top w:val="nil"/>
              <w:left w:val="nil"/>
              <w:bottom w:val="nil"/>
              <w:right w:val="nil"/>
            </w:tcBorders>
            <w:vAlign w:val="bottom"/>
          </w:tcPr>
          <w:p w14:paraId="56AC00C3" w14:textId="77777777" w:rsidR="00BE0312" w:rsidRPr="00E26D69" w:rsidRDefault="00BE0312" w:rsidP="00CF1904">
            <w:pPr>
              <w:spacing w:line="360" w:lineRule="auto"/>
              <w:jc w:val="right"/>
              <w:rPr>
                <w:rFonts w:ascii="Arial" w:hAnsi="Arial" w:cs="Arial"/>
              </w:rPr>
            </w:pPr>
            <w:r>
              <w:rPr>
                <w:rFonts w:ascii="Arial" w:hAnsi="Arial" w:cs="Arial"/>
              </w:rPr>
              <w:t>10</w:t>
            </w:r>
          </w:p>
        </w:tc>
      </w:tr>
      <w:tr w:rsidR="00863090" w:rsidRPr="00E26D69" w14:paraId="0737192F" w14:textId="77777777" w:rsidTr="004D0C84">
        <w:trPr>
          <w:trHeight w:val="340"/>
        </w:trPr>
        <w:tc>
          <w:tcPr>
            <w:tcW w:w="3686" w:type="dxa"/>
            <w:tcBorders>
              <w:top w:val="nil"/>
              <w:left w:val="nil"/>
              <w:bottom w:val="nil"/>
            </w:tcBorders>
            <w:vAlign w:val="bottom"/>
            <w:hideMark/>
          </w:tcPr>
          <w:p w14:paraId="42B41D09" w14:textId="77777777" w:rsidR="00BE0312" w:rsidRPr="00E26D69" w:rsidRDefault="00BE0312" w:rsidP="00CF1904">
            <w:pPr>
              <w:spacing w:line="360" w:lineRule="auto"/>
              <w:ind w:left="-93"/>
              <w:rPr>
                <w:rFonts w:ascii="Arial" w:hAnsi="Arial" w:cs="Arial"/>
              </w:rPr>
            </w:pPr>
            <w:r w:rsidRPr="00E26D69">
              <w:rPr>
                <w:rFonts w:ascii="Arial" w:hAnsi="Arial" w:cs="Arial"/>
              </w:rPr>
              <w:t>Band F</w:t>
            </w:r>
          </w:p>
        </w:tc>
        <w:tc>
          <w:tcPr>
            <w:tcW w:w="2551" w:type="dxa"/>
            <w:tcBorders>
              <w:top w:val="nil"/>
              <w:left w:val="nil"/>
              <w:bottom w:val="nil"/>
              <w:right w:val="nil"/>
            </w:tcBorders>
            <w:vAlign w:val="bottom"/>
          </w:tcPr>
          <w:p w14:paraId="12CAC268" w14:textId="77777777" w:rsidR="00BE0312" w:rsidRPr="00B77A51" w:rsidRDefault="00BE0312" w:rsidP="00CF1904">
            <w:pPr>
              <w:spacing w:line="360" w:lineRule="auto"/>
              <w:jc w:val="center"/>
              <w:rPr>
                <w:rFonts w:ascii="Arial" w:hAnsi="Arial" w:cs="Arial"/>
              </w:rPr>
            </w:pPr>
            <w:r w:rsidRPr="00B77A51">
              <w:rPr>
                <w:rFonts w:ascii="Arial" w:hAnsi="Arial" w:cs="Arial"/>
              </w:rPr>
              <w:t>25,756-39,481</w:t>
            </w:r>
          </w:p>
        </w:tc>
        <w:tc>
          <w:tcPr>
            <w:tcW w:w="2126" w:type="dxa"/>
            <w:tcBorders>
              <w:top w:val="nil"/>
              <w:left w:val="nil"/>
              <w:bottom w:val="nil"/>
              <w:right w:val="nil"/>
            </w:tcBorders>
            <w:shd w:val="clear" w:color="auto" w:fill="EAF1DD" w:themeFill="accent3" w:themeFillTint="33"/>
            <w:vAlign w:val="bottom"/>
          </w:tcPr>
          <w:p w14:paraId="0790C4FC" w14:textId="3CBA6C4D" w:rsidR="00BE0312" w:rsidRPr="00E26D69" w:rsidRDefault="00BE0312" w:rsidP="00CF1904">
            <w:pPr>
              <w:spacing w:line="360" w:lineRule="auto"/>
              <w:jc w:val="right"/>
              <w:rPr>
                <w:rFonts w:ascii="Arial" w:hAnsi="Arial" w:cs="Arial"/>
              </w:rPr>
            </w:pPr>
            <w:r>
              <w:rPr>
                <w:rFonts w:ascii="Arial" w:hAnsi="Arial" w:cs="Arial"/>
              </w:rPr>
              <w:t>14</w:t>
            </w:r>
            <w:r w:rsidR="000266FF">
              <w:rPr>
                <w:rFonts w:ascii="Arial" w:hAnsi="Arial" w:cs="Arial"/>
              </w:rPr>
              <w:t>0</w:t>
            </w:r>
          </w:p>
        </w:tc>
        <w:tc>
          <w:tcPr>
            <w:tcW w:w="2126" w:type="dxa"/>
            <w:tcBorders>
              <w:top w:val="nil"/>
              <w:left w:val="nil"/>
              <w:bottom w:val="nil"/>
              <w:right w:val="nil"/>
            </w:tcBorders>
            <w:vAlign w:val="bottom"/>
          </w:tcPr>
          <w:p w14:paraId="57E1A9AC" w14:textId="77777777" w:rsidR="00BE0312" w:rsidRPr="00E26D69" w:rsidRDefault="00BE0312" w:rsidP="00CF1904">
            <w:pPr>
              <w:spacing w:line="360" w:lineRule="auto"/>
              <w:jc w:val="right"/>
              <w:rPr>
                <w:rFonts w:ascii="Arial" w:hAnsi="Arial" w:cs="Arial"/>
              </w:rPr>
            </w:pPr>
            <w:r>
              <w:rPr>
                <w:rFonts w:ascii="Arial" w:hAnsi="Arial" w:cs="Arial"/>
              </w:rPr>
              <w:t>158</w:t>
            </w:r>
          </w:p>
        </w:tc>
      </w:tr>
      <w:tr w:rsidR="00863090" w:rsidRPr="00E26D69" w14:paraId="167A190E" w14:textId="77777777" w:rsidTr="004D0C84">
        <w:trPr>
          <w:trHeight w:val="340"/>
        </w:trPr>
        <w:tc>
          <w:tcPr>
            <w:tcW w:w="3686" w:type="dxa"/>
            <w:tcBorders>
              <w:top w:val="nil"/>
              <w:left w:val="nil"/>
              <w:bottom w:val="nil"/>
            </w:tcBorders>
            <w:vAlign w:val="bottom"/>
            <w:hideMark/>
          </w:tcPr>
          <w:p w14:paraId="67CDD08D" w14:textId="77777777" w:rsidR="00BE0312" w:rsidRPr="00E26D69" w:rsidRDefault="00BE0312" w:rsidP="00CF1904">
            <w:pPr>
              <w:spacing w:line="360" w:lineRule="auto"/>
              <w:ind w:left="-93"/>
              <w:rPr>
                <w:rFonts w:ascii="Arial" w:hAnsi="Arial" w:cs="Arial"/>
              </w:rPr>
            </w:pPr>
            <w:r w:rsidRPr="00E26D69">
              <w:rPr>
                <w:rFonts w:ascii="Arial" w:hAnsi="Arial" w:cs="Arial"/>
              </w:rPr>
              <w:t>Band G</w:t>
            </w:r>
          </w:p>
        </w:tc>
        <w:tc>
          <w:tcPr>
            <w:tcW w:w="2551" w:type="dxa"/>
            <w:tcBorders>
              <w:top w:val="nil"/>
              <w:left w:val="nil"/>
              <w:bottom w:val="nil"/>
              <w:right w:val="nil"/>
            </w:tcBorders>
            <w:vAlign w:val="bottom"/>
          </w:tcPr>
          <w:p w14:paraId="5DC69F11" w14:textId="77777777" w:rsidR="00BE0312" w:rsidRPr="00B77A51" w:rsidRDefault="00BE0312" w:rsidP="00CF1904">
            <w:pPr>
              <w:spacing w:line="360" w:lineRule="auto"/>
              <w:jc w:val="center"/>
              <w:rPr>
                <w:rFonts w:ascii="Arial" w:hAnsi="Arial" w:cs="Arial"/>
              </w:rPr>
            </w:pPr>
            <w:r w:rsidRPr="00B77A51">
              <w:rPr>
                <w:rFonts w:ascii="Arial" w:hAnsi="Arial" w:cs="Arial"/>
              </w:rPr>
              <w:t>20,617-22,666</w:t>
            </w:r>
          </w:p>
        </w:tc>
        <w:tc>
          <w:tcPr>
            <w:tcW w:w="2126" w:type="dxa"/>
            <w:tcBorders>
              <w:top w:val="nil"/>
              <w:left w:val="nil"/>
              <w:bottom w:val="nil"/>
              <w:right w:val="nil"/>
            </w:tcBorders>
            <w:shd w:val="clear" w:color="auto" w:fill="EAF1DD" w:themeFill="accent3" w:themeFillTint="33"/>
            <w:vAlign w:val="bottom"/>
          </w:tcPr>
          <w:p w14:paraId="27D133F5" w14:textId="7564A546" w:rsidR="00BE0312" w:rsidRPr="00E26D69" w:rsidRDefault="00BE0312" w:rsidP="00CF1904">
            <w:pPr>
              <w:spacing w:line="360" w:lineRule="auto"/>
              <w:jc w:val="right"/>
              <w:rPr>
                <w:rFonts w:ascii="Arial" w:hAnsi="Arial" w:cs="Arial"/>
              </w:rPr>
            </w:pPr>
            <w:r>
              <w:rPr>
                <w:rFonts w:ascii="Arial" w:hAnsi="Arial" w:cs="Arial"/>
              </w:rPr>
              <w:t>7</w:t>
            </w:r>
            <w:r w:rsidR="000266FF">
              <w:rPr>
                <w:rFonts w:ascii="Arial" w:hAnsi="Arial" w:cs="Arial"/>
              </w:rPr>
              <w:t>2</w:t>
            </w:r>
          </w:p>
        </w:tc>
        <w:tc>
          <w:tcPr>
            <w:tcW w:w="2126" w:type="dxa"/>
            <w:tcBorders>
              <w:top w:val="nil"/>
              <w:left w:val="nil"/>
              <w:bottom w:val="nil"/>
              <w:right w:val="nil"/>
            </w:tcBorders>
            <w:vAlign w:val="bottom"/>
          </w:tcPr>
          <w:p w14:paraId="1FC2FD3F" w14:textId="77777777" w:rsidR="00BE0312" w:rsidRPr="00E26D69" w:rsidRDefault="00BE0312" w:rsidP="00CF1904">
            <w:pPr>
              <w:spacing w:line="360" w:lineRule="auto"/>
              <w:jc w:val="right"/>
              <w:rPr>
                <w:rFonts w:ascii="Arial" w:hAnsi="Arial" w:cs="Arial"/>
              </w:rPr>
            </w:pPr>
            <w:r>
              <w:rPr>
                <w:rFonts w:ascii="Arial" w:hAnsi="Arial" w:cs="Arial"/>
              </w:rPr>
              <w:t>77</w:t>
            </w:r>
          </w:p>
        </w:tc>
      </w:tr>
      <w:tr w:rsidR="00EF6BF1" w:rsidRPr="00E26D69" w14:paraId="1EB16583" w14:textId="77777777" w:rsidTr="004D0C84">
        <w:trPr>
          <w:trHeight w:val="340"/>
        </w:trPr>
        <w:tc>
          <w:tcPr>
            <w:tcW w:w="3686" w:type="dxa"/>
            <w:tcBorders>
              <w:top w:val="nil"/>
              <w:left w:val="nil"/>
              <w:bottom w:val="nil"/>
            </w:tcBorders>
            <w:vAlign w:val="bottom"/>
            <w:hideMark/>
          </w:tcPr>
          <w:p w14:paraId="651FE648" w14:textId="77777777" w:rsidR="00BE0312" w:rsidRPr="00E26D69" w:rsidRDefault="00BE0312" w:rsidP="00CF1904">
            <w:pPr>
              <w:spacing w:line="360" w:lineRule="auto"/>
              <w:ind w:left="-93"/>
              <w:rPr>
                <w:rFonts w:ascii="Arial" w:hAnsi="Arial" w:cs="Arial"/>
              </w:rPr>
            </w:pPr>
            <w:r w:rsidRPr="00E26D69">
              <w:rPr>
                <w:rFonts w:ascii="Arial" w:hAnsi="Arial" w:cs="Arial"/>
              </w:rPr>
              <w:t>Band H</w:t>
            </w:r>
          </w:p>
        </w:tc>
        <w:tc>
          <w:tcPr>
            <w:tcW w:w="2551" w:type="dxa"/>
            <w:tcBorders>
              <w:top w:val="nil"/>
              <w:left w:val="nil"/>
              <w:bottom w:val="nil"/>
              <w:right w:val="nil"/>
            </w:tcBorders>
            <w:vAlign w:val="bottom"/>
          </w:tcPr>
          <w:p w14:paraId="13D23AD7" w14:textId="77777777" w:rsidR="00BE0312" w:rsidRPr="00B77A51" w:rsidRDefault="00BE0312" w:rsidP="00CF1904">
            <w:pPr>
              <w:spacing w:line="360" w:lineRule="auto"/>
              <w:jc w:val="center"/>
              <w:rPr>
                <w:rFonts w:ascii="Arial" w:hAnsi="Arial" w:cs="Arial"/>
              </w:rPr>
            </w:pPr>
            <w:r w:rsidRPr="00B77A51">
              <w:rPr>
                <w:rFonts w:ascii="Arial" w:hAnsi="Arial" w:cs="Arial"/>
              </w:rPr>
              <w:t>18,448-19,343</w:t>
            </w:r>
          </w:p>
        </w:tc>
        <w:tc>
          <w:tcPr>
            <w:tcW w:w="2126" w:type="dxa"/>
            <w:tcBorders>
              <w:top w:val="nil"/>
              <w:left w:val="nil"/>
              <w:bottom w:val="single" w:sz="4" w:space="0" w:color="auto"/>
              <w:right w:val="nil"/>
            </w:tcBorders>
            <w:shd w:val="clear" w:color="auto" w:fill="EAF1DD" w:themeFill="accent3" w:themeFillTint="33"/>
            <w:vAlign w:val="bottom"/>
          </w:tcPr>
          <w:p w14:paraId="0328060D" w14:textId="77777777" w:rsidR="00BE0312" w:rsidRPr="00E26D69" w:rsidRDefault="00BE0312" w:rsidP="00CF1904">
            <w:pPr>
              <w:spacing w:line="360" w:lineRule="auto"/>
              <w:jc w:val="right"/>
              <w:rPr>
                <w:rFonts w:ascii="Arial" w:hAnsi="Arial" w:cs="Arial"/>
              </w:rPr>
            </w:pPr>
            <w:r>
              <w:rPr>
                <w:rFonts w:ascii="Arial" w:hAnsi="Arial" w:cs="Arial"/>
              </w:rPr>
              <w:t>1</w:t>
            </w:r>
          </w:p>
        </w:tc>
        <w:tc>
          <w:tcPr>
            <w:tcW w:w="2126" w:type="dxa"/>
            <w:tcBorders>
              <w:top w:val="nil"/>
              <w:left w:val="nil"/>
              <w:bottom w:val="single" w:sz="4" w:space="0" w:color="auto"/>
              <w:right w:val="nil"/>
            </w:tcBorders>
            <w:vAlign w:val="bottom"/>
          </w:tcPr>
          <w:p w14:paraId="317CE030" w14:textId="77777777" w:rsidR="00BE0312" w:rsidRPr="00E26D69" w:rsidRDefault="00BE0312" w:rsidP="00CF1904">
            <w:pPr>
              <w:spacing w:line="360" w:lineRule="auto"/>
              <w:jc w:val="right"/>
              <w:rPr>
                <w:rFonts w:ascii="Arial" w:hAnsi="Arial" w:cs="Arial"/>
              </w:rPr>
            </w:pPr>
            <w:r>
              <w:rPr>
                <w:rFonts w:ascii="Arial" w:hAnsi="Arial" w:cs="Arial"/>
              </w:rPr>
              <w:t>3</w:t>
            </w:r>
          </w:p>
        </w:tc>
      </w:tr>
      <w:tr w:rsidR="00863090" w:rsidRPr="00E26D69" w14:paraId="2FC69039" w14:textId="77777777" w:rsidTr="004D0C84">
        <w:trPr>
          <w:trHeight w:val="340"/>
        </w:trPr>
        <w:tc>
          <w:tcPr>
            <w:tcW w:w="3686" w:type="dxa"/>
            <w:tcBorders>
              <w:top w:val="nil"/>
              <w:left w:val="nil"/>
              <w:right w:val="nil"/>
            </w:tcBorders>
            <w:vAlign w:val="bottom"/>
            <w:hideMark/>
          </w:tcPr>
          <w:p w14:paraId="1690156E" w14:textId="77777777" w:rsidR="00BE0312" w:rsidRPr="00E26D69" w:rsidRDefault="00BE0312" w:rsidP="00CF1904">
            <w:pPr>
              <w:spacing w:line="360" w:lineRule="auto"/>
              <w:ind w:left="-93"/>
              <w:rPr>
                <w:rFonts w:ascii="Arial" w:hAnsi="Arial" w:cs="Arial"/>
                <w:b/>
                <w:bCs/>
              </w:rPr>
            </w:pPr>
            <w:r w:rsidRPr="00E26D69">
              <w:rPr>
                <w:rFonts w:ascii="Arial" w:hAnsi="Arial" w:cs="Arial"/>
                <w:b/>
              </w:rPr>
              <w:t>Total headcount</w:t>
            </w:r>
          </w:p>
        </w:tc>
        <w:tc>
          <w:tcPr>
            <w:tcW w:w="2551" w:type="dxa"/>
            <w:tcBorders>
              <w:top w:val="nil"/>
              <w:left w:val="nil"/>
              <w:right w:val="nil"/>
            </w:tcBorders>
            <w:vAlign w:val="bottom"/>
            <w:hideMark/>
          </w:tcPr>
          <w:p w14:paraId="3092D156" w14:textId="77777777" w:rsidR="00BE0312" w:rsidRPr="00B77A51" w:rsidRDefault="00BE0312" w:rsidP="00CF1904">
            <w:pPr>
              <w:spacing w:line="360" w:lineRule="auto"/>
              <w:rPr>
                <w:rFonts w:ascii="Arial" w:hAnsi="Arial" w:cs="Arial"/>
                <w:b/>
                <w:bCs/>
              </w:rPr>
            </w:pPr>
          </w:p>
        </w:tc>
        <w:tc>
          <w:tcPr>
            <w:tcW w:w="2126" w:type="dxa"/>
            <w:tcBorders>
              <w:top w:val="single" w:sz="4" w:space="0" w:color="auto"/>
              <w:left w:val="nil"/>
              <w:bottom w:val="double" w:sz="4" w:space="0" w:color="auto"/>
              <w:right w:val="nil"/>
            </w:tcBorders>
            <w:shd w:val="clear" w:color="auto" w:fill="EAF1DD" w:themeFill="accent3" w:themeFillTint="33"/>
            <w:vAlign w:val="bottom"/>
          </w:tcPr>
          <w:p w14:paraId="0B75A8D0" w14:textId="32A37BBD" w:rsidR="00BE0312" w:rsidRPr="006B6894" w:rsidRDefault="00BE0312" w:rsidP="00CF1904">
            <w:pPr>
              <w:spacing w:line="360" w:lineRule="auto"/>
              <w:jc w:val="right"/>
              <w:rPr>
                <w:rFonts w:ascii="Arial" w:hAnsi="Arial" w:cs="Arial"/>
                <w:b/>
                <w:bCs/>
              </w:rPr>
            </w:pPr>
            <w:r>
              <w:rPr>
                <w:rFonts w:ascii="Arial" w:hAnsi="Arial" w:cs="Arial"/>
                <w:b/>
                <w:bCs/>
              </w:rPr>
              <w:t>1,2</w:t>
            </w:r>
            <w:r w:rsidR="0086656A">
              <w:rPr>
                <w:rFonts w:ascii="Arial" w:hAnsi="Arial" w:cs="Arial"/>
                <w:b/>
                <w:bCs/>
              </w:rPr>
              <w:t>22</w:t>
            </w:r>
          </w:p>
        </w:tc>
        <w:tc>
          <w:tcPr>
            <w:tcW w:w="2126" w:type="dxa"/>
            <w:tcBorders>
              <w:top w:val="single" w:sz="4" w:space="0" w:color="auto"/>
              <w:left w:val="nil"/>
              <w:bottom w:val="double" w:sz="4" w:space="0" w:color="auto"/>
              <w:right w:val="nil"/>
            </w:tcBorders>
            <w:vAlign w:val="bottom"/>
          </w:tcPr>
          <w:p w14:paraId="3BD9DB80" w14:textId="77777777" w:rsidR="00BE0312" w:rsidRPr="00E26D69" w:rsidRDefault="00BE0312" w:rsidP="00CF1904">
            <w:pPr>
              <w:spacing w:line="360" w:lineRule="auto"/>
              <w:jc w:val="right"/>
              <w:rPr>
                <w:rFonts w:ascii="Arial" w:hAnsi="Arial" w:cs="Arial"/>
                <w:b/>
                <w:bCs/>
              </w:rPr>
            </w:pPr>
            <w:r w:rsidRPr="121466EA">
              <w:rPr>
                <w:rFonts w:ascii="Arial" w:hAnsi="Arial" w:cs="Arial"/>
                <w:b/>
                <w:bCs/>
              </w:rPr>
              <w:t>1,268</w:t>
            </w:r>
          </w:p>
        </w:tc>
      </w:tr>
    </w:tbl>
    <w:p w14:paraId="5850B057" w14:textId="79873DA0" w:rsidR="001968EB" w:rsidRDefault="001968EB" w:rsidP="00012BB3">
      <w:pPr>
        <w:spacing w:line="360" w:lineRule="auto"/>
        <w:ind w:left="-284"/>
        <w:rPr>
          <w:rFonts w:ascii="Arial" w:hAnsi="Arial" w:cs="Arial"/>
          <w:b/>
          <w:lang w:eastAsia="en-US"/>
        </w:rPr>
      </w:pPr>
      <w:r>
        <w:rPr>
          <w:rFonts w:ascii="Arial" w:hAnsi="Arial" w:cs="Arial"/>
          <w:b/>
          <w:lang w:eastAsia="en-US"/>
        </w:rPr>
        <w:br w:type="page"/>
      </w:r>
    </w:p>
    <w:p w14:paraId="7FBCBB53" w14:textId="79E608FA" w:rsidR="00C80A89" w:rsidRPr="00E448EE" w:rsidRDefault="00C80A89" w:rsidP="00E448EE">
      <w:pPr>
        <w:pStyle w:val="Caption"/>
        <w:keepNext/>
        <w:ind w:left="-284"/>
        <w:rPr>
          <w:rFonts w:ascii="Arial" w:hAnsi="Arial" w:cs="Arial"/>
          <w:color w:val="000000" w:themeColor="text1"/>
          <w:sz w:val="24"/>
          <w:szCs w:val="24"/>
        </w:rPr>
      </w:pPr>
      <w:r w:rsidRPr="00E448EE">
        <w:rPr>
          <w:rFonts w:ascii="Arial" w:hAnsi="Arial" w:cs="Arial"/>
          <w:color w:val="000000" w:themeColor="text1"/>
          <w:sz w:val="24"/>
          <w:szCs w:val="24"/>
        </w:rPr>
        <w:lastRenderedPageBreak/>
        <w:t>Staff costs during the year to March 202</w:t>
      </w:r>
      <w:r w:rsidR="00440A35">
        <w:rPr>
          <w:rFonts w:ascii="Arial" w:hAnsi="Arial" w:cs="Arial"/>
          <w:color w:val="000000" w:themeColor="text1"/>
          <w:sz w:val="24"/>
          <w:szCs w:val="24"/>
        </w:rPr>
        <w:t>2</w:t>
      </w:r>
      <w:r w:rsidR="00C12E10">
        <w:rPr>
          <w:rFonts w:ascii="Arial" w:hAnsi="Arial" w:cs="Arial"/>
          <w:color w:val="000000" w:themeColor="text1"/>
          <w:sz w:val="24"/>
          <w:szCs w:val="24"/>
        </w:rPr>
        <w:t xml:space="preserve"> </w:t>
      </w:r>
      <w:r w:rsidR="003A2A8D">
        <w:rPr>
          <w:rFonts w:ascii="Arial" w:hAnsi="Arial" w:cs="Arial"/>
          <w:color w:val="000000" w:themeColor="text1"/>
          <w:sz w:val="24"/>
          <w:szCs w:val="24"/>
        </w:rPr>
        <w:t>(subject to audit)</w:t>
      </w:r>
    </w:p>
    <w:tbl>
      <w:tblPr>
        <w:tblW w:w="10490" w:type="dxa"/>
        <w:tblInd w:w="-284" w:type="dxa"/>
        <w:shd w:val="clear" w:color="auto" w:fill="DAEEF3" w:themeFill="accent5" w:themeFillTint="33"/>
        <w:tblLook w:val="04A0" w:firstRow="1" w:lastRow="0" w:firstColumn="1" w:lastColumn="0" w:noHBand="0" w:noVBand="1"/>
      </w:tblPr>
      <w:tblGrid>
        <w:gridCol w:w="5246"/>
        <w:gridCol w:w="1984"/>
        <w:gridCol w:w="1418"/>
        <w:gridCol w:w="1842"/>
      </w:tblGrid>
      <w:tr w:rsidR="005A4491" w:rsidRPr="00E26D69" w14:paraId="7EF2AB02" w14:textId="77777777" w:rsidTr="004074DC">
        <w:trPr>
          <w:trHeight w:val="498"/>
        </w:trPr>
        <w:tc>
          <w:tcPr>
            <w:tcW w:w="5246" w:type="dxa"/>
          </w:tcPr>
          <w:p w14:paraId="33A43AA0" w14:textId="662566A7" w:rsidR="00E26D69" w:rsidRPr="00E26D69" w:rsidRDefault="00E26D69" w:rsidP="00E26D69">
            <w:pPr>
              <w:spacing w:line="360" w:lineRule="auto"/>
              <w:ind w:left="-93"/>
              <w:rPr>
                <w:rFonts w:ascii="Arial" w:hAnsi="Arial" w:cs="Arial"/>
                <w:b/>
              </w:rPr>
            </w:pPr>
          </w:p>
        </w:tc>
        <w:tc>
          <w:tcPr>
            <w:tcW w:w="1984" w:type="dxa"/>
            <w:shd w:val="clear" w:color="auto" w:fill="EAF1DD" w:themeFill="accent3" w:themeFillTint="33"/>
            <w:vAlign w:val="bottom"/>
          </w:tcPr>
          <w:p w14:paraId="3E69E391" w14:textId="77777777" w:rsidR="00E26D69" w:rsidRPr="00E26D69" w:rsidRDefault="00E26D69" w:rsidP="00934B17">
            <w:pPr>
              <w:spacing w:line="360" w:lineRule="auto"/>
              <w:jc w:val="right"/>
              <w:rPr>
                <w:rFonts w:ascii="Arial" w:hAnsi="Arial" w:cs="Arial"/>
                <w:b/>
              </w:rPr>
            </w:pPr>
            <w:r w:rsidRPr="00E26D69">
              <w:rPr>
                <w:rFonts w:ascii="Arial" w:hAnsi="Arial" w:cs="Arial"/>
                <w:b/>
              </w:rPr>
              <w:t>Permanently employed staff</w:t>
            </w:r>
          </w:p>
        </w:tc>
        <w:tc>
          <w:tcPr>
            <w:tcW w:w="1418" w:type="dxa"/>
            <w:shd w:val="clear" w:color="auto" w:fill="EAF1DD" w:themeFill="accent3" w:themeFillTint="33"/>
            <w:vAlign w:val="bottom"/>
          </w:tcPr>
          <w:p w14:paraId="7F4C0A8A" w14:textId="77777777" w:rsidR="00E26D69" w:rsidRPr="00E26D69" w:rsidRDefault="00E26D69" w:rsidP="00934B17">
            <w:pPr>
              <w:spacing w:line="360" w:lineRule="auto"/>
              <w:jc w:val="right"/>
              <w:rPr>
                <w:rFonts w:ascii="Arial" w:hAnsi="Arial" w:cs="Arial"/>
                <w:b/>
              </w:rPr>
            </w:pPr>
            <w:r w:rsidRPr="00E26D69">
              <w:rPr>
                <w:rFonts w:ascii="Arial" w:hAnsi="Arial" w:cs="Arial"/>
                <w:b/>
              </w:rPr>
              <w:t>Others</w:t>
            </w:r>
          </w:p>
        </w:tc>
        <w:tc>
          <w:tcPr>
            <w:tcW w:w="1842" w:type="dxa"/>
            <w:shd w:val="clear" w:color="auto" w:fill="EAF1DD" w:themeFill="accent3" w:themeFillTint="33"/>
            <w:vAlign w:val="bottom"/>
          </w:tcPr>
          <w:p w14:paraId="233D3A4F" w14:textId="74AA96EC" w:rsidR="00E26D69" w:rsidRPr="00E26D69" w:rsidRDefault="00E26D69" w:rsidP="00934B17">
            <w:pPr>
              <w:spacing w:line="360" w:lineRule="auto"/>
              <w:jc w:val="right"/>
              <w:rPr>
                <w:rFonts w:ascii="Arial" w:hAnsi="Arial" w:cs="Arial"/>
                <w:b/>
              </w:rPr>
            </w:pPr>
            <w:r w:rsidRPr="00E26D69">
              <w:rPr>
                <w:rFonts w:ascii="Arial" w:hAnsi="Arial" w:cs="Arial"/>
                <w:b/>
              </w:rPr>
              <w:t>Year to 31 March 202</w:t>
            </w:r>
            <w:r w:rsidR="00440A35">
              <w:rPr>
                <w:rFonts w:ascii="Arial" w:hAnsi="Arial" w:cs="Arial"/>
                <w:b/>
              </w:rPr>
              <w:t>2</w:t>
            </w:r>
          </w:p>
        </w:tc>
      </w:tr>
      <w:tr w:rsidR="005A4491" w:rsidRPr="00E26D69" w14:paraId="21555624" w14:textId="77777777" w:rsidTr="004074DC">
        <w:trPr>
          <w:trHeight w:val="340"/>
        </w:trPr>
        <w:tc>
          <w:tcPr>
            <w:tcW w:w="5246" w:type="dxa"/>
          </w:tcPr>
          <w:p w14:paraId="3E97626A" w14:textId="77777777" w:rsidR="00E26D69" w:rsidRPr="00E26D69" w:rsidRDefault="00E26D69" w:rsidP="00E26D69">
            <w:pPr>
              <w:spacing w:line="360" w:lineRule="auto"/>
              <w:rPr>
                <w:rFonts w:ascii="Arial" w:hAnsi="Arial" w:cs="Arial"/>
              </w:rPr>
            </w:pPr>
          </w:p>
        </w:tc>
        <w:tc>
          <w:tcPr>
            <w:tcW w:w="1984" w:type="dxa"/>
            <w:shd w:val="clear" w:color="auto" w:fill="EAF1DD" w:themeFill="accent3" w:themeFillTint="33"/>
            <w:vAlign w:val="bottom"/>
          </w:tcPr>
          <w:p w14:paraId="50A74B8E" w14:textId="77777777" w:rsidR="00E26D69" w:rsidRPr="00E26D69" w:rsidRDefault="00E26D69" w:rsidP="00934B17">
            <w:pPr>
              <w:spacing w:line="360" w:lineRule="auto"/>
              <w:jc w:val="right"/>
              <w:rPr>
                <w:rFonts w:ascii="Arial" w:hAnsi="Arial" w:cs="Arial"/>
                <w:b/>
              </w:rPr>
            </w:pPr>
            <w:r w:rsidRPr="00E26D69">
              <w:rPr>
                <w:rFonts w:ascii="Arial" w:hAnsi="Arial" w:cs="Arial"/>
                <w:b/>
              </w:rPr>
              <w:t>£’000</w:t>
            </w:r>
          </w:p>
        </w:tc>
        <w:tc>
          <w:tcPr>
            <w:tcW w:w="1418" w:type="dxa"/>
            <w:shd w:val="clear" w:color="auto" w:fill="EAF1DD" w:themeFill="accent3" w:themeFillTint="33"/>
            <w:vAlign w:val="bottom"/>
          </w:tcPr>
          <w:p w14:paraId="3D0A78A1" w14:textId="77777777" w:rsidR="00E26D69" w:rsidRPr="00E26D69" w:rsidRDefault="00E26D69" w:rsidP="00934B17">
            <w:pPr>
              <w:spacing w:line="360" w:lineRule="auto"/>
              <w:jc w:val="right"/>
              <w:rPr>
                <w:rFonts w:ascii="Arial" w:hAnsi="Arial" w:cs="Arial"/>
                <w:b/>
              </w:rPr>
            </w:pPr>
            <w:r w:rsidRPr="00E26D69">
              <w:rPr>
                <w:rFonts w:ascii="Arial" w:hAnsi="Arial" w:cs="Arial"/>
                <w:b/>
              </w:rPr>
              <w:t>£’000</w:t>
            </w:r>
          </w:p>
        </w:tc>
        <w:tc>
          <w:tcPr>
            <w:tcW w:w="1842" w:type="dxa"/>
            <w:shd w:val="clear" w:color="auto" w:fill="EAF1DD" w:themeFill="accent3" w:themeFillTint="33"/>
            <w:vAlign w:val="bottom"/>
          </w:tcPr>
          <w:p w14:paraId="55C27D7F" w14:textId="77777777" w:rsidR="00E26D69" w:rsidRPr="00E26D69" w:rsidRDefault="00E26D69" w:rsidP="00934B17">
            <w:pPr>
              <w:spacing w:line="360" w:lineRule="auto"/>
              <w:jc w:val="right"/>
              <w:rPr>
                <w:rFonts w:ascii="Arial" w:hAnsi="Arial" w:cs="Arial"/>
                <w:b/>
              </w:rPr>
            </w:pPr>
            <w:r w:rsidRPr="00E26D69">
              <w:rPr>
                <w:rFonts w:ascii="Arial" w:hAnsi="Arial" w:cs="Arial"/>
                <w:b/>
              </w:rPr>
              <w:t>£’000</w:t>
            </w:r>
          </w:p>
        </w:tc>
      </w:tr>
      <w:tr w:rsidR="005A4491" w:rsidRPr="00E26D69" w14:paraId="6FD5C761" w14:textId="77777777" w:rsidTr="004074DC">
        <w:trPr>
          <w:trHeight w:val="340"/>
        </w:trPr>
        <w:tc>
          <w:tcPr>
            <w:tcW w:w="5246" w:type="dxa"/>
            <w:vAlign w:val="bottom"/>
          </w:tcPr>
          <w:p w14:paraId="61D67739" w14:textId="77777777" w:rsidR="00E26D69" w:rsidRPr="00E26D69" w:rsidRDefault="00E26D69" w:rsidP="008B73A0">
            <w:pPr>
              <w:spacing w:line="360" w:lineRule="auto"/>
              <w:ind w:left="-93"/>
              <w:rPr>
                <w:rFonts w:ascii="Arial" w:hAnsi="Arial" w:cs="Arial"/>
              </w:rPr>
            </w:pPr>
            <w:r w:rsidRPr="00E26D69">
              <w:rPr>
                <w:rFonts w:ascii="Arial" w:hAnsi="Arial" w:cs="Arial"/>
              </w:rPr>
              <w:t>Wages and salaries</w:t>
            </w:r>
          </w:p>
        </w:tc>
        <w:tc>
          <w:tcPr>
            <w:tcW w:w="1984" w:type="dxa"/>
            <w:shd w:val="clear" w:color="auto" w:fill="EAF1DD" w:themeFill="accent3" w:themeFillTint="33"/>
            <w:vAlign w:val="bottom"/>
          </w:tcPr>
          <w:p w14:paraId="7BA89EDE" w14:textId="767EC20B" w:rsidR="00E26D69" w:rsidRPr="00E26D69" w:rsidRDefault="00E54D1D" w:rsidP="00934B17">
            <w:pPr>
              <w:spacing w:line="360" w:lineRule="auto"/>
              <w:jc w:val="right"/>
              <w:rPr>
                <w:rFonts w:ascii="Arial" w:hAnsi="Arial" w:cs="Arial"/>
              </w:rPr>
            </w:pPr>
            <w:r>
              <w:rPr>
                <w:rFonts w:ascii="Arial" w:hAnsi="Arial" w:cs="Arial"/>
              </w:rPr>
              <w:t>45,</w:t>
            </w:r>
            <w:r w:rsidR="0033617F">
              <w:rPr>
                <w:rFonts w:ascii="Arial" w:hAnsi="Arial" w:cs="Arial"/>
              </w:rPr>
              <w:t>831</w:t>
            </w:r>
          </w:p>
        </w:tc>
        <w:tc>
          <w:tcPr>
            <w:tcW w:w="1418" w:type="dxa"/>
            <w:shd w:val="clear" w:color="auto" w:fill="EAF1DD" w:themeFill="accent3" w:themeFillTint="33"/>
            <w:vAlign w:val="bottom"/>
          </w:tcPr>
          <w:p w14:paraId="0EE3B0B3" w14:textId="64C6FADB" w:rsidR="00E26D69" w:rsidRPr="00E26D69" w:rsidRDefault="0033617F" w:rsidP="00934B17">
            <w:pPr>
              <w:spacing w:line="360" w:lineRule="auto"/>
              <w:jc w:val="right"/>
              <w:rPr>
                <w:rFonts w:ascii="Arial" w:hAnsi="Arial" w:cs="Arial"/>
              </w:rPr>
            </w:pPr>
            <w:r>
              <w:rPr>
                <w:rFonts w:ascii="Arial" w:hAnsi="Arial" w:cs="Arial"/>
              </w:rPr>
              <w:t>238</w:t>
            </w:r>
          </w:p>
        </w:tc>
        <w:tc>
          <w:tcPr>
            <w:tcW w:w="1842" w:type="dxa"/>
            <w:shd w:val="clear" w:color="auto" w:fill="EAF1DD" w:themeFill="accent3" w:themeFillTint="33"/>
            <w:vAlign w:val="bottom"/>
          </w:tcPr>
          <w:p w14:paraId="4FFE74DB" w14:textId="4BA3BE05" w:rsidR="00E26D69" w:rsidRPr="00E26D69" w:rsidRDefault="0067379D" w:rsidP="00934B17">
            <w:pPr>
              <w:spacing w:line="360" w:lineRule="auto"/>
              <w:jc w:val="right"/>
              <w:rPr>
                <w:rFonts w:ascii="Arial" w:hAnsi="Arial" w:cs="Arial"/>
              </w:rPr>
            </w:pPr>
            <w:r>
              <w:rPr>
                <w:rFonts w:ascii="Arial" w:hAnsi="Arial" w:cs="Arial"/>
              </w:rPr>
              <w:t>46,069</w:t>
            </w:r>
          </w:p>
        </w:tc>
      </w:tr>
      <w:tr w:rsidR="005A4491" w:rsidRPr="00E26D69" w14:paraId="76C4A189" w14:textId="77777777" w:rsidTr="004074DC">
        <w:trPr>
          <w:trHeight w:val="340"/>
        </w:trPr>
        <w:tc>
          <w:tcPr>
            <w:tcW w:w="5246" w:type="dxa"/>
            <w:vAlign w:val="bottom"/>
          </w:tcPr>
          <w:p w14:paraId="774EBB90" w14:textId="77777777" w:rsidR="00E26D69" w:rsidRPr="00E26D69" w:rsidRDefault="00E26D69" w:rsidP="008B73A0">
            <w:pPr>
              <w:spacing w:line="360" w:lineRule="auto"/>
              <w:ind w:left="-93"/>
              <w:rPr>
                <w:rFonts w:ascii="Arial" w:hAnsi="Arial" w:cs="Arial"/>
              </w:rPr>
            </w:pPr>
            <w:r w:rsidRPr="00E26D69">
              <w:rPr>
                <w:rFonts w:ascii="Arial" w:hAnsi="Arial" w:cs="Arial"/>
              </w:rPr>
              <w:t>Social security costs</w:t>
            </w:r>
          </w:p>
        </w:tc>
        <w:tc>
          <w:tcPr>
            <w:tcW w:w="1984" w:type="dxa"/>
            <w:shd w:val="clear" w:color="auto" w:fill="EAF1DD" w:themeFill="accent3" w:themeFillTint="33"/>
            <w:vAlign w:val="bottom"/>
          </w:tcPr>
          <w:p w14:paraId="227E6FBC" w14:textId="5D05662D" w:rsidR="00E26D69" w:rsidRPr="00E26D69" w:rsidRDefault="00061E78" w:rsidP="00934B17">
            <w:pPr>
              <w:spacing w:line="360" w:lineRule="auto"/>
              <w:jc w:val="right"/>
              <w:rPr>
                <w:rFonts w:ascii="Arial" w:hAnsi="Arial" w:cs="Arial"/>
              </w:rPr>
            </w:pPr>
            <w:r>
              <w:rPr>
                <w:rFonts w:ascii="Arial" w:hAnsi="Arial" w:cs="Arial"/>
              </w:rPr>
              <w:t>4,6</w:t>
            </w:r>
            <w:r w:rsidR="00D109B6">
              <w:rPr>
                <w:rFonts w:ascii="Arial" w:hAnsi="Arial" w:cs="Arial"/>
              </w:rPr>
              <w:t>72</w:t>
            </w:r>
          </w:p>
        </w:tc>
        <w:tc>
          <w:tcPr>
            <w:tcW w:w="1418" w:type="dxa"/>
            <w:shd w:val="clear" w:color="auto" w:fill="EAF1DD" w:themeFill="accent3" w:themeFillTint="33"/>
            <w:vAlign w:val="bottom"/>
          </w:tcPr>
          <w:p w14:paraId="679152D7" w14:textId="16E4F772" w:rsidR="00E26D69" w:rsidRPr="00E26D69" w:rsidRDefault="00D109B6" w:rsidP="00934B17">
            <w:pPr>
              <w:spacing w:line="360" w:lineRule="auto"/>
              <w:jc w:val="right"/>
              <w:rPr>
                <w:rFonts w:ascii="Arial" w:hAnsi="Arial" w:cs="Arial"/>
              </w:rPr>
            </w:pPr>
            <w:r>
              <w:rPr>
                <w:rFonts w:ascii="Arial" w:hAnsi="Arial" w:cs="Arial"/>
              </w:rPr>
              <w:t>24</w:t>
            </w:r>
          </w:p>
        </w:tc>
        <w:tc>
          <w:tcPr>
            <w:tcW w:w="1842" w:type="dxa"/>
            <w:shd w:val="clear" w:color="auto" w:fill="EAF1DD" w:themeFill="accent3" w:themeFillTint="33"/>
            <w:vAlign w:val="bottom"/>
          </w:tcPr>
          <w:p w14:paraId="4D23F040" w14:textId="174B02E2" w:rsidR="00E26D69" w:rsidRPr="00E26D69" w:rsidRDefault="00061E78" w:rsidP="00934B17">
            <w:pPr>
              <w:spacing w:line="360" w:lineRule="auto"/>
              <w:jc w:val="right"/>
              <w:rPr>
                <w:rFonts w:ascii="Arial" w:hAnsi="Arial" w:cs="Arial"/>
              </w:rPr>
            </w:pPr>
            <w:r>
              <w:rPr>
                <w:rFonts w:ascii="Arial" w:hAnsi="Arial" w:cs="Arial"/>
              </w:rPr>
              <w:t>4,696</w:t>
            </w:r>
          </w:p>
        </w:tc>
      </w:tr>
      <w:tr w:rsidR="005A4491" w:rsidRPr="00E26D69" w14:paraId="2D02D680" w14:textId="77777777" w:rsidTr="004074DC">
        <w:trPr>
          <w:trHeight w:val="340"/>
        </w:trPr>
        <w:tc>
          <w:tcPr>
            <w:tcW w:w="5246" w:type="dxa"/>
            <w:vAlign w:val="bottom"/>
          </w:tcPr>
          <w:p w14:paraId="70760040" w14:textId="77777777" w:rsidR="00E26D69" w:rsidRPr="00E26D69" w:rsidRDefault="00E26D69" w:rsidP="008B73A0">
            <w:pPr>
              <w:spacing w:line="360" w:lineRule="auto"/>
              <w:ind w:left="-93"/>
              <w:rPr>
                <w:rFonts w:ascii="Arial" w:hAnsi="Arial" w:cs="Arial"/>
              </w:rPr>
            </w:pPr>
            <w:r w:rsidRPr="00E26D69">
              <w:rPr>
                <w:rFonts w:ascii="Arial" w:hAnsi="Arial" w:cs="Arial"/>
              </w:rPr>
              <w:t>Apprenticeship levy</w:t>
            </w:r>
          </w:p>
        </w:tc>
        <w:tc>
          <w:tcPr>
            <w:tcW w:w="1984" w:type="dxa"/>
            <w:shd w:val="clear" w:color="auto" w:fill="EAF1DD" w:themeFill="accent3" w:themeFillTint="33"/>
            <w:vAlign w:val="bottom"/>
          </w:tcPr>
          <w:p w14:paraId="79F47E46" w14:textId="45EB204B" w:rsidR="00E26D69" w:rsidRPr="00E26D69" w:rsidRDefault="0067379D" w:rsidP="00934B17">
            <w:pPr>
              <w:spacing w:line="360" w:lineRule="auto"/>
              <w:jc w:val="right"/>
              <w:rPr>
                <w:rFonts w:ascii="Arial" w:hAnsi="Arial" w:cs="Arial"/>
              </w:rPr>
            </w:pPr>
            <w:r>
              <w:rPr>
                <w:rFonts w:ascii="Arial" w:hAnsi="Arial" w:cs="Arial"/>
              </w:rPr>
              <w:t>215</w:t>
            </w:r>
          </w:p>
        </w:tc>
        <w:tc>
          <w:tcPr>
            <w:tcW w:w="1418" w:type="dxa"/>
            <w:shd w:val="clear" w:color="auto" w:fill="EAF1DD" w:themeFill="accent3" w:themeFillTint="33"/>
            <w:vAlign w:val="bottom"/>
          </w:tcPr>
          <w:p w14:paraId="339D3A58" w14:textId="6842A613" w:rsidR="00E26D69" w:rsidRPr="00E26D69" w:rsidRDefault="0067379D" w:rsidP="00934B17">
            <w:pPr>
              <w:spacing w:line="360" w:lineRule="auto"/>
              <w:jc w:val="right"/>
              <w:rPr>
                <w:rFonts w:ascii="Arial" w:hAnsi="Arial" w:cs="Arial"/>
              </w:rPr>
            </w:pPr>
            <w:r>
              <w:rPr>
                <w:rFonts w:ascii="Arial" w:hAnsi="Arial" w:cs="Arial"/>
              </w:rPr>
              <w:t>1</w:t>
            </w:r>
          </w:p>
        </w:tc>
        <w:tc>
          <w:tcPr>
            <w:tcW w:w="1842" w:type="dxa"/>
            <w:shd w:val="clear" w:color="auto" w:fill="EAF1DD" w:themeFill="accent3" w:themeFillTint="33"/>
            <w:vAlign w:val="bottom"/>
          </w:tcPr>
          <w:p w14:paraId="31D3FFA3" w14:textId="00FAE102" w:rsidR="00E26D69" w:rsidRPr="00E26D69" w:rsidRDefault="0067379D" w:rsidP="00934B17">
            <w:pPr>
              <w:spacing w:line="360" w:lineRule="auto"/>
              <w:jc w:val="right"/>
              <w:rPr>
                <w:rFonts w:ascii="Arial" w:hAnsi="Arial" w:cs="Arial"/>
              </w:rPr>
            </w:pPr>
            <w:r>
              <w:rPr>
                <w:rFonts w:ascii="Arial" w:hAnsi="Arial" w:cs="Arial"/>
              </w:rPr>
              <w:t>216</w:t>
            </w:r>
          </w:p>
        </w:tc>
      </w:tr>
      <w:tr w:rsidR="00EF6BF1" w:rsidRPr="00E26D69" w14:paraId="0032B564" w14:textId="77777777" w:rsidTr="004074DC">
        <w:trPr>
          <w:trHeight w:val="340"/>
        </w:trPr>
        <w:tc>
          <w:tcPr>
            <w:tcW w:w="5246" w:type="dxa"/>
            <w:vAlign w:val="bottom"/>
          </w:tcPr>
          <w:p w14:paraId="60EBAE83" w14:textId="77777777" w:rsidR="00E26D69" w:rsidRPr="00E26D69" w:rsidRDefault="00E26D69" w:rsidP="008B73A0">
            <w:pPr>
              <w:spacing w:line="360" w:lineRule="auto"/>
              <w:ind w:left="-93"/>
              <w:rPr>
                <w:rFonts w:ascii="Arial" w:hAnsi="Arial" w:cs="Arial"/>
              </w:rPr>
            </w:pPr>
            <w:r w:rsidRPr="00E26D69">
              <w:rPr>
                <w:rFonts w:ascii="Arial" w:hAnsi="Arial" w:cs="Arial"/>
              </w:rPr>
              <w:t>Pension costs</w:t>
            </w:r>
          </w:p>
        </w:tc>
        <w:tc>
          <w:tcPr>
            <w:tcW w:w="1984" w:type="dxa"/>
            <w:tcBorders>
              <w:bottom w:val="single" w:sz="4" w:space="0" w:color="auto"/>
            </w:tcBorders>
            <w:shd w:val="clear" w:color="auto" w:fill="EAF1DD" w:themeFill="accent3" w:themeFillTint="33"/>
            <w:vAlign w:val="bottom"/>
          </w:tcPr>
          <w:p w14:paraId="4C92B267" w14:textId="67F71BA4" w:rsidR="00E26D69" w:rsidRPr="00E26D69" w:rsidRDefault="00507CEE" w:rsidP="00934B17">
            <w:pPr>
              <w:spacing w:line="360" w:lineRule="auto"/>
              <w:jc w:val="right"/>
              <w:rPr>
                <w:rFonts w:ascii="Arial" w:hAnsi="Arial" w:cs="Arial"/>
              </w:rPr>
            </w:pPr>
            <w:r>
              <w:rPr>
                <w:rFonts w:ascii="Arial" w:hAnsi="Arial" w:cs="Arial"/>
              </w:rPr>
              <w:t>8,9</w:t>
            </w:r>
            <w:r w:rsidR="00D109B6">
              <w:rPr>
                <w:rFonts w:ascii="Arial" w:hAnsi="Arial" w:cs="Arial"/>
              </w:rPr>
              <w:t>60</w:t>
            </w:r>
          </w:p>
        </w:tc>
        <w:tc>
          <w:tcPr>
            <w:tcW w:w="1418" w:type="dxa"/>
            <w:tcBorders>
              <w:bottom w:val="single" w:sz="4" w:space="0" w:color="auto"/>
            </w:tcBorders>
            <w:shd w:val="clear" w:color="auto" w:fill="EAF1DD" w:themeFill="accent3" w:themeFillTint="33"/>
            <w:vAlign w:val="bottom"/>
          </w:tcPr>
          <w:p w14:paraId="32D2F8F4" w14:textId="07699945" w:rsidR="00E26D69" w:rsidRPr="00E26D69" w:rsidRDefault="00D109B6" w:rsidP="00934B17">
            <w:pPr>
              <w:spacing w:line="360" w:lineRule="auto"/>
              <w:jc w:val="right"/>
              <w:rPr>
                <w:rFonts w:ascii="Arial" w:hAnsi="Arial" w:cs="Arial"/>
              </w:rPr>
            </w:pPr>
            <w:r>
              <w:rPr>
                <w:rFonts w:ascii="Arial" w:hAnsi="Arial" w:cs="Arial"/>
              </w:rPr>
              <w:t>47</w:t>
            </w:r>
          </w:p>
        </w:tc>
        <w:tc>
          <w:tcPr>
            <w:tcW w:w="1842" w:type="dxa"/>
            <w:tcBorders>
              <w:bottom w:val="single" w:sz="4" w:space="0" w:color="auto"/>
            </w:tcBorders>
            <w:shd w:val="clear" w:color="auto" w:fill="EAF1DD" w:themeFill="accent3" w:themeFillTint="33"/>
            <w:vAlign w:val="bottom"/>
          </w:tcPr>
          <w:p w14:paraId="62A572D1" w14:textId="05718B6D" w:rsidR="00E26D69" w:rsidRPr="00E26D69" w:rsidRDefault="00A32FA9" w:rsidP="00934B17">
            <w:pPr>
              <w:spacing w:line="360" w:lineRule="auto"/>
              <w:jc w:val="right"/>
              <w:rPr>
                <w:rFonts w:ascii="Arial" w:hAnsi="Arial" w:cs="Arial"/>
              </w:rPr>
            </w:pPr>
            <w:r>
              <w:rPr>
                <w:rFonts w:ascii="Arial" w:hAnsi="Arial" w:cs="Arial"/>
              </w:rPr>
              <w:t>9,007</w:t>
            </w:r>
          </w:p>
        </w:tc>
      </w:tr>
      <w:tr w:rsidR="00EF6BF1" w:rsidRPr="00E26D69" w14:paraId="4EC6410F" w14:textId="77777777" w:rsidTr="004074DC">
        <w:trPr>
          <w:trHeight w:val="340"/>
        </w:trPr>
        <w:tc>
          <w:tcPr>
            <w:tcW w:w="5246" w:type="dxa"/>
            <w:vAlign w:val="bottom"/>
          </w:tcPr>
          <w:p w14:paraId="34655B4D" w14:textId="77777777" w:rsidR="00E26D69" w:rsidRPr="00E26D69" w:rsidRDefault="00E26D69" w:rsidP="008B73A0">
            <w:pPr>
              <w:spacing w:line="360" w:lineRule="auto"/>
              <w:ind w:left="-93"/>
              <w:rPr>
                <w:rFonts w:ascii="Arial" w:hAnsi="Arial" w:cs="Arial"/>
                <w:b/>
                <w:bCs/>
              </w:rPr>
            </w:pPr>
            <w:r w:rsidRPr="00E26D69">
              <w:rPr>
                <w:rFonts w:ascii="Arial" w:hAnsi="Arial" w:cs="Arial"/>
                <w:b/>
              </w:rPr>
              <w:t>Subtotal of payroll costs</w:t>
            </w:r>
          </w:p>
        </w:tc>
        <w:tc>
          <w:tcPr>
            <w:tcW w:w="1984" w:type="dxa"/>
            <w:tcBorders>
              <w:top w:val="single" w:sz="4" w:space="0" w:color="auto"/>
              <w:bottom w:val="double" w:sz="4" w:space="0" w:color="auto"/>
            </w:tcBorders>
            <w:shd w:val="clear" w:color="auto" w:fill="EAF1DD" w:themeFill="accent3" w:themeFillTint="33"/>
            <w:vAlign w:val="bottom"/>
          </w:tcPr>
          <w:p w14:paraId="2F6C65A1" w14:textId="66DB4A8B" w:rsidR="00E26D69" w:rsidRPr="00E26D69" w:rsidRDefault="004372D9" w:rsidP="00934B17">
            <w:pPr>
              <w:spacing w:line="360" w:lineRule="auto"/>
              <w:jc w:val="right"/>
              <w:rPr>
                <w:rFonts w:ascii="Arial" w:hAnsi="Arial" w:cs="Arial"/>
                <w:b/>
              </w:rPr>
            </w:pPr>
            <w:r>
              <w:rPr>
                <w:rFonts w:ascii="Arial" w:hAnsi="Arial" w:cs="Arial"/>
                <w:b/>
              </w:rPr>
              <w:t>59,</w:t>
            </w:r>
            <w:r w:rsidR="00AD6674">
              <w:rPr>
                <w:rFonts w:ascii="Arial" w:hAnsi="Arial" w:cs="Arial"/>
                <w:b/>
              </w:rPr>
              <w:t>678</w:t>
            </w:r>
          </w:p>
        </w:tc>
        <w:tc>
          <w:tcPr>
            <w:tcW w:w="1418" w:type="dxa"/>
            <w:tcBorders>
              <w:top w:val="single" w:sz="4" w:space="0" w:color="auto"/>
              <w:bottom w:val="double" w:sz="4" w:space="0" w:color="auto"/>
            </w:tcBorders>
            <w:shd w:val="clear" w:color="auto" w:fill="EAF1DD" w:themeFill="accent3" w:themeFillTint="33"/>
            <w:vAlign w:val="bottom"/>
          </w:tcPr>
          <w:p w14:paraId="6C838C61" w14:textId="704578FE" w:rsidR="00E26D69" w:rsidRPr="00E26D69" w:rsidRDefault="00AD6674" w:rsidP="00934B17">
            <w:pPr>
              <w:spacing w:line="360" w:lineRule="auto"/>
              <w:jc w:val="right"/>
              <w:rPr>
                <w:rFonts w:ascii="Arial" w:hAnsi="Arial" w:cs="Arial"/>
                <w:b/>
              </w:rPr>
            </w:pPr>
            <w:r>
              <w:rPr>
                <w:rFonts w:ascii="Arial" w:hAnsi="Arial" w:cs="Arial"/>
                <w:b/>
              </w:rPr>
              <w:t>310</w:t>
            </w:r>
          </w:p>
        </w:tc>
        <w:tc>
          <w:tcPr>
            <w:tcW w:w="1842" w:type="dxa"/>
            <w:tcBorders>
              <w:top w:val="single" w:sz="4" w:space="0" w:color="auto"/>
              <w:bottom w:val="double" w:sz="4" w:space="0" w:color="auto"/>
            </w:tcBorders>
            <w:shd w:val="clear" w:color="auto" w:fill="EAF1DD" w:themeFill="accent3" w:themeFillTint="33"/>
            <w:vAlign w:val="bottom"/>
          </w:tcPr>
          <w:p w14:paraId="0DAD5C9A" w14:textId="7FDBB00A" w:rsidR="00E26D69" w:rsidRPr="00E26D69" w:rsidRDefault="00A32FA9" w:rsidP="00934B17">
            <w:pPr>
              <w:spacing w:line="360" w:lineRule="auto"/>
              <w:jc w:val="right"/>
              <w:rPr>
                <w:rFonts w:ascii="Arial" w:hAnsi="Arial" w:cs="Arial"/>
                <w:b/>
              </w:rPr>
            </w:pPr>
            <w:r>
              <w:rPr>
                <w:rFonts w:ascii="Arial" w:hAnsi="Arial" w:cs="Arial"/>
                <w:b/>
              </w:rPr>
              <w:t>59,988</w:t>
            </w:r>
          </w:p>
        </w:tc>
      </w:tr>
      <w:tr w:rsidR="0086791E" w:rsidRPr="00E26D69" w14:paraId="28ADDB07" w14:textId="77777777" w:rsidTr="004074DC">
        <w:trPr>
          <w:trHeight w:val="1005"/>
        </w:trPr>
        <w:tc>
          <w:tcPr>
            <w:tcW w:w="8648" w:type="dxa"/>
            <w:gridSpan w:val="3"/>
            <w:vAlign w:val="bottom"/>
          </w:tcPr>
          <w:p w14:paraId="630CF0C5" w14:textId="77777777" w:rsidR="00E26D69" w:rsidRPr="00E26D69" w:rsidRDefault="00E26D69" w:rsidP="008B73A0">
            <w:pPr>
              <w:spacing w:line="360" w:lineRule="auto"/>
              <w:ind w:left="-105"/>
              <w:rPr>
                <w:rFonts w:ascii="Arial" w:hAnsi="Arial" w:cs="Arial"/>
              </w:rPr>
            </w:pPr>
            <w:r w:rsidRPr="00E26D69">
              <w:rPr>
                <w:rFonts w:ascii="Arial" w:hAnsi="Arial" w:cs="Arial"/>
              </w:rPr>
              <w:t>Other staff related costs (principally recruitment fees, staff subsistence, training costs and hiring agency and temporary staff)</w:t>
            </w:r>
          </w:p>
        </w:tc>
        <w:tc>
          <w:tcPr>
            <w:tcW w:w="1842" w:type="dxa"/>
            <w:shd w:val="clear" w:color="auto" w:fill="EAF1DD" w:themeFill="accent3" w:themeFillTint="33"/>
            <w:vAlign w:val="bottom"/>
          </w:tcPr>
          <w:p w14:paraId="027DA19E" w14:textId="7EC81C7E" w:rsidR="00E26D69" w:rsidRPr="00E26D69" w:rsidRDefault="004372D9" w:rsidP="008B73A0">
            <w:pPr>
              <w:spacing w:line="360" w:lineRule="auto"/>
              <w:jc w:val="right"/>
              <w:rPr>
                <w:rFonts w:ascii="Arial" w:hAnsi="Arial" w:cs="Arial"/>
              </w:rPr>
            </w:pPr>
            <w:r>
              <w:rPr>
                <w:rFonts w:ascii="Arial" w:hAnsi="Arial" w:cs="Arial"/>
              </w:rPr>
              <w:t>393</w:t>
            </w:r>
          </w:p>
        </w:tc>
      </w:tr>
      <w:tr w:rsidR="00EF6BF1" w:rsidRPr="00E26D69" w14:paraId="18D91D30" w14:textId="77777777" w:rsidTr="004074DC">
        <w:trPr>
          <w:trHeight w:val="340"/>
        </w:trPr>
        <w:tc>
          <w:tcPr>
            <w:tcW w:w="5246" w:type="dxa"/>
            <w:vAlign w:val="bottom"/>
          </w:tcPr>
          <w:p w14:paraId="30B870F7" w14:textId="0C7C83C2" w:rsidR="00E26D69" w:rsidRPr="00E26D69" w:rsidRDefault="00E26D69" w:rsidP="008B73A0">
            <w:pPr>
              <w:spacing w:line="360" w:lineRule="auto"/>
              <w:ind w:left="-93"/>
              <w:rPr>
                <w:rFonts w:ascii="Arial" w:hAnsi="Arial" w:cs="Arial"/>
              </w:rPr>
            </w:pPr>
            <w:r w:rsidRPr="00E26D69">
              <w:rPr>
                <w:rFonts w:ascii="Arial" w:hAnsi="Arial" w:cs="Arial"/>
              </w:rPr>
              <w:t>IAS19 pension charge (</w:t>
            </w:r>
            <w:hyperlink w:anchor="Note16IAS19DetailsofentriesintheStatemen" w:history="1">
              <w:r w:rsidRPr="00E05C80">
                <w:rPr>
                  <w:rStyle w:val="Hyperlink"/>
                  <w:rFonts w:ascii="Arial" w:hAnsi="Arial" w:cs="Arial"/>
                </w:rPr>
                <w:t>note 16</w:t>
              </w:r>
            </w:hyperlink>
            <w:r w:rsidRPr="00E26D69">
              <w:rPr>
                <w:rFonts w:ascii="Arial" w:hAnsi="Arial" w:cs="Arial"/>
              </w:rPr>
              <w:t>)</w:t>
            </w:r>
          </w:p>
        </w:tc>
        <w:tc>
          <w:tcPr>
            <w:tcW w:w="1984" w:type="dxa"/>
            <w:noWrap/>
            <w:vAlign w:val="bottom"/>
          </w:tcPr>
          <w:p w14:paraId="2ED280E8" w14:textId="77777777" w:rsidR="00E26D69" w:rsidRPr="00E26D69" w:rsidRDefault="00E26D69" w:rsidP="00E26D69">
            <w:pPr>
              <w:spacing w:line="360" w:lineRule="auto"/>
              <w:jc w:val="right"/>
              <w:rPr>
                <w:rFonts w:ascii="Arial" w:hAnsi="Arial" w:cs="Arial"/>
              </w:rPr>
            </w:pPr>
          </w:p>
        </w:tc>
        <w:tc>
          <w:tcPr>
            <w:tcW w:w="1418" w:type="dxa"/>
            <w:noWrap/>
            <w:vAlign w:val="bottom"/>
          </w:tcPr>
          <w:p w14:paraId="5CA82191" w14:textId="77777777" w:rsidR="00E26D69" w:rsidRPr="00E26D69" w:rsidRDefault="00E26D69" w:rsidP="00E26D69">
            <w:pPr>
              <w:spacing w:line="360" w:lineRule="auto"/>
              <w:jc w:val="right"/>
              <w:rPr>
                <w:rFonts w:ascii="Arial" w:hAnsi="Arial" w:cs="Arial"/>
              </w:rPr>
            </w:pPr>
          </w:p>
        </w:tc>
        <w:tc>
          <w:tcPr>
            <w:tcW w:w="1842" w:type="dxa"/>
            <w:shd w:val="clear" w:color="auto" w:fill="EAF1DD" w:themeFill="accent3" w:themeFillTint="33"/>
            <w:vAlign w:val="bottom"/>
          </w:tcPr>
          <w:p w14:paraId="391C96FC" w14:textId="67AE488F" w:rsidR="00E26D69" w:rsidRPr="00E26D69" w:rsidRDefault="004372D9" w:rsidP="008B73A0">
            <w:pPr>
              <w:spacing w:line="360" w:lineRule="auto"/>
              <w:jc w:val="right"/>
              <w:rPr>
                <w:rFonts w:ascii="Arial" w:hAnsi="Arial" w:cs="Arial"/>
              </w:rPr>
            </w:pPr>
            <w:r>
              <w:rPr>
                <w:rFonts w:ascii="Arial" w:hAnsi="Arial" w:cs="Arial"/>
              </w:rPr>
              <w:t>16,023</w:t>
            </w:r>
          </w:p>
        </w:tc>
      </w:tr>
      <w:tr w:rsidR="00EF6BF1" w:rsidRPr="00E26D69" w14:paraId="5857497C" w14:textId="77777777" w:rsidTr="004074DC">
        <w:trPr>
          <w:trHeight w:val="340"/>
        </w:trPr>
        <w:tc>
          <w:tcPr>
            <w:tcW w:w="5246" w:type="dxa"/>
            <w:vAlign w:val="bottom"/>
          </w:tcPr>
          <w:p w14:paraId="5C417388" w14:textId="79AC28FC" w:rsidR="00E26D69" w:rsidRPr="00E26D69" w:rsidRDefault="00E26D69" w:rsidP="008B73A0">
            <w:pPr>
              <w:spacing w:line="360" w:lineRule="auto"/>
              <w:ind w:left="-93"/>
              <w:rPr>
                <w:rFonts w:ascii="Arial" w:hAnsi="Arial" w:cs="Arial"/>
              </w:rPr>
            </w:pPr>
            <w:r w:rsidRPr="00E26D69">
              <w:rPr>
                <w:rFonts w:ascii="Arial" w:hAnsi="Arial" w:cs="Arial"/>
              </w:rPr>
              <w:t>Life Assurance provision (</w:t>
            </w:r>
            <w:hyperlink w:anchor="Note13Provisionforliabilitiesandcharges" w:history="1">
              <w:r w:rsidRPr="00E05C80">
                <w:rPr>
                  <w:rStyle w:val="Hyperlink"/>
                  <w:rFonts w:ascii="Arial" w:hAnsi="Arial" w:cs="Arial"/>
                </w:rPr>
                <w:t>note 13</w:t>
              </w:r>
            </w:hyperlink>
            <w:r w:rsidRPr="00E26D69">
              <w:rPr>
                <w:rFonts w:ascii="Arial" w:hAnsi="Arial" w:cs="Arial"/>
              </w:rPr>
              <w:t>)</w:t>
            </w:r>
          </w:p>
        </w:tc>
        <w:tc>
          <w:tcPr>
            <w:tcW w:w="1984" w:type="dxa"/>
            <w:noWrap/>
            <w:vAlign w:val="bottom"/>
          </w:tcPr>
          <w:p w14:paraId="55FA11FB" w14:textId="77777777" w:rsidR="00E26D69" w:rsidRPr="00E26D69" w:rsidRDefault="00E26D69" w:rsidP="00E26D69">
            <w:pPr>
              <w:spacing w:line="360" w:lineRule="auto"/>
              <w:rPr>
                <w:rFonts w:ascii="Arial" w:hAnsi="Arial" w:cs="Arial"/>
              </w:rPr>
            </w:pPr>
          </w:p>
        </w:tc>
        <w:tc>
          <w:tcPr>
            <w:tcW w:w="1418" w:type="dxa"/>
            <w:noWrap/>
            <w:vAlign w:val="bottom"/>
          </w:tcPr>
          <w:p w14:paraId="7590A166" w14:textId="77777777" w:rsidR="00E26D69" w:rsidRPr="00E26D69" w:rsidRDefault="00E26D69" w:rsidP="00E26D69">
            <w:pPr>
              <w:spacing w:line="360" w:lineRule="auto"/>
              <w:jc w:val="right"/>
              <w:rPr>
                <w:rFonts w:ascii="Arial" w:hAnsi="Arial" w:cs="Arial"/>
              </w:rPr>
            </w:pPr>
          </w:p>
        </w:tc>
        <w:tc>
          <w:tcPr>
            <w:tcW w:w="1842" w:type="dxa"/>
            <w:shd w:val="clear" w:color="auto" w:fill="EAF1DD" w:themeFill="accent3" w:themeFillTint="33"/>
            <w:vAlign w:val="bottom"/>
          </w:tcPr>
          <w:p w14:paraId="488CB061" w14:textId="2CB34359" w:rsidR="00E26D69" w:rsidRPr="00E26D69" w:rsidRDefault="00F608C5" w:rsidP="008B73A0">
            <w:pPr>
              <w:spacing w:line="360" w:lineRule="auto"/>
              <w:jc w:val="right"/>
              <w:rPr>
                <w:rFonts w:ascii="Arial" w:hAnsi="Arial" w:cs="Arial"/>
              </w:rPr>
            </w:pPr>
            <w:r>
              <w:rPr>
                <w:rFonts w:ascii="Arial" w:hAnsi="Arial" w:cs="Arial"/>
              </w:rPr>
              <w:t>22</w:t>
            </w:r>
          </w:p>
        </w:tc>
      </w:tr>
      <w:tr w:rsidR="00EF6BF1" w:rsidRPr="00E26D69" w14:paraId="1FAD1A80" w14:textId="77777777" w:rsidTr="004074DC">
        <w:trPr>
          <w:trHeight w:val="340"/>
        </w:trPr>
        <w:tc>
          <w:tcPr>
            <w:tcW w:w="5246" w:type="dxa"/>
            <w:vAlign w:val="bottom"/>
          </w:tcPr>
          <w:p w14:paraId="27AB087E" w14:textId="001A0FB2" w:rsidR="00E26D69" w:rsidRPr="00E26D69" w:rsidRDefault="00E26D69" w:rsidP="008B73A0">
            <w:pPr>
              <w:spacing w:line="360" w:lineRule="auto"/>
              <w:ind w:left="-93"/>
              <w:rPr>
                <w:rFonts w:ascii="Arial" w:hAnsi="Arial" w:cs="Arial"/>
              </w:rPr>
            </w:pPr>
            <w:r w:rsidRPr="00E26D69">
              <w:rPr>
                <w:rFonts w:ascii="Arial" w:hAnsi="Arial" w:cs="Arial"/>
              </w:rPr>
              <w:t>Unfunded IAS 19 Pension charge (</w:t>
            </w:r>
            <w:hyperlink w:anchor="Note13Provisionforliabilitiesandcharges" w:history="1">
              <w:r w:rsidRPr="00E05C80">
                <w:rPr>
                  <w:rStyle w:val="Hyperlink"/>
                  <w:rFonts w:ascii="Arial" w:hAnsi="Arial" w:cs="Arial"/>
                </w:rPr>
                <w:t>note 13</w:t>
              </w:r>
            </w:hyperlink>
            <w:r w:rsidRPr="00E26D69">
              <w:rPr>
                <w:rFonts w:ascii="Arial" w:hAnsi="Arial" w:cs="Arial"/>
              </w:rPr>
              <w:t>)</w:t>
            </w:r>
          </w:p>
        </w:tc>
        <w:tc>
          <w:tcPr>
            <w:tcW w:w="1984" w:type="dxa"/>
            <w:noWrap/>
            <w:vAlign w:val="bottom"/>
          </w:tcPr>
          <w:p w14:paraId="67719992" w14:textId="77777777" w:rsidR="00E26D69" w:rsidRPr="00E26D69" w:rsidRDefault="00E26D69" w:rsidP="00E26D69">
            <w:pPr>
              <w:spacing w:line="360" w:lineRule="auto"/>
              <w:rPr>
                <w:rFonts w:ascii="Arial" w:hAnsi="Arial" w:cs="Arial"/>
              </w:rPr>
            </w:pPr>
          </w:p>
        </w:tc>
        <w:tc>
          <w:tcPr>
            <w:tcW w:w="1418" w:type="dxa"/>
            <w:noWrap/>
            <w:vAlign w:val="bottom"/>
          </w:tcPr>
          <w:p w14:paraId="0C1D610A" w14:textId="77777777" w:rsidR="00E26D69" w:rsidRPr="00E26D69" w:rsidRDefault="00E26D69" w:rsidP="00E26D69">
            <w:pPr>
              <w:spacing w:line="360" w:lineRule="auto"/>
              <w:jc w:val="right"/>
              <w:rPr>
                <w:rFonts w:ascii="Arial" w:hAnsi="Arial" w:cs="Arial"/>
              </w:rPr>
            </w:pPr>
          </w:p>
        </w:tc>
        <w:tc>
          <w:tcPr>
            <w:tcW w:w="1842" w:type="dxa"/>
            <w:tcBorders>
              <w:bottom w:val="single" w:sz="4" w:space="0" w:color="auto"/>
            </w:tcBorders>
            <w:shd w:val="clear" w:color="auto" w:fill="EAF1DD" w:themeFill="accent3" w:themeFillTint="33"/>
            <w:vAlign w:val="bottom"/>
          </w:tcPr>
          <w:p w14:paraId="5E207ECB" w14:textId="42C86D5C" w:rsidR="00E26D69" w:rsidRPr="00E26D69" w:rsidRDefault="00F608C5" w:rsidP="008B73A0">
            <w:pPr>
              <w:spacing w:line="360" w:lineRule="auto"/>
              <w:jc w:val="right"/>
              <w:rPr>
                <w:rFonts w:ascii="Arial" w:hAnsi="Arial" w:cs="Arial"/>
              </w:rPr>
            </w:pPr>
            <w:r>
              <w:rPr>
                <w:rFonts w:ascii="Arial" w:hAnsi="Arial" w:cs="Arial"/>
              </w:rPr>
              <w:t>82</w:t>
            </w:r>
          </w:p>
        </w:tc>
      </w:tr>
      <w:tr w:rsidR="005A4491" w:rsidRPr="00E26D69" w14:paraId="0283D942" w14:textId="77777777" w:rsidTr="004074DC">
        <w:trPr>
          <w:trHeight w:val="340"/>
        </w:trPr>
        <w:tc>
          <w:tcPr>
            <w:tcW w:w="5246" w:type="dxa"/>
            <w:vAlign w:val="bottom"/>
          </w:tcPr>
          <w:p w14:paraId="4EDE516D" w14:textId="77777777" w:rsidR="00E26D69" w:rsidRPr="00E26D69" w:rsidRDefault="00E26D69" w:rsidP="00E26D69">
            <w:pPr>
              <w:spacing w:line="360" w:lineRule="auto"/>
              <w:rPr>
                <w:rFonts w:ascii="Arial" w:hAnsi="Arial" w:cs="Arial"/>
              </w:rPr>
            </w:pPr>
          </w:p>
        </w:tc>
        <w:tc>
          <w:tcPr>
            <w:tcW w:w="1984" w:type="dxa"/>
            <w:noWrap/>
            <w:vAlign w:val="bottom"/>
          </w:tcPr>
          <w:p w14:paraId="41E6B3E4" w14:textId="77777777" w:rsidR="00E26D69" w:rsidRPr="00E26D69" w:rsidRDefault="00E26D69" w:rsidP="00E26D69">
            <w:pPr>
              <w:spacing w:line="360" w:lineRule="auto"/>
              <w:jc w:val="right"/>
              <w:rPr>
                <w:rFonts w:ascii="Arial" w:hAnsi="Arial" w:cs="Arial"/>
              </w:rPr>
            </w:pPr>
          </w:p>
        </w:tc>
        <w:tc>
          <w:tcPr>
            <w:tcW w:w="1418" w:type="dxa"/>
            <w:noWrap/>
            <w:vAlign w:val="bottom"/>
          </w:tcPr>
          <w:p w14:paraId="4A8FFDE1" w14:textId="77777777" w:rsidR="00E26D69" w:rsidRPr="00E26D69" w:rsidRDefault="00E26D69" w:rsidP="00E26D69">
            <w:pPr>
              <w:spacing w:line="360" w:lineRule="auto"/>
              <w:jc w:val="right"/>
              <w:rPr>
                <w:rFonts w:ascii="Arial" w:hAnsi="Arial" w:cs="Arial"/>
                <w:color w:val="0000FF"/>
              </w:rPr>
            </w:pPr>
          </w:p>
        </w:tc>
        <w:tc>
          <w:tcPr>
            <w:tcW w:w="1842" w:type="dxa"/>
            <w:tcBorders>
              <w:top w:val="single" w:sz="4" w:space="0" w:color="auto"/>
              <w:bottom w:val="double" w:sz="4" w:space="0" w:color="auto"/>
            </w:tcBorders>
            <w:shd w:val="clear" w:color="auto" w:fill="EAF1DD" w:themeFill="accent3" w:themeFillTint="33"/>
            <w:vAlign w:val="bottom"/>
          </w:tcPr>
          <w:p w14:paraId="110B8898" w14:textId="39ED16AF" w:rsidR="00E26D69" w:rsidRPr="00E26D69" w:rsidRDefault="00F608C5" w:rsidP="008B73A0">
            <w:pPr>
              <w:spacing w:line="360" w:lineRule="auto"/>
              <w:jc w:val="right"/>
              <w:rPr>
                <w:rFonts w:ascii="Arial" w:hAnsi="Arial" w:cs="Arial"/>
                <w:b/>
              </w:rPr>
            </w:pPr>
            <w:r>
              <w:rPr>
                <w:rFonts w:ascii="Arial" w:hAnsi="Arial" w:cs="Arial"/>
                <w:b/>
              </w:rPr>
              <w:t>76,508</w:t>
            </w:r>
          </w:p>
        </w:tc>
      </w:tr>
      <w:tr w:rsidR="00B0569C" w:rsidRPr="00E26D69" w14:paraId="755E82C9" w14:textId="77777777" w:rsidTr="004074DC">
        <w:trPr>
          <w:trHeight w:val="340"/>
        </w:trPr>
        <w:tc>
          <w:tcPr>
            <w:tcW w:w="5246" w:type="dxa"/>
            <w:vAlign w:val="bottom"/>
          </w:tcPr>
          <w:p w14:paraId="02DB3A21" w14:textId="77777777" w:rsidR="00B0569C" w:rsidRPr="00E26D69" w:rsidRDefault="00B0569C" w:rsidP="00E26D69">
            <w:pPr>
              <w:spacing w:line="360" w:lineRule="auto"/>
              <w:rPr>
                <w:rFonts w:ascii="Arial" w:hAnsi="Arial" w:cs="Arial"/>
              </w:rPr>
            </w:pPr>
          </w:p>
        </w:tc>
        <w:tc>
          <w:tcPr>
            <w:tcW w:w="1984" w:type="dxa"/>
            <w:noWrap/>
            <w:vAlign w:val="bottom"/>
          </w:tcPr>
          <w:p w14:paraId="2F51A64F" w14:textId="77777777" w:rsidR="00B0569C" w:rsidRPr="00E26D69" w:rsidRDefault="00B0569C" w:rsidP="00E26D69">
            <w:pPr>
              <w:spacing w:line="360" w:lineRule="auto"/>
              <w:jc w:val="right"/>
              <w:rPr>
                <w:rFonts w:ascii="Arial" w:hAnsi="Arial" w:cs="Arial"/>
              </w:rPr>
            </w:pPr>
          </w:p>
        </w:tc>
        <w:tc>
          <w:tcPr>
            <w:tcW w:w="1418" w:type="dxa"/>
            <w:noWrap/>
            <w:vAlign w:val="bottom"/>
          </w:tcPr>
          <w:p w14:paraId="6A65DF85" w14:textId="77777777" w:rsidR="00B0569C" w:rsidRPr="00E26D69" w:rsidRDefault="00B0569C" w:rsidP="00E26D69">
            <w:pPr>
              <w:spacing w:line="360" w:lineRule="auto"/>
              <w:jc w:val="right"/>
              <w:rPr>
                <w:rFonts w:ascii="Arial" w:hAnsi="Arial" w:cs="Arial"/>
                <w:color w:val="0000FF"/>
              </w:rPr>
            </w:pPr>
          </w:p>
        </w:tc>
        <w:tc>
          <w:tcPr>
            <w:tcW w:w="1842" w:type="dxa"/>
            <w:tcBorders>
              <w:top w:val="double" w:sz="4" w:space="0" w:color="auto"/>
            </w:tcBorders>
            <w:vAlign w:val="bottom"/>
          </w:tcPr>
          <w:p w14:paraId="613CD259" w14:textId="77777777" w:rsidR="00B0569C" w:rsidRDefault="00B0569C" w:rsidP="008B73A0">
            <w:pPr>
              <w:spacing w:line="360" w:lineRule="auto"/>
              <w:jc w:val="right"/>
              <w:rPr>
                <w:rFonts w:ascii="Arial" w:hAnsi="Arial" w:cs="Arial"/>
                <w:b/>
              </w:rPr>
            </w:pPr>
          </w:p>
        </w:tc>
      </w:tr>
    </w:tbl>
    <w:p w14:paraId="7C31BDC7" w14:textId="3624A4CF" w:rsidR="00415C0E" w:rsidRDefault="00415C0E" w:rsidP="00E26D69">
      <w:pPr>
        <w:spacing w:line="360" w:lineRule="auto"/>
        <w:rPr>
          <w:rFonts w:ascii="Arial" w:hAnsi="Arial" w:cs="Arial"/>
        </w:rPr>
      </w:pPr>
    </w:p>
    <w:p w14:paraId="36D36780" w14:textId="77777777" w:rsidR="00941595" w:rsidRDefault="00941595" w:rsidP="00E26D69">
      <w:pPr>
        <w:spacing w:line="360" w:lineRule="auto"/>
        <w:rPr>
          <w:rFonts w:ascii="Arial" w:hAnsi="Arial" w:cs="Arial"/>
        </w:rPr>
      </w:pPr>
    </w:p>
    <w:p w14:paraId="388F2246" w14:textId="75667EDD" w:rsidR="00093DB9" w:rsidRPr="00E448EE" w:rsidRDefault="00093DB9" w:rsidP="00093DB9">
      <w:pPr>
        <w:pStyle w:val="Caption"/>
        <w:keepNext/>
        <w:ind w:left="-284"/>
        <w:rPr>
          <w:rFonts w:ascii="Arial" w:hAnsi="Arial" w:cs="Arial"/>
          <w:color w:val="000000" w:themeColor="text1"/>
          <w:sz w:val="24"/>
          <w:szCs w:val="24"/>
        </w:rPr>
      </w:pPr>
      <w:r w:rsidRPr="00E448EE">
        <w:rPr>
          <w:rFonts w:ascii="Arial" w:hAnsi="Arial" w:cs="Arial"/>
          <w:color w:val="000000" w:themeColor="text1"/>
          <w:sz w:val="24"/>
          <w:szCs w:val="24"/>
        </w:rPr>
        <w:t>Staff costs during the year to March 202</w:t>
      </w:r>
      <w:r>
        <w:rPr>
          <w:rFonts w:ascii="Arial" w:hAnsi="Arial" w:cs="Arial"/>
          <w:color w:val="000000" w:themeColor="text1"/>
          <w:sz w:val="24"/>
          <w:szCs w:val="24"/>
        </w:rPr>
        <w:t>1</w:t>
      </w:r>
      <w:r w:rsidR="00017D19">
        <w:rPr>
          <w:rFonts w:ascii="Arial" w:hAnsi="Arial" w:cs="Arial"/>
          <w:color w:val="000000" w:themeColor="text1"/>
          <w:sz w:val="24"/>
          <w:szCs w:val="24"/>
        </w:rPr>
        <w:t xml:space="preserve"> (subject to audit)</w:t>
      </w:r>
    </w:p>
    <w:tbl>
      <w:tblPr>
        <w:tblW w:w="10223" w:type="dxa"/>
        <w:tblInd w:w="-284" w:type="dxa"/>
        <w:shd w:val="clear" w:color="auto" w:fill="DAEEF3" w:themeFill="accent5" w:themeFillTint="33"/>
        <w:tblLook w:val="04A0" w:firstRow="1" w:lastRow="0" w:firstColumn="1" w:lastColumn="0" w:noHBand="0" w:noVBand="1"/>
      </w:tblPr>
      <w:tblGrid>
        <w:gridCol w:w="5033"/>
        <w:gridCol w:w="1984"/>
        <w:gridCol w:w="1418"/>
        <w:gridCol w:w="1772"/>
        <w:gridCol w:w="16"/>
      </w:tblGrid>
      <w:tr w:rsidR="00093DB9" w:rsidRPr="00E26D69" w14:paraId="770E33BB" w14:textId="77777777" w:rsidTr="00A85B8A">
        <w:trPr>
          <w:trHeight w:val="498"/>
        </w:trPr>
        <w:tc>
          <w:tcPr>
            <w:tcW w:w="5033" w:type="dxa"/>
          </w:tcPr>
          <w:p w14:paraId="66229F22" w14:textId="77777777" w:rsidR="00093DB9" w:rsidRPr="00E26D69" w:rsidRDefault="00093DB9" w:rsidP="00CF1904">
            <w:pPr>
              <w:spacing w:line="360" w:lineRule="auto"/>
              <w:ind w:left="-93"/>
              <w:rPr>
                <w:rFonts w:ascii="Arial" w:hAnsi="Arial" w:cs="Arial"/>
                <w:b/>
              </w:rPr>
            </w:pPr>
          </w:p>
        </w:tc>
        <w:tc>
          <w:tcPr>
            <w:tcW w:w="1984" w:type="dxa"/>
            <w:vAlign w:val="bottom"/>
          </w:tcPr>
          <w:p w14:paraId="593FD509" w14:textId="77777777" w:rsidR="00093DB9" w:rsidRPr="000F7C1A" w:rsidRDefault="00093DB9" w:rsidP="00CF1904">
            <w:pPr>
              <w:spacing w:line="360" w:lineRule="auto"/>
              <w:jc w:val="right"/>
              <w:rPr>
                <w:rFonts w:ascii="Arial" w:hAnsi="Arial" w:cs="Arial"/>
                <w:b/>
              </w:rPr>
            </w:pPr>
            <w:r w:rsidRPr="000F7C1A">
              <w:rPr>
                <w:rFonts w:ascii="Arial" w:hAnsi="Arial" w:cs="Arial"/>
                <w:b/>
              </w:rPr>
              <w:t>Permanently employed staff</w:t>
            </w:r>
          </w:p>
        </w:tc>
        <w:tc>
          <w:tcPr>
            <w:tcW w:w="1418" w:type="dxa"/>
            <w:vAlign w:val="bottom"/>
          </w:tcPr>
          <w:p w14:paraId="00DC9383" w14:textId="77777777" w:rsidR="00093DB9" w:rsidRPr="000F7C1A" w:rsidRDefault="00093DB9" w:rsidP="00CF1904">
            <w:pPr>
              <w:spacing w:line="360" w:lineRule="auto"/>
              <w:jc w:val="right"/>
              <w:rPr>
                <w:rFonts w:ascii="Arial" w:hAnsi="Arial" w:cs="Arial"/>
                <w:b/>
              </w:rPr>
            </w:pPr>
            <w:r w:rsidRPr="000F7C1A">
              <w:rPr>
                <w:rFonts w:ascii="Arial" w:hAnsi="Arial" w:cs="Arial"/>
                <w:b/>
              </w:rPr>
              <w:t>Others</w:t>
            </w:r>
          </w:p>
        </w:tc>
        <w:tc>
          <w:tcPr>
            <w:tcW w:w="1788" w:type="dxa"/>
            <w:gridSpan w:val="2"/>
            <w:vAlign w:val="bottom"/>
          </w:tcPr>
          <w:p w14:paraId="2913C8E1" w14:textId="77777777" w:rsidR="00093DB9" w:rsidRPr="000F7C1A" w:rsidRDefault="00093DB9" w:rsidP="00CF1904">
            <w:pPr>
              <w:spacing w:line="360" w:lineRule="auto"/>
              <w:jc w:val="right"/>
              <w:rPr>
                <w:rFonts w:ascii="Arial" w:hAnsi="Arial" w:cs="Arial"/>
                <w:b/>
              </w:rPr>
            </w:pPr>
            <w:r w:rsidRPr="000F7C1A">
              <w:rPr>
                <w:rFonts w:ascii="Arial" w:hAnsi="Arial" w:cs="Arial"/>
                <w:b/>
              </w:rPr>
              <w:t>Year to 31 March 2021</w:t>
            </w:r>
          </w:p>
        </w:tc>
      </w:tr>
      <w:tr w:rsidR="00093DB9" w:rsidRPr="00E26D69" w14:paraId="589D4573" w14:textId="77777777" w:rsidTr="00A85B8A">
        <w:trPr>
          <w:trHeight w:val="340"/>
        </w:trPr>
        <w:tc>
          <w:tcPr>
            <w:tcW w:w="5033" w:type="dxa"/>
          </w:tcPr>
          <w:p w14:paraId="76E38A06" w14:textId="77777777" w:rsidR="00093DB9" w:rsidRPr="00E26D69" w:rsidRDefault="00093DB9" w:rsidP="00CF1904">
            <w:pPr>
              <w:spacing w:line="360" w:lineRule="auto"/>
              <w:rPr>
                <w:rFonts w:ascii="Arial" w:hAnsi="Arial" w:cs="Arial"/>
              </w:rPr>
            </w:pPr>
          </w:p>
        </w:tc>
        <w:tc>
          <w:tcPr>
            <w:tcW w:w="1984" w:type="dxa"/>
            <w:vAlign w:val="bottom"/>
          </w:tcPr>
          <w:p w14:paraId="1232FECB" w14:textId="77777777" w:rsidR="00093DB9" w:rsidRPr="000F7C1A" w:rsidRDefault="00093DB9" w:rsidP="00CF1904">
            <w:pPr>
              <w:spacing w:line="360" w:lineRule="auto"/>
              <w:jc w:val="right"/>
              <w:rPr>
                <w:rFonts w:ascii="Arial" w:hAnsi="Arial" w:cs="Arial"/>
                <w:b/>
              </w:rPr>
            </w:pPr>
            <w:r w:rsidRPr="000F7C1A">
              <w:rPr>
                <w:rFonts w:ascii="Arial" w:hAnsi="Arial" w:cs="Arial"/>
                <w:b/>
              </w:rPr>
              <w:t>£’000</w:t>
            </w:r>
          </w:p>
        </w:tc>
        <w:tc>
          <w:tcPr>
            <w:tcW w:w="1418" w:type="dxa"/>
            <w:vAlign w:val="bottom"/>
          </w:tcPr>
          <w:p w14:paraId="496579E7" w14:textId="77777777" w:rsidR="00093DB9" w:rsidRPr="000F7C1A" w:rsidRDefault="00093DB9" w:rsidP="00CF1904">
            <w:pPr>
              <w:spacing w:line="360" w:lineRule="auto"/>
              <w:jc w:val="right"/>
              <w:rPr>
                <w:rFonts w:ascii="Arial" w:hAnsi="Arial" w:cs="Arial"/>
                <w:b/>
              </w:rPr>
            </w:pPr>
            <w:r w:rsidRPr="000F7C1A">
              <w:rPr>
                <w:rFonts w:ascii="Arial" w:hAnsi="Arial" w:cs="Arial"/>
                <w:b/>
              </w:rPr>
              <w:t>£’000</w:t>
            </w:r>
          </w:p>
        </w:tc>
        <w:tc>
          <w:tcPr>
            <w:tcW w:w="1788" w:type="dxa"/>
            <w:gridSpan w:val="2"/>
            <w:vAlign w:val="bottom"/>
          </w:tcPr>
          <w:p w14:paraId="550269AF" w14:textId="77777777" w:rsidR="00093DB9" w:rsidRPr="000F7C1A" w:rsidRDefault="00093DB9" w:rsidP="00CF1904">
            <w:pPr>
              <w:spacing w:line="360" w:lineRule="auto"/>
              <w:jc w:val="right"/>
              <w:rPr>
                <w:rFonts w:ascii="Arial" w:hAnsi="Arial" w:cs="Arial"/>
                <w:b/>
              </w:rPr>
            </w:pPr>
            <w:r w:rsidRPr="000F7C1A">
              <w:rPr>
                <w:rFonts w:ascii="Arial" w:hAnsi="Arial" w:cs="Arial"/>
                <w:b/>
              </w:rPr>
              <w:t>£’000</w:t>
            </w:r>
          </w:p>
        </w:tc>
      </w:tr>
      <w:tr w:rsidR="00093DB9" w:rsidRPr="00E26D69" w14:paraId="53E480DB" w14:textId="77777777" w:rsidTr="00A85B8A">
        <w:trPr>
          <w:trHeight w:val="340"/>
        </w:trPr>
        <w:tc>
          <w:tcPr>
            <w:tcW w:w="5033" w:type="dxa"/>
            <w:vAlign w:val="bottom"/>
          </w:tcPr>
          <w:p w14:paraId="247E35AE" w14:textId="77777777" w:rsidR="00093DB9" w:rsidRPr="00E26D69" w:rsidRDefault="00093DB9" w:rsidP="00CF1904">
            <w:pPr>
              <w:spacing w:line="360" w:lineRule="auto"/>
              <w:ind w:left="-93"/>
              <w:rPr>
                <w:rFonts w:ascii="Arial" w:hAnsi="Arial" w:cs="Arial"/>
              </w:rPr>
            </w:pPr>
            <w:r w:rsidRPr="00E26D69">
              <w:rPr>
                <w:rFonts w:ascii="Arial" w:hAnsi="Arial" w:cs="Arial"/>
              </w:rPr>
              <w:t>Wages and salaries</w:t>
            </w:r>
          </w:p>
        </w:tc>
        <w:tc>
          <w:tcPr>
            <w:tcW w:w="1984" w:type="dxa"/>
            <w:vAlign w:val="bottom"/>
          </w:tcPr>
          <w:p w14:paraId="18DE1314" w14:textId="77777777" w:rsidR="00093DB9" w:rsidRPr="000F7C1A" w:rsidRDefault="00093DB9" w:rsidP="00CF1904">
            <w:pPr>
              <w:spacing w:line="360" w:lineRule="auto"/>
              <w:jc w:val="right"/>
              <w:rPr>
                <w:rFonts w:ascii="Arial" w:hAnsi="Arial" w:cs="Arial"/>
              </w:rPr>
            </w:pPr>
            <w:r w:rsidRPr="000F7C1A">
              <w:rPr>
                <w:rFonts w:ascii="Arial" w:hAnsi="Arial" w:cs="Arial"/>
              </w:rPr>
              <w:t>47,289</w:t>
            </w:r>
          </w:p>
        </w:tc>
        <w:tc>
          <w:tcPr>
            <w:tcW w:w="1418" w:type="dxa"/>
            <w:vAlign w:val="bottom"/>
          </w:tcPr>
          <w:p w14:paraId="1A8EA8F4" w14:textId="77777777" w:rsidR="00093DB9" w:rsidRPr="000F7C1A" w:rsidRDefault="00093DB9" w:rsidP="00CF1904">
            <w:pPr>
              <w:spacing w:line="360" w:lineRule="auto"/>
              <w:jc w:val="right"/>
              <w:rPr>
                <w:rFonts w:ascii="Arial" w:hAnsi="Arial" w:cs="Arial"/>
              </w:rPr>
            </w:pPr>
            <w:r w:rsidRPr="000F7C1A">
              <w:rPr>
                <w:rFonts w:ascii="Arial" w:hAnsi="Arial" w:cs="Arial"/>
              </w:rPr>
              <w:t>414</w:t>
            </w:r>
          </w:p>
        </w:tc>
        <w:tc>
          <w:tcPr>
            <w:tcW w:w="1788" w:type="dxa"/>
            <w:gridSpan w:val="2"/>
            <w:vAlign w:val="bottom"/>
          </w:tcPr>
          <w:p w14:paraId="6DF46571" w14:textId="77777777" w:rsidR="00093DB9" w:rsidRPr="000F7C1A" w:rsidRDefault="00093DB9" w:rsidP="00CF1904">
            <w:pPr>
              <w:spacing w:line="360" w:lineRule="auto"/>
              <w:jc w:val="right"/>
              <w:rPr>
                <w:rFonts w:ascii="Arial" w:hAnsi="Arial" w:cs="Arial"/>
              </w:rPr>
            </w:pPr>
            <w:r w:rsidRPr="000F7C1A">
              <w:rPr>
                <w:rFonts w:ascii="Arial" w:hAnsi="Arial" w:cs="Arial"/>
              </w:rPr>
              <w:t>47,703</w:t>
            </w:r>
          </w:p>
        </w:tc>
      </w:tr>
      <w:tr w:rsidR="00093DB9" w:rsidRPr="00E26D69" w14:paraId="5DAA728D" w14:textId="77777777" w:rsidTr="00A85B8A">
        <w:trPr>
          <w:trHeight w:val="340"/>
        </w:trPr>
        <w:tc>
          <w:tcPr>
            <w:tcW w:w="5033" w:type="dxa"/>
            <w:vAlign w:val="bottom"/>
          </w:tcPr>
          <w:p w14:paraId="0030457A" w14:textId="77777777" w:rsidR="00093DB9" w:rsidRPr="00E26D69" w:rsidRDefault="00093DB9" w:rsidP="00CF1904">
            <w:pPr>
              <w:spacing w:line="360" w:lineRule="auto"/>
              <w:ind w:left="-93"/>
              <w:rPr>
                <w:rFonts w:ascii="Arial" w:hAnsi="Arial" w:cs="Arial"/>
              </w:rPr>
            </w:pPr>
            <w:r w:rsidRPr="00E26D69">
              <w:rPr>
                <w:rFonts w:ascii="Arial" w:hAnsi="Arial" w:cs="Arial"/>
              </w:rPr>
              <w:t>Social security costs</w:t>
            </w:r>
          </w:p>
        </w:tc>
        <w:tc>
          <w:tcPr>
            <w:tcW w:w="1984" w:type="dxa"/>
            <w:vAlign w:val="bottom"/>
          </w:tcPr>
          <w:p w14:paraId="56E60CB8" w14:textId="77777777" w:rsidR="00093DB9" w:rsidRPr="000F7C1A" w:rsidRDefault="00093DB9" w:rsidP="00CF1904">
            <w:pPr>
              <w:spacing w:line="360" w:lineRule="auto"/>
              <w:jc w:val="right"/>
              <w:rPr>
                <w:rFonts w:ascii="Arial" w:hAnsi="Arial" w:cs="Arial"/>
              </w:rPr>
            </w:pPr>
            <w:r w:rsidRPr="000F7C1A">
              <w:rPr>
                <w:rFonts w:ascii="Arial" w:hAnsi="Arial" w:cs="Arial"/>
              </w:rPr>
              <w:t>4,800</w:t>
            </w:r>
          </w:p>
        </w:tc>
        <w:tc>
          <w:tcPr>
            <w:tcW w:w="1418" w:type="dxa"/>
            <w:vAlign w:val="bottom"/>
          </w:tcPr>
          <w:p w14:paraId="5282DFE9" w14:textId="77777777" w:rsidR="00093DB9" w:rsidRPr="000F7C1A" w:rsidRDefault="00093DB9" w:rsidP="00CF1904">
            <w:pPr>
              <w:spacing w:line="360" w:lineRule="auto"/>
              <w:jc w:val="right"/>
              <w:rPr>
                <w:rFonts w:ascii="Arial" w:hAnsi="Arial" w:cs="Arial"/>
              </w:rPr>
            </w:pPr>
            <w:r w:rsidRPr="000F7C1A">
              <w:rPr>
                <w:rFonts w:ascii="Arial" w:hAnsi="Arial" w:cs="Arial"/>
              </w:rPr>
              <w:t>42</w:t>
            </w:r>
          </w:p>
        </w:tc>
        <w:tc>
          <w:tcPr>
            <w:tcW w:w="1788" w:type="dxa"/>
            <w:gridSpan w:val="2"/>
            <w:vAlign w:val="bottom"/>
          </w:tcPr>
          <w:p w14:paraId="01D4D98C" w14:textId="77777777" w:rsidR="00093DB9" w:rsidRPr="000F7C1A" w:rsidRDefault="00093DB9" w:rsidP="00CF1904">
            <w:pPr>
              <w:spacing w:line="360" w:lineRule="auto"/>
              <w:jc w:val="right"/>
              <w:rPr>
                <w:rFonts w:ascii="Arial" w:hAnsi="Arial" w:cs="Arial"/>
              </w:rPr>
            </w:pPr>
            <w:r w:rsidRPr="000F7C1A">
              <w:rPr>
                <w:rFonts w:ascii="Arial" w:hAnsi="Arial" w:cs="Arial"/>
              </w:rPr>
              <w:t>4,842</w:t>
            </w:r>
          </w:p>
        </w:tc>
      </w:tr>
      <w:tr w:rsidR="00093DB9" w:rsidRPr="00E26D69" w14:paraId="022B36B4" w14:textId="77777777" w:rsidTr="00A85B8A">
        <w:trPr>
          <w:trHeight w:val="340"/>
        </w:trPr>
        <w:tc>
          <w:tcPr>
            <w:tcW w:w="5033" w:type="dxa"/>
            <w:vAlign w:val="bottom"/>
          </w:tcPr>
          <w:p w14:paraId="6EF968E2" w14:textId="77777777" w:rsidR="00093DB9" w:rsidRPr="00E26D69" w:rsidRDefault="00093DB9" w:rsidP="00CF1904">
            <w:pPr>
              <w:spacing w:line="360" w:lineRule="auto"/>
              <w:ind w:left="-93"/>
              <w:rPr>
                <w:rFonts w:ascii="Arial" w:hAnsi="Arial" w:cs="Arial"/>
              </w:rPr>
            </w:pPr>
            <w:r w:rsidRPr="00E26D69">
              <w:rPr>
                <w:rFonts w:ascii="Arial" w:hAnsi="Arial" w:cs="Arial"/>
              </w:rPr>
              <w:t>Apprenticeship levy</w:t>
            </w:r>
          </w:p>
        </w:tc>
        <w:tc>
          <w:tcPr>
            <w:tcW w:w="1984" w:type="dxa"/>
            <w:vAlign w:val="bottom"/>
          </w:tcPr>
          <w:p w14:paraId="713998E4" w14:textId="77777777" w:rsidR="00093DB9" w:rsidRPr="000F7C1A" w:rsidRDefault="00093DB9" w:rsidP="00CF1904">
            <w:pPr>
              <w:spacing w:line="360" w:lineRule="auto"/>
              <w:jc w:val="right"/>
              <w:rPr>
                <w:rFonts w:ascii="Arial" w:hAnsi="Arial" w:cs="Arial"/>
              </w:rPr>
            </w:pPr>
            <w:r w:rsidRPr="000F7C1A">
              <w:rPr>
                <w:rFonts w:ascii="Arial" w:hAnsi="Arial" w:cs="Arial"/>
              </w:rPr>
              <w:t>209</w:t>
            </w:r>
          </w:p>
        </w:tc>
        <w:tc>
          <w:tcPr>
            <w:tcW w:w="1418" w:type="dxa"/>
            <w:vAlign w:val="bottom"/>
          </w:tcPr>
          <w:p w14:paraId="49AB4728" w14:textId="77777777" w:rsidR="00093DB9" w:rsidRPr="000F7C1A" w:rsidRDefault="00093DB9" w:rsidP="00CF1904">
            <w:pPr>
              <w:spacing w:line="360" w:lineRule="auto"/>
              <w:jc w:val="right"/>
              <w:rPr>
                <w:rFonts w:ascii="Arial" w:hAnsi="Arial" w:cs="Arial"/>
              </w:rPr>
            </w:pPr>
            <w:r w:rsidRPr="000F7C1A">
              <w:rPr>
                <w:rFonts w:ascii="Arial" w:hAnsi="Arial" w:cs="Arial"/>
              </w:rPr>
              <w:t>2</w:t>
            </w:r>
          </w:p>
        </w:tc>
        <w:tc>
          <w:tcPr>
            <w:tcW w:w="1788" w:type="dxa"/>
            <w:gridSpan w:val="2"/>
            <w:vAlign w:val="bottom"/>
          </w:tcPr>
          <w:p w14:paraId="4AD5ABC3" w14:textId="77777777" w:rsidR="00093DB9" w:rsidRPr="000F7C1A" w:rsidRDefault="00093DB9" w:rsidP="00CF1904">
            <w:pPr>
              <w:spacing w:line="360" w:lineRule="auto"/>
              <w:jc w:val="right"/>
              <w:rPr>
                <w:rFonts w:ascii="Arial" w:hAnsi="Arial" w:cs="Arial"/>
              </w:rPr>
            </w:pPr>
            <w:r w:rsidRPr="000F7C1A">
              <w:rPr>
                <w:rFonts w:ascii="Arial" w:hAnsi="Arial" w:cs="Arial"/>
              </w:rPr>
              <w:t>211</w:t>
            </w:r>
          </w:p>
        </w:tc>
      </w:tr>
      <w:tr w:rsidR="00093DB9" w:rsidRPr="00E26D69" w14:paraId="3B4D3A42" w14:textId="77777777" w:rsidTr="00A85B8A">
        <w:trPr>
          <w:trHeight w:val="340"/>
        </w:trPr>
        <w:tc>
          <w:tcPr>
            <w:tcW w:w="5033" w:type="dxa"/>
            <w:vAlign w:val="bottom"/>
          </w:tcPr>
          <w:p w14:paraId="4EDE4938" w14:textId="77777777" w:rsidR="00093DB9" w:rsidRPr="00E26D69" w:rsidRDefault="00093DB9" w:rsidP="00CF1904">
            <w:pPr>
              <w:spacing w:line="360" w:lineRule="auto"/>
              <w:ind w:left="-93"/>
              <w:rPr>
                <w:rFonts w:ascii="Arial" w:hAnsi="Arial" w:cs="Arial"/>
              </w:rPr>
            </w:pPr>
            <w:r w:rsidRPr="00E26D69">
              <w:rPr>
                <w:rFonts w:ascii="Arial" w:hAnsi="Arial" w:cs="Arial"/>
              </w:rPr>
              <w:t>Pension costs</w:t>
            </w:r>
          </w:p>
        </w:tc>
        <w:tc>
          <w:tcPr>
            <w:tcW w:w="1984" w:type="dxa"/>
            <w:tcBorders>
              <w:bottom w:val="single" w:sz="4" w:space="0" w:color="auto"/>
            </w:tcBorders>
            <w:vAlign w:val="bottom"/>
          </w:tcPr>
          <w:p w14:paraId="40ABBB2B" w14:textId="77777777" w:rsidR="00093DB9" w:rsidRPr="000F7C1A" w:rsidRDefault="00093DB9" w:rsidP="00CF1904">
            <w:pPr>
              <w:spacing w:line="360" w:lineRule="auto"/>
              <w:jc w:val="right"/>
              <w:rPr>
                <w:rFonts w:ascii="Arial" w:hAnsi="Arial" w:cs="Arial"/>
              </w:rPr>
            </w:pPr>
            <w:r w:rsidRPr="000F7C1A">
              <w:rPr>
                <w:rFonts w:ascii="Arial" w:hAnsi="Arial" w:cs="Arial"/>
              </w:rPr>
              <w:t>9,280</w:t>
            </w:r>
          </w:p>
        </w:tc>
        <w:tc>
          <w:tcPr>
            <w:tcW w:w="1418" w:type="dxa"/>
            <w:tcBorders>
              <w:bottom w:val="single" w:sz="4" w:space="0" w:color="auto"/>
            </w:tcBorders>
            <w:vAlign w:val="bottom"/>
          </w:tcPr>
          <w:p w14:paraId="17383897" w14:textId="77777777" w:rsidR="00093DB9" w:rsidRPr="000F7C1A" w:rsidRDefault="00093DB9" w:rsidP="00CF1904">
            <w:pPr>
              <w:spacing w:line="360" w:lineRule="auto"/>
              <w:jc w:val="right"/>
              <w:rPr>
                <w:rFonts w:ascii="Arial" w:hAnsi="Arial" w:cs="Arial"/>
              </w:rPr>
            </w:pPr>
            <w:r w:rsidRPr="000F7C1A">
              <w:rPr>
                <w:rFonts w:ascii="Arial" w:hAnsi="Arial" w:cs="Arial"/>
              </w:rPr>
              <w:t>81</w:t>
            </w:r>
          </w:p>
        </w:tc>
        <w:tc>
          <w:tcPr>
            <w:tcW w:w="1788" w:type="dxa"/>
            <w:gridSpan w:val="2"/>
            <w:tcBorders>
              <w:bottom w:val="single" w:sz="4" w:space="0" w:color="auto"/>
            </w:tcBorders>
            <w:vAlign w:val="bottom"/>
          </w:tcPr>
          <w:p w14:paraId="62DFB5C5" w14:textId="77777777" w:rsidR="00093DB9" w:rsidRPr="000F7C1A" w:rsidRDefault="00093DB9" w:rsidP="00CF1904">
            <w:pPr>
              <w:spacing w:line="360" w:lineRule="auto"/>
              <w:jc w:val="right"/>
              <w:rPr>
                <w:rFonts w:ascii="Arial" w:hAnsi="Arial" w:cs="Arial"/>
              </w:rPr>
            </w:pPr>
            <w:r w:rsidRPr="000F7C1A">
              <w:rPr>
                <w:rFonts w:ascii="Arial" w:hAnsi="Arial" w:cs="Arial"/>
              </w:rPr>
              <w:t>9,361</w:t>
            </w:r>
          </w:p>
        </w:tc>
      </w:tr>
      <w:tr w:rsidR="00EF6BF1" w:rsidRPr="00E26D69" w14:paraId="680F8001" w14:textId="77777777" w:rsidTr="00A85B8A">
        <w:trPr>
          <w:trHeight w:val="340"/>
        </w:trPr>
        <w:tc>
          <w:tcPr>
            <w:tcW w:w="5033" w:type="dxa"/>
            <w:vAlign w:val="bottom"/>
          </w:tcPr>
          <w:p w14:paraId="1CC0BAD7" w14:textId="77777777" w:rsidR="00093DB9" w:rsidRPr="00E26D69" w:rsidRDefault="00093DB9" w:rsidP="00CF1904">
            <w:pPr>
              <w:spacing w:line="360" w:lineRule="auto"/>
              <w:ind w:left="-93"/>
              <w:rPr>
                <w:rFonts w:ascii="Arial" w:hAnsi="Arial" w:cs="Arial"/>
                <w:b/>
                <w:bCs/>
              </w:rPr>
            </w:pPr>
            <w:r w:rsidRPr="00E26D69">
              <w:rPr>
                <w:rFonts w:ascii="Arial" w:hAnsi="Arial" w:cs="Arial"/>
                <w:b/>
              </w:rPr>
              <w:t>Subtotal of payroll costs</w:t>
            </w:r>
          </w:p>
        </w:tc>
        <w:tc>
          <w:tcPr>
            <w:tcW w:w="1984" w:type="dxa"/>
            <w:tcBorders>
              <w:top w:val="single" w:sz="4" w:space="0" w:color="auto"/>
              <w:bottom w:val="double" w:sz="4" w:space="0" w:color="auto"/>
            </w:tcBorders>
            <w:vAlign w:val="bottom"/>
          </w:tcPr>
          <w:p w14:paraId="28CC7AD0" w14:textId="77777777" w:rsidR="00093DB9" w:rsidRPr="000F7C1A" w:rsidRDefault="00093DB9" w:rsidP="00CF1904">
            <w:pPr>
              <w:spacing w:line="360" w:lineRule="auto"/>
              <w:jc w:val="right"/>
              <w:rPr>
                <w:rFonts w:ascii="Arial" w:hAnsi="Arial" w:cs="Arial"/>
                <w:b/>
              </w:rPr>
            </w:pPr>
            <w:r w:rsidRPr="000F7C1A">
              <w:rPr>
                <w:rFonts w:ascii="Arial" w:hAnsi="Arial" w:cs="Arial"/>
                <w:b/>
              </w:rPr>
              <w:t>61,578</w:t>
            </w:r>
          </w:p>
        </w:tc>
        <w:tc>
          <w:tcPr>
            <w:tcW w:w="1418" w:type="dxa"/>
            <w:tcBorders>
              <w:top w:val="single" w:sz="4" w:space="0" w:color="auto"/>
              <w:bottom w:val="double" w:sz="4" w:space="0" w:color="auto"/>
            </w:tcBorders>
            <w:vAlign w:val="bottom"/>
          </w:tcPr>
          <w:p w14:paraId="47903396" w14:textId="77777777" w:rsidR="00093DB9" w:rsidRPr="000F7C1A" w:rsidRDefault="00093DB9" w:rsidP="00CF1904">
            <w:pPr>
              <w:spacing w:line="360" w:lineRule="auto"/>
              <w:jc w:val="right"/>
              <w:rPr>
                <w:rFonts w:ascii="Arial" w:hAnsi="Arial" w:cs="Arial"/>
                <w:b/>
              </w:rPr>
            </w:pPr>
            <w:r w:rsidRPr="000F7C1A">
              <w:rPr>
                <w:rFonts w:ascii="Arial" w:hAnsi="Arial" w:cs="Arial"/>
                <w:b/>
              </w:rPr>
              <w:t>539</w:t>
            </w:r>
          </w:p>
        </w:tc>
        <w:tc>
          <w:tcPr>
            <w:tcW w:w="1788" w:type="dxa"/>
            <w:gridSpan w:val="2"/>
            <w:tcBorders>
              <w:top w:val="single" w:sz="4" w:space="0" w:color="auto"/>
              <w:bottom w:val="double" w:sz="4" w:space="0" w:color="auto"/>
            </w:tcBorders>
            <w:vAlign w:val="bottom"/>
          </w:tcPr>
          <w:p w14:paraId="0217D9E9" w14:textId="77777777" w:rsidR="00093DB9" w:rsidRPr="000F7C1A" w:rsidRDefault="00093DB9" w:rsidP="00CF1904">
            <w:pPr>
              <w:spacing w:line="360" w:lineRule="auto"/>
              <w:jc w:val="right"/>
              <w:rPr>
                <w:rFonts w:ascii="Arial" w:hAnsi="Arial" w:cs="Arial"/>
                <w:b/>
              </w:rPr>
            </w:pPr>
            <w:r w:rsidRPr="000F7C1A">
              <w:rPr>
                <w:rFonts w:ascii="Arial" w:hAnsi="Arial" w:cs="Arial"/>
                <w:b/>
              </w:rPr>
              <w:t>62,117</w:t>
            </w:r>
          </w:p>
        </w:tc>
      </w:tr>
      <w:tr w:rsidR="00093DB9" w:rsidRPr="00E26D69" w14:paraId="01B00E62" w14:textId="77777777" w:rsidTr="00A85B8A">
        <w:trPr>
          <w:trHeight w:val="1005"/>
        </w:trPr>
        <w:tc>
          <w:tcPr>
            <w:tcW w:w="8435" w:type="dxa"/>
            <w:gridSpan w:val="3"/>
            <w:vAlign w:val="bottom"/>
          </w:tcPr>
          <w:p w14:paraId="35AEA7B1" w14:textId="77777777" w:rsidR="00093DB9" w:rsidRPr="000F7C1A" w:rsidRDefault="00093DB9" w:rsidP="00CF1904">
            <w:pPr>
              <w:spacing w:line="360" w:lineRule="auto"/>
              <w:ind w:left="-105"/>
              <w:rPr>
                <w:rFonts w:ascii="Arial" w:hAnsi="Arial" w:cs="Arial"/>
              </w:rPr>
            </w:pPr>
            <w:r w:rsidRPr="000F7C1A">
              <w:rPr>
                <w:rFonts w:ascii="Arial" w:hAnsi="Arial" w:cs="Arial"/>
              </w:rPr>
              <w:t>Other staff related costs (principally recruitment fees, staff subsistence, training costs and hiring agency and temporary staff)</w:t>
            </w:r>
          </w:p>
        </w:tc>
        <w:tc>
          <w:tcPr>
            <w:tcW w:w="1788" w:type="dxa"/>
            <w:gridSpan w:val="2"/>
            <w:vAlign w:val="bottom"/>
          </w:tcPr>
          <w:p w14:paraId="08640F6A" w14:textId="77777777" w:rsidR="00093DB9" w:rsidRPr="000F7C1A" w:rsidRDefault="00093DB9" w:rsidP="00CF1904">
            <w:pPr>
              <w:spacing w:line="360" w:lineRule="auto"/>
              <w:jc w:val="right"/>
              <w:rPr>
                <w:rFonts w:ascii="Arial" w:hAnsi="Arial" w:cs="Arial"/>
              </w:rPr>
            </w:pPr>
            <w:r w:rsidRPr="000F7C1A">
              <w:rPr>
                <w:rFonts w:ascii="Arial" w:hAnsi="Arial" w:cs="Arial"/>
              </w:rPr>
              <w:t>441</w:t>
            </w:r>
          </w:p>
        </w:tc>
      </w:tr>
      <w:tr w:rsidR="00093DB9" w:rsidRPr="00E26D69" w14:paraId="666923FF" w14:textId="77777777" w:rsidTr="00A85B8A">
        <w:trPr>
          <w:trHeight w:val="340"/>
        </w:trPr>
        <w:tc>
          <w:tcPr>
            <w:tcW w:w="5033" w:type="dxa"/>
            <w:vAlign w:val="bottom"/>
          </w:tcPr>
          <w:p w14:paraId="5A2473E8" w14:textId="77777777" w:rsidR="00093DB9" w:rsidRPr="00E26D69" w:rsidRDefault="00093DB9" w:rsidP="00A73AC4">
            <w:pPr>
              <w:spacing w:line="360" w:lineRule="auto"/>
              <w:ind w:left="-93"/>
            </w:pPr>
            <w:r w:rsidRPr="00A73AC4">
              <w:rPr>
                <w:rFonts w:ascii="Arial" w:hAnsi="Arial" w:cs="Arial"/>
              </w:rPr>
              <w:t>IAS19 pension charge (note 16)</w:t>
            </w:r>
          </w:p>
        </w:tc>
        <w:tc>
          <w:tcPr>
            <w:tcW w:w="1984" w:type="dxa"/>
            <w:noWrap/>
            <w:vAlign w:val="bottom"/>
          </w:tcPr>
          <w:p w14:paraId="437F6EDD" w14:textId="77777777" w:rsidR="00093DB9" w:rsidRPr="000F7C1A" w:rsidRDefault="00093DB9" w:rsidP="00CF1904">
            <w:pPr>
              <w:spacing w:line="360" w:lineRule="auto"/>
              <w:jc w:val="right"/>
              <w:rPr>
                <w:rFonts w:ascii="Arial" w:hAnsi="Arial" w:cs="Arial"/>
              </w:rPr>
            </w:pPr>
          </w:p>
        </w:tc>
        <w:tc>
          <w:tcPr>
            <w:tcW w:w="1418" w:type="dxa"/>
            <w:noWrap/>
            <w:vAlign w:val="bottom"/>
          </w:tcPr>
          <w:p w14:paraId="0ACCEE21" w14:textId="77777777" w:rsidR="00093DB9" w:rsidRPr="000F7C1A" w:rsidRDefault="00093DB9" w:rsidP="00CF1904">
            <w:pPr>
              <w:spacing w:line="360" w:lineRule="auto"/>
              <w:jc w:val="right"/>
              <w:rPr>
                <w:rFonts w:ascii="Arial" w:hAnsi="Arial" w:cs="Arial"/>
              </w:rPr>
            </w:pPr>
          </w:p>
        </w:tc>
        <w:tc>
          <w:tcPr>
            <w:tcW w:w="1788" w:type="dxa"/>
            <w:gridSpan w:val="2"/>
            <w:vAlign w:val="bottom"/>
          </w:tcPr>
          <w:p w14:paraId="72D8134B" w14:textId="77777777" w:rsidR="00093DB9" w:rsidRPr="000F7C1A" w:rsidRDefault="00093DB9" w:rsidP="00CF1904">
            <w:pPr>
              <w:spacing w:line="360" w:lineRule="auto"/>
              <w:jc w:val="right"/>
              <w:rPr>
                <w:rFonts w:ascii="Arial" w:hAnsi="Arial" w:cs="Arial"/>
              </w:rPr>
            </w:pPr>
            <w:r w:rsidRPr="000F7C1A">
              <w:rPr>
                <w:rFonts w:ascii="Arial" w:hAnsi="Arial" w:cs="Arial"/>
              </w:rPr>
              <w:t>6,651</w:t>
            </w:r>
          </w:p>
        </w:tc>
      </w:tr>
      <w:tr w:rsidR="00093DB9" w:rsidRPr="00E26D69" w14:paraId="30DC6D67" w14:textId="77777777" w:rsidTr="00A85B8A">
        <w:trPr>
          <w:trHeight w:val="340"/>
        </w:trPr>
        <w:tc>
          <w:tcPr>
            <w:tcW w:w="5033" w:type="dxa"/>
            <w:vAlign w:val="bottom"/>
          </w:tcPr>
          <w:p w14:paraId="6A96E24C" w14:textId="77777777" w:rsidR="00093DB9" w:rsidRPr="00E26D69" w:rsidRDefault="00093DB9" w:rsidP="00CF1904">
            <w:pPr>
              <w:spacing w:line="360" w:lineRule="auto"/>
              <w:ind w:left="-93"/>
              <w:rPr>
                <w:rFonts w:ascii="Arial" w:hAnsi="Arial" w:cs="Arial"/>
              </w:rPr>
            </w:pPr>
            <w:r w:rsidRPr="00E26D69">
              <w:rPr>
                <w:rFonts w:ascii="Arial" w:hAnsi="Arial" w:cs="Arial"/>
              </w:rPr>
              <w:t>Life Assurance provision (note 13)</w:t>
            </w:r>
          </w:p>
        </w:tc>
        <w:tc>
          <w:tcPr>
            <w:tcW w:w="1984" w:type="dxa"/>
            <w:noWrap/>
            <w:vAlign w:val="bottom"/>
          </w:tcPr>
          <w:p w14:paraId="397476B2" w14:textId="77777777" w:rsidR="00093DB9" w:rsidRPr="000F7C1A" w:rsidRDefault="00093DB9" w:rsidP="00CF1904">
            <w:pPr>
              <w:spacing w:line="360" w:lineRule="auto"/>
              <w:rPr>
                <w:rFonts w:ascii="Arial" w:hAnsi="Arial" w:cs="Arial"/>
              </w:rPr>
            </w:pPr>
          </w:p>
        </w:tc>
        <w:tc>
          <w:tcPr>
            <w:tcW w:w="1418" w:type="dxa"/>
            <w:noWrap/>
            <w:vAlign w:val="bottom"/>
          </w:tcPr>
          <w:p w14:paraId="43FA5285" w14:textId="77777777" w:rsidR="00093DB9" w:rsidRPr="000F7C1A" w:rsidRDefault="00093DB9" w:rsidP="00CF1904">
            <w:pPr>
              <w:spacing w:line="360" w:lineRule="auto"/>
              <w:jc w:val="right"/>
              <w:rPr>
                <w:rFonts w:ascii="Arial" w:hAnsi="Arial" w:cs="Arial"/>
              </w:rPr>
            </w:pPr>
          </w:p>
        </w:tc>
        <w:tc>
          <w:tcPr>
            <w:tcW w:w="1788" w:type="dxa"/>
            <w:gridSpan w:val="2"/>
            <w:vAlign w:val="bottom"/>
          </w:tcPr>
          <w:p w14:paraId="753C9992" w14:textId="77777777" w:rsidR="00093DB9" w:rsidRPr="000F7C1A" w:rsidRDefault="00093DB9" w:rsidP="00CF1904">
            <w:pPr>
              <w:spacing w:line="360" w:lineRule="auto"/>
              <w:jc w:val="right"/>
              <w:rPr>
                <w:rFonts w:ascii="Arial" w:hAnsi="Arial" w:cs="Arial"/>
              </w:rPr>
            </w:pPr>
            <w:r w:rsidRPr="000F7C1A">
              <w:rPr>
                <w:rFonts w:ascii="Arial" w:hAnsi="Arial" w:cs="Arial"/>
              </w:rPr>
              <w:t>(19)</w:t>
            </w:r>
          </w:p>
        </w:tc>
      </w:tr>
      <w:tr w:rsidR="00093DB9" w:rsidRPr="00E26D69" w14:paraId="43ECF4D0" w14:textId="77777777" w:rsidTr="00A85B8A">
        <w:trPr>
          <w:trHeight w:val="340"/>
        </w:trPr>
        <w:tc>
          <w:tcPr>
            <w:tcW w:w="5033" w:type="dxa"/>
            <w:vAlign w:val="bottom"/>
          </w:tcPr>
          <w:p w14:paraId="135DC989" w14:textId="77777777" w:rsidR="00093DB9" w:rsidRPr="00E26D69" w:rsidRDefault="00093DB9" w:rsidP="00CF1904">
            <w:pPr>
              <w:spacing w:line="360" w:lineRule="auto"/>
              <w:ind w:left="-93"/>
              <w:rPr>
                <w:rFonts w:ascii="Arial" w:hAnsi="Arial" w:cs="Arial"/>
              </w:rPr>
            </w:pPr>
            <w:r w:rsidRPr="00E26D69">
              <w:rPr>
                <w:rFonts w:ascii="Arial" w:hAnsi="Arial" w:cs="Arial"/>
              </w:rPr>
              <w:t>Unfunded IAS 19 Pension charge (note 13)</w:t>
            </w:r>
          </w:p>
        </w:tc>
        <w:tc>
          <w:tcPr>
            <w:tcW w:w="1984" w:type="dxa"/>
            <w:noWrap/>
            <w:vAlign w:val="bottom"/>
          </w:tcPr>
          <w:p w14:paraId="10093A54" w14:textId="77777777" w:rsidR="00093DB9" w:rsidRPr="000F7C1A" w:rsidRDefault="00093DB9" w:rsidP="00CF1904">
            <w:pPr>
              <w:spacing w:line="360" w:lineRule="auto"/>
              <w:rPr>
                <w:rFonts w:ascii="Arial" w:hAnsi="Arial" w:cs="Arial"/>
              </w:rPr>
            </w:pPr>
          </w:p>
        </w:tc>
        <w:tc>
          <w:tcPr>
            <w:tcW w:w="1418" w:type="dxa"/>
            <w:noWrap/>
            <w:vAlign w:val="bottom"/>
          </w:tcPr>
          <w:p w14:paraId="4D0F6CC6" w14:textId="77777777" w:rsidR="00093DB9" w:rsidRPr="000F7C1A" w:rsidRDefault="00093DB9" w:rsidP="00CF1904">
            <w:pPr>
              <w:spacing w:line="360" w:lineRule="auto"/>
              <w:jc w:val="right"/>
              <w:rPr>
                <w:rFonts w:ascii="Arial" w:hAnsi="Arial" w:cs="Arial"/>
              </w:rPr>
            </w:pPr>
          </w:p>
        </w:tc>
        <w:tc>
          <w:tcPr>
            <w:tcW w:w="1788" w:type="dxa"/>
            <w:gridSpan w:val="2"/>
            <w:tcBorders>
              <w:bottom w:val="single" w:sz="4" w:space="0" w:color="auto"/>
            </w:tcBorders>
            <w:vAlign w:val="bottom"/>
          </w:tcPr>
          <w:p w14:paraId="63CCD3F9" w14:textId="77777777" w:rsidR="00093DB9" w:rsidRPr="000F7C1A" w:rsidRDefault="00093DB9" w:rsidP="00CF1904">
            <w:pPr>
              <w:spacing w:line="360" w:lineRule="auto"/>
              <w:jc w:val="right"/>
              <w:rPr>
                <w:rFonts w:ascii="Arial" w:hAnsi="Arial" w:cs="Arial"/>
              </w:rPr>
            </w:pPr>
            <w:r w:rsidRPr="000F7C1A">
              <w:rPr>
                <w:rFonts w:ascii="Arial" w:hAnsi="Arial" w:cs="Arial"/>
              </w:rPr>
              <w:t>193</w:t>
            </w:r>
          </w:p>
        </w:tc>
      </w:tr>
      <w:tr w:rsidR="003C3E9C" w:rsidRPr="00E26D69" w14:paraId="64615291" w14:textId="77777777" w:rsidTr="00A85B8A">
        <w:trPr>
          <w:gridAfter w:val="1"/>
          <w:wAfter w:w="16" w:type="dxa"/>
          <w:trHeight w:val="340"/>
        </w:trPr>
        <w:tc>
          <w:tcPr>
            <w:tcW w:w="5033" w:type="dxa"/>
            <w:vAlign w:val="bottom"/>
          </w:tcPr>
          <w:p w14:paraId="06D7D84C" w14:textId="77777777" w:rsidR="00AC631B" w:rsidRPr="00E26D69" w:rsidRDefault="00AC631B" w:rsidP="00CF1904">
            <w:pPr>
              <w:spacing w:line="360" w:lineRule="auto"/>
              <w:ind w:left="-93"/>
              <w:rPr>
                <w:rFonts w:ascii="Arial" w:hAnsi="Arial" w:cs="Arial"/>
              </w:rPr>
            </w:pPr>
          </w:p>
        </w:tc>
        <w:tc>
          <w:tcPr>
            <w:tcW w:w="1984" w:type="dxa"/>
            <w:noWrap/>
            <w:vAlign w:val="bottom"/>
          </w:tcPr>
          <w:p w14:paraId="21918D70" w14:textId="77777777" w:rsidR="00AC631B" w:rsidRPr="000F7C1A" w:rsidRDefault="00AC631B" w:rsidP="00CF1904">
            <w:pPr>
              <w:spacing w:line="360" w:lineRule="auto"/>
              <w:rPr>
                <w:rFonts w:ascii="Arial" w:hAnsi="Arial" w:cs="Arial"/>
              </w:rPr>
            </w:pPr>
          </w:p>
        </w:tc>
        <w:tc>
          <w:tcPr>
            <w:tcW w:w="1418" w:type="dxa"/>
            <w:noWrap/>
            <w:vAlign w:val="bottom"/>
          </w:tcPr>
          <w:p w14:paraId="67EBD382" w14:textId="77777777" w:rsidR="00AC631B" w:rsidRPr="000F7C1A" w:rsidRDefault="00AC631B" w:rsidP="00CF1904">
            <w:pPr>
              <w:spacing w:line="360" w:lineRule="auto"/>
              <w:jc w:val="right"/>
              <w:rPr>
                <w:rFonts w:ascii="Arial" w:hAnsi="Arial" w:cs="Arial"/>
              </w:rPr>
            </w:pPr>
          </w:p>
        </w:tc>
        <w:tc>
          <w:tcPr>
            <w:tcW w:w="1772" w:type="dxa"/>
            <w:tcBorders>
              <w:top w:val="single" w:sz="4" w:space="0" w:color="auto"/>
              <w:bottom w:val="double" w:sz="4" w:space="0" w:color="auto"/>
            </w:tcBorders>
            <w:vAlign w:val="bottom"/>
          </w:tcPr>
          <w:p w14:paraId="5D1E098D" w14:textId="3A221A74" w:rsidR="00AC631B" w:rsidRPr="000F7C1A" w:rsidRDefault="00440A35" w:rsidP="00CF1904">
            <w:pPr>
              <w:spacing w:line="360" w:lineRule="auto"/>
              <w:jc w:val="right"/>
              <w:rPr>
                <w:rFonts w:ascii="Arial" w:hAnsi="Arial" w:cs="Arial"/>
                <w:b/>
                <w:bCs/>
              </w:rPr>
            </w:pPr>
            <w:r w:rsidRPr="000F7C1A">
              <w:rPr>
                <w:rFonts w:ascii="Arial" w:hAnsi="Arial" w:cs="Arial"/>
                <w:b/>
                <w:bCs/>
              </w:rPr>
              <w:t>69,383</w:t>
            </w:r>
          </w:p>
        </w:tc>
      </w:tr>
    </w:tbl>
    <w:p w14:paraId="43E5F01A" w14:textId="77777777" w:rsidR="00C13EC0" w:rsidRDefault="00C13EC0" w:rsidP="00C94B0B">
      <w:pPr>
        <w:spacing w:line="360" w:lineRule="auto"/>
        <w:ind w:left="-284"/>
        <w:rPr>
          <w:rFonts w:ascii="Arial" w:hAnsi="Arial" w:cs="Arial"/>
          <w:b/>
        </w:rPr>
      </w:pPr>
    </w:p>
    <w:p w14:paraId="7A35E290" w14:textId="38DE5169" w:rsidR="00E26D69" w:rsidRPr="00E26D69" w:rsidRDefault="00E26D69" w:rsidP="00C94B0B">
      <w:pPr>
        <w:spacing w:line="360" w:lineRule="auto"/>
        <w:ind w:left="-284"/>
        <w:rPr>
          <w:rFonts w:ascii="Arial" w:hAnsi="Arial" w:cs="Arial"/>
          <w:b/>
        </w:rPr>
      </w:pPr>
      <w:r w:rsidRPr="00E26D69">
        <w:rPr>
          <w:rFonts w:ascii="Arial" w:hAnsi="Arial" w:cs="Arial"/>
          <w:b/>
        </w:rPr>
        <w:lastRenderedPageBreak/>
        <w:t>Pension Scheme</w:t>
      </w:r>
    </w:p>
    <w:p w14:paraId="6BDC54F8" w14:textId="77777777" w:rsidR="00C94B0B" w:rsidRPr="00A838C9" w:rsidRDefault="00E26D69" w:rsidP="00E91239">
      <w:pPr>
        <w:spacing w:line="360" w:lineRule="auto"/>
        <w:ind w:left="-284" w:right="-141"/>
        <w:rPr>
          <w:rFonts w:ascii="Arial" w:hAnsi="Arial" w:cs="Arial"/>
          <w:color w:val="000000"/>
        </w:rPr>
      </w:pPr>
      <w:r w:rsidRPr="00A838C9">
        <w:rPr>
          <w:rFonts w:ascii="Arial" w:hAnsi="Arial" w:cs="Arial"/>
          <w:color w:val="000000"/>
        </w:rPr>
        <w:t xml:space="preserve">SEPA contributes to the Falkirk Council Pension Fund. This is a Local Government Pension Scheme (LGPS), which is a defined benefit scheme and is administered by Falkirk Council. This Scheme is a multi-employer scheme. Employee contributions, based on salary, are fixed by statute currently on a scale of 5.5% - 11.2%.  </w:t>
      </w:r>
    </w:p>
    <w:p w14:paraId="716A8F91" w14:textId="77777777" w:rsidR="00C94B0B" w:rsidRPr="00A838C9" w:rsidRDefault="00C94B0B" w:rsidP="00E91239">
      <w:pPr>
        <w:spacing w:line="360" w:lineRule="auto"/>
        <w:ind w:left="-284" w:right="-141"/>
        <w:rPr>
          <w:rFonts w:ascii="Arial" w:hAnsi="Arial" w:cs="Arial"/>
          <w:color w:val="000000"/>
        </w:rPr>
      </w:pPr>
    </w:p>
    <w:p w14:paraId="4617DAD0" w14:textId="58B942ED" w:rsidR="00C94B0B" w:rsidRPr="00A838C9" w:rsidRDefault="00E26D69" w:rsidP="00E91239">
      <w:pPr>
        <w:spacing w:line="360" w:lineRule="auto"/>
        <w:ind w:left="-284" w:right="-141"/>
        <w:rPr>
          <w:rFonts w:ascii="Arial" w:hAnsi="Arial" w:cs="Arial"/>
          <w:color w:val="000000"/>
        </w:rPr>
      </w:pPr>
      <w:r w:rsidRPr="00A838C9">
        <w:rPr>
          <w:rFonts w:ascii="Arial" w:hAnsi="Arial" w:cs="Arial"/>
          <w:color w:val="000000"/>
        </w:rPr>
        <w:t>The latest formal valuation of the Fund for the purpose of setting employer’s actual contributions was at 31 March 20</w:t>
      </w:r>
      <w:r w:rsidR="002F6769" w:rsidRPr="00A838C9">
        <w:rPr>
          <w:rFonts w:ascii="Arial" w:hAnsi="Arial" w:cs="Arial"/>
          <w:color w:val="000000"/>
        </w:rPr>
        <w:t>20</w:t>
      </w:r>
      <w:r w:rsidRPr="00A838C9">
        <w:rPr>
          <w:rFonts w:ascii="Arial" w:hAnsi="Arial" w:cs="Arial"/>
          <w:color w:val="000000"/>
        </w:rPr>
        <w:t>, with the next full formal valuation scheduled for 31 March 202</w:t>
      </w:r>
      <w:r w:rsidR="002F6769" w:rsidRPr="00A838C9">
        <w:rPr>
          <w:rFonts w:ascii="Arial" w:hAnsi="Arial" w:cs="Arial"/>
          <w:color w:val="000000"/>
        </w:rPr>
        <w:t>3</w:t>
      </w:r>
      <w:r w:rsidRPr="00A838C9">
        <w:rPr>
          <w:rFonts w:ascii="Arial" w:hAnsi="Arial" w:cs="Arial"/>
          <w:color w:val="000000"/>
        </w:rPr>
        <w:t>. The formal valuation at 31 March</w:t>
      </w:r>
      <w:r w:rsidR="002F6769" w:rsidRPr="00A838C9">
        <w:rPr>
          <w:rFonts w:ascii="Arial" w:hAnsi="Arial" w:cs="Arial"/>
          <w:color w:val="000000"/>
        </w:rPr>
        <w:t xml:space="preserve"> 2020 </w:t>
      </w:r>
      <w:r w:rsidRPr="00A838C9">
        <w:rPr>
          <w:rFonts w:ascii="Arial" w:hAnsi="Arial" w:cs="Arial"/>
          <w:color w:val="000000"/>
        </w:rPr>
        <w:t>estimated the pension deficit at £2</w:t>
      </w:r>
      <w:r w:rsidR="002F6769" w:rsidRPr="00A838C9">
        <w:rPr>
          <w:rFonts w:ascii="Arial" w:hAnsi="Arial" w:cs="Arial"/>
          <w:color w:val="000000"/>
        </w:rPr>
        <w:t>7</w:t>
      </w:r>
      <w:r w:rsidRPr="00A838C9">
        <w:rPr>
          <w:rFonts w:ascii="Arial" w:hAnsi="Arial" w:cs="Arial"/>
          <w:color w:val="000000"/>
        </w:rPr>
        <w:t>.5m, or 9</w:t>
      </w:r>
      <w:r w:rsidR="002F6769" w:rsidRPr="00A838C9">
        <w:rPr>
          <w:rFonts w:ascii="Arial" w:hAnsi="Arial" w:cs="Arial"/>
          <w:color w:val="000000"/>
        </w:rPr>
        <w:t>1</w:t>
      </w:r>
      <w:r w:rsidR="00E94FCC" w:rsidRPr="00A838C9">
        <w:rPr>
          <w:rFonts w:ascii="Arial" w:hAnsi="Arial" w:cs="Arial"/>
          <w:color w:val="000000"/>
        </w:rPr>
        <w:t>.5</w:t>
      </w:r>
      <w:r w:rsidRPr="00A838C9">
        <w:rPr>
          <w:rFonts w:ascii="Arial" w:hAnsi="Arial" w:cs="Arial"/>
          <w:color w:val="000000"/>
        </w:rPr>
        <w:t xml:space="preserve">% funding level, an improvement of </w:t>
      </w:r>
      <w:r w:rsidR="002F6769" w:rsidRPr="00A838C9">
        <w:rPr>
          <w:rFonts w:ascii="Arial" w:hAnsi="Arial" w:cs="Arial"/>
          <w:color w:val="000000"/>
        </w:rPr>
        <w:t>1</w:t>
      </w:r>
      <w:r w:rsidR="00E94FCC" w:rsidRPr="00A838C9">
        <w:rPr>
          <w:rFonts w:ascii="Arial" w:hAnsi="Arial" w:cs="Arial"/>
          <w:color w:val="000000"/>
        </w:rPr>
        <w:t>.5</w:t>
      </w:r>
      <w:r w:rsidRPr="00A838C9">
        <w:rPr>
          <w:rFonts w:ascii="Arial" w:hAnsi="Arial" w:cs="Arial"/>
          <w:color w:val="000000"/>
        </w:rPr>
        <w:t>% on the previous formal valuation in March 201</w:t>
      </w:r>
      <w:r w:rsidR="002F6769" w:rsidRPr="00A838C9">
        <w:rPr>
          <w:rFonts w:ascii="Arial" w:hAnsi="Arial" w:cs="Arial"/>
          <w:color w:val="000000"/>
        </w:rPr>
        <w:t>7</w:t>
      </w:r>
      <w:r w:rsidRPr="00A838C9">
        <w:rPr>
          <w:rFonts w:ascii="Arial" w:hAnsi="Arial" w:cs="Arial"/>
          <w:color w:val="000000"/>
        </w:rPr>
        <w:t>.  The employer’s contribution rate agreed for the three years 20</w:t>
      </w:r>
      <w:r w:rsidR="002F6769" w:rsidRPr="00A838C9">
        <w:rPr>
          <w:rFonts w:ascii="Arial" w:hAnsi="Arial" w:cs="Arial"/>
          <w:color w:val="000000"/>
        </w:rPr>
        <w:t>21</w:t>
      </w:r>
      <w:r w:rsidRPr="00A838C9">
        <w:rPr>
          <w:rFonts w:ascii="Arial" w:hAnsi="Arial" w:cs="Arial"/>
          <w:color w:val="000000"/>
        </w:rPr>
        <w:t>-2</w:t>
      </w:r>
      <w:r w:rsidR="002F6769" w:rsidRPr="00A838C9">
        <w:rPr>
          <w:rFonts w:ascii="Arial" w:hAnsi="Arial" w:cs="Arial"/>
          <w:color w:val="000000"/>
        </w:rPr>
        <w:t>3</w:t>
      </w:r>
      <w:r w:rsidRPr="00A838C9">
        <w:rPr>
          <w:rFonts w:ascii="Arial" w:hAnsi="Arial" w:cs="Arial"/>
          <w:color w:val="000000"/>
        </w:rPr>
        <w:t xml:space="preserve"> </w:t>
      </w:r>
      <w:r w:rsidR="00A14E73">
        <w:rPr>
          <w:rFonts w:ascii="Arial" w:hAnsi="Arial" w:cs="Arial"/>
          <w:color w:val="000000"/>
        </w:rPr>
        <w:t>is</w:t>
      </w:r>
      <w:r w:rsidR="00457458" w:rsidRPr="00A838C9">
        <w:rPr>
          <w:rFonts w:ascii="Arial" w:hAnsi="Arial" w:cs="Arial"/>
          <w:color w:val="000000"/>
        </w:rPr>
        <w:t xml:space="preserve"> 20</w:t>
      </w:r>
      <w:r w:rsidR="00A838C9">
        <w:rPr>
          <w:rFonts w:ascii="Arial" w:hAnsi="Arial" w:cs="Arial"/>
          <w:color w:val="000000"/>
        </w:rPr>
        <w:t>.0</w:t>
      </w:r>
      <w:r w:rsidRPr="00A838C9">
        <w:rPr>
          <w:rFonts w:ascii="Arial" w:hAnsi="Arial" w:cs="Arial"/>
          <w:color w:val="000000"/>
        </w:rPr>
        <w:t>%</w:t>
      </w:r>
      <w:r w:rsidR="002F6769" w:rsidRPr="00A838C9">
        <w:rPr>
          <w:rFonts w:ascii="Arial" w:hAnsi="Arial" w:cs="Arial"/>
          <w:color w:val="000000"/>
        </w:rPr>
        <w:t>, rising to 20.5% for 2023</w:t>
      </w:r>
      <w:r w:rsidR="00DB5268">
        <w:rPr>
          <w:rFonts w:ascii="Arial" w:hAnsi="Arial" w:cs="Arial"/>
          <w:color w:val="000000"/>
        </w:rPr>
        <w:t>/</w:t>
      </w:r>
      <w:r w:rsidR="002F6769" w:rsidRPr="00A838C9">
        <w:rPr>
          <w:rFonts w:ascii="Arial" w:hAnsi="Arial" w:cs="Arial"/>
          <w:color w:val="000000"/>
        </w:rPr>
        <w:t>24</w:t>
      </w:r>
      <w:r w:rsidR="000972BF" w:rsidRPr="00A838C9">
        <w:rPr>
          <w:rFonts w:ascii="Arial" w:hAnsi="Arial" w:cs="Arial"/>
          <w:color w:val="000000"/>
        </w:rPr>
        <w:t>.</w:t>
      </w:r>
    </w:p>
    <w:p w14:paraId="4E6FF17C" w14:textId="77777777" w:rsidR="00C94B0B" w:rsidRPr="00A838C9" w:rsidRDefault="00C94B0B" w:rsidP="00E91239">
      <w:pPr>
        <w:spacing w:line="360" w:lineRule="auto"/>
        <w:ind w:left="-284" w:right="-141"/>
        <w:rPr>
          <w:rFonts w:ascii="Arial" w:hAnsi="Arial" w:cs="Arial"/>
          <w:color w:val="000000"/>
        </w:rPr>
      </w:pPr>
    </w:p>
    <w:p w14:paraId="11EF1FA1" w14:textId="234FE5AF" w:rsidR="00C94B0B" w:rsidRPr="00A838C9" w:rsidRDefault="00E26D69" w:rsidP="00E91239">
      <w:pPr>
        <w:spacing w:line="360" w:lineRule="auto"/>
        <w:ind w:left="-284" w:right="-141"/>
        <w:rPr>
          <w:rFonts w:ascii="Arial" w:hAnsi="Arial" w:cs="Arial"/>
          <w:color w:val="000000"/>
        </w:rPr>
      </w:pPr>
      <w:r w:rsidRPr="003370EB">
        <w:rPr>
          <w:rFonts w:ascii="Arial" w:hAnsi="Arial" w:cs="Arial"/>
          <w:color w:val="000000"/>
        </w:rPr>
        <w:t>The Scheme actuaries have undertaken an accounting valuation of the pension scheme for SEPA</w:t>
      </w:r>
      <w:r w:rsidR="00DE4074" w:rsidRPr="003370EB">
        <w:rPr>
          <w:rFonts w:ascii="Arial" w:hAnsi="Arial" w:cs="Arial"/>
          <w:color w:val="000000"/>
        </w:rPr>
        <w:t xml:space="preserve"> a</w:t>
      </w:r>
      <w:r w:rsidR="00C90814" w:rsidRPr="003370EB">
        <w:rPr>
          <w:rFonts w:ascii="Arial" w:hAnsi="Arial" w:cs="Arial"/>
          <w:color w:val="000000"/>
        </w:rPr>
        <w:t>t</w:t>
      </w:r>
      <w:r w:rsidRPr="003370EB">
        <w:rPr>
          <w:rFonts w:ascii="Arial" w:hAnsi="Arial" w:cs="Arial"/>
          <w:color w:val="000000"/>
        </w:rPr>
        <w:t xml:space="preserve"> 31 March 202</w:t>
      </w:r>
      <w:r w:rsidR="00B24E9B" w:rsidRPr="003370EB">
        <w:rPr>
          <w:rFonts w:ascii="Arial" w:hAnsi="Arial" w:cs="Arial"/>
          <w:color w:val="000000"/>
        </w:rPr>
        <w:t>2</w:t>
      </w:r>
      <w:r w:rsidR="00B30A7F" w:rsidRPr="003370EB">
        <w:rPr>
          <w:rFonts w:ascii="Arial" w:hAnsi="Arial" w:cs="Arial"/>
          <w:color w:val="000000"/>
        </w:rPr>
        <w:t xml:space="preserve"> of</w:t>
      </w:r>
      <w:r w:rsidRPr="003370EB">
        <w:rPr>
          <w:rFonts w:ascii="Arial" w:hAnsi="Arial" w:cs="Arial"/>
          <w:color w:val="000000"/>
        </w:rPr>
        <w:t xml:space="preserve"> £</w:t>
      </w:r>
      <w:r w:rsidR="00B24E9B" w:rsidRPr="003370EB">
        <w:rPr>
          <w:rFonts w:ascii="Arial" w:hAnsi="Arial" w:cs="Arial"/>
          <w:color w:val="000000"/>
        </w:rPr>
        <w:t>12</w:t>
      </w:r>
      <w:r w:rsidR="00500C26">
        <w:rPr>
          <w:rFonts w:ascii="Arial" w:hAnsi="Arial" w:cs="Arial"/>
          <w:color w:val="000000"/>
        </w:rPr>
        <w:t>1m</w:t>
      </w:r>
      <w:r w:rsidRPr="003370EB">
        <w:rPr>
          <w:rFonts w:ascii="Arial" w:hAnsi="Arial" w:cs="Arial"/>
          <w:color w:val="000000"/>
        </w:rPr>
        <w:t xml:space="preserve"> shown in the </w:t>
      </w:r>
      <w:r w:rsidR="00FC03B8" w:rsidRPr="003370EB">
        <w:rPr>
          <w:rFonts w:ascii="Arial" w:hAnsi="Arial" w:cs="Arial"/>
          <w:color w:val="000000"/>
        </w:rPr>
        <w:t>S</w:t>
      </w:r>
      <w:r w:rsidRPr="003370EB">
        <w:rPr>
          <w:rFonts w:ascii="Arial" w:hAnsi="Arial" w:cs="Arial"/>
          <w:color w:val="000000"/>
        </w:rPr>
        <w:t xml:space="preserve">tatement of </w:t>
      </w:r>
      <w:r w:rsidR="00FC03B8" w:rsidRPr="003370EB">
        <w:rPr>
          <w:rFonts w:ascii="Arial" w:hAnsi="Arial" w:cs="Arial"/>
          <w:color w:val="000000"/>
        </w:rPr>
        <w:t>F</w:t>
      </w:r>
      <w:r w:rsidRPr="003370EB">
        <w:rPr>
          <w:rFonts w:ascii="Arial" w:hAnsi="Arial" w:cs="Arial"/>
          <w:color w:val="000000"/>
        </w:rPr>
        <w:t xml:space="preserve">inancial </w:t>
      </w:r>
      <w:r w:rsidR="00FC03B8" w:rsidRPr="003370EB">
        <w:rPr>
          <w:rFonts w:ascii="Arial" w:hAnsi="Arial" w:cs="Arial"/>
          <w:color w:val="000000"/>
        </w:rPr>
        <w:t>P</w:t>
      </w:r>
      <w:r w:rsidRPr="003370EB">
        <w:rPr>
          <w:rFonts w:ascii="Arial" w:hAnsi="Arial" w:cs="Arial"/>
          <w:color w:val="000000"/>
        </w:rPr>
        <w:t xml:space="preserve">osition. </w:t>
      </w:r>
      <w:hyperlink w:anchor="Note15IAS19Pensionassetandliabilities" w:history="1">
        <w:r w:rsidRPr="00A14E73">
          <w:rPr>
            <w:rStyle w:val="Hyperlink"/>
            <w:rFonts w:ascii="Arial" w:hAnsi="Arial" w:cs="Arial"/>
          </w:rPr>
          <w:t>Note 15</w:t>
        </w:r>
      </w:hyperlink>
      <w:r w:rsidRPr="003370EB">
        <w:rPr>
          <w:rFonts w:ascii="Arial" w:hAnsi="Arial" w:cs="Arial"/>
          <w:color w:val="000000"/>
        </w:rPr>
        <w:t xml:space="preserve"> provides information on SEPA’s share of the scheme assets and liabilities.</w:t>
      </w:r>
    </w:p>
    <w:p w14:paraId="2FDFC3E2" w14:textId="77777777" w:rsidR="00C94B0B" w:rsidRPr="00A838C9" w:rsidRDefault="00C94B0B" w:rsidP="00C94B0B">
      <w:pPr>
        <w:spacing w:line="360" w:lineRule="auto"/>
        <w:ind w:left="-284" w:right="-141"/>
        <w:jc w:val="both"/>
        <w:rPr>
          <w:rFonts w:ascii="Arial" w:hAnsi="Arial" w:cs="Arial"/>
          <w:color w:val="000000"/>
        </w:rPr>
      </w:pPr>
    </w:p>
    <w:p w14:paraId="3F7A4C82" w14:textId="7D2505F5" w:rsidR="000C06B0" w:rsidRDefault="00E26D69" w:rsidP="000C06B0">
      <w:pPr>
        <w:spacing w:line="360" w:lineRule="auto"/>
        <w:ind w:left="-284" w:right="-141"/>
        <w:jc w:val="both"/>
        <w:rPr>
          <w:rFonts w:ascii="Arial" w:hAnsi="Arial" w:cs="Arial"/>
          <w:color w:val="000000"/>
        </w:rPr>
      </w:pPr>
      <w:r w:rsidRPr="00A838C9">
        <w:rPr>
          <w:rFonts w:ascii="Arial" w:hAnsi="Arial" w:cs="Arial"/>
          <w:color w:val="000000"/>
        </w:rPr>
        <w:t xml:space="preserve">The pension costs for the year represent the contributions paid by SEPA to the scheme </w:t>
      </w:r>
      <w:r w:rsidRPr="00D01FAC">
        <w:rPr>
          <w:rFonts w:ascii="Arial" w:hAnsi="Arial" w:cs="Arial"/>
          <w:color w:val="000000"/>
        </w:rPr>
        <w:t xml:space="preserve">of </w:t>
      </w:r>
      <w:r w:rsidR="006857A1" w:rsidRPr="00D01FAC">
        <w:rPr>
          <w:rFonts w:ascii="Arial" w:hAnsi="Arial" w:cs="Arial"/>
          <w:color w:val="000000"/>
        </w:rPr>
        <w:t>£9m</w:t>
      </w:r>
      <w:r w:rsidRPr="00A838C9">
        <w:rPr>
          <w:rFonts w:ascii="Arial" w:hAnsi="Arial" w:cs="Arial"/>
          <w:color w:val="000000"/>
        </w:rPr>
        <w:t xml:space="preserve"> (</w:t>
      </w:r>
      <w:r w:rsidR="000845C9">
        <w:rPr>
          <w:rFonts w:ascii="Arial" w:hAnsi="Arial" w:cs="Arial"/>
          <w:color w:val="000000"/>
        </w:rPr>
        <w:t>2020/21</w:t>
      </w:r>
      <w:r w:rsidRPr="00A838C9">
        <w:rPr>
          <w:rFonts w:ascii="Arial" w:hAnsi="Arial" w:cs="Arial"/>
          <w:color w:val="000000"/>
        </w:rPr>
        <w:t xml:space="preserve"> - £</w:t>
      </w:r>
      <w:r w:rsidR="0068581C">
        <w:rPr>
          <w:rFonts w:ascii="Arial" w:hAnsi="Arial" w:cs="Arial"/>
          <w:color w:val="000000"/>
        </w:rPr>
        <w:t>9.4</w:t>
      </w:r>
      <w:r w:rsidRPr="00A838C9">
        <w:rPr>
          <w:rFonts w:ascii="Arial" w:hAnsi="Arial" w:cs="Arial"/>
          <w:color w:val="000000"/>
        </w:rPr>
        <w:t xml:space="preserve">). There </w:t>
      </w:r>
      <w:r w:rsidRPr="00EC46C0">
        <w:rPr>
          <w:rFonts w:ascii="Arial" w:hAnsi="Arial" w:cs="Arial"/>
          <w:color w:val="000000"/>
        </w:rPr>
        <w:t>was £</w:t>
      </w:r>
      <w:r w:rsidR="00A16EF2" w:rsidRPr="00EC46C0">
        <w:rPr>
          <w:rFonts w:ascii="Arial" w:hAnsi="Arial" w:cs="Arial"/>
          <w:color w:val="000000"/>
        </w:rPr>
        <w:t>1m,</w:t>
      </w:r>
      <w:r w:rsidRPr="00EC46C0">
        <w:rPr>
          <w:rFonts w:ascii="Arial" w:hAnsi="Arial" w:cs="Arial"/>
          <w:color w:val="000000"/>
        </w:rPr>
        <w:t xml:space="preserve"> (</w:t>
      </w:r>
      <w:r w:rsidR="000845C9">
        <w:rPr>
          <w:rFonts w:ascii="Arial" w:hAnsi="Arial" w:cs="Arial"/>
          <w:color w:val="000000"/>
        </w:rPr>
        <w:t>2020/21</w:t>
      </w:r>
      <w:r w:rsidRPr="00A838C9">
        <w:rPr>
          <w:rFonts w:ascii="Arial" w:hAnsi="Arial" w:cs="Arial"/>
          <w:color w:val="000000"/>
        </w:rPr>
        <w:t xml:space="preserve"> - £</w:t>
      </w:r>
      <w:r w:rsidR="00EE0973">
        <w:rPr>
          <w:rFonts w:ascii="Arial" w:hAnsi="Arial" w:cs="Arial"/>
          <w:color w:val="000000"/>
        </w:rPr>
        <w:t>1.</w:t>
      </w:r>
      <w:r w:rsidR="0068581C">
        <w:rPr>
          <w:rFonts w:ascii="Arial" w:hAnsi="Arial" w:cs="Arial"/>
          <w:color w:val="000000"/>
        </w:rPr>
        <w:t>1</w:t>
      </w:r>
      <w:r w:rsidR="006857A1" w:rsidRPr="00A838C9">
        <w:rPr>
          <w:rFonts w:ascii="Arial" w:hAnsi="Arial" w:cs="Arial"/>
          <w:color w:val="000000"/>
        </w:rPr>
        <w:t>m</w:t>
      </w:r>
      <w:r w:rsidRPr="00A838C9">
        <w:rPr>
          <w:rFonts w:ascii="Arial" w:hAnsi="Arial" w:cs="Arial"/>
          <w:color w:val="000000"/>
        </w:rPr>
        <w:t>) outstanding at 31 March 202</w:t>
      </w:r>
      <w:r w:rsidR="0068581C">
        <w:rPr>
          <w:rFonts w:ascii="Arial" w:hAnsi="Arial" w:cs="Arial"/>
          <w:color w:val="000000"/>
        </w:rPr>
        <w:t>2</w:t>
      </w:r>
      <w:r w:rsidRPr="00A838C9">
        <w:rPr>
          <w:rFonts w:ascii="Arial" w:hAnsi="Arial" w:cs="Arial"/>
          <w:color w:val="000000"/>
        </w:rPr>
        <w:t xml:space="preserve"> in relation to the pension contribution.</w:t>
      </w:r>
    </w:p>
    <w:p w14:paraId="10627806" w14:textId="77777777" w:rsidR="002C60EF" w:rsidRDefault="002C60EF" w:rsidP="000C06B0">
      <w:pPr>
        <w:spacing w:line="360" w:lineRule="auto"/>
        <w:ind w:left="-284" w:right="-141"/>
        <w:jc w:val="both"/>
        <w:rPr>
          <w:rFonts w:ascii="Arial" w:hAnsi="Arial" w:cs="Arial"/>
          <w:color w:val="000000"/>
        </w:rPr>
      </w:pPr>
    </w:p>
    <w:p w14:paraId="2441B452" w14:textId="77777777" w:rsidR="00E26D69" w:rsidRPr="000C06B0" w:rsidRDefault="00E26D69" w:rsidP="000C06B0">
      <w:pPr>
        <w:spacing w:line="360" w:lineRule="auto"/>
        <w:ind w:left="-284" w:right="-141"/>
        <w:jc w:val="both"/>
        <w:rPr>
          <w:rFonts w:ascii="Arial" w:hAnsi="Arial" w:cs="Arial"/>
          <w:color w:val="000000"/>
        </w:rPr>
      </w:pPr>
      <w:r w:rsidRPr="00A838C9">
        <w:rPr>
          <w:rFonts w:ascii="Arial" w:hAnsi="Arial" w:cs="Arial"/>
          <w:b/>
        </w:rPr>
        <w:t>Staff policies</w:t>
      </w:r>
    </w:p>
    <w:p w14:paraId="07AF702E" w14:textId="40DEDE92" w:rsidR="00E26D69" w:rsidRPr="00A838C9" w:rsidRDefault="00E26D69" w:rsidP="00E91239">
      <w:pPr>
        <w:spacing w:line="360" w:lineRule="auto"/>
        <w:ind w:left="-284"/>
        <w:rPr>
          <w:rFonts w:ascii="Arial" w:hAnsi="Arial" w:cs="Arial"/>
        </w:rPr>
      </w:pPr>
      <w:r w:rsidRPr="00A838C9">
        <w:rPr>
          <w:rFonts w:ascii="Arial" w:hAnsi="Arial" w:cs="Arial"/>
        </w:rPr>
        <w:t>We have a range of policies, procedures</w:t>
      </w:r>
      <w:r w:rsidR="00EC6F0C" w:rsidRPr="00A838C9">
        <w:rPr>
          <w:rFonts w:ascii="Arial" w:hAnsi="Arial" w:cs="Arial"/>
        </w:rPr>
        <w:t>,</w:t>
      </w:r>
      <w:r w:rsidRPr="00A838C9">
        <w:rPr>
          <w:rFonts w:ascii="Arial" w:hAnsi="Arial" w:cs="Arial"/>
        </w:rPr>
        <w:t xml:space="preserve"> and guidance in place to promote equality, diversity, health</w:t>
      </w:r>
      <w:r w:rsidR="005B08A5" w:rsidRPr="00A838C9">
        <w:rPr>
          <w:rFonts w:ascii="Arial" w:hAnsi="Arial" w:cs="Arial"/>
        </w:rPr>
        <w:t>,</w:t>
      </w:r>
      <w:r w:rsidRPr="00A838C9">
        <w:rPr>
          <w:rFonts w:ascii="Arial" w:hAnsi="Arial" w:cs="Arial"/>
        </w:rPr>
        <w:t xml:space="preserve"> and wellbeing in our workplace</w:t>
      </w:r>
      <w:r w:rsidR="005B08A5" w:rsidRPr="00A838C9">
        <w:rPr>
          <w:rFonts w:ascii="Arial" w:hAnsi="Arial" w:cs="Arial"/>
        </w:rPr>
        <w:t>.  S</w:t>
      </w:r>
      <w:r w:rsidRPr="00A838C9">
        <w:rPr>
          <w:rFonts w:ascii="Arial" w:hAnsi="Arial" w:cs="Arial"/>
        </w:rPr>
        <w:t xml:space="preserve">ee section </w:t>
      </w:r>
      <w:r w:rsidRPr="00DE6F44">
        <w:rPr>
          <w:rFonts w:ascii="Arial" w:hAnsi="Arial" w:cs="Arial"/>
        </w:rPr>
        <w:t>1.</w:t>
      </w:r>
      <w:r w:rsidR="00FA7B7D" w:rsidRPr="00DE6F44">
        <w:rPr>
          <w:rFonts w:ascii="Arial" w:hAnsi="Arial" w:cs="Arial"/>
        </w:rPr>
        <w:t>5</w:t>
      </w:r>
      <w:r w:rsidR="00182146" w:rsidRPr="00DE6F44">
        <w:rPr>
          <w:rFonts w:ascii="Arial" w:hAnsi="Arial" w:cs="Arial"/>
        </w:rPr>
        <w:t xml:space="preserve"> Equality and Diversity</w:t>
      </w:r>
      <w:r w:rsidRPr="00A838C9">
        <w:rPr>
          <w:rFonts w:ascii="Arial" w:hAnsi="Arial" w:cs="Arial"/>
        </w:rPr>
        <w:t xml:space="preserve"> for more information.</w:t>
      </w:r>
    </w:p>
    <w:p w14:paraId="706F45A3" w14:textId="77777777" w:rsidR="00E26D69" w:rsidRPr="00A838C9" w:rsidRDefault="00E26D69" w:rsidP="00EC6F0C">
      <w:pPr>
        <w:spacing w:line="360" w:lineRule="auto"/>
        <w:ind w:left="-284"/>
        <w:rPr>
          <w:rFonts w:ascii="Arial" w:hAnsi="Arial" w:cs="Arial"/>
          <w:b/>
          <w:bCs/>
          <w:color w:val="1F4E79"/>
        </w:rPr>
      </w:pPr>
    </w:p>
    <w:p w14:paraId="77CF6F81" w14:textId="525017DB" w:rsidR="00E26D69" w:rsidRPr="00A838C9" w:rsidRDefault="00E26D69" w:rsidP="00E91239">
      <w:pPr>
        <w:spacing w:line="360" w:lineRule="auto"/>
        <w:ind w:hanging="284"/>
        <w:rPr>
          <w:rFonts w:ascii="Arial" w:hAnsi="Arial" w:cs="Arial"/>
          <w:b/>
        </w:rPr>
      </w:pPr>
      <w:r w:rsidRPr="00A838C9">
        <w:rPr>
          <w:rFonts w:ascii="Arial" w:hAnsi="Arial" w:cs="Arial"/>
          <w:b/>
        </w:rPr>
        <w:t>Exit packages</w:t>
      </w:r>
      <w:r w:rsidR="001F77AD">
        <w:rPr>
          <w:rFonts w:ascii="Arial" w:hAnsi="Arial" w:cs="Arial"/>
          <w:b/>
        </w:rPr>
        <w:t xml:space="preserve"> (subject to audit)</w:t>
      </w:r>
    </w:p>
    <w:p w14:paraId="16A4FF8B" w14:textId="2DC5D835" w:rsidR="0081036F" w:rsidRDefault="00E26D69" w:rsidP="004445A4">
      <w:pPr>
        <w:spacing w:line="360" w:lineRule="auto"/>
        <w:ind w:left="-284"/>
        <w:rPr>
          <w:rFonts w:ascii="Arial" w:hAnsi="Arial" w:cs="Arial"/>
          <w:b/>
        </w:rPr>
      </w:pPr>
      <w:r w:rsidRPr="00A838C9">
        <w:rPr>
          <w:rFonts w:ascii="Arial" w:hAnsi="Arial" w:cs="Arial"/>
        </w:rPr>
        <w:t>SEPA has a policy of no compulsory redundancy, in accordance with Public Sector Pay Policy set out by Scottish Government. There were no compulsory redundancies</w:t>
      </w:r>
      <w:r w:rsidR="007C01AE">
        <w:rPr>
          <w:rFonts w:ascii="Arial" w:hAnsi="Arial" w:cs="Arial"/>
        </w:rPr>
        <w:t xml:space="preserve"> or exit packages</w:t>
      </w:r>
      <w:r w:rsidRPr="00A838C9">
        <w:rPr>
          <w:rFonts w:ascii="Arial" w:hAnsi="Arial" w:cs="Arial"/>
        </w:rPr>
        <w:t xml:space="preserve"> in </w:t>
      </w:r>
      <w:r w:rsidR="000845C9">
        <w:rPr>
          <w:rFonts w:ascii="Arial" w:hAnsi="Arial" w:cs="Arial"/>
        </w:rPr>
        <w:t>2021/22</w:t>
      </w:r>
      <w:r w:rsidRPr="00A838C9">
        <w:rPr>
          <w:rFonts w:ascii="Arial" w:hAnsi="Arial" w:cs="Arial"/>
        </w:rPr>
        <w:t xml:space="preserve"> (none – </w:t>
      </w:r>
      <w:r w:rsidR="000845C9">
        <w:rPr>
          <w:rFonts w:ascii="Arial" w:hAnsi="Arial" w:cs="Arial"/>
        </w:rPr>
        <w:t>2020/21</w:t>
      </w:r>
      <w:r w:rsidRPr="00A838C9">
        <w:rPr>
          <w:rFonts w:ascii="Arial" w:hAnsi="Arial" w:cs="Arial"/>
        </w:rPr>
        <w:t>).</w:t>
      </w:r>
      <w:r w:rsidRPr="00E26D69">
        <w:rPr>
          <w:rFonts w:ascii="Arial" w:hAnsi="Arial" w:cs="Arial"/>
          <w:b/>
        </w:rPr>
        <w:t xml:space="preserve"> </w:t>
      </w:r>
    </w:p>
    <w:p w14:paraId="4D9A71B1" w14:textId="77777777" w:rsidR="0081036F" w:rsidRDefault="0081036F" w:rsidP="004445A4">
      <w:pPr>
        <w:spacing w:line="360" w:lineRule="auto"/>
        <w:ind w:left="-284"/>
        <w:rPr>
          <w:rFonts w:ascii="Arial" w:hAnsi="Arial" w:cs="Arial"/>
          <w:b/>
        </w:rPr>
      </w:pPr>
    </w:p>
    <w:p w14:paraId="69C131F6" w14:textId="6C2A8F8D" w:rsidR="00E26D69" w:rsidRPr="00173F20" w:rsidRDefault="00635B00" w:rsidP="005421BF">
      <w:pPr>
        <w:spacing w:line="360" w:lineRule="auto"/>
        <w:ind w:left="-284"/>
        <w:rPr>
          <w:rFonts w:ascii="Arial" w:hAnsi="Arial" w:cs="Arial"/>
          <w:b/>
          <w:color w:val="000000" w:themeColor="text1"/>
          <w:sz w:val="16"/>
          <w:szCs w:val="16"/>
        </w:rPr>
      </w:pPr>
      <w:r w:rsidRPr="00173F20">
        <w:rPr>
          <w:rFonts w:ascii="Arial" w:hAnsi="Arial" w:cs="Arial"/>
          <w:b/>
          <w:color w:val="000000" w:themeColor="text1"/>
        </w:rPr>
        <w:t>H</w:t>
      </w:r>
      <w:r w:rsidR="00E26D69" w:rsidRPr="00173F20">
        <w:rPr>
          <w:rFonts w:ascii="Arial" w:hAnsi="Arial" w:cs="Arial"/>
          <w:b/>
          <w:color w:val="000000" w:themeColor="text1"/>
        </w:rPr>
        <w:t>ealth, safety</w:t>
      </w:r>
      <w:r w:rsidR="000E5671" w:rsidRPr="00173F20">
        <w:rPr>
          <w:rFonts w:ascii="Arial" w:hAnsi="Arial" w:cs="Arial"/>
          <w:b/>
          <w:color w:val="000000" w:themeColor="text1"/>
        </w:rPr>
        <w:t>,</w:t>
      </w:r>
      <w:r w:rsidR="00E26D69" w:rsidRPr="00173F20">
        <w:rPr>
          <w:rFonts w:ascii="Arial" w:hAnsi="Arial" w:cs="Arial"/>
          <w:b/>
          <w:color w:val="000000" w:themeColor="text1"/>
        </w:rPr>
        <w:t xml:space="preserve"> and wellbeing</w:t>
      </w:r>
      <w:r w:rsidR="000E5671" w:rsidRPr="00173F20">
        <w:rPr>
          <w:rFonts w:ascii="Arial" w:hAnsi="Arial" w:cs="Arial"/>
          <w:b/>
          <w:color w:val="000000" w:themeColor="text1"/>
        </w:rPr>
        <w:t xml:space="preserve"> </w:t>
      </w:r>
      <w:r w:rsidR="006C720E">
        <w:rPr>
          <w:rFonts w:ascii="Arial" w:hAnsi="Arial" w:cs="Arial"/>
          <w:b/>
          <w:color w:val="000000" w:themeColor="text1"/>
        </w:rPr>
        <w:t xml:space="preserve"> </w:t>
      </w:r>
    </w:p>
    <w:p w14:paraId="33A69A9C" w14:textId="49EEA056" w:rsidR="00E26D69" w:rsidRPr="00173F20" w:rsidRDefault="00E26D69" w:rsidP="005421BF">
      <w:pPr>
        <w:autoSpaceDE w:val="0"/>
        <w:autoSpaceDN w:val="0"/>
        <w:spacing w:line="360" w:lineRule="auto"/>
        <w:ind w:left="-284"/>
        <w:rPr>
          <w:rFonts w:ascii="Arial" w:hAnsi="Arial" w:cs="Arial"/>
          <w:color w:val="000000"/>
        </w:rPr>
      </w:pPr>
      <w:r w:rsidRPr="00173F20">
        <w:rPr>
          <w:rFonts w:ascii="Arial" w:hAnsi="Arial" w:cs="Arial"/>
          <w:color w:val="000000"/>
        </w:rPr>
        <w:t xml:space="preserve">Health and safety is a responsibility of and for all staff. There are a range of systems and structures in place to support the management and review of our health and safety and wellbeing performance. These include: </w:t>
      </w:r>
    </w:p>
    <w:p w14:paraId="6289D523" w14:textId="77777777" w:rsidR="004D528A" w:rsidRPr="00173F20" w:rsidRDefault="004D528A" w:rsidP="00E91239">
      <w:pPr>
        <w:autoSpaceDE w:val="0"/>
        <w:autoSpaceDN w:val="0"/>
        <w:spacing w:line="360" w:lineRule="auto"/>
        <w:ind w:left="-425"/>
        <w:rPr>
          <w:rFonts w:ascii="Arial" w:hAnsi="Arial" w:cs="Arial"/>
          <w:color w:val="000000"/>
        </w:rPr>
      </w:pPr>
    </w:p>
    <w:p w14:paraId="19863043" w14:textId="221416E7" w:rsidR="00E26D69" w:rsidRPr="00173F20" w:rsidRDefault="00E26D69" w:rsidP="00802A98">
      <w:pPr>
        <w:numPr>
          <w:ilvl w:val="0"/>
          <w:numId w:val="26"/>
        </w:numPr>
        <w:spacing w:line="360" w:lineRule="auto"/>
        <w:ind w:left="284" w:hanging="284"/>
        <w:contextualSpacing/>
        <w:rPr>
          <w:rFonts w:ascii="Arial" w:hAnsi="Arial" w:cs="Arial"/>
        </w:rPr>
      </w:pPr>
      <w:r w:rsidRPr="00173F20">
        <w:rPr>
          <w:rFonts w:ascii="Arial" w:hAnsi="Arial" w:cs="Arial"/>
        </w:rPr>
        <w:t xml:space="preserve">Incident reporting – </w:t>
      </w:r>
      <w:r w:rsidR="0054372C" w:rsidRPr="00173F20">
        <w:rPr>
          <w:rFonts w:ascii="Arial" w:hAnsi="Arial" w:cs="Arial"/>
        </w:rPr>
        <w:t>clear internal process for staff to report an incident or near miss.</w:t>
      </w:r>
    </w:p>
    <w:p w14:paraId="3F15CE11"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lastRenderedPageBreak/>
        <w:t>Annual Operating Plan and associated project plan.</w:t>
      </w:r>
    </w:p>
    <w:p w14:paraId="428F4814"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Portfolio Management Teams – managing issues impacting on the portfolio.</w:t>
      </w:r>
    </w:p>
    <w:p w14:paraId="0DCD024F"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National Health and Safety Committee (NHSC) - demonstrates positive partnership working with portfolios and UNISON representing all staff on health and safety matters.</w:t>
      </w:r>
    </w:p>
    <w:p w14:paraId="0CDE386A" w14:textId="0EF69B5F"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Keeping People Safe project with cross-</w:t>
      </w:r>
      <w:r w:rsidR="001A7DF2" w:rsidRPr="00173F20">
        <w:rPr>
          <w:rFonts w:ascii="Arial" w:hAnsi="Arial" w:cs="Arial"/>
        </w:rPr>
        <w:t>p</w:t>
      </w:r>
      <w:r w:rsidRPr="00173F20">
        <w:rPr>
          <w:rFonts w:ascii="Arial" w:hAnsi="Arial" w:cs="Arial"/>
        </w:rPr>
        <w:t>ortfolio representation and trade union representatives that develops, implements</w:t>
      </w:r>
      <w:r w:rsidR="001A7DF2" w:rsidRPr="00173F20">
        <w:rPr>
          <w:rFonts w:ascii="Arial" w:hAnsi="Arial" w:cs="Arial"/>
        </w:rPr>
        <w:t>,</w:t>
      </w:r>
      <w:r w:rsidRPr="00173F20">
        <w:rPr>
          <w:rFonts w:ascii="Arial" w:hAnsi="Arial" w:cs="Arial"/>
        </w:rPr>
        <w:t xml:space="preserve"> and progresses agreed health and safety matters and reports to NHSC on a quarterly basis</w:t>
      </w:r>
      <w:r w:rsidR="001A7DF2" w:rsidRPr="00173F20">
        <w:rPr>
          <w:rFonts w:ascii="Arial" w:hAnsi="Arial" w:cs="Arial"/>
        </w:rPr>
        <w:t>.</w:t>
      </w:r>
    </w:p>
    <w:p w14:paraId="4426F853" w14:textId="55F9132F"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Agency Management Team</w:t>
      </w:r>
      <w:r w:rsidR="00173F20">
        <w:rPr>
          <w:rFonts w:ascii="Arial" w:hAnsi="Arial" w:cs="Arial"/>
        </w:rPr>
        <w:t>.</w:t>
      </w:r>
    </w:p>
    <w:p w14:paraId="26115C60" w14:textId="43A23EA9"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Agency Board</w:t>
      </w:r>
      <w:r w:rsidR="00173F20">
        <w:rPr>
          <w:rFonts w:ascii="Arial" w:hAnsi="Arial" w:cs="Arial"/>
        </w:rPr>
        <w:t>.</w:t>
      </w:r>
    </w:p>
    <w:p w14:paraId="031188A6"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Healthy Working Lives - accreditation to silver level.</w:t>
      </w:r>
    </w:p>
    <w:p w14:paraId="52B3FD81"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 xml:space="preserve">Safety cover provision - health and safety cover for lone working and going out of the office on site visits. </w:t>
      </w:r>
    </w:p>
    <w:p w14:paraId="5E11165B" w14:textId="6F5A5889"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 xml:space="preserve">A range of training for staff, </w:t>
      </w:r>
      <w:r w:rsidR="00D704C7">
        <w:rPr>
          <w:rFonts w:ascii="Arial" w:hAnsi="Arial" w:cs="Arial"/>
        </w:rPr>
        <w:t>both in person and</w:t>
      </w:r>
      <w:r w:rsidRPr="00173F20">
        <w:rPr>
          <w:rFonts w:ascii="Arial" w:hAnsi="Arial" w:cs="Arial"/>
        </w:rPr>
        <w:t xml:space="preserve"> e-learning.</w:t>
      </w:r>
    </w:p>
    <w:p w14:paraId="50937F65" w14:textId="77777777" w:rsidR="003B6AEA" w:rsidRPr="00173F20" w:rsidRDefault="003B6AEA" w:rsidP="00802A98">
      <w:pPr>
        <w:numPr>
          <w:ilvl w:val="0"/>
          <w:numId w:val="26"/>
        </w:numPr>
        <w:spacing w:line="360" w:lineRule="auto"/>
        <w:ind w:left="284" w:hanging="284"/>
        <w:contextualSpacing/>
        <w:rPr>
          <w:rFonts w:ascii="Arial" w:hAnsi="Arial" w:cs="Arial"/>
        </w:rPr>
      </w:pPr>
      <w:r w:rsidRPr="00173F20">
        <w:rPr>
          <w:rFonts w:ascii="Arial" w:hAnsi="Arial" w:cs="Arial"/>
        </w:rPr>
        <w:t xml:space="preserve">Employee Assistance Programme. </w:t>
      </w:r>
    </w:p>
    <w:p w14:paraId="2FEDDD74" w14:textId="77777777" w:rsidR="00E26D69" w:rsidRPr="00173F20" w:rsidRDefault="00E26D69" w:rsidP="00E91239">
      <w:pPr>
        <w:autoSpaceDE w:val="0"/>
        <w:autoSpaceDN w:val="0"/>
        <w:spacing w:line="360" w:lineRule="auto"/>
        <w:rPr>
          <w:rFonts w:ascii="Arial" w:hAnsi="Arial" w:cs="Arial"/>
          <w:color w:val="000000"/>
        </w:rPr>
      </w:pPr>
      <w:r w:rsidRPr="00173F20">
        <w:rPr>
          <w:rFonts w:ascii="Arial" w:hAnsi="Arial" w:cs="Arial"/>
          <w:color w:val="000000"/>
        </w:rPr>
        <w:t> </w:t>
      </w:r>
    </w:p>
    <w:p w14:paraId="53556C07" w14:textId="2A531531" w:rsidR="00E26D69" w:rsidRPr="00E26D69" w:rsidRDefault="00E26D69" w:rsidP="00E91239">
      <w:pPr>
        <w:autoSpaceDE w:val="0"/>
        <w:autoSpaceDN w:val="0"/>
        <w:spacing w:line="360" w:lineRule="auto"/>
        <w:ind w:left="-142"/>
        <w:rPr>
          <w:rFonts w:ascii="Arial" w:hAnsi="Arial" w:cs="Arial"/>
          <w:color w:val="000000"/>
        </w:rPr>
      </w:pPr>
      <w:r w:rsidRPr="00173F20">
        <w:rPr>
          <w:rFonts w:ascii="Arial" w:hAnsi="Arial" w:cs="Arial"/>
          <w:color w:val="000000"/>
        </w:rPr>
        <w:t xml:space="preserve">The total number of incidents reported using our Incident Reporting system </w:t>
      </w:r>
      <w:r w:rsidR="00D72EBC" w:rsidRPr="00173F20">
        <w:rPr>
          <w:rFonts w:ascii="Arial" w:hAnsi="Arial" w:cs="Arial"/>
          <w:color w:val="000000"/>
        </w:rPr>
        <w:t xml:space="preserve">is low in comparison to previous years and </w:t>
      </w:r>
      <w:r w:rsidR="003972D4" w:rsidRPr="00173F20">
        <w:rPr>
          <w:rFonts w:ascii="Arial" w:hAnsi="Arial" w:cs="Arial"/>
          <w:color w:val="000000"/>
        </w:rPr>
        <w:t>is</w:t>
      </w:r>
      <w:r w:rsidR="00D72EBC" w:rsidRPr="00173F20">
        <w:rPr>
          <w:rFonts w:ascii="Arial" w:hAnsi="Arial" w:cs="Arial"/>
          <w:color w:val="000000"/>
        </w:rPr>
        <w:t xml:space="preserve"> likely </w:t>
      </w:r>
      <w:r w:rsidR="003972D4" w:rsidRPr="00173F20">
        <w:rPr>
          <w:rFonts w:ascii="Arial" w:hAnsi="Arial" w:cs="Arial"/>
          <w:color w:val="000000"/>
        </w:rPr>
        <w:t>due to</w:t>
      </w:r>
      <w:r w:rsidR="00D72EBC" w:rsidRPr="00173F20">
        <w:rPr>
          <w:rFonts w:ascii="Arial" w:hAnsi="Arial" w:cs="Arial"/>
          <w:color w:val="000000"/>
        </w:rPr>
        <w:t xml:space="preserve"> office closures during the pandemic</w:t>
      </w:r>
      <w:r w:rsidRPr="00173F20">
        <w:rPr>
          <w:rFonts w:ascii="Arial" w:hAnsi="Arial" w:cs="Arial"/>
          <w:color w:val="000000"/>
        </w:rPr>
        <w:t xml:space="preserve"> with </w:t>
      </w:r>
      <w:r w:rsidR="0090451C" w:rsidRPr="00173F20">
        <w:rPr>
          <w:rFonts w:ascii="Arial" w:hAnsi="Arial" w:cs="Arial"/>
          <w:color w:val="000000"/>
        </w:rPr>
        <w:t>2</w:t>
      </w:r>
      <w:r w:rsidR="00014914">
        <w:rPr>
          <w:rFonts w:ascii="Arial" w:hAnsi="Arial" w:cs="Arial"/>
          <w:color w:val="000000"/>
        </w:rPr>
        <w:t>9</w:t>
      </w:r>
      <w:r w:rsidRPr="00173F20">
        <w:rPr>
          <w:rFonts w:ascii="Arial" w:hAnsi="Arial" w:cs="Arial"/>
          <w:color w:val="000000"/>
        </w:rPr>
        <w:t xml:space="preserve"> incidents</w:t>
      </w:r>
      <w:r w:rsidR="00182146">
        <w:rPr>
          <w:rFonts w:ascii="Arial" w:hAnsi="Arial" w:cs="Arial"/>
          <w:color w:val="000000"/>
        </w:rPr>
        <w:t xml:space="preserve"> reported in 2021/22</w:t>
      </w:r>
      <w:r w:rsidRPr="00173F20">
        <w:rPr>
          <w:rFonts w:ascii="Arial" w:hAnsi="Arial" w:cs="Arial"/>
          <w:color w:val="000000"/>
        </w:rPr>
        <w:t xml:space="preserve"> </w:t>
      </w:r>
      <w:r w:rsidR="00AA6EF1">
        <w:rPr>
          <w:rFonts w:ascii="Arial" w:hAnsi="Arial" w:cs="Arial"/>
          <w:color w:val="000000"/>
        </w:rPr>
        <w:t>(this does not include COVID-19 related incidents which total</w:t>
      </w:r>
      <w:r w:rsidR="00C16FB7">
        <w:rPr>
          <w:rFonts w:ascii="Arial" w:hAnsi="Arial" w:cs="Arial"/>
          <w:color w:val="000000"/>
        </w:rPr>
        <w:t>led</w:t>
      </w:r>
      <w:r w:rsidR="00AA6EF1">
        <w:rPr>
          <w:rFonts w:ascii="Arial" w:hAnsi="Arial" w:cs="Arial"/>
          <w:color w:val="000000"/>
        </w:rPr>
        <w:t xml:space="preserve"> 4) </w:t>
      </w:r>
      <w:r w:rsidRPr="00173F20">
        <w:rPr>
          <w:rFonts w:ascii="Arial" w:hAnsi="Arial" w:cs="Arial"/>
          <w:color w:val="000000"/>
        </w:rPr>
        <w:t xml:space="preserve">compared to </w:t>
      </w:r>
      <w:r w:rsidR="00AA6EF1">
        <w:rPr>
          <w:rFonts w:ascii="Arial" w:hAnsi="Arial" w:cs="Arial"/>
          <w:color w:val="000000"/>
        </w:rPr>
        <w:t>24</w:t>
      </w:r>
      <w:r w:rsidRPr="00173F20">
        <w:rPr>
          <w:rFonts w:ascii="Arial" w:hAnsi="Arial" w:cs="Arial"/>
          <w:color w:val="000000"/>
        </w:rPr>
        <w:t xml:space="preserve"> </w:t>
      </w:r>
      <w:r w:rsidR="005040FD">
        <w:rPr>
          <w:rFonts w:ascii="Arial" w:hAnsi="Arial" w:cs="Arial"/>
          <w:color w:val="000000"/>
        </w:rPr>
        <w:t>incidents</w:t>
      </w:r>
      <w:r w:rsidRPr="00173F20">
        <w:rPr>
          <w:rFonts w:ascii="Arial" w:hAnsi="Arial" w:cs="Arial"/>
          <w:color w:val="000000"/>
        </w:rPr>
        <w:t xml:space="preserve"> in </w:t>
      </w:r>
      <w:r w:rsidR="000845C9">
        <w:rPr>
          <w:rFonts w:ascii="Arial" w:hAnsi="Arial" w:cs="Arial"/>
          <w:color w:val="000000"/>
        </w:rPr>
        <w:t>2020/21</w:t>
      </w:r>
      <w:r w:rsidRPr="00173F20">
        <w:rPr>
          <w:rFonts w:ascii="Arial" w:hAnsi="Arial" w:cs="Arial"/>
          <w:color w:val="000000"/>
        </w:rPr>
        <w:t xml:space="preserve">. The number of hazards spotted in </w:t>
      </w:r>
      <w:r w:rsidR="000845C9">
        <w:rPr>
          <w:rFonts w:ascii="Arial" w:hAnsi="Arial" w:cs="Arial"/>
          <w:color w:val="000000"/>
        </w:rPr>
        <w:t>2021/22</w:t>
      </w:r>
      <w:r w:rsidRPr="00173F20">
        <w:rPr>
          <w:rFonts w:ascii="Arial" w:hAnsi="Arial" w:cs="Arial"/>
          <w:color w:val="000000"/>
        </w:rPr>
        <w:t xml:space="preserve"> was </w:t>
      </w:r>
      <w:r w:rsidR="001575F0">
        <w:rPr>
          <w:rFonts w:ascii="Arial" w:hAnsi="Arial" w:cs="Arial"/>
          <w:color w:val="000000"/>
        </w:rPr>
        <w:t>1</w:t>
      </w:r>
      <w:r w:rsidR="008C311E">
        <w:rPr>
          <w:rFonts w:ascii="Arial" w:hAnsi="Arial" w:cs="Arial"/>
          <w:color w:val="000000"/>
        </w:rPr>
        <w:t xml:space="preserve"> (please note this is included in the total number provided above)</w:t>
      </w:r>
      <w:r w:rsidRPr="00173F20">
        <w:rPr>
          <w:rFonts w:ascii="Arial" w:hAnsi="Arial" w:cs="Arial"/>
          <w:color w:val="000000"/>
        </w:rPr>
        <w:t xml:space="preserve">, compared to </w:t>
      </w:r>
      <w:r w:rsidR="008C311E">
        <w:rPr>
          <w:rFonts w:ascii="Arial" w:hAnsi="Arial" w:cs="Arial"/>
          <w:color w:val="000000"/>
        </w:rPr>
        <w:t>3</w:t>
      </w:r>
      <w:r w:rsidRPr="00173F20">
        <w:rPr>
          <w:rFonts w:ascii="Arial" w:hAnsi="Arial" w:cs="Arial"/>
          <w:color w:val="000000"/>
        </w:rPr>
        <w:t xml:space="preserve"> in </w:t>
      </w:r>
      <w:r w:rsidR="000845C9">
        <w:rPr>
          <w:rFonts w:ascii="Arial" w:hAnsi="Arial" w:cs="Arial"/>
          <w:color w:val="000000"/>
        </w:rPr>
        <w:t>2020/21</w:t>
      </w:r>
      <w:r w:rsidRPr="00173F20">
        <w:rPr>
          <w:rFonts w:ascii="Arial" w:hAnsi="Arial" w:cs="Arial"/>
          <w:color w:val="000000"/>
        </w:rPr>
        <w:t>. There w</w:t>
      </w:r>
      <w:r w:rsidR="00182146">
        <w:rPr>
          <w:rFonts w:ascii="Arial" w:hAnsi="Arial" w:cs="Arial"/>
          <w:color w:val="000000"/>
        </w:rPr>
        <w:t>ere</w:t>
      </w:r>
      <w:r w:rsidRPr="00173F20">
        <w:rPr>
          <w:rFonts w:ascii="Arial" w:hAnsi="Arial" w:cs="Arial"/>
          <w:color w:val="000000"/>
        </w:rPr>
        <w:t xml:space="preserve"> no incidents reported to the Health and Safety Executive in </w:t>
      </w:r>
      <w:r w:rsidR="000845C9">
        <w:rPr>
          <w:rFonts w:ascii="Arial" w:hAnsi="Arial" w:cs="Arial"/>
          <w:color w:val="000000"/>
        </w:rPr>
        <w:t>2021/22</w:t>
      </w:r>
      <w:r w:rsidR="00F8169C">
        <w:rPr>
          <w:rFonts w:ascii="Arial" w:hAnsi="Arial" w:cs="Arial"/>
          <w:color w:val="000000"/>
        </w:rPr>
        <w:t xml:space="preserve"> </w:t>
      </w:r>
      <w:r w:rsidR="00F8169C" w:rsidRPr="00173F20">
        <w:rPr>
          <w:rFonts w:ascii="Arial" w:hAnsi="Arial" w:cs="Arial"/>
          <w:color w:val="000000"/>
        </w:rPr>
        <w:t>(</w:t>
      </w:r>
      <w:r w:rsidR="000845C9">
        <w:rPr>
          <w:rFonts w:ascii="Arial" w:hAnsi="Arial" w:cs="Arial"/>
          <w:color w:val="000000"/>
        </w:rPr>
        <w:t>2020/21</w:t>
      </w:r>
      <w:r w:rsidR="00F8169C" w:rsidRPr="00173F20">
        <w:rPr>
          <w:rFonts w:ascii="Arial" w:hAnsi="Arial" w:cs="Arial"/>
          <w:color w:val="000000"/>
        </w:rPr>
        <w:t xml:space="preserve"> – no</w:t>
      </w:r>
      <w:r w:rsidR="00F8169C">
        <w:rPr>
          <w:rFonts w:ascii="Arial" w:hAnsi="Arial" w:cs="Arial"/>
          <w:color w:val="000000"/>
        </w:rPr>
        <w:t>ne</w:t>
      </w:r>
      <w:r w:rsidR="00F8169C" w:rsidRPr="00173F20">
        <w:rPr>
          <w:rFonts w:ascii="Arial" w:hAnsi="Arial" w:cs="Arial"/>
          <w:color w:val="000000"/>
        </w:rPr>
        <w:t>)</w:t>
      </w:r>
      <w:r w:rsidRPr="00173F20">
        <w:rPr>
          <w:rFonts w:ascii="Arial" w:hAnsi="Arial" w:cs="Arial"/>
          <w:color w:val="000000"/>
        </w:rPr>
        <w:t>.</w:t>
      </w:r>
      <w:r w:rsidR="00D72EBC" w:rsidRPr="00173F20">
        <w:rPr>
          <w:rFonts w:ascii="Arial" w:hAnsi="Arial" w:cs="Arial"/>
          <w:color w:val="000000"/>
        </w:rPr>
        <w:t xml:space="preserve">  </w:t>
      </w:r>
    </w:p>
    <w:p w14:paraId="0F1E2DED" w14:textId="77777777" w:rsidR="00E26D69" w:rsidRPr="00E26D69" w:rsidRDefault="00E26D69" w:rsidP="00E91239">
      <w:pPr>
        <w:spacing w:line="360" w:lineRule="auto"/>
        <w:ind w:left="-142"/>
        <w:rPr>
          <w:rFonts w:ascii="Arial" w:hAnsi="Arial" w:cs="Arial"/>
          <w:b/>
          <w:color w:val="000000" w:themeColor="text1"/>
          <w:highlight w:val="lightGray"/>
        </w:rPr>
      </w:pPr>
    </w:p>
    <w:p w14:paraId="5B5998FB" w14:textId="11E3F5EB" w:rsidR="00E26D69" w:rsidRPr="00E26D69" w:rsidRDefault="00E26D69" w:rsidP="00E91239">
      <w:pPr>
        <w:autoSpaceDE w:val="0"/>
        <w:autoSpaceDN w:val="0"/>
        <w:adjustRightInd w:val="0"/>
        <w:spacing w:line="360" w:lineRule="auto"/>
        <w:ind w:left="-142"/>
        <w:rPr>
          <w:rFonts w:ascii="Arial" w:hAnsi="Arial" w:cs="Arial"/>
          <w:b/>
          <w:color w:val="000000" w:themeColor="text1"/>
        </w:rPr>
      </w:pPr>
      <w:r w:rsidRPr="121466EA">
        <w:rPr>
          <w:rFonts w:ascii="Arial" w:hAnsi="Arial" w:cs="Arial"/>
          <w:b/>
          <w:bCs/>
          <w:color w:val="000000" w:themeColor="text1"/>
        </w:rPr>
        <w:t>Industrial relationships</w:t>
      </w:r>
      <w:r w:rsidR="0012476B" w:rsidRPr="004445A4">
        <w:rPr>
          <w:rStyle w:val="FootnoteReference"/>
          <w:rFonts w:ascii="Arial" w:hAnsi="Arial" w:cs="Arial"/>
          <w:color w:val="000000" w:themeColor="text1"/>
          <w:sz w:val="20"/>
          <w:szCs w:val="20"/>
        </w:rPr>
        <w:footnoteReference w:id="18"/>
      </w:r>
    </w:p>
    <w:p w14:paraId="174EB6BE" w14:textId="750B073C" w:rsidR="00E26D69" w:rsidRPr="00E26D69" w:rsidRDefault="00E26D69" w:rsidP="00E91239">
      <w:pPr>
        <w:spacing w:line="360" w:lineRule="auto"/>
        <w:ind w:left="-142"/>
        <w:rPr>
          <w:rFonts w:ascii="Arial" w:hAnsi="Arial" w:cs="Arial"/>
        </w:rPr>
      </w:pPr>
      <w:r w:rsidRPr="00AB5C1A">
        <w:rPr>
          <w:rFonts w:ascii="Arial" w:hAnsi="Arial" w:cs="Arial"/>
          <w:color w:val="000000"/>
        </w:rPr>
        <w:t xml:space="preserve">UNISON is SEPA staff’s </w:t>
      </w:r>
      <w:r w:rsidR="002E0EE2">
        <w:rPr>
          <w:rFonts w:ascii="Arial" w:hAnsi="Arial" w:cs="Arial"/>
          <w:color w:val="000000"/>
        </w:rPr>
        <w:t>t</w:t>
      </w:r>
      <w:r w:rsidRPr="00AB5C1A">
        <w:rPr>
          <w:rFonts w:ascii="Arial" w:hAnsi="Arial" w:cs="Arial"/>
          <w:color w:val="000000"/>
        </w:rPr>
        <w:t xml:space="preserve">rade </w:t>
      </w:r>
      <w:r w:rsidR="002E0EE2">
        <w:rPr>
          <w:rFonts w:ascii="Arial" w:hAnsi="Arial" w:cs="Arial"/>
          <w:color w:val="000000"/>
        </w:rPr>
        <w:t>u</w:t>
      </w:r>
      <w:r w:rsidRPr="00AB5C1A">
        <w:rPr>
          <w:rFonts w:ascii="Arial" w:hAnsi="Arial" w:cs="Arial"/>
          <w:color w:val="000000"/>
        </w:rPr>
        <w:t xml:space="preserve">nion. It is Britain’s biggest </w:t>
      </w:r>
      <w:r w:rsidR="00A9624B">
        <w:rPr>
          <w:rFonts w:ascii="Arial" w:hAnsi="Arial" w:cs="Arial"/>
          <w:color w:val="000000"/>
        </w:rPr>
        <w:t>u</w:t>
      </w:r>
      <w:r w:rsidRPr="00AB5C1A">
        <w:rPr>
          <w:rFonts w:ascii="Arial" w:hAnsi="Arial" w:cs="Arial"/>
          <w:color w:val="000000"/>
        </w:rPr>
        <w:t>nion, representing almost 1.3 million people across the UK's public services, including around 150,000 members delivering public services in Scotland. There are 1</w:t>
      </w:r>
      <w:r w:rsidR="00BC408B">
        <w:rPr>
          <w:rFonts w:ascii="Arial" w:hAnsi="Arial" w:cs="Arial"/>
          <w:color w:val="000000"/>
        </w:rPr>
        <w:t>6</w:t>
      </w:r>
      <w:r w:rsidRPr="00AB5C1A">
        <w:rPr>
          <w:rFonts w:ascii="Arial" w:hAnsi="Arial" w:cs="Arial"/>
          <w:color w:val="000000"/>
        </w:rPr>
        <w:t xml:space="preserve"> branch officers who undertake union duties. </w:t>
      </w:r>
      <w:r w:rsidRPr="00B71765">
        <w:rPr>
          <w:rFonts w:ascii="Arial" w:hAnsi="Arial" w:cs="Arial"/>
          <w:color w:val="000000"/>
        </w:rPr>
        <w:t xml:space="preserve">There were </w:t>
      </w:r>
      <w:r w:rsidR="009C1B0E" w:rsidRPr="009C1B0E">
        <w:rPr>
          <w:rFonts w:ascii="Arial" w:hAnsi="Arial" w:cs="Arial"/>
          <w:color w:val="000000"/>
        </w:rPr>
        <w:t>1</w:t>
      </w:r>
      <w:r w:rsidR="00B71765" w:rsidRPr="009C1B0E">
        <w:rPr>
          <w:rFonts w:ascii="Arial" w:hAnsi="Arial" w:cs="Arial"/>
        </w:rPr>
        <w:t>,</w:t>
      </w:r>
      <w:r w:rsidR="009C1B0E" w:rsidRPr="009C1B0E">
        <w:rPr>
          <w:rFonts w:ascii="Arial" w:hAnsi="Arial" w:cs="Arial"/>
        </w:rPr>
        <w:t>477</w:t>
      </w:r>
      <w:r w:rsidRPr="00B71765">
        <w:rPr>
          <w:rFonts w:ascii="Arial" w:hAnsi="Arial" w:cs="Arial"/>
        </w:rPr>
        <w:t xml:space="preserve"> </w:t>
      </w:r>
      <w:r w:rsidRPr="00AB5C1A">
        <w:rPr>
          <w:rFonts w:ascii="Arial" w:hAnsi="Arial" w:cs="Arial"/>
        </w:rPr>
        <w:t xml:space="preserve">hours of staff time spent on trade union duties and activities in year. More information is provided in </w:t>
      </w:r>
      <w:r w:rsidRPr="00D92C36">
        <w:rPr>
          <w:rFonts w:ascii="Arial" w:hAnsi="Arial" w:cs="Arial"/>
        </w:rPr>
        <w:t>appendix 2</w:t>
      </w:r>
      <w:r w:rsidRPr="00AB5C1A">
        <w:rPr>
          <w:rFonts w:ascii="Arial" w:hAnsi="Arial" w:cs="Arial"/>
        </w:rPr>
        <w:t>.</w:t>
      </w:r>
    </w:p>
    <w:p w14:paraId="41C55D88" w14:textId="77777777" w:rsidR="00E26D69" w:rsidRPr="00E26D69" w:rsidRDefault="00E26D69" w:rsidP="00E2093E">
      <w:pPr>
        <w:spacing w:line="360" w:lineRule="auto"/>
        <w:rPr>
          <w:rFonts w:ascii="Arial" w:hAnsi="Arial" w:cs="Arial"/>
        </w:rPr>
      </w:pPr>
    </w:p>
    <w:p w14:paraId="4BA20153" w14:textId="5D366AE8" w:rsidR="00E26D69" w:rsidRPr="00F97831" w:rsidRDefault="00E26D69" w:rsidP="00E91239">
      <w:pPr>
        <w:spacing w:line="360" w:lineRule="auto"/>
        <w:ind w:left="-142"/>
        <w:rPr>
          <w:rFonts w:ascii="Arial" w:hAnsi="Arial" w:cs="Arial"/>
        </w:rPr>
      </w:pPr>
      <w:r w:rsidRPr="00F97831">
        <w:rPr>
          <w:rFonts w:ascii="Arial" w:hAnsi="Arial" w:cs="Arial"/>
        </w:rPr>
        <w:t xml:space="preserve">The Joint Negotiation and Consultation Committee (JNCC) meets regularly to: </w:t>
      </w:r>
    </w:p>
    <w:p w14:paraId="0BB03B79" w14:textId="77777777" w:rsidR="006D17BE" w:rsidRPr="00F97831" w:rsidRDefault="006D17BE" w:rsidP="00E91239">
      <w:pPr>
        <w:spacing w:line="360" w:lineRule="auto"/>
        <w:ind w:left="-142"/>
        <w:rPr>
          <w:rFonts w:ascii="Arial" w:hAnsi="Arial" w:cs="Arial"/>
        </w:rPr>
      </w:pPr>
    </w:p>
    <w:p w14:paraId="21199B9B" w14:textId="77777777" w:rsidR="00E26D69" w:rsidRPr="00F97831" w:rsidRDefault="00E26D69" w:rsidP="00802A98">
      <w:pPr>
        <w:numPr>
          <w:ilvl w:val="0"/>
          <w:numId w:val="27"/>
        </w:numPr>
        <w:spacing w:line="360" w:lineRule="auto"/>
        <w:rPr>
          <w:rFonts w:ascii="Arial" w:hAnsi="Arial" w:cs="Arial"/>
        </w:rPr>
      </w:pPr>
      <w:r w:rsidRPr="00F97831">
        <w:rPr>
          <w:rFonts w:ascii="Arial" w:hAnsi="Arial" w:cs="Arial"/>
        </w:rPr>
        <w:t>carry out formal consultation between management and UNISON;</w:t>
      </w:r>
    </w:p>
    <w:p w14:paraId="6E73439A" w14:textId="77777777" w:rsidR="00E26D69" w:rsidRPr="00F97831" w:rsidRDefault="00E26D69" w:rsidP="00802A98">
      <w:pPr>
        <w:numPr>
          <w:ilvl w:val="0"/>
          <w:numId w:val="27"/>
        </w:numPr>
        <w:spacing w:line="360" w:lineRule="auto"/>
        <w:rPr>
          <w:rFonts w:ascii="Arial" w:hAnsi="Arial" w:cs="Arial"/>
        </w:rPr>
      </w:pPr>
      <w:r w:rsidRPr="00F97831">
        <w:rPr>
          <w:rFonts w:ascii="Arial" w:hAnsi="Arial" w:cs="Arial"/>
        </w:rPr>
        <w:t>carry out formal negotiation between management and UNISON;</w:t>
      </w:r>
    </w:p>
    <w:p w14:paraId="56F550EC" w14:textId="6A5FD975" w:rsidR="00E26D69" w:rsidRPr="00F97831" w:rsidRDefault="00E26D69" w:rsidP="00802A98">
      <w:pPr>
        <w:numPr>
          <w:ilvl w:val="0"/>
          <w:numId w:val="27"/>
        </w:numPr>
        <w:spacing w:line="360" w:lineRule="auto"/>
        <w:rPr>
          <w:rFonts w:ascii="Arial" w:hAnsi="Arial" w:cs="Arial"/>
        </w:rPr>
      </w:pPr>
      <w:r w:rsidRPr="00F97831">
        <w:rPr>
          <w:rFonts w:ascii="Arial" w:hAnsi="Arial" w:cs="Arial"/>
        </w:rPr>
        <w:t>provide information to UNISON to</w:t>
      </w:r>
      <w:r w:rsidR="00E0647E" w:rsidRPr="00F97831">
        <w:rPr>
          <w:rFonts w:ascii="Arial" w:hAnsi="Arial" w:cs="Arial"/>
        </w:rPr>
        <w:t xml:space="preserve"> </w:t>
      </w:r>
      <w:r w:rsidRPr="00F97831">
        <w:rPr>
          <w:rFonts w:ascii="Arial" w:hAnsi="Arial" w:cs="Arial"/>
        </w:rPr>
        <w:t>allow meaningful consultation and negotiation.</w:t>
      </w:r>
    </w:p>
    <w:p w14:paraId="16477F22" w14:textId="2D011A3B" w:rsidR="00E26D69" w:rsidRPr="00F97831" w:rsidRDefault="00E26D69" w:rsidP="00E26D69">
      <w:pPr>
        <w:spacing w:line="360" w:lineRule="auto"/>
        <w:rPr>
          <w:rFonts w:ascii="Arial" w:hAnsi="Arial" w:cs="Arial"/>
        </w:rPr>
      </w:pPr>
    </w:p>
    <w:p w14:paraId="2B58BA3B" w14:textId="4D9598AD" w:rsidR="00130CE7" w:rsidRPr="00F97831" w:rsidRDefault="00E26D69" w:rsidP="00E91239">
      <w:pPr>
        <w:spacing w:line="360" w:lineRule="auto"/>
        <w:rPr>
          <w:rFonts w:ascii="Arial" w:hAnsi="Arial" w:cs="Arial"/>
          <w:color w:val="000000"/>
        </w:rPr>
      </w:pPr>
      <w:r w:rsidRPr="00F97831">
        <w:rPr>
          <w:rFonts w:ascii="Arial" w:hAnsi="Arial" w:cs="Arial"/>
        </w:rPr>
        <w:t xml:space="preserve">The </w:t>
      </w:r>
      <w:r w:rsidR="008304AB" w:rsidRPr="00F97831">
        <w:rPr>
          <w:rFonts w:ascii="Arial" w:hAnsi="Arial" w:cs="Arial"/>
        </w:rPr>
        <w:t>t</w:t>
      </w:r>
      <w:r w:rsidRPr="00F97831">
        <w:rPr>
          <w:rFonts w:ascii="Arial" w:hAnsi="Arial" w:cs="Arial"/>
        </w:rPr>
        <w:t xml:space="preserve">rade </w:t>
      </w:r>
      <w:r w:rsidR="008304AB" w:rsidRPr="00F97831">
        <w:rPr>
          <w:rFonts w:ascii="Arial" w:hAnsi="Arial" w:cs="Arial"/>
        </w:rPr>
        <w:t>u</w:t>
      </w:r>
      <w:r w:rsidRPr="00F97831">
        <w:rPr>
          <w:rFonts w:ascii="Arial" w:hAnsi="Arial" w:cs="Arial"/>
        </w:rPr>
        <w:t xml:space="preserve">nion representatives noted in the table </w:t>
      </w:r>
      <w:r w:rsidR="006D17BE" w:rsidRPr="00F97831">
        <w:rPr>
          <w:rFonts w:ascii="Arial" w:hAnsi="Arial" w:cs="Arial"/>
        </w:rPr>
        <w:t>below</w:t>
      </w:r>
      <w:r w:rsidRPr="00F97831">
        <w:rPr>
          <w:rFonts w:ascii="Arial" w:hAnsi="Arial" w:cs="Arial"/>
        </w:rPr>
        <w:t xml:space="preserve"> were those active in </w:t>
      </w:r>
      <w:r w:rsidR="000845C9">
        <w:rPr>
          <w:rFonts w:ascii="Arial" w:hAnsi="Arial" w:cs="Arial"/>
        </w:rPr>
        <w:t>2021/22</w:t>
      </w:r>
      <w:r w:rsidRPr="00F97831">
        <w:rPr>
          <w:rFonts w:ascii="Arial" w:hAnsi="Arial" w:cs="Arial"/>
        </w:rPr>
        <w:t xml:space="preserve">. </w:t>
      </w:r>
      <w:r w:rsidRPr="00F97831">
        <w:rPr>
          <w:rFonts w:ascii="Arial" w:hAnsi="Arial" w:cs="Arial"/>
          <w:color w:val="000000"/>
        </w:rPr>
        <w:t>SEPA negotiates its staff’s pay, terms</w:t>
      </w:r>
      <w:r w:rsidR="006D17BE" w:rsidRPr="00F97831">
        <w:rPr>
          <w:rFonts w:ascii="Arial" w:hAnsi="Arial" w:cs="Arial"/>
          <w:color w:val="000000"/>
        </w:rPr>
        <w:t>,</w:t>
      </w:r>
      <w:r w:rsidRPr="00F97831">
        <w:rPr>
          <w:rFonts w:ascii="Arial" w:hAnsi="Arial" w:cs="Arial"/>
          <w:color w:val="000000"/>
        </w:rPr>
        <w:t xml:space="preserve"> and conditions with UNISON. </w:t>
      </w:r>
    </w:p>
    <w:p w14:paraId="79716F27" w14:textId="77777777" w:rsidR="00130CE7" w:rsidRPr="00F97831" w:rsidRDefault="00130CE7" w:rsidP="00E91239">
      <w:pPr>
        <w:spacing w:line="360" w:lineRule="auto"/>
        <w:rPr>
          <w:rFonts w:ascii="Arial" w:hAnsi="Arial" w:cs="Arial"/>
          <w:color w:val="000000"/>
        </w:rPr>
      </w:pPr>
    </w:p>
    <w:p w14:paraId="7C93F264" w14:textId="7EA38837" w:rsidR="00E26D69" w:rsidRPr="00F97831" w:rsidRDefault="00E26D69" w:rsidP="00E91239">
      <w:pPr>
        <w:spacing w:line="360" w:lineRule="auto"/>
        <w:rPr>
          <w:rFonts w:ascii="Arial" w:hAnsi="Arial" w:cs="Arial"/>
        </w:rPr>
      </w:pPr>
      <w:r w:rsidRPr="00F97831">
        <w:rPr>
          <w:rFonts w:ascii="Arial" w:hAnsi="Arial" w:cs="Arial"/>
          <w:color w:val="000000"/>
        </w:rPr>
        <w:t xml:space="preserve">The parameters of pay terms and conditions that SEPA can offer staff are contained within Scottish Government’s pay policy. SEPA’s pay offer for </w:t>
      </w:r>
      <w:r w:rsidR="000845C9">
        <w:rPr>
          <w:rFonts w:ascii="Arial" w:hAnsi="Arial" w:cs="Arial"/>
          <w:color w:val="000000"/>
        </w:rPr>
        <w:t>2021/22</w:t>
      </w:r>
      <w:r w:rsidRPr="00F97831">
        <w:rPr>
          <w:rFonts w:ascii="Arial" w:hAnsi="Arial" w:cs="Arial"/>
          <w:color w:val="000000"/>
        </w:rPr>
        <w:t xml:space="preserve"> </w:t>
      </w:r>
      <w:r w:rsidR="00A838C9" w:rsidRPr="00F97831">
        <w:rPr>
          <w:rFonts w:ascii="Arial" w:hAnsi="Arial" w:cs="Arial"/>
          <w:color w:val="000000"/>
        </w:rPr>
        <w:t xml:space="preserve">was accepted </w:t>
      </w:r>
      <w:r w:rsidR="00130CE7" w:rsidRPr="00F97831">
        <w:rPr>
          <w:rFonts w:ascii="Arial" w:hAnsi="Arial" w:cs="Arial"/>
          <w:color w:val="000000"/>
        </w:rPr>
        <w:t>by</w:t>
      </w:r>
      <w:r w:rsidR="00B876EA" w:rsidRPr="00F97831">
        <w:rPr>
          <w:rFonts w:ascii="Arial" w:hAnsi="Arial" w:cs="Arial"/>
          <w:color w:val="000000"/>
        </w:rPr>
        <w:t xml:space="preserve"> UNISON</w:t>
      </w:r>
      <w:r w:rsidR="00130CE7" w:rsidRPr="00F97831">
        <w:rPr>
          <w:rFonts w:ascii="Arial" w:hAnsi="Arial" w:cs="Arial"/>
          <w:color w:val="000000"/>
        </w:rPr>
        <w:t xml:space="preserve"> in </w:t>
      </w:r>
      <w:r w:rsidR="00206A04" w:rsidRPr="00F97831">
        <w:rPr>
          <w:rFonts w:ascii="Arial" w:hAnsi="Arial" w:cs="Arial"/>
          <w:color w:val="000000"/>
        </w:rPr>
        <w:t>February 2022</w:t>
      </w:r>
      <w:r w:rsidR="00130CE7" w:rsidRPr="00F97831">
        <w:rPr>
          <w:rFonts w:ascii="Arial" w:hAnsi="Arial" w:cs="Arial"/>
          <w:color w:val="000000"/>
        </w:rPr>
        <w:t>.</w:t>
      </w:r>
    </w:p>
    <w:p w14:paraId="52C6DA04" w14:textId="77777777" w:rsidR="00E26D69" w:rsidRPr="00F97831" w:rsidRDefault="00E26D69" w:rsidP="00E91239">
      <w:pPr>
        <w:spacing w:line="360" w:lineRule="auto"/>
        <w:rPr>
          <w:rFonts w:ascii="Arial" w:hAnsi="Arial" w:cs="Arial"/>
          <w:color w:val="000000"/>
        </w:rPr>
      </w:pPr>
    </w:p>
    <w:p w14:paraId="31A6B6AD" w14:textId="7F6DB516" w:rsidR="00E26D69" w:rsidRPr="00F97831" w:rsidRDefault="00E26D69" w:rsidP="00E91239">
      <w:pPr>
        <w:spacing w:line="360" w:lineRule="auto"/>
        <w:rPr>
          <w:rFonts w:ascii="Arial" w:hAnsi="Arial" w:cs="Arial"/>
          <w:color w:val="000000"/>
        </w:rPr>
      </w:pPr>
      <w:r w:rsidRPr="00F97831">
        <w:rPr>
          <w:rFonts w:ascii="Arial" w:hAnsi="Arial" w:cs="Arial"/>
          <w:color w:val="000000"/>
        </w:rPr>
        <w:t xml:space="preserve">SEPA has a joint panel consisting of </w:t>
      </w:r>
      <w:r w:rsidR="00F50301" w:rsidRPr="00F97831">
        <w:rPr>
          <w:rFonts w:ascii="Arial" w:hAnsi="Arial" w:cs="Arial"/>
          <w:color w:val="000000"/>
        </w:rPr>
        <w:t>m</w:t>
      </w:r>
      <w:r w:rsidRPr="00F97831">
        <w:rPr>
          <w:rFonts w:ascii="Arial" w:hAnsi="Arial" w:cs="Arial"/>
          <w:color w:val="000000"/>
        </w:rPr>
        <w:t xml:space="preserve">anagement and </w:t>
      </w:r>
      <w:r w:rsidR="00F50301" w:rsidRPr="00F97831">
        <w:rPr>
          <w:rFonts w:ascii="Arial" w:hAnsi="Arial" w:cs="Arial"/>
          <w:color w:val="000000"/>
        </w:rPr>
        <w:t>t</w:t>
      </w:r>
      <w:r w:rsidRPr="00F97831">
        <w:rPr>
          <w:rFonts w:ascii="Arial" w:hAnsi="Arial" w:cs="Arial"/>
          <w:color w:val="000000"/>
        </w:rPr>
        <w:t xml:space="preserve">rade </w:t>
      </w:r>
      <w:r w:rsidR="00F50301" w:rsidRPr="00F97831">
        <w:rPr>
          <w:rFonts w:ascii="Arial" w:hAnsi="Arial" w:cs="Arial"/>
          <w:color w:val="000000"/>
        </w:rPr>
        <w:t>u</w:t>
      </w:r>
      <w:r w:rsidRPr="00F97831">
        <w:rPr>
          <w:rFonts w:ascii="Arial" w:hAnsi="Arial" w:cs="Arial"/>
          <w:color w:val="000000"/>
        </w:rPr>
        <w:t>nion representatives that oversee job evaluation in SEPA.</w:t>
      </w:r>
    </w:p>
    <w:p w14:paraId="63BAE1EA" w14:textId="13C3018E" w:rsidR="00E26D69" w:rsidRPr="00F97831" w:rsidRDefault="00E26D69" w:rsidP="00E91239">
      <w:pPr>
        <w:spacing w:line="360" w:lineRule="auto"/>
        <w:rPr>
          <w:rFonts w:ascii="Arial" w:hAnsi="Arial" w:cs="Arial"/>
          <w:color w:val="000000"/>
        </w:rPr>
      </w:pPr>
    </w:p>
    <w:p w14:paraId="639341B0" w14:textId="35AF4399" w:rsidR="009753ED" w:rsidRDefault="00E26D69" w:rsidP="00E91239">
      <w:pPr>
        <w:spacing w:line="360" w:lineRule="auto"/>
        <w:rPr>
          <w:rFonts w:ascii="Arial" w:hAnsi="Arial" w:cs="Arial"/>
          <w:color w:val="000000"/>
        </w:rPr>
      </w:pPr>
      <w:r w:rsidRPr="00F97831">
        <w:rPr>
          <w:rFonts w:ascii="Arial" w:hAnsi="Arial" w:cs="Arial"/>
          <w:color w:val="000000"/>
        </w:rPr>
        <w:t xml:space="preserve">Trade </w:t>
      </w:r>
      <w:r w:rsidR="00F50301" w:rsidRPr="00F97831">
        <w:rPr>
          <w:rFonts w:ascii="Arial" w:hAnsi="Arial" w:cs="Arial"/>
          <w:color w:val="000000"/>
        </w:rPr>
        <w:t>u</w:t>
      </w:r>
      <w:r w:rsidRPr="00F97831">
        <w:rPr>
          <w:rFonts w:ascii="Arial" w:hAnsi="Arial" w:cs="Arial"/>
          <w:color w:val="000000"/>
        </w:rPr>
        <w:t xml:space="preserve">nion supports </w:t>
      </w:r>
      <w:r w:rsidR="00F50301" w:rsidRPr="00F97831">
        <w:rPr>
          <w:rFonts w:ascii="Arial" w:hAnsi="Arial" w:cs="Arial"/>
          <w:color w:val="000000"/>
        </w:rPr>
        <w:t>m</w:t>
      </w:r>
      <w:r w:rsidRPr="00F97831">
        <w:rPr>
          <w:rFonts w:ascii="Arial" w:hAnsi="Arial" w:cs="Arial"/>
          <w:color w:val="000000"/>
        </w:rPr>
        <w:t>anagement in its initiatives to ensure working conditions and an overall remuneration package that staff value.</w:t>
      </w:r>
      <w:r w:rsidRPr="00E26D69">
        <w:rPr>
          <w:rFonts w:ascii="Arial" w:hAnsi="Arial" w:cs="Arial"/>
          <w:color w:val="000000"/>
        </w:rPr>
        <w:t xml:space="preserve"> </w:t>
      </w:r>
      <w:r w:rsidR="009753ED">
        <w:rPr>
          <w:rFonts w:ascii="Arial" w:hAnsi="Arial" w:cs="Arial"/>
          <w:color w:val="000000"/>
        </w:rPr>
        <w:br w:type="page"/>
      </w:r>
    </w:p>
    <w:p w14:paraId="3B28DD13" w14:textId="0F3B56BB" w:rsidR="00E26D69" w:rsidRPr="009753ED" w:rsidRDefault="009753ED" w:rsidP="009753ED">
      <w:pPr>
        <w:spacing w:line="360" w:lineRule="auto"/>
        <w:jc w:val="both"/>
        <w:rPr>
          <w:rFonts w:ascii="Arial" w:hAnsi="Arial" w:cs="Arial"/>
          <w:color w:val="000000"/>
        </w:rPr>
      </w:pPr>
      <w:r w:rsidRPr="00E344C0">
        <w:rPr>
          <w:rFonts w:ascii="Arial" w:hAnsi="Arial" w:cs="Arial"/>
          <w:b/>
          <w:noProof/>
          <w:color w:val="000000" w:themeColor="text1"/>
        </w:rPr>
        <w:lastRenderedPageBreak/>
        <mc:AlternateContent>
          <mc:Choice Requires="wps">
            <w:drawing>
              <wp:anchor distT="0" distB="0" distL="114300" distR="114300" simplePos="0" relativeHeight="251658242" behindDoc="0" locked="0" layoutInCell="1" allowOverlap="1" wp14:anchorId="13E04191" wp14:editId="6AF89C1B">
                <wp:simplePos x="0" y="0"/>
                <wp:positionH relativeFrom="column">
                  <wp:posOffset>-154940</wp:posOffset>
                </wp:positionH>
                <wp:positionV relativeFrom="paragraph">
                  <wp:posOffset>1270</wp:posOffset>
                </wp:positionV>
                <wp:extent cx="5236234" cy="327804"/>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236234" cy="327804"/>
                        </a:xfrm>
                        <a:prstGeom prst="rect">
                          <a:avLst/>
                        </a:prstGeom>
                        <a:noFill/>
                        <a:ln w="6350">
                          <a:noFill/>
                        </a:ln>
                      </wps:spPr>
                      <wps:txbx>
                        <w:txbxContent>
                          <w:p w14:paraId="3BBC7711" w14:textId="72C88337" w:rsidR="00194DF3" w:rsidRPr="001A1AB0" w:rsidRDefault="001A1AB0">
                            <w:pPr>
                              <w:rPr>
                                <w:rFonts w:ascii="Arial" w:hAnsi="Arial" w:cs="Arial"/>
                                <w:b/>
                                <w:bCs/>
                                <w:color w:val="000000" w:themeColor="text1"/>
                              </w:rPr>
                            </w:pPr>
                            <w:r w:rsidRPr="00A41114">
                              <w:rPr>
                                <w:rFonts w:ascii="Arial" w:hAnsi="Arial" w:cs="Arial"/>
                                <w:b/>
                                <w:color w:val="000000" w:themeColor="text1"/>
                              </w:rPr>
                              <w:t>The Joint Negotiation Consultation Committee (JNCC)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4191" id="_x0000_t202" coordsize="21600,21600" o:spt="202" path="m,l,21600r21600,l21600,xe">
                <v:stroke joinstyle="miter"/>
                <v:path gradientshapeok="t" o:connecttype="rect"/>
              </v:shapetype>
              <v:shape id="Text Box 11" o:spid="_x0000_s1026" type="#_x0000_t202" style="position:absolute;left:0;text-align:left;margin-left:-12.2pt;margin-top:.1pt;width:412.3pt;height:2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" filled="f" stroked="f" strokeweight=".5pt">
                <v:textbox>
                  <w:txbxContent>
                    <w:p w14:paraId="3BBC7711" w14:textId="72C88337" w:rsidR="00194DF3" w:rsidRPr="001A1AB0" w:rsidRDefault="001A1AB0">
                      <w:pPr>
                        <w:rPr>
                          <w:rFonts w:ascii="Arial" w:hAnsi="Arial" w:cs="Arial"/>
                          <w:b/>
                          <w:bCs/>
                          <w:color w:val="000000" w:themeColor="text1"/>
                        </w:rPr>
                      </w:pPr>
                      <w:r w:rsidRPr="00A41114">
                        <w:rPr>
                          <w:rFonts w:ascii="Arial" w:hAnsi="Arial" w:cs="Arial"/>
                          <w:b/>
                          <w:color w:val="000000" w:themeColor="text1"/>
                        </w:rPr>
                        <w:t>The Joint Negotiation Consultation Committee (JNCC) members</w:t>
                      </w:r>
                    </w:p>
                  </w:txbxContent>
                </v:textbox>
              </v:shape>
            </w:pict>
          </mc:Fallback>
        </mc:AlternateContent>
      </w:r>
    </w:p>
    <w:p w14:paraId="234BE098" w14:textId="7850C504" w:rsidR="00E26D69" w:rsidRPr="00E26D69" w:rsidRDefault="00E26D69" w:rsidP="00E26D69">
      <w:pPr>
        <w:spacing w:line="360" w:lineRule="auto"/>
        <w:rPr>
          <w:rFonts w:ascii="Arial" w:hAnsi="Arial" w:cs="Arial"/>
          <w:b/>
          <w:color w:val="000000" w:themeColor="text1"/>
          <w:highlight w:val="cyan"/>
        </w:rPr>
      </w:pPr>
    </w:p>
    <w:p w14:paraId="4A5EF460" w14:textId="557C2953" w:rsidR="00833631" w:rsidRDefault="00A923BD" w:rsidP="00833631">
      <w:pPr>
        <w:spacing w:line="360" w:lineRule="auto"/>
        <w:jc w:val="both"/>
        <w:rPr>
          <w:rFonts w:ascii="Arial" w:hAnsi="Arial" w:cs="Arial"/>
          <w:color w:val="000000" w:themeColor="text1"/>
        </w:rPr>
      </w:pPr>
      <w:r>
        <w:rPr>
          <w:rFonts w:ascii="Arial" w:hAnsi="Arial" w:cs="Arial"/>
          <w:b/>
          <w:noProof/>
          <w:color w:val="000000" w:themeColor="text1"/>
        </w:rPr>
        <w:drawing>
          <wp:anchor distT="0" distB="0" distL="114300" distR="114300" simplePos="0" relativeHeight="251658243" behindDoc="0" locked="0" layoutInCell="1" allowOverlap="1" wp14:anchorId="701C8958" wp14:editId="700B828E">
            <wp:simplePos x="0" y="0"/>
            <wp:positionH relativeFrom="margin">
              <wp:posOffset>-267335</wp:posOffset>
            </wp:positionH>
            <wp:positionV relativeFrom="margin">
              <wp:posOffset>658170</wp:posOffset>
            </wp:positionV>
            <wp:extent cx="6883400" cy="3640347"/>
            <wp:effectExtent l="0" t="0" r="50800" b="1778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margin">
              <wp14:pctWidth>0</wp14:pctWidth>
            </wp14:sizeRelH>
            <wp14:sizeRelV relativeFrom="margin">
              <wp14:pctHeight>0</wp14:pctHeight>
            </wp14:sizeRelV>
          </wp:anchor>
        </w:drawing>
      </w:r>
    </w:p>
    <w:p w14:paraId="0B6FA998" w14:textId="0465EE85" w:rsidR="00833631" w:rsidRDefault="00833631" w:rsidP="00833631">
      <w:pPr>
        <w:spacing w:line="360" w:lineRule="auto"/>
        <w:jc w:val="both"/>
        <w:rPr>
          <w:rFonts w:ascii="Arial" w:hAnsi="Arial" w:cs="Arial"/>
          <w:color w:val="000000" w:themeColor="text1"/>
        </w:rPr>
      </w:pPr>
    </w:p>
    <w:p w14:paraId="3C10676A" w14:textId="3AB67480" w:rsidR="00833631" w:rsidRDefault="00833631" w:rsidP="00833631">
      <w:pPr>
        <w:spacing w:line="360" w:lineRule="auto"/>
        <w:jc w:val="both"/>
        <w:rPr>
          <w:rFonts w:ascii="Arial" w:hAnsi="Arial" w:cs="Arial"/>
          <w:color w:val="000000" w:themeColor="text1"/>
        </w:rPr>
      </w:pPr>
    </w:p>
    <w:p w14:paraId="5694F08C" w14:textId="77777777" w:rsidR="00833631" w:rsidRDefault="00833631" w:rsidP="00833631">
      <w:pPr>
        <w:spacing w:line="360" w:lineRule="auto"/>
        <w:jc w:val="both"/>
        <w:rPr>
          <w:rFonts w:ascii="Arial" w:hAnsi="Arial" w:cs="Arial"/>
          <w:color w:val="000000" w:themeColor="text1"/>
        </w:rPr>
      </w:pPr>
    </w:p>
    <w:p w14:paraId="7BBC7C30" w14:textId="7E7C172B" w:rsidR="00833631" w:rsidRDefault="00833631" w:rsidP="00833631">
      <w:pPr>
        <w:spacing w:line="360" w:lineRule="auto"/>
        <w:jc w:val="both"/>
        <w:rPr>
          <w:rFonts w:ascii="Arial" w:hAnsi="Arial" w:cs="Arial"/>
          <w:color w:val="000000" w:themeColor="text1"/>
        </w:rPr>
      </w:pPr>
    </w:p>
    <w:p w14:paraId="51C6BF45" w14:textId="77777777" w:rsidR="00833631" w:rsidRDefault="00833631" w:rsidP="00833631">
      <w:pPr>
        <w:spacing w:line="360" w:lineRule="auto"/>
        <w:jc w:val="both"/>
        <w:rPr>
          <w:rFonts w:ascii="Arial" w:hAnsi="Arial" w:cs="Arial"/>
          <w:color w:val="000000" w:themeColor="text1"/>
        </w:rPr>
      </w:pPr>
    </w:p>
    <w:p w14:paraId="5803F7D6" w14:textId="77777777" w:rsidR="00833631" w:rsidRDefault="00833631" w:rsidP="00833631">
      <w:pPr>
        <w:spacing w:line="360" w:lineRule="auto"/>
        <w:jc w:val="both"/>
        <w:rPr>
          <w:rFonts w:ascii="Arial" w:hAnsi="Arial" w:cs="Arial"/>
          <w:color w:val="000000" w:themeColor="text1"/>
        </w:rPr>
      </w:pPr>
    </w:p>
    <w:p w14:paraId="77B74953" w14:textId="77777777" w:rsidR="00833631" w:rsidRDefault="00833631" w:rsidP="00833631">
      <w:pPr>
        <w:spacing w:line="360" w:lineRule="auto"/>
        <w:jc w:val="both"/>
        <w:rPr>
          <w:rFonts w:ascii="Arial" w:hAnsi="Arial" w:cs="Arial"/>
          <w:color w:val="000000" w:themeColor="text1"/>
        </w:rPr>
      </w:pPr>
    </w:p>
    <w:p w14:paraId="7CAC4515" w14:textId="77777777" w:rsidR="00833631" w:rsidRDefault="00833631" w:rsidP="00833631">
      <w:pPr>
        <w:spacing w:line="360" w:lineRule="auto"/>
        <w:jc w:val="both"/>
        <w:rPr>
          <w:rFonts w:ascii="Arial" w:hAnsi="Arial" w:cs="Arial"/>
          <w:color w:val="000000" w:themeColor="text1"/>
        </w:rPr>
      </w:pPr>
    </w:p>
    <w:p w14:paraId="6034984C" w14:textId="77777777" w:rsidR="00833631" w:rsidRDefault="00833631" w:rsidP="00833631">
      <w:pPr>
        <w:spacing w:line="360" w:lineRule="auto"/>
        <w:jc w:val="both"/>
        <w:rPr>
          <w:rFonts w:ascii="Arial" w:hAnsi="Arial" w:cs="Arial"/>
          <w:color w:val="000000" w:themeColor="text1"/>
        </w:rPr>
      </w:pPr>
    </w:p>
    <w:p w14:paraId="547FEBCA" w14:textId="77777777" w:rsidR="00833631" w:rsidRDefault="00833631" w:rsidP="00833631">
      <w:pPr>
        <w:spacing w:line="360" w:lineRule="auto"/>
        <w:jc w:val="both"/>
        <w:rPr>
          <w:rFonts w:ascii="Arial" w:hAnsi="Arial" w:cs="Arial"/>
          <w:color w:val="000000" w:themeColor="text1"/>
        </w:rPr>
      </w:pPr>
    </w:p>
    <w:p w14:paraId="7F6D552F" w14:textId="77777777" w:rsidR="00833631" w:rsidRDefault="00833631" w:rsidP="00833631">
      <w:pPr>
        <w:spacing w:line="360" w:lineRule="auto"/>
        <w:jc w:val="both"/>
        <w:rPr>
          <w:rFonts w:ascii="Arial" w:hAnsi="Arial" w:cs="Arial"/>
          <w:color w:val="000000" w:themeColor="text1"/>
        </w:rPr>
      </w:pPr>
    </w:p>
    <w:p w14:paraId="1AC82F79" w14:textId="77777777" w:rsidR="00833631" w:rsidRDefault="00833631" w:rsidP="00833631">
      <w:pPr>
        <w:spacing w:line="360" w:lineRule="auto"/>
        <w:jc w:val="both"/>
        <w:rPr>
          <w:rFonts w:ascii="Arial" w:hAnsi="Arial" w:cs="Arial"/>
          <w:color w:val="000000" w:themeColor="text1"/>
        </w:rPr>
      </w:pPr>
    </w:p>
    <w:p w14:paraId="611CE706" w14:textId="77777777" w:rsidR="00833631" w:rsidRDefault="00833631" w:rsidP="00833631">
      <w:pPr>
        <w:spacing w:line="360" w:lineRule="auto"/>
        <w:jc w:val="both"/>
        <w:rPr>
          <w:rFonts w:ascii="Arial" w:hAnsi="Arial" w:cs="Arial"/>
          <w:color w:val="000000" w:themeColor="text1"/>
        </w:rPr>
      </w:pPr>
    </w:p>
    <w:p w14:paraId="3B01B210" w14:textId="77777777" w:rsidR="00A923BD" w:rsidRDefault="00A923BD" w:rsidP="00756B43">
      <w:pPr>
        <w:spacing w:line="360" w:lineRule="auto"/>
        <w:ind w:left="-284"/>
        <w:jc w:val="both"/>
        <w:rPr>
          <w:rFonts w:ascii="Arial" w:hAnsi="Arial" w:cs="Arial"/>
          <w:color w:val="000000" w:themeColor="text1"/>
        </w:rPr>
      </w:pPr>
    </w:p>
    <w:p w14:paraId="0B3DE9EE" w14:textId="77777777" w:rsidR="00A923BD" w:rsidRDefault="00A923BD" w:rsidP="00A923BD">
      <w:pPr>
        <w:spacing w:line="360" w:lineRule="auto"/>
        <w:jc w:val="both"/>
        <w:rPr>
          <w:rFonts w:ascii="Arial" w:hAnsi="Arial" w:cs="Arial"/>
          <w:color w:val="000000" w:themeColor="text1"/>
        </w:rPr>
      </w:pPr>
    </w:p>
    <w:p w14:paraId="76C67D96" w14:textId="7212501E" w:rsidR="00833631" w:rsidRPr="00E26D69" w:rsidRDefault="00833631" w:rsidP="00756B43">
      <w:pPr>
        <w:spacing w:line="360" w:lineRule="auto"/>
        <w:ind w:left="-284"/>
        <w:jc w:val="both"/>
        <w:rPr>
          <w:rFonts w:ascii="Arial" w:hAnsi="Arial" w:cs="Arial"/>
          <w:color w:val="000000" w:themeColor="text1"/>
        </w:rPr>
      </w:pPr>
      <w:r w:rsidRPr="00A923BD">
        <w:rPr>
          <w:rFonts w:ascii="Arial" w:hAnsi="Arial" w:cs="Arial"/>
          <w:color w:val="000000" w:themeColor="text1"/>
        </w:rPr>
        <w:t xml:space="preserve">Approved by the Board on </w:t>
      </w:r>
      <w:r w:rsidR="00463A73" w:rsidRPr="00A923BD">
        <w:rPr>
          <w:rFonts w:ascii="Arial" w:hAnsi="Arial" w:cs="Arial"/>
          <w:color w:val="000000" w:themeColor="text1"/>
        </w:rPr>
        <w:t>29 November</w:t>
      </w:r>
      <w:r w:rsidR="00695610" w:rsidRPr="00A923BD">
        <w:rPr>
          <w:rFonts w:ascii="Arial" w:hAnsi="Arial" w:cs="Arial"/>
          <w:color w:val="000000" w:themeColor="text1"/>
        </w:rPr>
        <w:t xml:space="preserve"> 2022</w:t>
      </w:r>
      <w:r w:rsidRPr="00A923BD">
        <w:rPr>
          <w:rFonts w:ascii="Arial" w:hAnsi="Arial" w:cs="Arial"/>
          <w:color w:val="000000" w:themeColor="text1"/>
        </w:rPr>
        <w:t xml:space="preserve"> and signed on behalf of the Board</w:t>
      </w:r>
      <w:r w:rsidR="0049724E" w:rsidRPr="00A923BD">
        <w:rPr>
          <w:rFonts w:ascii="Arial" w:hAnsi="Arial" w:cs="Arial"/>
          <w:color w:val="000000" w:themeColor="text1"/>
        </w:rPr>
        <w:t xml:space="preserve"> on</w:t>
      </w:r>
      <w:r w:rsidR="00463A73" w:rsidRPr="00A923BD">
        <w:rPr>
          <w:rFonts w:ascii="Arial" w:hAnsi="Arial" w:cs="Arial"/>
          <w:color w:val="000000" w:themeColor="text1"/>
        </w:rPr>
        <w:t xml:space="preserve"> 0</w:t>
      </w:r>
      <w:r w:rsidR="0093396A">
        <w:rPr>
          <w:rFonts w:ascii="Arial" w:hAnsi="Arial" w:cs="Arial"/>
          <w:color w:val="000000" w:themeColor="text1"/>
        </w:rPr>
        <w:t>2</w:t>
      </w:r>
      <w:r w:rsidR="00463A73" w:rsidRPr="00A923BD">
        <w:rPr>
          <w:rFonts w:ascii="Arial" w:hAnsi="Arial" w:cs="Arial"/>
          <w:color w:val="000000" w:themeColor="text1"/>
        </w:rPr>
        <w:t xml:space="preserve"> December </w:t>
      </w:r>
      <w:r w:rsidR="0049724E" w:rsidRPr="00A923BD">
        <w:rPr>
          <w:rFonts w:ascii="Arial" w:hAnsi="Arial" w:cs="Arial"/>
          <w:color w:val="000000" w:themeColor="text1"/>
        </w:rPr>
        <w:t>202</w:t>
      </w:r>
      <w:r w:rsidR="00F963A8" w:rsidRPr="00A923BD">
        <w:rPr>
          <w:rFonts w:ascii="Arial" w:hAnsi="Arial" w:cs="Arial"/>
          <w:color w:val="000000" w:themeColor="text1"/>
        </w:rPr>
        <w:t>2</w:t>
      </w:r>
      <w:r w:rsidRPr="00A923BD">
        <w:rPr>
          <w:rFonts w:ascii="Arial" w:hAnsi="Arial" w:cs="Arial"/>
          <w:color w:val="000000" w:themeColor="text1"/>
        </w:rPr>
        <w:t>.</w:t>
      </w:r>
    </w:p>
    <w:p w14:paraId="30F3F106" w14:textId="44A33788" w:rsidR="00E26D69" w:rsidRPr="00E26D69" w:rsidRDefault="00E26D69" w:rsidP="00E26D69">
      <w:pPr>
        <w:spacing w:line="360" w:lineRule="auto"/>
        <w:rPr>
          <w:rFonts w:ascii="Arial" w:hAnsi="Arial" w:cs="Arial"/>
          <w:b/>
          <w:color w:val="000000" w:themeColor="text1"/>
          <w:highlight w:val="cyan"/>
        </w:rPr>
      </w:pPr>
    </w:p>
    <w:p w14:paraId="197249CD" w14:textId="75CD180C" w:rsidR="00E26D69" w:rsidRDefault="00E26D69" w:rsidP="00E26D69">
      <w:pPr>
        <w:spacing w:line="360" w:lineRule="auto"/>
        <w:rPr>
          <w:rFonts w:ascii="Arial" w:hAnsi="Arial" w:cs="Arial"/>
          <w:b/>
          <w:color w:val="000000" w:themeColor="text1"/>
          <w:highlight w:val="cyan"/>
        </w:rPr>
      </w:pPr>
    </w:p>
    <w:p w14:paraId="5820689D" w14:textId="77777777" w:rsidR="00923BE5" w:rsidRPr="00E26D69" w:rsidRDefault="00923BE5" w:rsidP="00E26D69">
      <w:pPr>
        <w:spacing w:line="360" w:lineRule="auto"/>
        <w:rPr>
          <w:rFonts w:ascii="Arial" w:hAnsi="Arial" w:cs="Arial"/>
          <w:b/>
          <w:color w:val="000000" w:themeColor="text1"/>
          <w:highlight w:val="cyan"/>
        </w:rPr>
      </w:pPr>
    </w:p>
    <w:p w14:paraId="5085F00C" w14:textId="773D651A" w:rsidR="00E26D69" w:rsidRPr="00E26D69" w:rsidRDefault="00E26D69" w:rsidP="00756B43">
      <w:pPr>
        <w:spacing w:line="360" w:lineRule="auto"/>
        <w:ind w:left="-426" w:firstLine="142"/>
        <w:rPr>
          <w:rFonts w:ascii="Arial" w:hAnsi="Arial" w:cs="Arial"/>
          <w:b/>
        </w:rPr>
      </w:pPr>
      <w:r w:rsidRPr="00E26D69">
        <w:rPr>
          <w:rFonts w:ascii="Arial" w:hAnsi="Arial" w:cs="Arial"/>
          <w:b/>
        </w:rPr>
        <w:t xml:space="preserve">________________________________         </w:t>
      </w:r>
      <w:r w:rsidR="00E900D8">
        <w:rPr>
          <w:rFonts w:ascii="Arial" w:hAnsi="Arial" w:cs="Arial"/>
          <w:b/>
        </w:rPr>
        <w:t xml:space="preserve">                  </w:t>
      </w:r>
      <w:r w:rsidRPr="00E26D69">
        <w:rPr>
          <w:rFonts w:ascii="Arial" w:hAnsi="Arial" w:cs="Arial"/>
          <w:b/>
        </w:rPr>
        <w:t>_______________</w:t>
      </w:r>
    </w:p>
    <w:p w14:paraId="3D56ED80" w14:textId="62D63B91" w:rsidR="00E26D69" w:rsidRPr="00E26D69" w:rsidRDefault="00662E4F" w:rsidP="00135BC5">
      <w:pPr>
        <w:ind w:left="-425" w:firstLine="142"/>
        <w:rPr>
          <w:rFonts w:ascii="Arial" w:hAnsi="Arial" w:cs="Arial"/>
          <w:b/>
        </w:rPr>
      </w:pPr>
      <w:r>
        <w:rPr>
          <w:rFonts w:ascii="Arial" w:hAnsi="Arial" w:cs="Arial"/>
          <w:b/>
        </w:rPr>
        <w:t>Nicole Paterson</w:t>
      </w:r>
      <w:r w:rsidR="006C3E5D">
        <w:rPr>
          <w:rFonts w:ascii="Arial" w:hAnsi="Arial" w:cs="Arial"/>
          <w:b/>
        </w:rPr>
        <w:tab/>
      </w:r>
      <w:r w:rsidR="00E26D69" w:rsidRPr="00E26D69">
        <w:rPr>
          <w:rFonts w:ascii="Arial" w:hAnsi="Arial" w:cs="Arial"/>
          <w:b/>
        </w:rPr>
        <w:tab/>
      </w:r>
      <w:r w:rsidR="00E26D69" w:rsidRPr="00E26D69">
        <w:rPr>
          <w:rFonts w:ascii="Arial" w:hAnsi="Arial" w:cs="Arial"/>
          <w:b/>
        </w:rPr>
        <w:tab/>
      </w:r>
      <w:r w:rsidR="00E26D69" w:rsidRPr="00E26D69">
        <w:rPr>
          <w:rFonts w:ascii="Arial" w:hAnsi="Arial" w:cs="Arial"/>
          <w:b/>
        </w:rPr>
        <w:tab/>
      </w:r>
      <w:r w:rsidR="00E26D69" w:rsidRPr="00E26D69">
        <w:rPr>
          <w:rFonts w:ascii="Arial" w:hAnsi="Arial" w:cs="Arial"/>
          <w:b/>
        </w:rPr>
        <w:tab/>
      </w:r>
      <w:r w:rsidR="00E26D69" w:rsidRPr="00E26D69">
        <w:rPr>
          <w:rFonts w:ascii="Arial" w:hAnsi="Arial" w:cs="Arial"/>
          <w:b/>
        </w:rPr>
        <w:tab/>
        <w:t>Date of signature</w:t>
      </w:r>
    </w:p>
    <w:p w14:paraId="4AE22BFA" w14:textId="4FB81054" w:rsidR="00E26D69" w:rsidRPr="00E26D69" w:rsidRDefault="00E26D69" w:rsidP="00135BC5">
      <w:pPr>
        <w:ind w:left="-425" w:firstLine="142"/>
        <w:rPr>
          <w:rFonts w:ascii="Arial" w:hAnsi="Arial" w:cs="Arial"/>
          <w:b/>
        </w:rPr>
      </w:pPr>
      <w:r w:rsidRPr="00E26D69">
        <w:rPr>
          <w:rFonts w:ascii="Arial" w:hAnsi="Arial" w:cs="Arial"/>
          <w:b/>
        </w:rPr>
        <w:t>Chief Executive and Accountable Officer</w:t>
      </w:r>
      <w:r w:rsidRPr="00E26D69">
        <w:rPr>
          <w:rFonts w:ascii="Arial" w:hAnsi="Arial" w:cs="Arial"/>
          <w:b/>
        </w:rPr>
        <w:tab/>
      </w:r>
      <w:r w:rsidRPr="00E26D69">
        <w:rPr>
          <w:rFonts w:ascii="Arial" w:hAnsi="Arial" w:cs="Arial"/>
          <w:b/>
        </w:rPr>
        <w:tab/>
      </w:r>
      <w:r w:rsidRPr="00E26D69">
        <w:rPr>
          <w:rFonts w:ascii="Arial" w:hAnsi="Arial" w:cs="Arial"/>
          <w:b/>
        </w:rPr>
        <w:tab/>
      </w:r>
      <w:r w:rsidRPr="00E26D69">
        <w:rPr>
          <w:rFonts w:ascii="Arial" w:hAnsi="Arial" w:cs="Arial"/>
          <w:b/>
        </w:rPr>
        <w:br w:type="page"/>
      </w:r>
    </w:p>
    <w:p w14:paraId="61BE05E9" w14:textId="7A07E817" w:rsidR="00E26D69" w:rsidRPr="001B7378" w:rsidRDefault="00E26D69" w:rsidP="00A11485">
      <w:pPr>
        <w:pStyle w:val="01bSubheader"/>
        <w:numPr>
          <w:ilvl w:val="1"/>
          <w:numId w:val="13"/>
        </w:numPr>
        <w:ind w:left="567" w:hanging="567"/>
        <w:rPr>
          <w:lang w:eastAsia="en-US"/>
        </w:rPr>
      </w:pPr>
      <w:bookmarkStart w:id="31" w:name="_Toc119068089"/>
      <w:r w:rsidRPr="00FF1209">
        <w:rPr>
          <w:lang w:eastAsia="en-US"/>
        </w:rPr>
        <w:lastRenderedPageBreak/>
        <w:t>Parliamentary accountability</w:t>
      </w:r>
      <w:r w:rsidR="00860965" w:rsidRPr="00FF1209">
        <w:rPr>
          <w:lang w:eastAsia="en-US"/>
        </w:rPr>
        <w:t xml:space="preserve"> </w:t>
      </w:r>
      <w:r w:rsidR="006F7D2C" w:rsidRPr="00FF1209">
        <w:rPr>
          <w:lang w:eastAsia="en-US"/>
        </w:rPr>
        <w:t>(</w:t>
      </w:r>
      <w:r w:rsidR="002B695B">
        <w:rPr>
          <w:lang w:eastAsia="en-US"/>
        </w:rPr>
        <w:t xml:space="preserve">outturn </w:t>
      </w:r>
      <w:r w:rsidR="006F7D2C" w:rsidRPr="00FF1209">
        <w:rPr>
          <w:lang w:eastAsia="en-US"/>
        </w:rPr>
        <w:t>subject to audit)</w:t>
      </w:r>
      <w:bookmarkEnd w:id="31"/>
    </w:p>
    <w:p w14:paraId="51F5B1A8" w14:textId="77777777" w:rsidR="00E26D69" w:rsidRPr="00E26D69" w:rsidRDefault="00E26D69" w:rsidP="00E26D69">
      <w:pPr>
        <w:spacing w:line="360" w:lineRule="auto"/>
        <w:rPr>
          <w:rFonts w:ascii="Arial" w:hAnsi="Arial" w:cs="Arial"/>
        </w:rPr>
      </w:pPr>
    </w:p>
    <w:p w14:paraId="59AD5717" w14:textId="77777777" w:rsidR="00E26D69" w:rsidRPr="00A534EB" w:rsidRDefault="00E26D69" w:rsidP="00B707F0">
      <w:pPr>
        <w:spacing w:line="360" w:lineRule="auto"/>
        <w:ind w:right="142"/>
        <w:rPr>
          <w:rFonts w:ascii="Arial" w:eastAsia="Calibri" w:hAnsi="Arial" w:cs="Arial"/>
          <w:color w:val="000000" w:themeColor="text1"/>
          <w:lang w:eastAsia="en-US"/>
        </w:rPr>
      </w:pPr>
      <w:r w:rsidRPr="00A534EB">
        <w:rPr>
          <w:rFonts w:ascii="Arial" w:eastAsia="Calibri" w:hAnsi="Arial" w:cs="Arial"/>
          <w:color w:val="000000" w:themeColor="text1"/>
          <w:lang w:eastAsia="en-US"/>
        </w:rPr>
        <w:t xml:space="preserve">Scottish Government provides a budget allocation for the year, which is subsequently approved in the Budget Bill. During the year, revisions are approved in the autumn and spring budget, as agreed with Scottish Government. </w:t>
      </w:r>
    </w:p>
    <w:p w14:paraId="69F2FE1F" w14:textId="77777777" w:rsidR="00E26D69" w:rsidRPr="00A534EB" w:rsidRDefault="00E26D69" w:rsidP="00B707F0">
      <w:pPr>
        <w:spacing w:line="360" w:lineRule="auto"/>
        <w:ind w:right="142"/>
        <w:rPr>
          <w:rFonts w:ascii="Arial" w:eastAsia="Calibri" w:hAnsi="Arial" w:cs="Arial"/>
          <w:color w:val="000000" w:themeColor="text1"/>
          <w:lang w:eastAsia="en-US"/>
        </w:rPr>
      </w:pPr>
    </w:p>
    <w:p w14:paraId="2A0BD344" w14:textId="520555A2" w:rsidR="00E26D69" w:rsidRPr="00A534EB" w:rsidRDefault="00E26D69" w:rsidP="00B707F0">
      <w:pPr>
        <w:spacing w:line="360" w:lineRule="auto"/>
        <w:ind w:right="142"/>
        <w:rPr>
          <w:rFonts w:ascii="Arial" w:eastAsia="Calibri" w:hAnsi="Arial" w:cs="Arial"/>
          <w:color w:val="000000" w:themeColor="text1"/>
          <w:lang w:eastAsia="en-US"/>
        </w:rPr>
      </w:pPr>
      <w:r w:rsidRPr="00A534EB">
        <w:rPr>
          <w:rFonts w:ascii="Arial" w:eastAsia="Calibri" w:hAnsi="Arial" w:cs="Arial"/>
          <w:color w:val="000000" w:themeColor="text1"/>
          <w:lang w:eastAsia="en-US"/>
        </w:rPr>
        <w:t xml:space="preserve">The </w:t>
      </w:r>
      <w:r w:rsidR="005E585D" w:rsidRPr="00A534EB">
        <w:rPr>
          <w:rFonts w:ascii="Arial" w:eastAsia="Calibri" w:hAnsi="Arial" w:cs="Arial"/>
          <w:color w:val="000000" w:themeColor="text1"/>
          <w:lang w:eastAsia="en-US"/>
        </w:rPr>
        <w:t>202</w:t>
      </w:r>
      <w:r w:rsidR="00CA2D3B">
        <w:rPr>
          <w:rFonts w:ascii="Arial" w:eastAsia="Calibri" w:hAnsi="Arial" w:cs="Arial"/>
          <w:color w:val="000000" w:themeColor="text1"/>
          <w:lang w:eastAsia="en-US"/>
        </w:rPr>
        <w:t>1</w:t>
      </w:r>
      <w:r w:rsidR="005E585D" w:rsidRPr="00A534EB">
        <w:rPr>
          <w:rFonts w:ascii="Arial" w:eastAsia="Calibri" w:hAnsi="Arial" w:cs="Arial"/>
          <w:color w:val="000000" w:themeColor="text1"/>
          <w:lang w:eastAsia="en-US"/>
        </w:rPr>
        <w:t>/2</w:t>
      </w:r>
      <w:r w:rsidR="00CA2D3B">
        <w:rPr>
          <w:rFonts w:ascii="Arial" w:eastAsia="Calibri" w:hAnsi="Arial" w:cs="Arial"/>
          <w:color w:val="000000" w:themeColor="text1"/>
          <w:lang w:eastAsia="en-US"/>
        </w:rPr>
        <w:t>2</w:t>
      </w:r>
      <w:r w:rsidRPr="00A534EB">
        <w:rPr>
          <w:rFonts w:ascii="Arial" w:eastAsia="Calibri" w:hAnsi="Arial" w:cs="Arial"/>
          <w:color w:val="000000" w:themeColor="text1"/>
          <w:lang w:eastAsia="en-US"/>
        </w:rPr>
        <w:t xml:space="preserve"> </w:t>
      </w:r>
      <w:r w:rsidR="006E05EC">
        <w:rPr>
          <w:rFonts w:ascii="Arial" w:eastAsia="Calibri" w:hAnsi="Arial" w:cs="Arial"/>
          <w:color w:val="000000" w:themeColor="text1"/>
          <w:lang w:eastAsia="en-US"/>
        </w:rPr>
        <w:t>Department Expenditure Limit (</w:t>
      </w:r>
      <w:r w:rsidR="008C5BBC" w:rsidRPr="006C6551">
        <w:rPr>
          <w:rFonts w:ascii="Arial" w:eastAsia="Calibri" w:hAnsi="Arial" w:cs="Arial"/>
          <w:color w:val="000000" w:themeColor="text1"/>
          <w:lang w:eastAsia="en-US"/>
        </w:rPr>
        <w:t>DEL</w:t>
      </w:r>
      <w:r w:rsidR="006E05EC">
        <w:rPr>
          <w:rFonts w:ascii="Arial" w:eastAsia="Calibri" w:hAnsi="Arial" w:cs="Arial"/>
          <w:color w:val="000000" w:themeColor="text1"/>
          <w:lang w:eastAsia="en-US"/>
        </w:rPr>
        <w:t>)</w:t>
      </w:r>
      <w:r w:rsidR="008C5BBC" w:rsidRPr="006C6551">
        <w:rPr>
          <w:rFonts w:ascii="Arial" w:eastAsia="Calibri" w:hAnsi="Arial" w:cs="Arial"/>
          <w:color w:val="000000" w:themeColor="text1"/>
          <w:lang w:eastAsia="en-US"/>
        </w:rPr>
        <w:t xml:space="preserve"> </w:t>
      </w:r>
      <w:r w:rsidRPr="006C6551">
        <w:rPr>
          <w:rFonts w:ascii="Arial" w:eastAsia="Calibri" w:hAnsi="Arial" w:cs="Arial"/>
          <w:color w:val="000000" w:themeColor="text1"/>
          <w:lang w:eastAsia="en-US"/>
        </w:rPr>
        <w:t>operating resource</w:t>
      </w:r>
      <w:r w:rsidR="008C5BBC" w:rsidRPr="006C6551">
        <w:rPr>
          <w:rFonts w:ascii="Arial" w:eastAsia="Calibri" w:hAnsi="Arial" w:cs="Arial"/>
          <w:color w:val="000000" w:themeColor="text1"/>
          <w:lang w:eastAsia="en-US"/>
        </w:rPr>
        <w:t xml:space="preserve"> and </w:t>
      </w:r>
      <w:r w:rsidR="004373CE" w:rsidRPr="006C6551">
        <w:rPr>
          <w:rFonts w:ascii="Arial" w:eastAsia="Calibri" w:hAnsi="Arial" w:cs="Arial"/>
          <w:color w:val="000000" w:themeColor="text1"/>
          <w:lang w:eastAsia="en-US"/>
        </w:rPr>
        <w:t>capital budget</w:t>
      </w:r>
      <w:r w:rsidRPr="006C6551">
        <w:rPr>
          <w:rFonts w:ascii="Arial" w:eastAsia="Calibri" w:hAnsi="Arial" w:cs="Arial"/>
          <w:color w:val="000000" w:themeColor="text1"/>
          <w:lang w:eastAsia="en-US"/>
        </w:rPr>
        <w:t xml:space="preserve"> was £</w:t>
      </w:r>
      <w:r w:rsidR="004B5A9C" w:rsidRPr="006C6551">
        <w:rPr>
          <w:rFonts w:ascii="Arial" w:eastAsia="Calibri" w:hAnsi="Arial" w:cs="Arial"/>
          <w:color w:val="000000" w:themeColor="text1"/>
          <w:lang w:eastAsia="en-US"/>
        </w:rPr>
        <w:t>4</w:t>
      </w:r>
      <w:r w:rsidR="00482CFC" w:rsidRPr="006C6551">
        <w:rPr>
          <w:rFonts w:ascii="Arial" w:eastAsia="Calibri" w:hAnsi="Arial" w:cs="Arial"/>
          <w:color w:val="000000" w:themeColor="text1"/>
          <w:lang w:eastAsia="en-US"/>
        </w:rPr>
        <w:t>9</w:t>
      </w:r>
      <w:r w:rsidR="008C5BBC" w:rsidRPr="006C6551">
        <w:rPr>
          <w:rFonts w:ascii="Arial" w:eastAsia="Calibri" w:hAnsi="Arial" w:cs="Arial"/>
          <w:color w:val="000000" w:themeColor="text1"/>
          <w:lang w:eastAsia="en-US"/>
        </w:rPr>
        <w:t>.</w:t>
      </w:r>
      <w:r w:rsidR="00512DBF">
        <w:rPr>
          <w:rFonts w:ascii="Arial" w:eastAsia="Calibri" w:hAnsi="Arial" w:cs="Arial"/>
          <w:color w:val="000000" w:themeColor="text1"/>
          <w:lang w:eastAsia="en-US"/>
        </w:rPr>
        <w:t>3</w:t>
      </w:r>
      <w:r w:rsidRPr="006C6551">
        <w:rPr>
          <w:rFonts w:ascii="Arial" w:eastAsia="Calibri" w:hAnsi="Arial" w:cs="Arial"/>
          <w:color w:val="000000" w:themeColor="text1"/>
          <w:lang w:eastAsia="en-US"/>
        </w:rPr>
        <w:t>m (</w:t>
      </w:r>
      <w:r w:rsidR="005E585D" w:rsidRPr="006C6551">
        <w:rPr>
          <w:rFonts w:ascii="Arial" w:eastAsia="Calibri" w:hAnsi="Arial" w:cs="Arial"/>
          <w:color w:val="000000" w:themeColor="text1"/>
          <w:lang w:eastAsia="en-US"/>
        </w:rPr>
        <w:t>20</w:t>
      </w:r>
      <w:r w:rsidR="00CA2D3B" w:rsidRPr="006C6551">
        <w:rPr>
          <w:rFonts w:ascii="Arial" w:eastAsia="Calibri" w:hAnsi="Arial" w:cs="Arial"/>
          <w:color w:val="000000" w:themeColor="text1"/>
          <w:lang w:eastAsia="en-US"/>
        </w:rPr>
        <w:t>20</w:t>
      </w:r>
      <w:r w:rsidR="005E585D" w:rsidRPr="006C6551">
        <w:rPr>
          <w:rFonts w:ascii="Arial" w:eastAsia="Calibri" w:hAnsi="Arial" w:cs="Arial"/>
          <w:color w:val="000000" w:themeColor="text1"/>
          <w:lang w:eastAsia="en-US"/>
        </w:rPr>
        <w:t>/2</w:t>
      </w:r>
      <w:r w:rsidR="00CA2D3B" w:rsidRPr="006C6551">
        <w:rPr>
          <w:rFonts w:ascii="Arial" w:eastAsia="Calibri" w:hAnsi="Arial" w:cs="Arial"/>
          <w:color w:val="000000" w:themeColor="text1"/>
          <w:lang w:eastAsia="en-US"/>
        </w:rPr>
        <w:t>1</w:t>
      </w:r>
      <w:r w:rsidRPr="006C6551">
        <w:rPr>
          <w:rFonts w:ascii="Arial" w:eastAsia="Calibri" w:hAnsi="Arial" w:cs="Arial"/>
          <w:color w:val="000000" w:themeColor="text1"/>
          <w:lang w:eastAsia="en-US"/>
        </w:rPr>
        <w:t>: £</w:t>
      </w:r>
      <w:r w:rsidR="00CA2D3B" w:rsidRPr="006C6551">
        <w:rPr>
          <w:rFonts w:ascii="Arial" w:eastAsia="Calibri" w:hAnsi="Arial" w:cs="Arial"/>
          <w:color w:val="000000" w:themeColor="text1"/>
          <w:lang w:eastAsia="en-US"/>
        </w:rPr>
        <w:t>42.5m</w:t>
      </w:r>
      <w:r w:rsidRPr="006C6551">
        <w:rPr>
          <w:rFonts w:ascii="Arial" w:eastAsia="Calibri" w:hAnsi="Arial" w:cs="Arial"/>
          <w:color w:val="000000" w:themeColor="text1"/>
          <w:lang w:eastAsia="en-US"/>
        </w:rPr>
        <w:t>). SEPA incurred £</w:t>
      </w:r>
      <w:r w:rsidR="008C5BBC" w:rsidRPr="006C6551">
        <w:rPr>
          <w:rFonts w:ascii="Arial" w:eastAsia="Calibri" w:hAnsi="Arial" w:cs="Arial"/>
          <w:color w:val="000000" w:themeColor="text1"/>
          <w:lang w:eastAsia="en-US"/>
        </w:rPr>
        <w:t>4</w:t>
      </w:r>
      <w:r w:rsidR="0052328A">
        <w:rPr>
          <w:rFonts w:ascii="Arial" w:eastAsia="Calibri" w:hAnsi="Arial" w:cs="Arial"/>
          <w:color w:val="000000" w:themeColor="text1"/>
          <w:lang w:eastAsia="en-US"/>
        </w:rPr>
        <w:t>2</w:t>
      </w:r>
      <w:r w:rsidR="00A534EB" w:rsidRPr="006C6551">
        <w:rPr>
          <w:rFonts w:ascii="Arial" w:eastAsia="Calibri" w:hAnsi="Arial" w:cs="Arial"/>
          <w:color w:val="000000" w:themeColor="text1"/>
          <w:lang w:eastAsia="en-US"/>
        </w:rPr>
        <w:t>.</w:t>
      </w:r>
      <w:r w:rsidR="0052328A">
        <w:rPr>
          <w:rFonts w:ascii="Arial" w:eastAsia="Calibri" w:hAnsi="Arial" w:cs="Arial"/>
          <w:color w:val="000000" w:themeColor="text1"/>
          <w:lang w:eastAsia="en-US"/>
        </w:rPr>
        <w:t>6</w:t>
      </w:r>
      <w:r w:rsidRPr="006C6551">
        <w:rPr>
          <w:rFonts w:ascii="Arial" w:eastAsia="Calibri" w:hAnsi="Arial" w:cs="Arial"/>
          <w:color w:val="000000" w:themeColor="text1"/>
          <w:lang w:eastAsia="en-US"/>
        </w:rPr>
        <w:t>m expenditure against</w:t>
      </w:r>
      <w:r w:rsidRPr="00A534EB">
        <w:rPr>
          <w:rFonts w:ascii="Arial" w:eastAsia="Calibri" w:hAnsi="Arial" w:cs="Arial"/>
          <w:color w:val="000000" w:themeColor="text1"/>
          <w:lang w:eastAsia="en-US"/>
        </w:rPr>
        <w:t xml:space="preserve"> this </w:t>
      </w:r>
      <w:r w:rsidRPr="006C6551">
        <w:rPr>
          <w:rFonts w:ascii="Arial" w:eastAsia="Calibri" w:hAnsi="Arial" w:cs="Arial"/>
          <w:color w:val="000000" w:themeColor="text1"/>
          <w:lang w:eastAsia="en-US"/>
        </w:rPr>
        <w:t>limit</w:t>
      </w:r>
      <w:r w:rsidR="00387495" w:rsidRPr="006C6551">
        <w:rPr>
          <w:rFonts w:ascii="Arial" w:eastAsia="Calibri" w:hAnsi="Arial" w:cs="Arial"/>
          <w:color w:val="000000" w:themeColor="text1"/>
          <w:lang w:eastAsia="en-US"/>
        </w:rPr>
        <w:t xml:space="preserve">, an underspend of </w:t>
      </w:r>
      <w:r w:rsidR="008C5BBC" w:rsidRPr="006C6551">
        <w:rPr>
          <w:rFonts w:ascii="Arial" w:eastAsia="Calibri" w:hAnsi="Arial" w:cs="Arial"/>
          <w:color w:val="000000" w:themeColor="text1"/>
          <w:lang w:eastAsia="en-US"/>
        </w:rPr>
        <w:t>£</w:t>
      </w:r>
      <w:r w:rsidR="0052328A">
        <w:rPr>
          <w:rFonts w:ascii="Arial" w:eastAsia="Calibri" w:hAnsi="Arial" w:cs="Arial"/>
          <w:color w:val="000000" w:themeColor="text1"/>
          <w:lang w:eastAsia="en-US"/>
        </w:rPr>
        <w:t>6</w:t>
      </w:r>
      <w:r w:rsidR="008C5BBC" w:rsidRPr="006C6551">
        <w:rPr>
          <w:rFonts w:ascii="Arial" w:eastAsia="Calibri" w:hAnsi="Arial" w:cs="Arial"/>
          <w:color w:val="000000" w:themeColor="text1"/>
          <w:lang w:eastAsia="en-US"/>
        </w:rPr>
        <w:t>.</w:t>
      </w:r>
      <w:r w:rsidR="006B6EB6">
        <w:rPr>
          <w:rFonts w:ascii="Arial" w:eastAsia="Calibri" w:hAnsi="Arial" w:cs="Arial"/>
          <w:color w:val="000000" w:themeColor="text1"/>
          <w:lang w:eastAsia="en-US"/>
        </w:rPr>
        <w:t>7</w:t>
      </w:r>
      <w:r w:rsidR="008C5BBC" w:rsidRPr="006C6551">
        <w:rPr>
          <w:rFonts w:ascii="Arial" w:eastAsia="Calibri" w:hAnsi="Arial" w:cs="Arial"/>
          <w:color w:val="000000" w:themeColor="text1"/>
          <w:lang w:eastAsia="en-US"/>
        </w:rPr>
        <w:t>m</w:t>
      </w:r>
      <w:r w:rsidRPr="006C6551">
        <w:rPr>
          <w:rFonts w:ascii="Arial" w:eastAsia="Calibri" w:hAnsi="Arial" w:cs="Arial"/>
          <w:color w:val="000000" w:themeColor="text1"/>
          <w:lang w:eastAsia="en-US"/>
        </w:rPr>
        <w:t>.</w:t>
      </w:r>
    </w:p>
    <w:p w14:paraId="22B48FAD" w14:textId="77777777" w:rsidR="00E26D69" w:rsidRPr="00A534EB" w:rsidRDefault="00E26D69" w:rsidP="00B707F0">
      <w:pPr>
        <w:spacing w:line="360" w:lineRule="auto"/>
        <w:ind w:right="142"/>
        <w:rPr>
          <w:rFonts w:ascii="Arial" w:eastAsia="Calibri" w:hAnsi="Arial" w:cs="Arial"/>
          <w:color w:val="000000" w:themeColor="text1"/>
          <w:lang w:eastAsia="en-US"/>
        </w:rPr>
      </w:pPr>
    </w:p>
    <w:p w14:paraId="03F8ADA1" w14:textId="0501D069" w:rsidR="00E26D69" w:rsidRPr="00A534EB" w:rsidRDefault="00E26D69" w:rsidP="00B707F0">
      <w:pPr>
        <w:spacing w:line="360" w:lineRule="auto"/>
        <w:ind w:right="142"/>
        <w:rPr>
          <w:rFonts w:ascii="Arial" w:eastAsia="Calibri" w:hAnsi="Arial" w:cs="Arial"/>
          <w:color w:val="000000" w:themeColor="text1"/>
          <w:lang w:eastAsia="en-US"/>
        </w:rPr>
      </w:pPr>
      <w:r w:rsidRPr="00A534EB">
        <w:rPr>
          <w:rFonts w:ascii="Arial" w:eastAsia="Calibri" w:hAnsi="Arial" w:cs="Arial"/>
          <w:color w:val="000000" w:themeColor="text1"/>
          <w:lang w:eastAsia="en-US"/>
        </w:rPr>
        <w:t xml:space="preserve">SEPA also has an allocated Annually Managed Expenditure (AME) budget limit of </w:t>
      </w:r>
      <w:r w:rsidRPr="00A55014">
        <w:rPr>
          <w:rFonts w:ascii="Arial" w:eastAsia="Calibri" w:hAnsi="Arial" w:cs="Arial"/>
          <w:color w:val="000000" w:themeColor="text1"/>
          <w:lang w:eastAsia="en-US"/>
        </w:rPr>
        <w:t>£</w:t>
      </w:r>
      <w:r w:rsidR="00A55014" w:rsidRPr="00A55014">
        <w:rPr>
          <w:rFonts w:ascii="Arial" w:eastAsia="Calibri" w:hAnsi="Arial" w:cs="Arial"/>
          <w:color w:val="000000" w:themeColor="text1"/>
          <w:lang w:eastAsia="en-US"/>
        </w:rPr>
        <w:t>10</w:t>
      </w:r>
      <w:r w:rsidR="00A534EB" w:rsidRPr="00A55014">
        <w:rPr>
          <w:rFonts w:ascii="Arial" w:eastAsia="Calibri" w:hAnsi="Arial" w:cs="Arial"/>
          <w:color w:val="000000" w:themeColor="text1"/>
          <w:lang w:eastAsia="en-US"/>
        </w:rPr>
        <w:t>.</w:t>
      </w:r>
      <w:r w:rsidR="005A7469">
        <w:rPr>
          <w:rFonts w:ascii="Arial" w:eastAsia="Calibri" w:hAnsi="Arial" w:cs="Arial"/>
          <w:color w:val="000000" w:themeColor="text1"/>
          <w:lang w:eastAsia="en-US"/>
        </w:rPr>
        <w:t>4</w:t>
      </w:r>
      <w:r w:rsidRPr="00A55014">
        <w:rPr>
          <w:rFonts w:ascii="Arial" w:eastAsia="Calibri" w:hAnsi="Arial" w:cs="Arial"/>
          <w:color w:val="000000" w:themeColor="text1"/>
          <w:lang w:eastAsia="en-US"/>
        </w:rPr>
        <w:t>m for</w:t>
      </w:r>
      <w:r w:rsidRPr="00A534EB">
        <w:rPr>
          <w:rFonts w:ascii="Arial" w:eastAsia="Calibri" w:hAnsi="Arial" w:cs="Arial"/>
          <w:color w:val="000000" w:themeColor="text1"/>
          <w:lang w:eastAsia="en-US"/>
        </w:rPr>
        <w:t xml:space="preserve"> </w:t>
      </w:r>
      <w:r w:rsidR="005E585D" w:rsidRPr="00A534EB">
        <w:rPr>
          <w:rFonts w:ascii="Arial" w:eastAsia="Calibri" w:hAnsi="Arial" w:cs="Arial"/>
          <w:color w:val="000000" w:themeColor="text1"/>
          <w:lang w:eastAsia="en-US"/>
        </w:rPr>
        <w:t>202</w:t>
      </w:r>
      <w:r w:rsidR="0052269E">
        <w:rPr>
          <w:rFonts w:ascii="Arial" w:eastAsia="Calibri" w:hAnsi="Arial" w:cs="Arial"/>
          <w:color w:val="000000" w:themeColor="text1"/>
          <w:lang w:eastAsia="en-US"/>
        </w:rPr>
        <w:t>1</w:t>
      </w:r>
      <w:r w:rsidR="005E585D" w:rsidRPr="00A534EB">
        <w:rPr>
          <w:rFonts w:ascii="Arial" w:eastAsia="Calibri" w:hAnsi="Arial" w:cs="Arial"/>
          <w:color w:val="000000" w:themeColor="text1"/>
          <w:lang w:eastAsia="en-US"/>
        </w:rPr>
        <w:t>/2</w:t>
      </w:r>
      <w:r w:rsidR="0052269E">
        <w:rPr>
          <w:rFonts w:ascii="Arial" w:eastAsia="Calibri" w:hAnsi="Arial" w:cs="Arial"/>
          <w:color w:val="000000" w:themeColor="text1"/>
          <w:lang w:eastAsia="en-US"/>
        </w:rPr>
        <w:t>2</w:t>
      </w:r>
      <w:r w:rsidRPr="00A534EB">
        <w:rPr>
          <w:rFonts w:ascii="Arial" w:eastAsia="Calibri" w:hAnsi="Arial" w:cs="Arial"/>
          <w:color w:val="000000" w:themeColor="text1"/>
          <w:lang w:eastAsia="en-US"/>
        </w:rPr>
        <w:t xml:space="preserve"> (</w:t>
      </w:r>
      <w:r w:rsidR="005E585D" w:rsidRPr="00A534EB">
        <w:rPr>
          <w:rFonts w:ascii="Arial" w:eastAsia="Calibri" w:hAnsi="Arial" w:cs="Arial"/>
          <w:color w:val="000000" w:themeColor="text1"/>
          <w:lang w:eastAsia="en-US"/>
        </w:rPr>
        <w:t>20</w:t>
      </w:r>
      <w:r w:rsidR="0052269E">
        <w:rPr>
          <w:rFonts w:ascii="Arial" w:eastAsia="Calibri" w:hAnsi="Arial" w:cs="Arial"/>
          <w:color w:val="000000" w:themeColor="text1"/>
          <w:lang w:eastAsia="en-US"/>
        </w:rPr>
        <w:t>20</w:t>
      </w:r>
      <w:r w:rsidR="005E585D" w:rsidRPr="00A534EB">
        <w:rPr>
          <w:rFonts w:ascii="Arial" w:eastAsia="Calibri" w:hAnsi="Arial" w:cs="Arial"/>
          <w:color w:val="000000" w:themeColor="text1"/>
          <w:lang w:eastAsia="en-US"/>
        </w:rPr>
        <w:t>/2</w:t>
      </w:r>
      <w:r w:rsidR="0052269E">
        <w:rPr>
          <w:rFonts w:ascii="Arial" w:eastAsia="Calibri" w:hAnsi="Arial" w:cs="Arial"/>
          <w:color w:val="000000" w:themeColor="text1"/>
          <w:lang w:eastAsia="en-US"/>
        </w:rPr>
        <w:t>1</w:t>
      </w:r>
      <w:r w:rsidRPr="00A534EB">
        <w:rPr>
          <w:rFonts w:ascii="Arial" w:eastAsia="Calibri" w:hAnsi="Arial" w:cs="Arial"/>
          <w:color w:val="000000" w:themeColor="text1"/>
          <w:lang w:eastAsia="en-US"/>
        </w:rPr>
        <w:t>: £</w:t>
      </w:r>
      <w:r w:rsidR="00CA2D3B">
        <w:rPr>
          <w:rFonts w:ascii="Arial" w:eastAsia="Calibri" w:hAnsi="Arial" w:cs="Arial"/>
          <w:color w:val="000000" w:themeColor="text1"/>
          <w:lang w:eastAsia="en-US"/>
        </w:rPr>
        <w:t>1</w:t>
      </w:r>
      <w:r w:rsidR="0052269E">
        <w:rPr>
          <w:rFonts w:ascii="Arial" w:eastAsia="Calibri" w:hAnsi="Arial" w:cs="Arial"/>
          <w:color w:val="000000" w:themeColor="text1"/>
          <w:lang w:eastAsia="en-US"/>
        </w:rPr>
        <w:t>3.0m</w:t>
      </w:r>
      <w:r w:rsidRPr="00A534EB">
        <w:rPr>
          <w:rFonts w:ascii="Arial" w:eastAsia="Calibri" w:hAnsi="Arial" w:cs="Arial"/>
          <w:color w:val="000000" w:themeColor="text1"/>
          <w:lang w:eastAsia="en-US"/>
        </w:rPr>
        <w:t>)</w:t>
      </w:r>
      <w:r w:rsidR="00A14274" w:rsidRPr="00A534EB">
        <w:rPr>
          <w:rFonts w:ascii="Arial" w:eastAsia="Calibri" w:hAnsi="Arial" w:cs="Arial"/>
          <w:color w:val="000000" w:themeColor="text1"/>
          <w:lang w:eastAsia="en-US"/>
        </w:rPr>
        <w:t xml:space="preserve"> (</w:t>
      </w:r>
      <w:hyperlink w:anchor="Note22AME" w:history="1">
        <w:r w:rsidR="00A14274" w:rsidRPr="009F7877">
          <w:rPr>
            <w:rStyle w:val="Hyperlink"/>
            <w:rFonts w:ascii="Arial" w:eastAsia="Calibri" w:hAnsi="Arial" w:cs="Arial"/>
            <w:lang w:eastAsia="en-US"/>
          </w:rPr>
          <w:t>note 2</w:t>
        </w:r>
        <w:r w:rsidR="00007C2E" w:rsidRPr="009F7877">
          <w:rPr>
            <w:rStyle w:val="Hyperlink"/>
            <w:rFonts w:ascii="Arial" w:eastAsia="Calibri" w:hAnsi="Arial" w:cs="Arial"/>
            <w:lang w:eastAsia="en-US"/>
          </w:rPr>
          <w:t>2</w:t>
        </w:r>
      </w:hyperlink>
      <w:r w:rsidR="00A14274" w:rsidRPr="00A534EB">
        <w:rPr>
          <w:rFonts w:ascii="Arial" w:eastAsia="Calibri" w:hAnsi="Arial" w:cs="Arial"/>
          <w:color w:val="000000" w:themeColor="text1"/>
          <w:lang w:eastAsia="en-US"/>
        </w:rPr>
        <w:t>)</w:t>
      </w:r>
      <w:r w:rsidRPr="00A534EB">
        <w:rPr>
          <w:rFonts w:ascii="Arial" w:eastAsia="Calibri" w:hAnsi="Arial" w:cs="Arial"/>
          <w:color w:val="000000" w:themeColor="text1"/>
          <w:lang w:eastAsia="en-US"/>
        </w:rPr>
        <w:t xml:space="preserve">. The actual IAS 19 pension adjustments, provisions movements, and market value </w:t>
      </w:r>
      <w:r w:rsidR="0084106C" w:rsidRPr="00A534EB">
        <w:rPr>
          <w:rFonts w:ascii="Arial" w:eastAsia="Calibri" w:hAnsi="Arial" w:cs="Arial"/>
          <w:color w:val="000000" w:themeColor="text1"/>
          <w:lang w:eastAsia="en-US"/>
        </w:rPr>
        <w:t>movement</w:t>
      </w:r>
      <w:r w:rsidRPr="00A534EB">
        <w:rPr>
          <w:rFonts w:ascii="Arial" w:eastAsia="Calibri" w:hAnsi="Arial" w:cs="Arial"/>
          <w:color w:val="000000" w:themeColor="text1"/>
          <w:lang w:eastAsia="en-US"/>
        </w:rPr>
        <w:t xml:space="preserve">s for fixed assets in year amounted </w:t>
      </w:r>
      <w:r w:rsidRPr="00FF1209">
        <w:rPr>
          <w:rFonts w:ascii="Arial" w:eastAsia="Calibri" w:hAnsi="Arial" w:cs="Arial"/>
          <w:color w:val="000000" w:themeColor="text1"/>
          <w:lang w:eastAsia="en-US"/>
        </w:rPr>
        <w:t>to £</w:t>
      </w:r>
      <w:r w:rsidR="00FF1209" w:rsidRPr="00FF1209">
        <w:rPr>
          <w:rFonts w:ascii="Arial" w:eastAsia="Calibri" w:hAnsi="Arial" w:cs="Arial"/>
          <w:color w:val="000000" w:themeColor="text1"/>
          <w:lang w:eastAsia="en-US"/>
        </w:rPr>
        <w:t>20.</w:t>
      </w:r>
      <w:r w:rsidR="00FB327C">
        <w:rPr>
          <w:rFonts w:ascii="Arial" w:eastAsia="Calibri" w:hAnsi="Arial" w:cs="Arial"/>
          <w:color w:val="000000" w:themeColor="text1"/>
          <w:lang w:eastAsia="en-US"/>
        </w:rPr>
        <w:t>2</w:t>
      </w:r>
      <w:r w:rsidRPr="00FF1209">
        <w:rPr>
          <w:rFonts w:ascii="Arial" w:eastAsia="Calibri" w:hAnsi="Arial" w:cs="Arial"/>
          <w:color w:val="000000" w:themeColor="text1"/>
          <w:lang w:eastAsia="en-US"/>
        </w:rPr>
        <w:t>m (</w:t>
      </w:r>
      <w:hyperlink w:anchor="Note22AME" w:history="1">
        <w:r w:rsidRPr="009F7877">
          <w:rPr>
            <w:rStyle w:val="Hyperlink"/>
            <w:rFonts w:ascii="Arial" w:eastAsia="Calibri" w:hAnsi="Arial" w:cs="Arial"/>
            <w:lang w:eastAsia="en-US"/>
          </w:rPr>
          <w:t xml:space="preserve">note </w:t>
        </w:r>
        <w:r w:rsidR="00B833C1" w:rsidRPr="009F7877">
          <w:rPr>
            <w:rStyle w:val="Hyperlink"/>
            <w:rFonts w:ascii="Arial" w:eastAsia="Calibri" w:hAnsi="Arial" w:cs="Arial"/>
            <w:lang w:eastAsia="en-US"/>
          </w:rPr>
          <w:t>2</w:t>
        </w:r>
        <w:r w:rsidR="0018797A" w:rsidRPr="009F7877">
          <w:rPr>
            <w:rStyle w:val="Hyperlink"/>
            <w:rFonts w:ascii="Arial" w:eastAsia="Calibri" w:hAnsi="Arial" w:cs="Arial"/>
            <w:lang w:eastAsia="en-US"/>
          </w:rPr>
          <w:t>2</w:t>
        </w:r>
      </w:hyperlink>
      <w:r w:rsidRPr="00A534EB">
        <w:rPr>
          <w:rFonts w:ascii="Arial" w:eastAsia="Calibri" w:hAnsi="Arial" w:cs="Arial"/>
          <w:color w:val="000000" w:themeColor="text1"/>
          <w:lang w:eastAsia="en-US"/>
        </w:rPr>
        <w:t>)</w:t>
      </w:r>
      <w:r w:rsidR="0084106C" w:rsidRPr="00A534EB">
        <w:rPr>
          <w:rFonts w:ascii="Arial" w:eastAsia="Calibri" w:hAnsi="Arial" w:cs="Arial"/>
          <w:color w:val="000000" w:themeColor="text1"/>
          <w:lang w:eastAsia="en-US"/>
        </w:rPr>
        <w:t xml:space="preserve">, </w:t>
      </w:r>
      <w:r w:rsidR="009F7877">
        <w:rPr>
          <w:rFonts w:ascii="Arial" w:eastAsia="Calibri" w:hAnsi="Arial" w:cs="Arial"/>
          <w:color w:val="000000" w:themeColor="text1"/>
          <w:lang w:eastAsia="en-US"/>
        </w:rPr>
        <w:t xml:space="preserve">producing </w:t>
      </w:r>
      <w:r w:rsidR="0084106C" w:rsidRPr="00A534EB">
        <w:rPr>
          <w:rFonts w:ascii="Arial" w:eastAsia="Calibri" w:hAnsi="Arial" w:cs="Arial"/>
          <w:color w:val="000000" w:themeColor="text1"/>
          <w:lang w:eastAsia="en-US"/>
        </w:rPr>
        <w:t xml:space="preserve">an </w:t>
      </w:r>
      <w:r w:rsidR="00FF1209">
        <w:rPr>
          <w:rFonts w:ascii="Arial" w:eastAsia="Calibri" w:hAnsi="Arial" w:cs="Arial"/>
          <w:color w:val="000000" w:themeColor="text1"/>
          <w:lang w:eastAsia="en-US"/>
        </w:rPr>
        <w:t>overspend</w:t>
      </w:r>
      <w:r w:rsidR="0084106C" w:rsidRPr="00A534EB">
        <w:rPr>
          <w:rFonts w:ascii="Arial" w:eastAsia="Calibri" w:hAnsi="Arial" w:cs="Arial"/>
          <w:color w:val="000000" w:themeColor="text1"/>
          <w:lang w:eastAsia="en-US"/>
        </w:rPr>
        <w:t xml:space="preserve"> </w:t>
      </w:r>
      <w:r w:rsidR="0084106C" w:rsidRPr="00FF65B7">
        <w:rPr>
          <w:rFonts w:ascii="Arial" w:eastAsia="Calibri" w:hAnsi="Arial" w:cs="Arial"/>
          <w:color w:val="000000" w:themeColor="text1"/>
          <w:lang w:eastAsia="en-US"/>
        </w:rPr>
        <w:t xml:space="preserve">of </w:t>
      </w:r>
      <w:r w:rsidR="00EF78B1" w:rsidRPr="00FF65B7">
        <w:rPr>
          <w:rFonts w:ascii="Arial" w:eastAsia="Calibri" w:hAnsi="Arial" w:cs="Arial"/>
          <w:color w:val="000000" w:themeColor="text1"/>
          <w:lang w:eastAsia="en-US"/>
        </w:rPr>
        <w:t>£</w:t>
      </w:r>
      <w:r w:rsidR="009E2594">
        <w:rPr>
          <w:rFonts w:ascii="Arial" w:eastAsia="Calibri" w:hAnsi="Arial" w:cs="Arial"/>
          <w:color w:val="000000" w:themeColor="text1"/>
          <w:lang w:eastAsia="en-US"/>
        </w:rPr>
        <w:t>9</w:t>
      </w:r>
      <w:r w:rsidR="00EF78B1" w:rsidRPr="00FF65B7">
        <w:rPr>
          <w:rFonts w:ascii="Arial" w:eastAsia="Calibri" w:hAnsi="Arial" w:cs="Arial"/>
          <w:color w:val="000000" w:themeColor="text1"/>
          <w:lang w:eastAsia="en-US"/>
        </w:rPr>
        <w:t>.</w:t>
      </w:r>
      <w:r w:rsidR="009E2594">
        <w:rPr>
          <w:rFonts w:ascii="Arial" w:eastAsia="Calibri" w:hAnsi="Arial" w:cs="Arial"/>
          <w:color w:val="000000" w:themeColor="text1"/>
          <w:lang w:eastAsia="en-US"/>
        </w:rPr>
        <w:t>8</w:t>
      </w:r>
      <w:r w:rsidR="00EF78B1" w:rsidRPr="00FF65B7">
        <w:rPr>
          <w:rFonts w:ascii="Arial" w:eastAsia="Calibri" w:hAnsi="Arial" w:cs="Arial"/>
          <w:color w:val="000000" w:themeColor="text1"/>
          <w:lang w:eastAsia="en-US"/>
        </w:rPr>
        <w:t>m</w:t>
      </w:r>
      <w:r w:rsidRPr="00FF65B7">
        <w:rPr>
          <w:rFonts w:ascii="Arial" w:eastAsia="Calibri" w:hAnsi="Arial" w:cs="Arial"/>
          <w:color w:val="000000" w:themeColor="text1"/>
          <w:lang w:eastAsia="en-US"/>
        </w:rPr>
        <w:t>.</w:t>
      </w:r>
    </w:p>
    <w:p w14:paraId="76299B6E" w14:textId="77777777" w:rsidR="00E26D69" w:rsidRPr="00A534EB" w:rsidRDefault="00E26D69" w:rsidP="00B707F0">
      <w:pPr>
        <w:spacing w:line="360" w:lineRule="auto"/>
        <w:ind w:right="142"/>
        <w:rPr>
          <w:rFonts w:ascii="Arial" w:eastAsia="Calibri" w:hAnsi="Arial" w:cs="Arial"/>
          <w:color w:val="000000" w:themeColor="text1"/>
          <w:lang w:eastAsia="en-US"/>
        </w:rPr>
      </w:pPr>
    </w:p>
    <w:p w14:paraId="353CAFAA" w14:textId="1B9F0185" w:rsidR="00E26D69" w:rsidRPr="00E26D69" w:rsidRDefault="00E26D69" w:rsidP="00B707F0">
      <w:pPr>
        <w:spacing w:line="360" w:lineRule="auto"/>
        <w:ind w:right="142"/>
        <w:rPr>
          <w:rFonts w:ascii="Arial" w:eastAsia="Calibri" w:hAnsi="Arial" w:cs="Arial"/>
          <w:color w:val="000000" w:themeColor="text1"/>
          <w:lang w:eastAsia="en-US"/>
        </w:rPr>
      </w:pPr>
      <w:r w:rsidRPr="00A534EB">
        <w:rPr>
          <w:rFonts w:ascii="Arial" w:eastAsia="Calibri" w:hAnsi="Arial" w:cs="Arial"/>
          <w:color w:val="000000" w:themeColor="text1"/>
          <w:lang w:eastAsia="en-US"/>
        </w:rPr>
        <w:t xml:space="preserve">The table below provides a summary of the outturn for </w:t>
      </w:r>
      <w:r w:rsidR="005E585D" w:rsidRPr="00A534EB">
        <w:rPr>
          <w:rFonts w:ascii="Arial" w:eastAsia="Calibri" w:hAnsi="Arial" w:cs="Arial"/>
          <w:color w:val="000000" w:themeColor="text1"/>
          <w:lang w:eastAsia="en-US"/>
        </w:rPr>
        <w:t>202</w:t>
      </w:r>
      <w:r w:rsidR="00FA1933">
        <w:rPr>
          <w:rFonts w:ascii="Arial" w:eastAsia="Calibri" w:hAnsi="Arial" w:cs="Arial"/>
          <w:color w:val="000000" w:themeColor="text1"/>
          <w:lang w:eastAsia="en-US"/>
        </w:rPr>
        <w:t>1</w:t>
      </w:r>
      <w:r w:rsidR="005E585D" w:rsidRPr="00A534EB">
        <w:rPr>
          <w:rFonts w:ascii="Arial" w:eastAsia="Calibri" w:hAnsi="Arial" w:cs="Arial"/>
          <w:color w:val="000000" w:themeColor="text1"/>
          <w:lang w:eastAsia="en-US"/>
        </w:rPr>
        <w:t>/2</w:t>
      </w:r>
      <w:r w:rsidR="00FA1933">
        <w:rPr>
          <w:rFonts w:ascii="Arial" w:eastAsia="Calibri" w:hAnsi="Arial" w:cs="Arial"/>
          <w:color w:val="000000" w:themeColor="text1"/>
          <w:lang w:eastAsia="en-US"/>
        </w:rPr>
        <w:t>2</w:t>
      </w:r>
      <w:r w:rsidRPr="00A534EB">
        <w:rPr>
          <w:rFonts w:ascii="Arial" w:eastAsia="Calibri" w:hAnsi="Arial" w:cs="Arial"/>
          <w:color w:val="000000" w:themeColor="text1"/>
          <w:lang w:eastAsia="en-US"/>
        </w:rPr>
        <w:t xml:space="preserve"> against the Scottish Government targets for the year.</w:t>
      </w:r>
    </w:p>
    <w:p w14:paraId="742BEB64" w14:textId="77777777" w:rsidR="00E26D69" w:rsidRPr="00E26D69" w:rsidRDefault="00E26D69" w:rsidP="00E26D69">
      <w:pPr>
        <w:spacing w:line="360" w:lineRule="auto"/>
        <w:rPr>
          <w:rFonts w:ascii="Arial" w:hAnsi="Arial" w:cs="Arial"/>
          <w:b/>
        </w:rPr>
      </w:pPr>
      <w:r w:rsidRPr="00E26D69">
        <w:rPr>
          <w:rFonts w:ascii="Arial" w:hAnsi="Arial" w:cs="Arial"/>
          <w:b/>
        </w:rPr>
        <w:t xml:space="preserve"> </w:t>
      </w:r>
    </w:p>
    <w:p w14:paraId="2F7BC218" w14:textId="481EC89F" w:rsidR="00493B3C" w:rsidRPr="00152877" w:rsidRDefault="00493B3C" w:rsidP="00493B3C">
      <w:pPr>
        <w:pStyle w:val="Caption"/>
        <w:keepNext/>
        <w:rPr>
          <w:rFonts w:ascii="Arial" w:hAnsi="Arial" w:cs="Arial"/>
          <w:color w:val="000000" w:themeColor="text1"/>
          <w:sz w:val="24"/>
          <w:szCs w:val="24"/>
        </w:rPr>
      </w:pPr>
      <w:r w:rsidRPr="00152877">
        <w:rPr>
          <w:rFonts w:ascii="Arial" w:hAnsi="Arial" w:cs="Arial"/>
          <w:color w:val="000000" w:themeColor="text1"/>
          <w:sz w:val="24"/>
          <w:szCs w:val="24"/>
        </w:rPr>
        <w:t xml:space="preserve">Summary of the outturn against the Scottish Government targets </w:t>
      </w:r>
      <w:r w:rsidR="00152877" w:rsidRPr="00152877">
        <w:rPr>
          <w:rFonts w:ascii="Arial" w:hAnsi="Arial" w:cs="Arial"/>
          <w:color w:val="000000" w:themeColor="text1"/>
          <w:sz w:val="24"/>
          <w:szCs w:val="24"/>
        </w:rPr>
        <w:t>202</w:t>
      </w:r>
      <w:r w:rsidR="00AB41F3">
        <w:rPr>
          <w:rFonts w:ascii="Arial" w:hAnsi="Arial" w:cs="Arial"/>
          <w:color w:val="000000" w:themeColor="text1"/>
          <w:sz w:val="24"/>
          <w:szCs w:val="24"/>
        </w:rPr>
        <w:t>1</w:t>
      </w:r>
      <w:r w:rsidR="00152877" w:rsidRPr="00152877">
        <w:rPr>
          <w:rFonts w:ascii="Arial" w:hAnsi="Arial" w:cs="Arial"/>
          <w:color w:val="000000" w:themeColor="text1"/>
          <w:sz w:val="24"/>
          <w:szCs w:val="24"/>
        </w:rPr>
        <w:t>/2</w:t>
      </w:r>
      <w:r w:rsidR="00AB41F3">
        <w:rPr>
          <w:rFonts w:ascii="Arial" w:hAnsi="Arial" w:cs="Arial"/>
          <w:color w:val="000000" w:themeColor="text1"/>
          <w:sz w:val="24"/>
          <w:szCs w:val="24"/>
        </w:rPr>
        <w:t>2</w:t>
      </w:r>
    </w:p>
    <w:tbl>
      <w:tblPr>
        <w:tblW w:w="10494" w:type="dxa"/>
        <w:tblInd w:w="-10" w:type="dxa"/>
        <w:tblLook w:val="04A0" w:firstRow="1" w:lastRow="0" w:firstColumn="1" w:lastColumn="0" w:noHBand="0" w:noVBand="1"/>
      </w:tblPr>
      <w:tblGrid>
        <w:gridCol w:w="4696"/>
        <w:gridCol w:w="1603"/>
        <w:gridCol w:w="1128"/>
        <w:gridCol w:w="1801"/>
        <w:gridCol w:w="1266"/>
      </w:tblGrid>
      <w:tr w:rsidR="00722032" w:rsidRPr="00E26D69" w14:paraId="1E55CC02" w14:textId="77777777" w:rsidTr="64AA5CCB">
        <w:trPr>
          <w:trHeight w:val="397"/>
        </w:trPr>
        <w:tc>
          <w:tcPr>
            <w:tcW w:w="4696" w:type="dxa"/>
            <w:vMerge w:val="restart"/>
            <w:shd w:val="clear" w:color="auto" w:fill="FFFFFF" w:themeFill="background1"/>
            <w:vAlign w:val="center"/>
            <w:hideMark/>
          </w:tcPr>
          <w:p w14:paraId="53F244FA" w14:textId="77777777" w:rsidR="00E26D69" w:rsidRPr="00E26D69" w:rsidRDefault="00E26D69" w:rsidP="00F1216E">
            <w:pPr>
              <w:jc w:val="right"/>
              <w:rPr>
                <w:rFonts w:ascii="Arial" w:hAnsi="Arial" w:cs="Arial"/>
                <w:color w:val="000000"/>
              </w:rPr>
            </w:pPr>
            <w:r w:rsidRPr="00E26D69">
              <w:rPr>
                <w:rFonts w:ascii="Arial" w:hAnsi="Arial" w:cs="Arial"/>
                <w:color w:val="000000"/>
              </w:rPr>
              <w:t> </w:t>
            </w:r>
          </w:p>
        </w:tc>
        <w:tc>
          <w:tcPr>
            <w:tcW w:w="4532" w:type="dxa"/>
            <w:gridSpan w:val="3"/>
            <w:shd w:val="clear" w:color="auto" w:fill="EAF1DD" w:themeFill="accent3" w:themeFillTint="33"/>
            <w:vAlign w:val="center"/>
            <w:hideMark/>
          </w:tcPr>
          <w:p w14:paraId="104D0929" w14:textId="5E51346C" w:rsidR="00E26D69" w:rsidRPr="00E26D69" w:rsidRDefault="009F7877" w:rsidP="00F1216E">
            <w:pPr>
              <w:jc w:val="center"/>
              <w:rPr>
                <w:rFonts w:ascii="Arial" w:hAnsi="Arial" w:cs="Arial"/>
                <w:b/>
                <w:bCs/>
                <w:color w:val="000000"/>
              </w:rPr>
            </w:pPr>
            <w:r>
              <w:rPr>
                <w:rFonts w:ascii="Arial" w:hAnsi="Arial" w:cs="Arial"/>
                <w:b/>
                <w:bCs/>
                <w:color w:val="000000"/>
              </w:rPr>
              <w:t>Year to 31 March 2022</w:t>
            </w:r>
          </w:p>
        </w:tc>
        <w:tc>
          <w:tcPr>
            <w:tcW w:w="1266" w:type="dxa"/>
            <w:vMerge w:val="restart"/>
            <w:shd w:val="clear" w:color="auto" w:fill="FFFFFF" w:themeFill="background1"/>
            <w:vAlign w:val="center"/>
            <w:hideMark/>
          </w:tcPr>
          <w:p w14:paraId="7665114E" w14:textId="7B214F2F" w:rsidR="00E26D69" w:rsidRPr="00E26D69" w:rsidRDefault="00E26D69" w:rsidP="00F1216E">
            <w:pPr>
              <w:jc w:val="center"/>
              <w:rPr>
                <w:rFonts w:ascii="Arial" w:hAnsi="Arial" w:cs="Arial"/>
                <w:b/>
                <w:bCs/>
                <w:color w:val="000000"/>
              </w:rPr>
            </w:pPr>
            <w:r w:rsidRPr="00E26D69">
              <w:rPr>
                <w:rFonts w:ascii="Arial" w:hAnsi="Arial" w:cs="Arial"/>
                <w:b/>
                <w:bCs/>
                <w:color w:val="000000"/>
              </w:rPr>
              <w:t>Year to 31 March 20</w:t>
            </w:r>
            <w:r w:rsidR="00B24C0F">
              <w:rPr>
                <w:rFonts w:ascii="Arial" w:hAnsi="Arial" w:cs="Arial"/>
                <w:b/>
                <w:bCs/>
                <w:color w:val="000000"/>
              </w:rPr>
              <w:t>2</w:t>
            </w:r>
            <w:r w:rsidR="00FA1933">
              <w:rPr>
                <w:rFonts w:ascii="Arial" w:hAnsi="Arial" w:cs="Arial"/>
                <w:b/>
                <w:bCs/>
                <w:color w:val="000000"/>
              </w:rPr>
              <w:t>1</w:t>
            </w:r>
          </w:p>
        </w:tc>
      </w:tr>
      <w:tr w:rsidR="003C3E9C" w:rsidRPr="00E26D69" w14:paraId="4B182638" w14:textId="77777777" w:rsidTr="64AA5CCB">
        <w:trPr>
          <w:trHeight w:val="397"/>
        </w:trPr>
        <w:tc>
          <w:tcPr>
            <w:tcW w:w="4696" w:type="dxa"/>
            <w:vMerge/>
            <w:vAlign w:val="center"/>
            <w:hideMark/>
          </w:tcPr>
          <w:p w14:paraId="5C802724" w14:textId="77777777" w:rsidR="00E26D69" w:rsidRPr="00E26D69" w:rsidRDefault="00E26D69" w:rsidP="00F1216E">
            <w:pPr>
              <w:rPr>
                <w:rFonts w:ascii="Arial" w:hAnsi="Arial" w:cs="Arial"/>
                <w:color w:val="000000"/>
              </w:rPr>
            </w:pPr>
          </w:p>
        </w:tc>
        <w:tc>
          <w:tcPr>
            <w:tcW w:w="4532" w:type="dxa"/>
            <w:gridSpan w:val="3"/>
            <w:shd w:val="clear" w:color="auto" w:fill="EAF1DD" w:themeFill="accent3" w:themeFillTint="33"/>
            <w:vAlign w:val="center"/>
            <w:hideMark/>
          </w:tcPr>
          <w:p w14:paraId="3B6A75AE" w14:textId="242C9B5E" w:rsidR="00E26D69" w:rsidRPr="00E26D69" w:rsidRDefault="00E26D69" w:rsidP="00F1216E">
            <w:pPr>
              <w:jc w:val="center"/>
              <w:rPr>
                <w:rFonts w:ascii="Arial" w:hAnsi="Arial" w:cs="Arial"/>
                <w:b/>
                <w:bCs/>
                <w:color w:val="000000"/>
              </w:rPr>
            </w:pPr>
          </w:p>
        </w:tc>
        <w:tc>
          <w:tcPr>
            <w:tcW w:w="1266" w:type="dxa"/>
            <w:vMerge/>
            <w:vAlign w:val="center"/>
            <w:hideMark/>
          </w:tcPr>
          <w:p w14:paraId="7E3179BC" w14:textId="77777777" w:rsidR="00E26D69" w:rsidRPr="00E26D69" w:rsidRDefault="00E26D69" w:rsidP="00F1216E">
            <w:pPr>
              <w:rPr>
                <w:rFonts w:ascii="Arial" w:hAnsi="Arial" w:cs="Arial"/>
                <w:b/>
                <w:bCs/>
                <w:color w:val="000000"/>
              </w:rPr>
            </w:pPr>
          </w:p>
        </w:tc>
      </w:tr>
      <w:tr w:rsidR="00EF6BF1" w:rsidRPr="00E26D69" w14:paraId="656C7D6F" w14:textId="77777777" w:rsidTr="009F7877">
        <w:trPr>
          <w:trHeight w:val="397"/>
        </w:trPr>
        <w:tc>
          <w:tcPr>
            <w:tcW w:w="4696" w:type="dxa"/>
            <w:shd w:val="clear" w:color="auto" w:fill="FFFFFF" w:themeFill="background1"/>
            <w:vAlign w:val="center"/>
            <w:hideMark/>
          </w:tcPr>
          <w:p w14:paraId="787F152C" w14:textId="77777777" w:rsidR="00E26D69" w:rsidRPr="00E26D69" w:rsidRDefault="00E26D69" w:rsidP="00F1216E">
            <w:pPr>
              <w:rPr>
                <w:rFonts w:ascii="Arial" w:hAnsi="Arial" w:cs="Arial"/>
                <w:b/>
                <w:bCs/>
                <w:color w:val="000000"/>
              </w:rPr>
            </w:pPr>
            <w:r w:rsidRPr="00E26D69">
              <w:rPr>
                <w:rFonts w:ascii="Arial" w:hAnsi="Arial" w:cs="Arial"/>
                <w:b/>
                <w:bCs/>
                <w:color w:val="000000"/>
              </w:rPr>
              <w:t> </w:t>
            </w:r>
          </w:p>
        </w:tc>
        <w:tc>
          <w:tcPr>
            <w:tcW w:w="1603" w:type="dxa"/>
            <w:vMerge w:val="restart"/>
            <w:shd w:val="clear" w:color="auto" w:fill="EAF1DD" w:themeFill="accent3" w:themeFillTint="33"/>
            <w:hideMark/>
          </w:tcPr>
          <w:p w14:paraId="5F1C90D1" w14:textId="3C44497C" w:rsidR="009F7877" w:rsidRDefault="00E26D69" w:rsidP="009F7877">
            <w:pPr>
              <w:jc w:val="center"/>
              <w:rPr>
                <w:rFonts w:ascii="Arial" w:hAnsi="Arial" w:cs="Arial"/>
                <w:b/>
                <w:bCs/>
                <w:color w:val="000000" w:themeColor="text1"/>
              </w:rPr>
            </w:pPr>
            <w:r w:rsidRPr="00E26D69">
              <w:rPr>
                <w:rFonts w:ascii="Arial" w:hAnsi="Arial" w:cs="Arial"/>
                <w:b/>
                <w:bCs/>
                <w:color w:val="000000" w:themeColor="text1"/>
              </w:rPr>
              <w:t>Expenditure Outturn</w:t>
            </w:r>
          </w:p>
          <w:p w14:paraId="40850FA3" w14:textId="77777777" w:rsidR="009F7877" w:rsidRDefault="009F7877" w:rsidP="009F7877">
            <w:pPr>
              <w:jc w:val="center"/>
              <w:rPr>
                <w:rFonts w:ascii="Arial" w:hAnsi="Arial" w:cs="Arial"/>
                <w:b/>
                <w:bCs/>
                <w:color w:val="000000" w:themeColor="text1"/>
              </w:rPr>
            </w:pPr>
          </w:p>
          <w:p w14:paraId="3E5C293A" w14:textId="65EC97B6" w:rsidR="00E26D69" w:rsidRPr="00E26D69" w:rsidRDefault="00E26D69" w:rsidP="009F7877">
            <w:pPr>
              <w:jc w:val="center"/>
              <w:rPr>
                <w:rFonts w:ascii="Arial" w:hAnsi="Arial" w:cs="Arial"/>
                <w:b/>
                <w:bCs/>
                <w:color w:val="000000"/>
              </w:rPr>
            </w:pPr>
            <w:r w:rsidRPr="00E26D69">
              <w:rPr>
                <w:rFonts w:ascii="Arial" w:hAnsi="Arial" w:cs="Arial"/>
                <w:b/>
                <w:bCs/>
                <w:color w:val="000000" w:themeColor="text1"/>
              </w:rPr>
              <w:t>£’000</w:t>
            </w:r>
          </w:p>
        </w:tc>
        <w:tc>
          <w:tcPr>
            <w:tcW w:w="1128" w:type="dxa"/>
            <w:vMerge w:val="restart"/>
            <w:shd w:val="clear" w:color="auto" w:fill="EAF1DD" w:themeFill="accent3" w:themeFillTint="33"/>
            <w:hideMark/>
          </w:tcPr>
          <w:p w14:paraId="1539A210" w14:textId="00C28F0E" w:rsidR="009F7877" w:rsidRDefault="00E26D69" w:rsidP="009F7877">
            <w:pPr>
              <w:jc w:val="center"/>
              <w:rPr>
                <w:rFonts w:ascii="Arial" w:hAnsi="Arial" w:cs="Arial"/>
                <w:b/>
                <w:bCs/>
                <w:color w:val="000000" w:themeColor="text1"/>
              </w:rPr>
            </w:pPr>
            <w:r w:rsidRPr="00E26D69">
              <w:rPr>
                <w:rFonts w:ascii="Arial" w:hAnsi="Arial" w:cs="Arial"/>
                <w:b/>
                <w:bCs/>
                <w:color w:val="000000" w:themeColor="text1"/>
              </w:rPr>
              <w:t>Budget</w:t>
            </w:r>
          </w:p>
          <w:p w14:paraId="4465F58F" w14:textId="22C3EFB1" w:rsidR="009F7877" w:rsidRDefault="009F7877" w:rsidP="009F7877">
            <w:pPr>
              <w:jc w:val="center"/>
              <w:rPr>
                <w:rFonts w:ascii="Arial" w:hAnsi="Arial" w:cs="Arial"/>
                <w:b/>
                <w:bCs/>
                <w:color w:val="000000" w:themeColor="text1"/>
              </w:rPr>
            </w:pPr>
          </w:p>
          <w:p w14:paraId="51CF2461" w14:textId="77777777" w:rsidR="009F7877" w:rsidRDefault="009F7877" w:rsidP="009F7877">
            <w:pPr>
              <w:jc w:val="center"/>
              <w:rPr>
                <w:rFonts w:ascii="Arial" w:hAnsi="Arial" w:cs="Arial"/>
                <w:b/>
                <w:bCs/>
                <w:color w:val="000000" w:themeColor="text1"/>
              </w:rPr>
            </w:pPr>
          </w:p>
          <w:p w14:paraId="70A673CE" w14:textId="5F0B0259" w:rsidR="00E26D69" w:rsidRPr="00E26D69" w:rsidRDefault="00E26D69" w:rsidP="009F7877">
            <w:pPr>
              <w:jc w:val="center"/>
              <w:rPr>
                <w:rFonts w:ascii="Arial" w:hAnsi="Arial" w:cs="Arial"/>
                <w:b/>
                <w:bCs/>
                <w:color w:val="000000"/>
              </w:rPr>
            </w:pPr>
            <w:r w:rsidRPr="00E26D69">
              <w:rPr>
                <w:rFonts w:ascii="Arial" w:hAnsi="Arial" w:cs="Arial"/>
                <w:b/>
                <w:bCs/>
                <w:color w:val="000000" w:themeColor="text1"/>
              </w:rPr>
              <w:t>£’000</w:t>
            </w:r>
          </w:p>
        </w:tc>
        <w:tc>
          <w:tcPr>
            <w:tcW w:w="1801" w:type="dxa"/>
            <w:vMerge w:val="restart"/>
            <w:shd w:val="clear" w:color="auto" w:fill="EAF1DD" w:themeFill="accent3" w:themeFillTint="33"/>
            <w:hideMark/>
          </w:tcPr>
          <w:p w14:paraId="306ECAD1" w14:textId="42F6ABA2" w:rsidR="00A52962" w:rsidRDefault="00E26D69" w:rsidP="009F7877">
            <w:pPr>
              <w:jc w:val="center"/>
              <w:rPr>
                <w:rFonts w:ascii="Arial" w:hAnsi="Arial" w:cs="Arial"/>
                <w:b/>
                <w:bCs/>
                <w:color w:val="000000" w:themeColor="text1"/>
              </w:rPr>
            </w:pPr>
            <w:r w:rsidRPr="00E26D69">
              <w:rPr>
                <w:rFonts w:ascii="Arial" w:hAnsi="Arial" w:cs="Arial"/>
                <w:b/>
                <w:bCs/>
                <w:color w:val="000000" w:themeColor="text1"/>
              </w:rPr>
              <w:t>Variance</w:t>
            </w:r>
          </w:p>
          <w:p w14:paraId="545EC4CD" w14:textId="12B3773B" w:rsidR="009F7877" w:rsidRDefault="009F7877" w:rsidP="009F7877">
            <w:pPr>
              <w:jc w:val="center"/>
              <w:rPr>
                <w:rFonts w:ascii="Arial" w:hAnsi="Arial" w:cs="Arial"/>
                <w:b/>
                <w:bCs/>
                <w:color w:val="000000" w:themeColor="text1"/>
              </w:rPr>
            </w:pPr>
          </w:p>
          <w:p w14:paraId="09F1CBAF" w14:textId="77777777" w:rsidR="009F7877" w:rsidRDefault="009F7877" w:rsidP="009F7877">
            <w:pPr>
              <w:jc w:val="center"/>
              <w:rPr>
                <w:rFonts w:ascii="Arial" w:hAnsi="Arial" w:cs="Arial"/>
                <w:b/>
                <w:bCs/>
                <w:color w:val="000000" w:themeColor="text1"/>
              </w:rPr>
            </w:pPr>
          </w:p>
          <w:p w14:paraId="3CB58898" w14:textId="0EF036B1" w:rsidR="00E26D69" w:rsidRPr="00E26D69" w:rsidRDefault="00E26D69" w:rsidP="009F7877">
            <w:pPr>
              <w:jc w:val="center"/>
              <w:rPr>
                <w:rFonts w:ascii="Arial" w:hAnsi="Arial" w:cs="Arial"/>
                <w:b/>
                <w:bCs/>
                <w:color w:val="000000"/>
              </w:rPr>
            </w:pPr>
            <w:r w:rsidRPr="00E26D69">
              <w:rPr>
                <w:rFonts w:ascii="Arial" w:hAnsi="Arial" w:cs="Arial"/>
                <w:b/>
                <w:bCs/>
                <w:color w:val="000000" w:themeColor="text1"/>
              </w:rPr>
              <w:t>£’000</w:t>
            </w:r>
          </w:p>
        </w:tc>
        <w:tc>
          <w:tcPr>
            <w:tcW w:w="1266" w:type="dxa"/>
            <w:vMerge w:val="restart"/>
            <w:hideMark/>
          </w:tcPr>
          <w:p w14:paraId="63C010B5" w14:textId="0C232B64" w:rsidR="009F7877" w:rsidRDefault="00E26D69" w:rsidP="009F7877">
            <w:pPr>
              <w:jc w:val="center"/>
              <w:rPr>
                <w:rFonts w:ascii="Arial" w:hAnsi="Arial" w:cs="Arial"/>
                <w:b/>
                <w:bCs/>
                <w:color w:val="000000" w:themeColor="text1"/>
              </w:rPr>
            </w:pPr>
            <w:r w:rsidRPr="00E26D69">
              <w:rPr>
                <w:rFonts w:ascii="Arial" w:hAnsi="Arial" w:cs="Arial"/>
                <w:b/>
                <w:bCs/>
                <w:color w:val="000000" w:themeColor="text1"/>
              </w:rPr>
              <w:t>Variance</w:t>
            </w:r>
          </w:p>
          <w:p w14:paraId="7538BE04" w14:textId="1C1FA35C" w:rsidR="009F7877" w:rsidRDefault="009F7877" w:rsidP="009F7877">
            <w:pPr>
              <w:jc w:val="center"/>
              <w:rPr>
                <w:rFonts w:ascii="Arial" w:hAnsi="Arial" w:cs="Arial"/>
                <w:b/>
                <w:bCs/>
                <w:color w:val="000000" w:themeColor="text1"/>
              </w:rPr>
            </w:pPr>
          </w:p>
          <w:p w14:paraId="04CACF66" w14:textId="77777777" w:rsidR="009F7877" w:rsidRDefault="009F7877" w:rsidP="009F7877">
            <w:pPr>
              <w:jc w:val="center"/>
              <w:rPr>
                <w:rFonts w:ascii="Arial" w:hAnsi="Arial" w:cs="Arial"/>
                <w:b/>
                <w:bCs/>
                <w:color w:val="000000" w:themeColor="text1"/>
              </w:rPr>
            </w:pPr>
          </w:p>
          <w:p w14:paraId="1B45F248" w14:textId="5A4DC984" w:rsidR="00E26D69" w:rsidRPr="00E26D69" w:rsidRDefault="00E26D69" w:rsidP="009F7877">
            <w:pPr>
              <w:jc w:val="center"/>
              <w:rPr>
                <w:rFonts w:ascii="Arial" w:hAnsi="Arial" w:cs="Arial"/>
                <w:b/>
                <w:bCs/>
                <w:color w:val="000000"/>
              </w:rPr>
            </w:pPr>
            <w:r w:rsidRPr="00E26D69">
              <w:rPr>
                <w:rFonts w:ascii="Arial" w:hAnsi="Arial" w:cs="Arial"/>
                <w:b/>
                <w:bCs/>
                <w:color w:val="000000" w:themeColor="text1"/>
              </w:rPr>
              <w:t>£’000</w:t>
            </w:r>
          </w:p>
        </w:tc>
      </w:tr>
      <w:tr w:rsidR="00722032" w:rsidRPr="00E26D69" w14:paraId="7F5D3402" w14:textId="77777777" w:rsidTr="00162889">
        <w:trPr>
          <w:trHeight w:val="542"/>
        </w:trPr>
        <w:tc>
          <w:tcPr>
            <w:tcW w:w="4696" w:type="dxa"/>
            <w:shd w:val="clear" w:color="auto" w:fill="FFFFFF" w:themeFill="background1"/>
            <w:vAlign w:val="bottom"/>
            <w:hideMark/>
          </w:tcPr>
          <w:p w14:paraId="121A77F0" w14:textId="77777777" w:rsidR="009F7877" w:rsidRDefault="009F7877" w:rsidP="009F7877">
            <w:pPr>
              <w:ind w:left="-109"/>
              <w:rPr>
                <w:rFonts w:ascii="Arial" w:hAnsi="Arial" w:cs="Arial"/>
                <w:b/>
                <w:bCs/>
                <w:color w:val="000000"/>
              </w:rPr>
            </w:pPr>
          </w:p>
          <w:p w14:paraId="0E14FDE5" w14:textId="6C54F3D1" w:rsidR="00E26D69" w:rsidRPr="00E26D69" w:rsidRDefault="00E26D69" w:rsidP="009F7877">
            <w:pPr>
              <w:ind w:left="-109"/>
              <w:rPr>
                <w:rFonts w:ascii="Arial" w:hAnsi="Arial" w:cs="Arial"/>
                <w:b/>
                <w:bCs/>
                <w:color w:val="000000"/>
              </w:rPr>
            </w:pPr>
            <w:r w:rsidRPr="00E26D69">
              <w:rPr>
                <w:rFonts w:ascii="Arial" w:hAnsi="Arial" w:cs="Arial"/>
                <w:b/>
                <w:bCs/>
                <w:color w:val="000000"/>
              </w:rPr>
              <w:t>Department Expenditure Limit (DEL</w:t>
            </w:r>
            <w:r w:rsidRPr="00E26D69">
              <w:rPr>
                <w:rFonts w:ascii="Arial" w:hAnsi="Arial" w:cs="Arial"/>
                <w:color w:val="000000"/>
              </w:rPr>
              <w:t>)</w:t>
            </w:r>
          </w:p>
        </w:tc>
        <w:tc>
          <w:tcPr>
            <w:tcW w:w="1603" w:type="dxa"/>
            <w:vMerge/>
            <w:shd w:val="clear" w:color="auto" w:fill="EAF1DD" w:themeFill="accent3" w:themeFillTint="33"/>
            <w:vAlign w:val="center"/>
            <w:hideMark/>
          </w:tcPr>
          <w:p w14:paraId="565CE340" w14:textId="77777777" w:rsidR="00E26D69" w:rsidRPr="00E26D69" w:rsidRDefault="00E26D69" w:rsidP="00637BE0">
            <w:pPr>
              <w:jc w:val="center"/>
              <w:rPr>
                <w:rFonts w:ascii="Arial" w:hAnsi="Arial" w:cs="Arial"/>
                <w:b/>
                <w:bCs/>
                <w:color w:val="000000"/>
              </w:rPr>
            </w:pPr>
          </w:p>
        </w:tc>
        <w:tc>
          <w:tcPr>
            <w:tcW w:w="1128" w:type="dxa"/>
            <w:vMerge/>
            <w:shd w:val="clear" w:color="auto" w:fill="EAF1DD" w:themeFill="accent3" w:themeFillTint="33"/>
            <w:vAlign w:val="center"/>
            <w:hideMark/>
          </w:tcPr>
          <w:p w14:paraId="4486FCC5" w14:textId="77777777" w:rsidR="00E26D69" w:rsidRPr="00E26D69" w:rsidRDefault="00E26D69" w:rsidP="00637BE0">
            <w:pPr>
              <w:jc w:val="center"/>
              <w:rPr>
                <w:rFonts w:ascii="Arial" w:hAnsi="Arial" w:cs="Arial"/>
                <w:b/>
                <w:bCs/>
                <w:color w:val="000000"/>
              </w:rPr>
            </w:pPr>
          </w:p>
        </w:tc>
        <w:tc>
          <w:tcPr>
            <w:tcW w:w="1801" w:type="dxa"/>
            <w:vMerge/>
            <w:shd w:val="clear" w:color="auto" w:fill="EAF1DD" w:themeFill="accent3" w:themeFillTint="33"/>
            <w:vAlign w:val="center"/>
            <w:hideMark/>
          </w:tcPr>
          <w:p w14:paraId="099BE856" w14:textId="77777777" w:rsidR="00E26D69" w:rsidRPr="00E26D69" w:rsidRDefault="00E26D69" w:rsidP="00637BE0">
            <w:pPr>
              <w:jc w:val="center"/>
              <w:rPr>
                <w:rFonts w:ascii="Arial" w:hAnsi="Arial" w:cs="Arial"/>
                <w:b/>
                <w:bCs/>
                <w:color w:val="000000"/>
              </w:rPr>
            </w:pPr>
          </w:p>
        </w:tc>
        <w:tc>
          <w:tcPr>
            <w:tcW w:w="1266" w:type="dxa"/>
            <w:vMerge/>
            <w:vAlign w:val="center"/>
            <w:hideMark/>
          </w:tcPr>
          <w:p w14:paraId="3D2CEBC2" w14:textId="77777777" w:rsidR="00E26D69" w:rsidRPr="00E26D69" w:rsidRDefault="00E26D69" w:rsidP="00637BE0">
            <w:pPr>
              <w:jc w:val="center"/>
              <w:rPr>
                <w:rFonts w:ascii="Arial" w:hAnsi="Arial" w:cs="Arial"/>
                <w:b/>
                <w:bCs/>
                <w:color w:val="000000"/>
              </w:rPr>
            </w:pPr>
          </w:p>
        </w:tc>
      </w:tr>
      <w:tr w:rsidR="00EF6BF1" w:rsidRPr="00E26D69" w14:paraId="16A19A7E" w14:textId="77777777" w:rsidTr="64AA5CCB">
        <w:trPr>
          <w:trHeight w:val="454"/>
        </w:trPr>
        <w:tc>
          <w:tcPr>
            <w:tcW w:w="4696" w:type="dxa"/>
            <w:shd w:val="clear" w:color="auto" w:fill="FFFFFF" w:themeFill="background1"/>
            <w:vAlign w:val="center"/>
            <w:hideMark/>
          </w:tcPr>
          <w:p w14:paraId="35A13C52" w14:textId="77777777" w:rsidR="00FA1933" w:rsidRPr="00E26D69" w:rsidRDefault="00FA1933" w:rsidP="00FA1933">
            <w:pPr>
              <w:ind w:left="-109"/>
              <w:rPr>
                <w:rFonts w:ascii="Arial" w:hAnsi="Arial" w:cs="Arial"/>
                <w:color w:val="000000"/>
              </w:rPr>
            </w:pPr>
            <w:r w:rsidRPr="00E26D69">
              <w:rPr>
                <w:rFonts w:ascii="Arial" w:hAnsi="Arial" w:cs="Arial"/>
                <w:color w:val="000000"/>
              </w:rPr>
              <w:t>Total Capital Resource (cash)</w:t>
            </w:r>
          </w:p>
        </w:tc>
        <w:tc>
          <w:tcPr>
            <w:tcW w:w="1603" w:type="dxa"/>
            <w:tcBorders>
              <w:bottom w:val="single" w:sz="4" w:space="0" w:color="auto"/>
            </w:tcBorders>
            <w:shd w:val="clear" w:color="auto" w:fill="EAF1DD" w:themeFill="accent3" w:themeFillTint="33"/>
            <w:vAlign w:val="center"/>
          </w:tcPr>
          <w:p w14:paraId="0593D88E" w14:textId="7C24F544" w:rsidR="00FA1933" w:rsidRPr="00E26D69" w:rsidRDefault="00021103" w:rsidP="00FA1933">
            <w:pPr>
              <w:jc w:val="center"/>
              <w:rPr>
                <w:rFonts w:ascii="Arial" w:hAnsi="Arial" w:cs="Arial"/>
                <w:color w:val="000000"/>
              </w:rPr>
            </w:pPr>
            <w:r>
              <w:rPr>
                <w:rFonts w:ascii="Arial" w:hAnsi="Arial" w:cs="Arial"/>
                <w:color w:val="000000"/>
              </w:rPr>
              <w:t>5</w:t>
            </w:r>
            <w:r w:rsidR="00DF04BE">
              <w:rPr>
                <w:rFonts w:ascii="Arial" w:hAnsi="Arial" w:cs="Arial"/>
                <w:color w:val="000000"/>
              </w:rPr>
              <w:t>,</w:t>
            </w:r>
            <w:r>
              <w:rPr>
                <w:rFonts w:ascii="Arial" w:hAnsi="Arial" w:cs="Arial"/>
                <w:color w:val="000000"/>
              </w:rPr>
              <w:t>234</w:t>
            </w:r>
          </w:p>
        </w:tc>
        <w:tc>
          <w:tcPr>
            <w:tcW w:w="1128" w:type="dxa"/>
            <w:tcBorders>
              <w:bottom w:val="single" w:sz="4" w:space="0" w:color="auto"/>
            </w:tcBorders>
            <w:shd w:val="clear" w:color="auto" w:fill="EAF1DD" w:themeFill="accent3" w:themeFillTint="33"/>
            <w:vAlign w:val="center"/>
          </w:tcPr>
          <w:p w14:paraId="13E76CFF" w14:textId="3D174B9E" w:rsidR="00FA1933" w:rsidRPr="00E26D69" w:rsidRDefault="00021103" w:rsidP="00FA1933">
            <w:pPr>
              <w:jc w:val="center"/>
              <w:rPr>
                <w:rFonts w:ascii="Arial" w:hAnsi="Arial" w:cs="Arial"/>
                <w:color w:val="000000"/>
              </w:rPr>
            </w:pPr>
            <w:r>
              <w:rPr>
                <w:rFonts w:ascii="Arial" w:hAnsi="Arial" w:cs="Arial"/>
                <w:color w:val="000000"/>
              </w:rPr>
              <w:t>6,200</w:t>
            </w:r>
          </w:p>
        </w:tc>
        <w:tc>
          <w:tcPr>
            <w:tcW w:w="1801" w:type="dxa"/>
            <w:tcBorders>
              <w:bottom w:val="single" w:sz="4" w:space="0" w:color="auto"/>
            </w:tcBorders>
            <w:shd w:val="clear" w:color="auto" w:fill="EAF1DD" w:themeFill="accent3" w:themeFillTint="33"/>
            <w:vAlign w:val="center"/>
          </w:tcPr>
          <w:p w14:paraId="304D28F6" w14:textId="525CDC5C" w:rsidR="00FA1933" w:rsidRPr="00E26D69" w:rsidRDefault="00021103" w:rsidP="00FA1933">
            <w:pPr>
              <w:jc w:val="center"/>
              <w:rPr>
                <w:rFonts w:ascii="Arial" w:hAnsi="Arial" w:cs="Arial"/>
                <w:color w:val="000000"/>
              </w:rPr>
            </w:pPr>
            <w:r>
              <w:rPr>
                <w:rFonts w:ascii="Arial" w:hAnsi="Arial" w:cs="Arial"/>
                <w:color w:val="000000"/>
              </w:rPr>
              <w:t>966</w:t>
            </w:r>
          </w:p>
        </w:tc>
        <w:tc>
          <w:tcPr>
            <w:tcW w:w="1266" w:type="dxa"/>
            <w:tcBorders>
              <w:bottom w:val="single" w:sz="4" w:space="0" w:color="auto"/>
            </w:tcBorders>
            <w:vAlign w:val="center"/>
            <w:hideMark/>
          </w:tcPr>
          <w:p w14:paraId="1B29334C" w14:textId="3AD968D1" w:rsidR="00FA1933" w:rsidRPr="00E26D69" w:rsidRDefault="00FA1933" w:rsidP="00FA1933">
            <w:pPr>
              <w:jc w:val="center"/>
              <w:rPr>
                <w:rFonts w:ascii="Arial" w:hAnsi="Arial" w:cs="Arial"/>
                <w:color w:val="000000"/>
              </w:rPr>
            </w:pPr>
            <w:r>
              <w:rPr>
                <w:rFonts w:ascii="Arial" w:hAnsi="Arial" w:cs="Arial"/>
                <w:color w:val="000000"/>
              </w:rPr>
              <w:t>245</w:t>
            </w:r>
          </w:p>
        </w:tc>
      </w:tr>
      <w:tr w:rsidR="00EF6BF1" w:rsidRPr="00E26D69" w14:paraId="479750FB" w14:textId="77777777" w:rsidTr="64AA5CCB">
        <w:trPr>
          <w:trHeight w:val="454"/>
        </w:trPr>
        <w:tc>
          <w:tcPr>
            <w:tcW w:w="4696" w:type="dxa"/>
            <w:shd w:val="clear" w:color="auto" w:fill="FFFFFF" w:themeFill="background1"/>
            <w:vAlign w:val="center"/>
            <w:hideMark/>
          </w:tcPr>
          <w:p w14:paraId="50B089DF" w14:textId="6C71D907" w:rsidR="00FA1933" w:rsidRPr="00E26D69" w:rsidRDefault="00FA1933" w:rsidP="00FA1933">
            <w:pPr>
              <w:ind w:left="-109"/>
              <w:rPr>
                <w:rFonts w:ascii="Arial" w:hAnsi="Arial" w:cs="Arial"/>
                <w:color w:val="000000"/>
              </w:rPr>
            </w:pPr>
            <w:r w:rsidRPr="64AA5CCB">
              <w:rPr>
                <w:rFonts w:ascii="Arial" w:hAnsi="Arial" w:cs="Arial"/>
                <w:color w:val="000000" w:themeColor="text1"/>
              </w:rPr>
              <w:t>Operating Resource (</w:t>
            </w:r>
            <w:r w:rsidR="003F628C" w:rsidRPr="64AA5CCB">
              <w:rPr>
                <w:rFonts w:ascii="Arial" w:hAnsi="Arial" w:cs="Arial"/>
                <w:color w:val="000000" w:themeColor="text1"/>
              </w:rPr>
              <w:t xml:space="preserve">cash </w:t>
            </w:r>
            <w:hyperlink w:anchor="Note21Operatingresourcereconciliation" w:history="1">
              <w:r w:rsidRPr="009F7877">
                <w:rPr>
                  <w:rStyle w:val="Hyperlink"/>
                  <w:rFonts w:ascii="Arial" w:hAnsi="Arial" w:cs="Arial"/>
                </w:rPr>
                <w:t xml:space="preserve">note </w:t>
              </w:r>
              <w:r w:rsidR="00BF194D" w:rsidRPr="009F7877">
                <w:rPr>
                  <w:rStyle w:val="Hyperlink"/>
                  <w:rFonts w:ascii="Arial" w:hAnsi="Arial" w:cs="Arial"/>
                </w:rPr>
                <w:t>21</w:t>
              </w:r>
            </w:hyperlink>
            <w:r w:rsidRPr="64AA5CCB">
              <w:rPr>
                <w:rFonts w:ascii="Arial" w:hAnsi="Arial" w:cs="Arial"/>
                <w:color w:val="000000" w:themeColor="text1"/>
              </w:rPr>
              <w:t>)</w:t>
            </w:r>
          </w:p>
        </w:tc>
        <w:tc>
          <w:tcPr>
            <w:tcW w:w="1603" w:type="dxa"/>
            <w:tcBorders>
              <w:top w:val="single" w:sz="4" w:space="0" w:color="auto"/>
            </w:tcBorders>
            <w:shd w:val="clear" w:color="auto" w:fill="EAF1DD" w:themeFill="accent3" w:themeFillTint="33"/>
            <w:vAlign w:val="center"/>
          </w:tcPr>
          <w:p w14:paraId="1FA60F66" w14:textId="452807AD" w:rsidR="00FA1933" w:rsidRPr="00E26D69" w:rsidRDefault="00311D1B" w:rsidP="00FA1933">
            <w:pPr>
              <w:jc w:val="center"/>
              <w:rPr>
                <w:rFonts w:ascii="Arial" w:hAnsi="Arial" w:cs="Arial"/>
                <w:color w:val="000000"/>
              </w:rPr>
            </w:pPr>
            <w:r>
              <w:rPr>
                <w:rFonts w:ascii="Arial" w:hAnsi="Arial" w:cs="Arial"/>
                <w:color w:val="000000"/>
              </w:rPr>
              <w:t>34,03</w:t>
            </w:r>
            <w:r w:rsidR="00F43604">
              <w:rPr>
                <w:rFonts w:ascii="Arial" w:hAnsi="Arial" w:cs="Arial"/>
                <w:color w:val="000000"/>
              </w:rPr>
              <w:t>6</w:t>
            </w:r>
          </w:p>
        </w:tc>
        <w:tc>
          <w:tcPr>
            <w:tcW w:w="1128" w:type="dxa"/>
            <w:tcBorders>
              <w:top w:val="single" w:sz="4" w:space="0" w:color="auto"/>
            </w:tcBorders>
            <w:shd w:val="clear" w:color="auto" w:fill="EAF1DD" w:themeFill="accent3" w:themeFillTint="33"/>
            <w:vAlign w:val="center"/>
          </w:tcPr>
          <w:p w14:paraId="40A9784C" w14:textId="5E20A985" w:rsidR="00FA1933" w:rsidRPr="00E26D69" w:rsidRDefault="00311D1B" w:rsidP="00FA1933">
            <w:pPr>
              <w:jc w:val="center"/>
              <w:rPr>
                <w:rFonts w:ascii="Arial" w:hAnsi="Arial" w:cs="Arial"/>
                <w:color w:val="000000"/>
              </w:rPr>
            </w:pPr>
            <w:r>
              <w:rPr>
                <w:rFonts w:ascii="Arial" w:hAnsi="Arial" w:cs="Arial"/>
                <w:color w:val="000000"/>
              </w:rPr>
              <w:t>37,815</w:t>
            </w:r>
          </w:p>
        </w:tc>
        <w:tc>
          <w:tcPr>
            <w:tcW w:w="1801" w:type="dxa"/>
            <w:tcBorders>
              <w:top w:val="single" w:sz="4" w:space="0" w:color="auto"/>
            </w:tcBorders>
            <w:shd w:val="clear" w:color="auto" w:fill="EAF1DD" w:themeFill="accent3" w:themeFillTint="33"/>
            <w:vAlign w:val="center"/>
          </w:tcPr>
          <w:p w14:paraId="4078D6F2" w14:textId="19792BF2" w:rsidR="00FA1933" w:rsidRPr="00E26D69" w:rsidRDefault="009531AA" w:rsidP="00FA1933">
            <w:pPr>
              <w:jc w:val="center"/>
              <w:rPr>
                <w:rFonts w:ascii="Arial" w:hAnsi="Arial" w:cs="Arial"/>
                <w:color w:val="000000"/>
              </w:rPr>
            </w:pPr>
            <w:r>
              <w:rPr>
                <w:rFonts w:ascii="Arial" w:hAnsi="Arial" w:cs="Arial"/>
                <w:color w:val="000000"/>
              </w:rPr>
              <w:t>3,7</w:t>
            </w:r>
            <w:r w:rsidR="00B71332">
              <w:rPr>
                <w:rFonts w:ascii="Arial" w:hAnsi="Arial" w:cs="Arial"/>
                <w:color w:val="000000"/>
              </w:rPr>
              <w:t>79</w:t>
            </w:r>
          </w:p>
        </w:tc>
        <w:tc>
          <w:tcPr>
            <w:tcW w:w="1266" w:type="dxa"/>
            <w:tcBorders>
              <w:top w:val="single" w:sz="4" w:space="0" w:color="auto"/>
            </w:tcBorders>
            <w:vAlign w:val="center"/>
            <w:hideMark/>
          </w:tcPr>
          <w:p w14:paraId="76DAEBDC" w14:textId="547795E1" w:rsidR="00FA1933" w:rsidRPr="00E26D69" w:rsidRDefault="00FA1933" w:rsidP="00FA1933">
            <w:pPr>
              <w:jc w:val="center"/>
              <w:rPr>
                <w:rFonts w:ascii="Arial" w:hAnsi="Arial" w:cs="Arial"/>
                <w:color w:val="000000"/>
              </w:rPr>
            </w:pPr>
            <w:r>
              <w:rPr>
                <w:rFonts w:ascii="Arial" w:hAnsi="Arial" w:cs="Arial"/>
                <w:color w:val="000000"/>
              </w:rPr>
              <w:t>(804)</w:t>
            </w:r>
          </w:p>
        </w:tc>
      </w:tr>
      <w:tr w:rsidR="00167866" w:rsidRPr="00E26D69" w14:paraId="2A958442" w14:textId="77777777" w:rsidTr="64AA5CCB">
        <w:trPr>
          <w:trHeight w:val="454"/>
        </w:trPr>
        <w:tc>
          <w:tcPr>
            <w:tcW w:w="4696" w:type="dxa"/>
            <w:shd w:val="clear" w:color="auto" w:fill="FFFFFF" w:themeFill="background1"/>
            <w:vAlign w:val="center"/>
          </w:tcPr>
          <w:p w14:paraId="0E7EBE61" w14:textId="0FD5EAAC" w:rsidR="00FA1933" w:rsidRPr="00E26D69" w:rsidRDefault="00FA1933" w:rsidP="00FA1933">
            <w:pPr>
              <w:ind w:left="-109"/>
              <w:rPr>
                <w:rFonts w:ascii="Arial" w:hAnsi="Arial" w:cs="Arial"/>
                <w:color w:val="000000"/>
              </w:rPr>
            </w:pPr>
            <w:r>
              <w:rPr>
                <w:rFonts w:ascii="Arial" w:hAnsi="Arial" w:cs="Arial"/>
                <w:color w:val="000000"/>
              </w:rPr>
              <w:t>Operating resource (non-cash) staff benefit</w:t>
            </w:r>
          </w:p>
        </w:tc>
        <w:tc>
          <w:tcPr>
            <w:tcW w:w="1603" w:type="dxa"/>
            <w:shd w:val="clear" w:color="auto" w:fill="EAF1DD" w:themeFill="accent3" w:themeFillTint="33"/>
            <w:vAlign w:val="center"/>
          </w:tcPr>
          <w:p w14:paraId="2F5A505A" w14:textId="2DE6BFD6" w:rsidR="00FA1933" w:rsidRPr="00E26D69" w:rsidRDefault="007B4CE8" w:rsidP="00FA1933">
            <w:pPr>
              <w:jc w:val="center"/>
              <w:rPr>
                <w:rFonts w:ascii="Arial" w:hAnsi="Arial" w:cs="Arial"/>
                <w:color w:val="000000"/>
              </w:rPr>
            </w:pPr>
            <w:r>
              <w:rPr>
                <w:rFonts w:ascii="Arial" w:hAnsi="Arial" w:cs="Arial"/>
                <w:color w:val="000000"/>
              </w:rPr>
              <w:t>0</w:t>
            </w:r>
          </w:p>
        </w:tc>
        <w:tc>
          <w:tcPr>
            <w:tcW w:w="1128" w:type="dxa"/>
            <w:shd w:val="clear" w:color="auto" w:fill="EAF1DD" w:themeFill="accent3" w:themeFillTint="33"/>
            <w:vAlign w:val="center"/>
          </w:tcPr>
          <w:p w14:paraId="36C9609E" w14:textId="085A2F6A" w:rsidR="00FA1933" w:rsidRDefault="007B4CE8" w:rsidP="00FA1933">
            <w:pPr>
              <w:jc w:val="center"/>
              <w:rPr>
                <w:rFonts w:ascii="Arial" w:hAnsi="Arial" w:cs="Arial"/>
                <w:color w:val="000000"/>
              </w:rPr>
            </w:pPr>
            <w:r>
              <w:rPr>
                <w:rFonts w:ascii="Arial" w:hAnsi="Arial" w:cs="Arial"/>
                <w:color w:val="000000"/>
              </w:rPr>
              <w:t>0</w:t>
            </w:r>
          </w:p>
        </w:tc>
        <w:tc>
          <w:tcPr>
            <w:tcW w:w="1801" w:type="dxa"/>
            <w:shd w:val="clear" w:color="auto" w:fill="EAF1DD" w:themeFill="accent3" w:themeFillTint="33"/>
            <w:vAlign w:val="center"/>
          </w:tcPr>
          <w:p w14:paraId="668C51A8" w14:textId="06D9B19B" w:rsidR="00FA1933" w:rsidRPr="00E26D69" w:rsidRDefault="007B4CE8" w:rsidP="00FA1933">
            <w:pPr>
              <w:jc w:val="center"/>
              <w:rPr>
                <w:rFonts w:ascii="Arial" w:hAnsi="Arial" w:cs="Arial"/>
                <w:color w:val="000000"/>
              </w:rPr>
            </w:pPr>
            <w:r>
              <w:rPr>
                <w:rFonts w:ascii="Arial" w:hAnsi="Arial" w:cs="Arial"/>
                <w:color w:val="000000"/>
              </w:rPr>
              <w:t>0</w:t>
            </w:r>
          </w:p>
        </w:tc>
        <w:tc>
          <w:tcPr>
            <w:tcW w:w="1266" w:type="dxa"/>
            <w:vAlign w:val="center"/>
          </w:tcPr>
          <w:p w14:paraId="30258614" w14:textId="29F46F63" w:rsidR="00FA1933" w:rsidRPr="00E26D69" w:rsidRDefault="00FA1933" w:rsidP="00FA1933">
            <w:pPr>
              <w:jc w:val="center"/>
              <w:rPr>
                <w:rFonts w:ascii="Arial" w:hAnsi="Arial" w:cs="Arial"/>
                <w:color w:val="000000" w:themeColor="text1"/>
              </w:rPr>
            </w:pPr>
            <w:r>
              <w:rPr>
                <w:rFonts w:ascii="Arial" w:hAnsi="Arial" w:cs="Arial"/>
                <w:color w:val="000000"/>
              </w:rPr>
              <w:t>719</w:t>
            </w:r>
          </w:p>
        </w:tc>
      </w:tr>
      <w:tr w:rsidR="00EF6BF1" w:rsidRPr="00E26D69" w14:paraId="3FC5409D" w14:textId="77777777" w:rsidTr="64AA5CCB">
        <w:trPr>
          <w:trHeight w:val="454"/>
        </w:trPr>
        <w:tc>
          <w:tcPr>
            <w:tcW w:w="4696" w:type="dxa"/>
            <w:shd w:val="clear" w:color="auto" w:fill="FFFFFF" w:themeFill="background1"/>
            <w:vAlign w:val="center"/>
            <w:hideMark/>
          </w:tcPr>
          <w:p w14:paraId="130A82FB" w14:textId="03E375A6" w:rsidR="00FA1933" w:rsidRPr="00E26D69" w:rsidRDefault="00FA1933" w:rsidP="00FA1933">
            <w:pPr>
              <w:ind w:left="-109"/>
              <w:rPr>
                <w:rFonts w:ascii="Arial" w:hAnsi="Arial" w:cs="Arial"/>
                <w:color w:val="000000"/>
              </w:rPr>
            </w:pPr>
            <w:r w:rsidRPr="00E26D69">
              <w:rPr>
                <w:rFonts w:ascii="Arial" w:hAnsi="Arial" w:cs="Arial"/>
                <w:color w:val="000000"/>
              </w:rPr>
              <w:t xml:space="preserve">Depreciation/Impairments (non-cash) </w:t>
            </w:r>
          </w:p>
        </w:tc>
        <w:tc>
          <w:tcPr>
            <w:tcW w:w="1603" w:type="dxa"/>
            <w:tcBorders>
              <w:bottom w:val="single" w:sz="4" w:space="0" w:color="auto"/>
            </w:tcBorders>
            <w:shd w:val="clear" w:color="auto" w:fill="EAF1DD" w:themeFill="accent3" w:themeFillTint="33"/>
            <w:vAlign w:val="center"/>
          </w:tcPr>
          <w:p w14:paraId="154F89D7" w14:textId="11428E6E" w:rsidR="00FA1933" w:rsidRPr="00E26D69" w:rsidRDefault="005F3A44" w:rsidP="00FA1933">
            <w:pPr>
              <w:jc w:val="center"/>
              <w:rPr>
                <w:rFonts w:ascii="Arial" w:hAnsi="Arial" w:cs="Arial"/>
                <w:color w:val="000000"/>
              </w:rPr>
            </w:pPr>
            <w:r>
              <w:rPr>
                <w:rFonts w:ascii="Arial" w:hAnsi="Arial" w:cs="Arial"/>
                <w:color w:val="000000"/>
              </w:rPr>
              <w:t>3,33</w:t>
            </w:r>
            <w:r w:rsidR="00606270">
              <w:rPr>
                <w:rFonts w:ascii="Arial" w:hAnsi="Arial" w:cs="Arial"/>
                <w:color w:val="000000"/>
              </w:rPr>
              <w:t>4</w:t>
            </w:r>
          </w:p>
        </w:tc>
        <w:tc>
          <w:tcPr>
            <w:tcW w:w="1128" w:type="dxa"/>
            <w:tcBorders>
              <w:bottom w:val="single" w:sz="4" w:space="0" w:color="auto"/>
            </w:tcBorders>
            <w:shd w:val="clear" w:color="auto" w:fill="EAF1DD" w:themeFill="accent3" w:themeFillTint="33"/>
            <w:vAlign w:val="center"/>
          </w:tcPr>
          <w:p w14:paraId="2767A87E" w14:textId="6D55FD55" w:rsidR="00FA1933" w:rsidRPr="00E26D69" w:rsidRDefault="005F3A44" w:rsidP="00FA1933">
            <w:pPr>
              <w:jc w:val="center"/>
              <w:rPr>
                <w:rFonts w:ascii="Arial" w:hAnsi="Arial" w:cs="Arial"/>
                <w:color w:val="000000"/>
              </w:rPr>
            </w:pPr>
            <w:r>
              <w:rPr>
                <w:rFonts w:ascii="Arial" w:hAnsi="Arial" w:cs="Arial"/>
                <w:color w:val="000000"/>
              </w:rPr>
              <w:t>5,256</w:t>
            </w:r>
          </w:p>
        </w:tc>
        <w:tc>
          <w:tcPr>
            <w:tcW w:w="1801" w:type="dxa"/>
            <w:tcBorders>
              <w:bottom w:val="single" w:sz="4" w:space="0" w:color="auto"/>
            </w:tcBorders>
            <w:shd w:val="clear" w:color="auto" w:fill="EAF1DD" w:themeFill="accent3" w:themeFillTint="33"/>
            <w:vAlign w:val="center"/>
          </w:tcPr>
          <w:p w14:paraId="4EB7A3C4" w14:textId="5495E758" w:rsidR="00FA1933" w:rsidRPr="00E26D69" w:rsidRDefault="005F3A44" w:rsidP="00FA1933">
            <w:pPr>
              <w:jc w:val="center"/>
              <w:rPr>
                <w:rFonts w:ascii="Arial" w:hAnsi="Arial" w:cs="Arial"/>
                <w:color w:val="000000"/>
              </w:rPr>
            </w:pPr>
            <w:r>
              <w:rPr>
                <w:rFonts w:ascii="Arial" w:hAnsi="Arial" w:cs="Arial"/>
                <w:color w:val="000000"/>
              </w:rPr>
              <w:t>1,9</w:t>
            </w:r>
            <w:r w:rsidR="008B0B4C">
              <w:rPr>
                <w:rFonts w:ascii="Arial" w:hAnsi="Arial" w:cs="Arial"/>
                <w:color w:val="000000"/>
              </w:rPr>
              <w:t>22</w:t>
            </w:r>
          </w:p>
        </w:tc>
        <w:tc>
          <w:tcPr>
            <w:tcW w:w="1266" w:type="dxa"/>
            <w:tcBorders>
              <w:bottom w:val="single" w:sz="4" w:space="0" w:color="auto"/>
            </w:tcBorders>
            <w:vAlign w:val="center"/>
            <w:hideMark/>
          </w:tcPr>
          <w:p w14:paraId="761286AB" w14:textId="47AAEF2A" w:rsidR="00FA1933" w:rsidRPr="00E26D69" w:rsidRDefault="00FA1933" w:rsidP="00FA1933">
            <w:pPr>
              <w:jc w:val="center"/>
              <w:rPr>
                <w:rFonts w:ascii="Arial" w:hAnsi="Arial" w:cs="Arial"/>
                <w:color w:val="000000"/>
              </w:rPr>
            </w:pPr>
            <w:r>
              <w:rPr>
                <w:rFonts w:ascii="Arial" w:hAnsi="Arial" w:cs="Arial"/>
                <w:color w:val="000000"/>
              </w:rPr>
              <w:t>1,421</w:t>
            </w:r>
          </w:p>
        </w:tc>
      </w:tr>
      <w:tr w:rsidR="00EF6BF1" w:rsidRPr="00E26D69" w14:paraId="0F04C217" w14:textId="77777777" w:rsidTr="64AA5CCB">
        <w:trPr>
          <w:trHeight w:val="454"/>
        </w:trPr>
        <w:tc>
          <w:tcPr>
            <w:tcW w:w="4696" w:type="dxa"/>
            <w:shd w:val="clear" w:color="auto" w:fill="FFFFFF" w:themeFill="background1"/>
            <w:vAlign w:val="center"/>
            <w:hideMark/>
          </w:tcPr>
          <w:p w14:paraId="0D4C8F7F" w14:textId="77777777" w:rsidR="00FA1933" w:rsidRPr="00E26D69" w:rsidRDefault="00FA1933" w:rsidP="00FA1933">
            <w:pPr>
              <w:ind w:left="-109"/>
              <w:rPr>
                <w:rFonts w:ascii="Arial" w:hAnsi="Arial" w:cs="Arial"/>
                <w:color w:val="000000"/>
              </w:rPr>
            </w:pPr>
            <w:r w:rsidRPr="00E26D69">
              <w:rPr>
                <w:rFonts w:ascii="Arial" w:hAnsi="Arial" w:cs="Arial"/>
                <w:color w:val="000000"/>
              </w:rPr>
              <w:t>Total Operating Expenditure</w:t>
            </w:r>
          </w:p>
        </w:tc>
        <w:tc>
          <w:tcPr>
            <w:tcW w:w="1603" w:type="dxa"/>
            <w:tcBorders>
              <w:top w:val="single" w:sz="4" w:space="0" w:color="auto"/>
              <w:bottom w:val="single" w:sz="4" w:space="0" w:color="auto"/>
            </w:tcBorders>
            <w:shd w:val="clear" w:color="auto" w:fill="EAF1DD" w:themeFill="accent3" w:themeFillTint="33"/>
            <w:vAlign w:val="center"/>
          </w:tcPr>
          <w:p w14:paraId="4D29A10D" w14:textId="6DEE32A8" w:rsidR="00FA1933" w:rsidRPr="00E26D69" w:rsidRDefault="005F3A44" w:rsidP="00FA1933">
            <w:pPr>
              <w:jc w:val="center"/>
              <w:rPr>
                <w:rFonts w:ascii="Arial" w:hAnsi="Arial" w:cs="Arial"/>
                <w:color w:val="000000"/>
              </w:rPr>
            </w:pPr>
            <w:r>
              <w:rPr>
                <w:rFonts w:ascii="Arial" w:hAnsi="Arial" w:cs="Arial"/>
                <w:color w:val="000000"/>
              </w:rPr>
              <w:t>37,37</w:t>
            </w:r>
            <w:r w:rsidR="00606270">
              <w:rPr>
                <w:rFonts w:ascii="Arial" w:hAnsi="Arial" w:cs="Arial"/>
                <w:color w:val="000000"/>
              </w:rPr>
              <w:t>0</w:t>
            </w:r>
          </w:p>
        </w:tc>
        <w:tc>
          <w:tcPr>
            <w:tcW w:w="1128" w:type="dxa"/>
            <w:tcBorders>
              <w:top w:val="single" w:sz="4" w:space="0" w:color="auto"/>
              <w:bottom w:val="single" w:sz="4" w:space="0" w:color="auto"/>
            </w:tcBorders>
            <w:shd w:val="clear" w:color="auto" w:fill="EAF1DD" w:themeFill="accent3" w:themeFillTint="33"/>
            <w:vAlign w:val="center"/>
          </w:tcPr>
          <w:p w14:paraId="5114461D" w14:textId="534D162C" w:rsidR="00FA1933" w:rsidRPr="00E26D69" w:rsidRDefault="005F3A44" w:rsidP="00FA1933">
            <w:pPr>
              <w:jc w:val="center"/>
              <w:rPr>
                <w:rFonts w:ascii="Arial" w:hAnsi="Arial" w:cs="Arial"/>
                <w:color w:val="000000"/>
              </w:rPr>
            </w:pPr>
            <w:r>
              <w:rPr>
                <w:rFonts w:ascii="Arial" w:hAnsi="Arial" w:cs="Arial"/>
                <w:color w:val="000000"/>
              </w:rPr>
              <w:t>43,071</w:t>
            </w:r>
          </w:p>
        </w:tc>
        <w:tc>
          <w:tcPr>
            <w:tcW w:w="1801" w:type="dxa"/>
            <w:tcBorders>
              <w:top w:val="single" w:sz="4" w:space="0" w:color="auto"/>
              <w:bottom w:val="single" w:sz="4" w:space="0" w:color="auto"/>
            </w:tcBorders>
            <w:shd w:val="clear" w:color="auto" w:fill="EAF1DD" w:themeFill="accent3" w:themeFillTint="33"/>
            <w:vAlign w:val="center"/>
          </w:tcPr>
          <w:p w14:paraId="11D2B0F0" w14:textId="7DD141DB" w:rsidR="00FA1933" w:rsidRPr="00E26D69" w:rsidRDefault="00257ED8" w:rsidP="00FA1933">
            <w:pPr>
              <w:jc w:val="center"/>
              <w:rPr>
                <w:rFonts w:ascii="Arial" w:hAnsi="Arial" w:cs="Arial"/>
                <w:color w:val="000000"/>
              </w:rPr>
            </w:pPr>
            <w:r>
              <w:rPr>
                <w:rFonts w:ascii="Arial" w:hAnsi="Arial" w:cs="Arial"/>
                <w:color w:val="000000"/>
              </w:rPr>
              <w:t>5,</w:t>
            </w:r>
            <w:r w:rsidR="00E47B41">
              <w:rPr>
                <w:rFonts w:ascii="Arial" w:hAnsi="Arial" w:cs="Arial"/>
                <w:color w:val="000000"/>
              </w:rPr>
              <w:t>701</w:t>
            </w:r>
          </w:p>
        </w:tc>
        <w:tc>
          <w:tcPr>
            <w:tcW w:w="1266" w:type="dxa"/>
            <w:tcBorders>
              <w:top w:val="single" w:sz="4" w:space="0" w:color="auto"/>
              <w:bottom w:val="single" w:sz="4" w:space="0" w:color="auto"/>
            </w:tcBorders>
            <w:vAlign w:val="center"/>
            <w:hideMark/>
          </w:tcPr>
          <w:p w14:paraId="5ADA97F7" w14:textId="1056F254" w:rsidR="00FA1933" w:rsidRPr="00E26D69" w:rsidRDefault="00FA1933" w:rsidP="00FA1933">
            <w:pPr>
              <w:jc w:val="center"/>
              <w:rPr>
                <w:rFonts w:ascii="Arial" w:hAnsi="Arial" w:cs="Arial"/>
                <w:color w:val="000000"/>
              </w:rPr>
            </w:pPr>
            <w:r>
              <w:rPr>
                <w:rFonts w:ascii="Arial" w:hAnsi="Arial" w:cs="Arial"/>
                <w:color w:val="000000"/>
              </w:rPr>
              <w:t>1,336</w:t>
            </w:r>
          </w:p>
        </w:tc>
      </w:tr>
      <w:tr w:rsidR="00722032" w:rsidRPr="00E26D69" w14:paraId="446AC1DC" w14:textId="77777777" w:rsidTr="64AA5CCB">
        <w:trPr>
          <w:trHeight w:val="454"/>
        </w:trPr>
        <w:tc>
          <w:tcPr>
            <w:tcW w:w="4696" w:type="dxa"/>
            <w:shd w:val="clear" w:color="auto" w:fill="FFFFFF" w:themeFill="background1"/>
            <w:vAlign w:val="center"/>
            <w:hideMark/>
          </w:tcPr>
          <w:p w14:paraId="44969A49" w14:textId="77777777" w:rsidR="00FA1933" w:rsidRPr="00E26D69" w:rsidRDefault="00FA1933" w:rsidP="00FA1933">
            <w:pPr>
              <w:ind w:left="-109"/>
              <w:rPr>
                <w:rFonts w:ascii="Arial" w:hAnsi="Arial" w:cs="Arial"/>
                <w:b/>
                <w:bCs/>
                <w:color w:val="000000"/>
              </w:rPr>
            </w:pPr>
            <w:r w:rsidRPr="00E26D69">
              <w:rPr>
                <w:rFonts w:ascii="Arial" w:hAnsi="Arial" w:cs="Arial"/>
                <w:b/>
                <w:bCs/>
                <w:color w:val="000000"/>
              </w:rPr>
              <w:t>Total DEL Expenditure</w:t>
            </w:r>
          </w:p>
        </w:tc>
        <w:tc>
          <w:tcPr>
            <w:tcW w:w="1603" w:type="dxa"/>
            <w:tcBorders>
              <w:top w:val="single" w:sz="4" w:space="0" w:color="auto"/>
              <w:bottom w:val="double" w:sz="4" w:space="0" w:color="auto"/>
            </w:tcBorders>
            <w:shd w:val="clear" w:color="auto" w:fill="EAF1DD" w:themeFill="accent3" w:themeFillTint="33"/>
            <w:vAlign w:val="center"/>
          </w:tcPr>
          <w:p w14:paraId="60A9C99F" w14:textId="18866D85" w:rsidR="00FA1933" w:rsidRPr="00E26D69" w:rsidRDefault="00386824" w:rsidP="00FA1933">
            <w:pPr>
              <w:jc w:val="center"/>
              <w:rPr>
                <w:rFonts w:ascii="Arial" w:hAnsi="Arial" w:cs="Arial"/>
                <w:b/>
                <w:bCs/>
                <w:color w:val="000000"/>
              </w:rPr>
            </w:pPr>
            <w:r>
              <w:rPr>
                <w:rFonts w:ascii="Arial" w:hAnsi="Arial" w:cs="Arial"/>
                <w:b/>
                <w:bCs/>
                <w:color w:val="000000"/>
              </w:rPr>
              <w:t>42,60</w:t>
            </w:r>
            <w:r w:rsidR="00606270">
              <w:rPr>
                <w:rFonts w:ascii="Arial" w:hAnsi="Arial" w:cs="Arial"/>
                <w:b/>
                <w:bCs/>
                <w:color w:val="000000"/>
              </w:rPr>
              <w:t>4</w:t>
            </w:r>
          </w:p>
        </w:tc>
        <w:tc>
          <w:tcPr>
            <w:tcW w:w="1128" w:type="dxa"/>
            <w:tcBorders>
              <w:top w:val="single" w:sz="4" w:space="0" w:color="auto"/>
              <w:bottom w:val="double" w:sz="4" w:space="0" w:color="auto"/>
            </w:tcBorders>
            <w:shd w:val="clear" w:color="auto" w:fill="EAF1DD" w:themeFill="accent3" w:themeFillTint="33"/>
            <w:vAlign w:val="center"/>
          </w:tcPr>
          <w:p w14:paraId="6CA8B033" w14:textId="3A324E7B" w:rsidR="00FA1933" w:rsidRPr="00E26D69" w:rsidRDefault="00604ABC" w:rsidP="00FA1933">
            <w:pPr>
              <w:jc w:val="center"/>
              <w:rPr>
                <w:rFonts w:ascii="Arial" w:hAnsi="Arial" w:cs="Arial"/>
                <w:b/>
                <w:bCs/>
                <w:color w:val="000000"/>
              </w:rPr>
            </w:pPr>
            <w:r>
              <w:rPr>
                <w:rFonts w:ascii="Arial" w:hAnsi="Arial" w:cs="Arial"/>
                <w:b/>
                <w:bCs/>
                <w:color w:val="000000"/>
              </w:rPr>
              <w:t>49,271</w:t>
            </w:r>
          </w:p>
        </w:tc>
        <w:tc>
          <w:tcPr>
            <w:tcW w:w="1801" w:type="dxa"/>
            <w:tcBorders>
              <w:top w:val="single" w:sz="4" w:space="0" w:color="auto"/>
              <w:bottom w:val="double" w:sz="4" w:space="0" w:color="auto"/>
            </w:tcBorders>
            <w:shd w:val="clear" w:color="auto" w:fill="EAF1DD" w:themeFill="accent3" w:themeFillTint="33"/>
            <w:vAlign w:val="center"/>
          </w:tcPr>
          <w:p w14:paraId="1E7C93C2" w14:textId="0AED79BC" w:rsidR="00FA1933" w:rsidRPr="00E26D69" w:rsidRDefault="00F90F02" w:rsidP="00FA1933">
            <w:pPr>
              <w:jc w:val="center"/>
              <w:rPr>
                <w:rFonts w:ascii="Arial" w:hAnsi="Arial" w:cs="Arial"/>
                <w:b/>
                <w:bCs/>
                <w:color w:val="000000"/>
              </w:rPr>
            </w:pPr>
            <w:r>
              <w:rPr>
                <w:rFonts w:ascii="Arial" w:hAnsi="Arial" w:cs="Arial"/>
                <w:b/>
                <w:bCs/>
                <w:color w:val="000000"/>
              </w:rPr>
              <w:t>6,66</w:t>
            </w:r>
            <w:r w:rsidR="00E47B41">
              <w:rPr>
                <w:rFonts w:ascii="Arial" w:hAnsi="Arial" w:cs="Arial"/>
                <w:b/>
                <w:bCs/>
                <w:color w:val="000000"/>
              </w:rPr>
              <w:t>7</w:t>
            </w:r>
          </w:p>
        </w:tc>
        <w:tc>
          <w:tcPr>
            <w:tcW w:w="1266" w:type="dxa"/>
            <w:tcBorders>
              <w:top w:val="single" w:sz="4" w:space="0" w:color="auto"/>
              <w:bottom w:val="double" w:sz="4" w:space="0" w:color="auto"/>
            </w:tcBorders>
            <w:vAlign w:val="center"/>
            <w:hideMark/>
          </w:tcPr>
          <w:p w14:paraId="2C3D3D70" w14:textId="46CA6D15" w:rsidR="00FA1933" w:rsidRPr="00E26D69" w:rsidRDefault="00FA1933" w:rsidP="00FA1933">
            <w:pPr>
              <w:jc w:val="center"/>
              <w:rPr>
                <w:rFonts w:ascii="Arial" w:hAnsi="Arial" w:cs="Arial"/>
                <w:b/>
                <w:bCs/>
                <w:color w:val="000000"/>
              </w:rPr>
            </w:pPr>
            <w:r>
              <w:rPr>
                <w:rFonts w:ascii="Arial" w:hAnsi="Arial" w:cs="Arial"/>
                <w:b/>
                <w:bCs/>
                <w:color w:val="000000"/>
              </w:rPr>
              <w:t>1,581</w:t>
            </w:r>
          </w:p>
        </w:tc>
      </w:tr>
      <w:tr w:rsidR="00EF6BF1" w:rsidRPr="00E26D69" w14:paraId="6B4CC494" w14:textId="77777777" w:rsidTr="64AA5CCB">
        <w:trPr>
          <w:trHeight w:val="397"/>
        </w:trPr>
        <w:tc>
          <w:tcPr>
            <w:tcW w:w="4696" w:type="dxa"/>
            <w:shd w:val="clear" w:color="auto" w:fill="FFFFFF" w:themeFill="background1"/>
            <w:vAlign w:val="center"/>
            <w:hideMark/>
          </w:tcPr>
          <w:p w14:paraId="4E9BFC66" w14:textId="27271A7C" w:rsidR="00FA1933" w:rsidRPr="00123375" w:rsidRDefault="00FA1933" w:rsidP="00FA1933">
            <w:pPr>
              <w:ind w:left="-109"/>
              <w:rPr>
                <w:rFonts w:ascii="Arial" w:hAnsi="Arial" w:cs="Arial"/>
                <w:color w:val="000000"/>
              </w:rPr>
            </w:pPr>
            <w:r w:rsidRPr="00E26D69">
              <w:rPr>
                <w:rFonts w:ascii="Arial" w:hAnsi="Arial" w:cs="Arial"/>
                <w:b/>
                <w:bCs/>
                <w:color w:val="000000"/>
              </w:rPr>
              <w:t>Total Annually Managed Expenditure (AME)</w:t>
            </w:r>
            <w:r>
              <w:rPr>
                <w:rFonts w:ascii="Arial" w:hAnsi="Arial" w:cs="Arial"/>
                <w:b/>
                <w:bCs/>
                <w:color w:val="000000"/>
              </w:rPr>
              <w:t xml:space="preserve"> </w:t>
            </w:r>
            <w:r>
              <w:rPr>
                <w:rFonts w:ascii="Arial" w:hAnsi="Arial" w:cs="Arial"/>
                <w:color w:val="000000"/>
              </w:rPr>
              <w:t>(</w:t>
            </w:r>
            <w:hyperlink w:anchor="Note22AME" w:history="1">
              <w:r w:rsidRPr="009F7877">
                <w:rPr>
                  <w:rStyle w:val="Hyperlink"/>
                  <w:rFonts w:ascii="Arial" w:hAnsi="Arial" w:cs="Arial"/>
                </w:rPr>
                <w:t>note 2</w:t>
              </w:r>
              <w:r w:rsidR="00BF194D" w:rsidRPr="009F7877">
                <w:rPr>
                  <w:rStyle w:val="Hyperlink"/>
                  <w:rFonts w:ascii="Arial" w:hAnsi="Arial" w:cs="Arial"/>
                </w:rPr>
                <w:t>2</w:t>
              </w:r>
            </w:hyperlink>
            <w:r>
              <w:rPr>
                <w:rFonts w:ascii="Arial" w:hAnsi="Arial" w:cs="Arial"/>
                <w:color w:val="000000"/>
              </w:rPr>
              <w:t>)</w:t>
            </w:r>
          </w:p>
        </w:tc>
        <w:tc>
          <w:tcPr>
            <w:tcW w:w="1603" w:type="dxa"/>
            <w:tcBorders>
              <w:top w:val="double" w:sz="4" w:space="0" w:color="auto"/>
              <w:bottom w:val="double" w:sz="4" w:space="0" w:color="auto"/>
            </w:tcBorders>
            <w:shd w:val="clear" w:color="auto" w:fill="EAF1DD" w:themeFill="accent3" w:themeFillTint="33"/>
            <w:vAlign w:val="center"/>
          </w:tcPr>
          <w:p w14:paraId="512EA8F9" w14:textId="7166666F" w:rsidR="00FA1933" w:rsidRPr="00E26D69" w:rsidRDefault="00297798" w:rsidP="00FA1933">
            <w:pPr>
              <w:jc w:val="center"/>
              <w:rPr>
                <w:rFonts w:ascii="Arial" w:hAnsi="Arial" w:cs="Arial"/>
                <w:b/>
                <w:bCs/>
                <w:color w:val="000000"/>
              </w:rPr>
            </w:pPr>
            <w:r>
              <w:rPr>
                <w:rFonts w:ascii="Arial" w:hAnsi="Arial" w:cs="Arial"/>
                <w:b/>
                <w:bCs/>
                <w:color w:val="000000"/>
              </w:rPr>
              <w:t>20,</w:t>
            </w:r>
            <w:r w:rsidR="009E2594">
              <w:rPr>
                <w:rFonts w:ascii="Arial" w:hAnsi="Arial" w:cs="Arial"/>
                <w:b/>
                <w:bCs/>
                <w:color w:val="000000"/>
              </w:rPr>
              <w:t>21</w:t>
            </w:r>
            <w:r w:rsidR="008F4183">
              <w:rPr>
                <w:rFonts w:ascii="Arial" w:hAnsi="Arial" w:cs="Arial"/>
                <w:b/>
                <w:bCs/>
                <w:color w:val="000000"/>
              </w:rPr>
              <w:t>6</w:t>
            </w:r>
          </w:p>
        </w:tc>
        <w:tc>
          <w:tcPr>
            <w:tcW w:w="1128" w:type="dxa"/>
            <w:tcBorders>
              <w:top w:val="double" w:sz="4" w:space="0" w:color="auto"/>
              <w:bottom w:val="double" w:sz="4" w:space="0" w:color="auto"/>
            </w:tcBorders>
            <w:shd w:val="clear" w:color="auto" w:fill="EAF1DD" w:themeFill="accent3" w:themeFillTint="33"/>
            <w:vAlign w:val="center"/>
          </w:tcPr>
          <w:p w14:paraId="06154315" w14:textId="149C60BF" w:rsidR="00FA1933" w:rsidRPr="00E26D69" w:rsidRDefault="00297798" w:rsidP="00FA1933">
            <w:pPr>
              <w:jc w:val="center"/>
              <w:rPr>
                <w:rFonts w:ascii="Arial" w:hAnsi="Arial" w:cs="Arial"/>
                <w:b/>
                <w:bCs/>
                <w:color w:val="000000"/>
              </w:rPr>
            </w:pPr>
            <w:r>
              <w:rPr>
                <w:rFonts w:ascii="Arial" w:hAnsi="Arial" w:cs="Arial"/>
                <w:b/>
                <w:bCs/>
                <w:color w:val="000000"/>
              </w:rPr>
              <w:t>10,385</w:t>
            </w:r>
          </w:p>
        </w:tc>
        <w:tc>
          <w:tcPr>
            <w:tcW w:w="1801" w:type="dxa"/>
            <w:tcBorders>
              <w:top w:val="double" w:sz="4" w:space="0" w:color="auto"/>
              <w:bottom w:val="double" w:sz="4" w:space="0" w:color="auto"/>
            </w:tcBorders>
            <w:shd w:val="clear" w:color="auto" w:fill="EAF1DD" w:themeFill="accent3" w:themeFillTint="33"/>
            <w:vAlign w:val="center"/>
          </w:tcPr>
          <w:p w14:paraId="78BB424F" w14:textId="695B2B71" w:rsidR="00FA1933" w:rsidRPr="00E26D69" w:rsidRDefault="0061679D" w:rsidP="00FA1933">
            <w:pPr>
              <w:jc w:val="center"/>
              <w:rPr>
                <w:rFonts w:ascii="Arial" w:hAnsi="Arial" w:cs="Arial"/>
                <w:b/>
                <w:bCs/>
                <w:color w:val="000000"/>
              </w:rPr>
            </w:pPr>
            <w:r>
              <w:rPr>
                <w:rFonts w:ascii="Arial" w:hAnsi="Arial" w:cs="Arial"/>
                <w:b/>
                <w:bCs/>
                <w:color w:val="000000"/>
              </w:rPr>
              <w:t>(</w:t>
            </w:r>
            <w:r w:rsidR="009E2594">
              <w:rPr>
                <w:rFonts w:ascii="Arial" w:hAnsi="Arial" w:cs="Arial"/>
                <w:b/>
                <w:bCs/>
                <w:color w:val="000000"/>
              </w:rPr>
              <w:t>9</w:t>
            </w:r>
            <w:r>
              <w:rPr>
                <w:rFonts w:ascii="Arial" w:hAnsi="Arial" w:cs="Arial"/>
                <w:b/>
                <w:bCs/>
                <w:color w:val="000000"/>
              </w:rPr>
              <w:t>,</w:t>
            </w:r>
            <w:r w:rsidR="009E2594">
              <w:rPr>
                <w:rFonts w:ascii="Arial" w:hAnsi="Arial" w:cs="Arial"/>
                <w:b/>
                <w:bCs/>
                <w:color w:val="000000"/>
              </w:rPr>
              <w:t>83</w:t>
            </w:r>
            <w:r w:rsidR="00304878">
              <w:rPr>
                <w:rFonts w:ascii="Arial" w:hAnsi="Arial" w:cs="Arial"/>
                <w:b/>
                <w:bCs/>
                <w:color w:val="000000"/>
              </w:rPr>
              <w:t>1</w:t>
            </w:r>
            <w:r>
              <w:rPr>
                <w:rFonts w:ascii="Arial" w:hAnsi="Arial" w:cs="Arial"/>
                <w:b/>
                <w:bCs/>
                <w:color w:val="000000"/>
              </w:rPr>
              <w:t>)</w:t>
            </w:r>
          </w:p>
        </w:tc>
        <w:tc>
          <w:tcPr>
            <w:tcW w:w="1266" w:type="dxa"/>
            <w:tcBorders>
              <w:top w:val="double" w:sz="4" w:space="0" w:color="auto"/>
              <w:bottom w:val="double" w:sz="4" w:space="0" w:color="auto"/>
            </w:tcBorders>
            <w:vAlign w:val="center"/>
            <w:hideMark/>
          </w:tcPr>
          <w:p w14:paraId="42EBCE0E" w14:textId="2CA968D1" w:rsidR="00FA1933" w:rsidRPr="00E26D69" w:rsidRDefault="00FA1933" w:rsidP="00FA1933">
            <w:pPr>
              <w:jc w:val="center"/>
              <w:rPr>
                <w:rFonts w:ascii="Arial" w:hAnsi="Arial" w:cs="Arial"/>
                <w:b/>
                <w:bCs/>
                <w:color w:val="000000"/>
              </w:rPr>
            </w:pPr>
            <w:r>
              <w:rPr>
                <w:rFonts w:ascii="Arial" w:hAnsi="Arial" w:cs="Arial"/>
                <w:b/>
                <w:bCs/>
                <w:color w:val="000000"/>
              </w:rPr>
              <w:t>3,434</w:t>
            </w:r>
          </w:p>
        </w:tc>
      </w:tr>
    </w:tbl>
    <w:p w14:paraId="2C23C4E1" w14:textId="77777777" w:rsidR="00EF78B1" w:rsidRDefault="00EF78B1" w:rsidP="00C26DF1">
      <w:pPr>
        <w:spacing w:line="360" w:lineRule="auto"/>
        <w:rPr>
          <w:rFonts w:ascii="Arial" w:hAnsi="Arial" w:cs="Arial"/>
          <w:b/>
        </w:rPr>
      </w:pPr>
    </w:p>
    <w:p w14:paraId="1D1B3B4B" w14:textId="77777777" w:rsidR="00035B44" w:rsidRDefault="00035B44" w:rsidP="00C26DF1">
      <w:pPr>
        <w:spacing w:line="360" w:lineRule="auto"/>
        <w:rPr>
          <w:rFonts w:ascii="Arial" w:hAnsi="Arial" w:cs="Arial"/>
          <w:b/>
        </w:rPr>
      </w:pPr>
      <w:r>
        <w:rPr>
          <w:rFonts w:ascii="Arial" w:hAnsi="Arial" w:cs="Arial"/>
          <w:b/>
        </w:rPr>
        <w:br w:type="page"/>
      </w:r>
    </w:p>
    <w:p w14:paraId="63B3248B" w14:textId="0E84F0EC" w:rsidR="00E26D69" w:rsidRPr="00E26D69" w:rsidRDefault="00E26D69" w:rsidP="00C26DF1">
      <w:pPr>
        <w:spacing w:line="360" w:lineRule="auto"/>
        <w:rPr>
          <w:rFonts w:ascii="Arial" w:hAnsi="Arial" w:cs="Arial"/>
          <w:b/>
        </w:rPr>
      </w:pPr>
      <w:r w:rsidRPr="00E26D69">
        <w:rPr>
          <w:rFonts w:ascii="Arial" w:hAnsi="Arial" w:cs="Arial"/>
          <w:b/>
        </w:rPr>
        <w:lastRenderedPageBreak/>
        <w:t>Consolidated fund receipts</w:t>
      </w:r>
    </w:p>
    <w:p w14:paraId="604661AB" w14:textId="2099E43C" w:rsidR="004E7644" w:rsidRDefault="00E26D69" w:rsidP="00C23942">
      <w:pPr>
        <w:spacing w:line="360" w:lineRule="auto"/>
        <w:ind w:right="142"/>
        <w:rPr>
          <w:rFonts w:ascii="Arial" w:hAnsi="Arial" w:cs="Arial"/>
        </w:rPr>
      </w:pPr>
      <w:r w:rsidRPr="001E3D72">
        <w:rPr>
          <w:rFonts w:ascii="Arial" w:hAnsi="Arial" w:cs="Arial"/>
        </w:rPr>
        <w:t xml:space="preserve">SEPA collects penalties for EU Emissions Trading Scheme (EU ETS) and environmental offences. During </w:t>
      </w:r>
      <w:r w:rsidR="005E585D" w:rsidRPr="001E3D72">
        <w:rPr>
          <w:rFonts w:ascii="Arial" w:hAnsi="Arial" w:cs="Arial"/>
        </w:rPr>
        <w:t>202</w:t>
      </w:r>
      <w:r w:rsidR="005C31EB" w:rsidRPr="001E3D72">
        <w:rPr>
          <w:rFonts w:ascii="Arial" w:hAnsi="Arial" w:cs="Arial"/>
        </w:rPr>
        <w:t>1</w:t>
      </w:r>
      <w:r w:rsidR="005E585D" w:rsidRPr="001E3D72">
        <w:rPr>
          <w:rFonts w:ascii="Arial" w:hAnsi="Arial" w:cs="Arial"/>
        </w:rPr>
        <w:t>/2</w:t>
      </w:r>
      <w:r w:rsidR="005C31EB" w:rsidRPr="001E3D72">
        <w:rPr>
          <w:rFonts w:ascii="Arial" w:hAnsi="Arial" w:cs="Arial"/>
        </w:rPr>
        <w:t>2</w:t>
      </w:r>
      <w:r w:rsidRPr="001E3D72">
        <w:rPr>
          <w:rFonts w:ascii="Arial" w:hAnsi="Arial" w:cs="Arial"/>
        </w:rPr>
        <w:t>, penalt</w:t>
      </w:r>
      <w:r w:rsidR="009F7877">
        <w:rPr>
          <w:rFonts w:ascii="Arial" w:hAnsi="Arial" w:cs="Arial"/>
        </w:rPr>
        <w:t>y</w:t>
      </w:r>
      <w:r w:rsidRPr="001E3D72">
        <w:rPr>
          <w:rFonts w:ascii="Arial" w:hAnsi="Arial" w:cs="Arial"/>
        </w:rPr>
        <w:t xml:space="preserve"> </w:t>
      </w:r>
      <w:r w:rsidR="00FF0D35" w:rsidRPr="001E3D72">
        <w:rPr>
          <w:rFonts w:ascii="Arial" w:hAnsi="Arial" w:cs="Arial"/>
        </w:rPr>
        <w:t xml:space="preserve">notices </w:t>
      </w:r>
      <w:r w:rsidRPr="001E3D72">
        <w:rPr>
          <w:rFonts w:ascii="Arial" w:hAnsi="Arial" w:cs="Arial"/>
        </w:rPr>
        <w:t xml:space="preserve">of </w:t>
      </w:r>
      <w:r w:rsidR="0094480B" w:rsidRPr="001E3D72">
        <w:rPr>
          <w:rFonts w:ascii="Arial" w:hAnsi="Arial" w:cs="Arial"/>
        </w:rPr>
        <w:t>£</w:t>
      </w:r>
      <w:r w:rsidR="001E3D72" w:rsidRPr="001E3D72">
        <w:rPr>
          <w:rFonts w:ascii="Arial" w:hAnsi="Arial" w:cs="Arial"/>
        </w:rPr>
        <w:t>12.9</w:t>
      </w:r>
      <w:r w:rsidR="009A0159" w:rsidRPr="001E3D72">
        <w:rPr>
          <w:rFonts w:ascii="Arial" w:hAnsi="Arial" w:cs="Arial"/>
        </w:rPr>
        <w:t>m</w:t>
      </w:r>
      <w:r w:rsidRPr="001E3D72">
        <w:rPr>
          <w:rFonts w:ascii="Arial" w:hAnsi="Arial" w:cs="Arial"/>
        </w:rPr>
        <w:t xml:space="preserve"> (</w:t>
      </w:r>
      <w:r w:rsidR="005E585D" w:rsidRPr="001E3D72">
        <w:rPr>
          <w:rFonts w:ascii="Arial" w:hAnsi="Arial" w:cs="Arial"/>
        </w:rPr>
        <w:t>20</w:t>
      </w:r>
      <w:r w:rsidR="005C31EB" w:rsidRPr="001E3D72">
        <w:rPr>
          <w:rFonts w:ascii="Arial" w:hAnsi="Arial" w:cs="Arial"/>
        </w:rPr>
        <w:t>20</w:t>
      </w:r>
      <w:r w:rsidR="005E585D" w:rsidRPr="001E3D72">
        <w:rPr>
          <w:rFonts w:ascii="Arial" w:hAnsi="Arial" w:cs="Arial"/>
        </w:rPr>
        <w:t>/2</w:t>
      </w:r>
      <w:r w:rsidR="005C31EB" w:rsidRPr="001E3D72">
        <w:rPr>
          <w:rFonts w:ascii="Arial" w:hAnsi="Arial" w:cs="Arial"/>
        </w:rPr>
        <w:t>1</w:t>
      </w:r>
      <w:r w:rsidRPr="001E3D72">
        <w:rPr>
          <w:rFonts w:ascii="Arial" w:hAnsi="Arial" w:cs="Arial"/>
        </w:rPr>
        <w:t xml:space="preserve"> - £0.</w:t>
      </w:r>
      <w:r w:rsidR="005C31EB" w:rsidRPr="001E3D72">
        <w:rPr>
          <w:rFonts w:ascii="Arial" w:hAnsi="Arial" w:cs="Arial"/>
        </w:rPr>
        <w:t>0</w:t>
      </w:r>
      <w:r w:rsidRPr="001E3D72">
        <w:rPr>
          <w:rFonts w:ascii="Arial" w:hAnsi="Arial" w:cs="Arial"/>
        </w:rPr>
        <w:t xml:space="preserve">m) were </w:t>
      </w:r>
      <w:r w:rsidR="00FF0D35" w:rsidRPr="001E3D72">
        <w:rPr>
          <w:rFonts w:ascii="Arial" w:hAnsi="Arial" w:cs="Arial"/>
        </w:rPr>
        <w:t>raised</w:t>
      </w:r>
      <w:r w:rsidRPr="001E3D72">
        <w:rPr>
          <w:rFonts w:ascii="Arial" w:hAnsi="Arial" w:cs="Arial"/>
        </w:rPr>
        <w:t xml:space="preserve"> and </w:t>
      </w:r>
      <w:r w:rsidR="0094480B" w:rsidRPr="001E3D72">
        <w:rPr>
          <w:rFonts w:ascii="Arial" w:hAnsi="Arial" w:cs="Arial"/>
        </w:rPr>
        <w:t xml:space="preserve">payments </w:t>
      </w:r>
      <w:r w:rsidR="00790127" w:rsidRPr="001E3D72">
        <w:rPr>
          <w:rFonts w:ascii="Arial" w:hAnsi="Arial" w:cs="Arial"/>
        </w:rPr>
        <w:t>of £</w:t>
      </w:r>
      <w:r w:rsidR="003411FF" w:rsidRPr="001E3D72">
        <w:rPr>
          <w:rFonts w:ascii="Arial" w:hAnsi="Arial" w:cs="Arial"/>
        </w:rPr>
        <w:t>0.</w:t>
      </w:r>
      <w:r w:rsidR="001E3D72" w:rsidRPr="001E3D72">
        <w:rPr>
          <w:rFonts w:ascii="Arial" w:hAnsi="Arial" w:cs="Arial"/>
        </w:rPr>
        <w:t>8</w:t>
      </w:r>
      <w:r w:rsidR="003411FF" w:rsidRPr="001E3D72">
        <w:rPr>
          <w:rFonts w:ascii="Arial" w:hAnsi="Arial" w:cs="Arial"/>
        </w:rPr>
        <w:t>m</w:t>
      </w:r>
      <w:r w:rsidR="00790127" w:rsidRPr="001E3D72">
        <w:rPr>
          <w:rFonts w:ascii="Arial" w:hAnsi="Arial" w:cs="Arial"/>
        </w:rPr>
        <w:t xml:space="preserve"> were </w:t>
      </w:r>
      <w:r w:rsidR="0094480B" w:rsidRPr="001E3D72">
        <w:rPr>
          <w:rFonts w:ascii="Arial" w:hAnsi="Arial" w:cs="Arial"/>
        </w:rPr>
        <w:t>received and</w:t>
      </w:r>
      <w:r w:rsidR="00E622E4" w:rsidRPr="001E3D72">
        <w:rPr>
          <w:rFonts w:ascii="Arial" w:hAnsi="Arial" w:cs="Arial"/>
        </w:rPr>
        <w:t xml:space="preserve"> </w:t>
      </w:r>
      <w:r w:rsidRPr="001E3D72">
        <w:rPr>
          <w:rFonts w:ascii="Arial" w:hAnsi="Arial" w:cs="Arial"/>
        </w:rPr>
        <w:t>remitted to Scottish Government.</w:t>
      </w:r>
    </w:p>
    <w:p w14:paraId="7CEEF0E8" w14:textId="77777777" w:rsidR="00035B44" w:rsidRPr="00A534EB" w:rsidRDefault="00035B44" w:rsidP="00C23942">
      <w:pPr>
        <w:spacing w:line="360" w:lineRule="auto"/>
        <w:ind w:right="142"/>
        <w:rPr>
          <w:rFonts w:ascii="Arial" w:hAnsi="Arial" w:cs="Arial"/>
        </w:rPr>
      </w:pPr>
    </w:p>
    <w:p w14:paraId="694CFEA2" w14:textId="77777777" w:rsidR="00E26D69" w:rsidRPr="001F5A7A" w:rsidRDefault="00E26D69" w:rsidP="00C26DF1">
      <w:pPr>
        <w:spacing w:line="360" w:lineRule="auto"/>
        <w:rPr>
          <w:rFonts w:ascii="Arial" w:hAnsi="Arial" w:cs="Arial"/>
          <w:b/>
        </w:rPr>
      </w:pPr>
      <w:r w:rsidRPr="001F5A7A">
        <w:rPr>
          <w:rFonts w:ascii="Arial" w:hAnsi="Arial" w:cs="Arial"/>
          <w:b/>
        </w:rPr>
        <w:t>Value for money</w:t>
      </w:r>
    </w:p>
    <w:p w14:paraId="55814160" w14:textId="486194DB" w:rsidR="00635B00" w:rsidRDefault="00E26D69" w:rsidP="00654DCD">
      <w:pPr>
        <w:spacing w:line="360" w:lineRule="auto"/>
        <w:ind w:right="142"/>
        <w:rPr>
          <w:rFonts w:ascii="Arial" w:hAnsi="Arial" w:cs="Arial"/>
        </w:rPr>
      </w:pPr>
      <w:r w:rsidRPr="001F5A7A">
        <w:rPr>
          <w:rFonts w:ascii="Arial" w:hAnsi="Arial" w:cs="Arial"/>
        </w:rPr>
        <w:t xml:space="preserve">SEPA, like every other government body, is expected to deliver best value and achieve efficiency savings of at least 3% in </w:t>
      </w:r>
      <w:r w:rsidR="00B71765" w:rsidRPr="001F5A7A">
        <w:rPr>
          <w:rFonts w:ascii="Arial" w:hAnsi="Arial" w:cs="Arial"/>
        </w:rPr>
        <w:t>year</w:t>
      </w:r>
      <w:r w:rsidRPr="001F5A7A">
        <w:rPr>
          <w:rFonts w:ascii="Arial" w:hAnsi="Arial" w:cs="Arial"/>
        </w:rPr>
        <w:t xml:space="preserve">. </w:t>
      </w:r>
      <w:r w:rsidR="0067197F" w:rsidRPr="001F5A7A">
        <w:rPr>
          <w:rFonts w:ascii="Arial" w:hAnsi="Arial" w:cs="Arial"/>
        </w:rPr>
        <w:t>T</w:t>
      </w:r>
      <w:r w:rsidR="00FF443F" w:rsidRPr="001F5A7A">
        <w:rPr>
          <w:rFonts w:ascii="Arial" w:hAnsi="Arial" w:cs="Arial"/>
        </w:rPr>
        <w:t>o produce a balanced budget for 20</w:t>
      </w:r>
      <w:r w:rsidR="00D1123B" w:rsidRPr="001F5A7A">
        <w:rPr>
          <w:rFonts w:ascii="Arial" w:hAnsi="Arial" w:cs="Arial"/>
        </w:rPr>
        <w:t>21</w:t>
      </w:r>
      <w:r w:rsidR="00387B2F">
        <w:rPr>
          <w:rFonts w:ascii="Arial" w:hAnsi="Arial" w:cs="Arial"/>
        </w:rPr>
        <w:t>/</w:t>
      </w:r>
      <w:r w:rsidR="00FF443F" w:rsidRPr="001F5A7A">
        <w:rPr>
          <w:rFonts w:ascii="Arial" w:hAnsi="Arial" w:cs="Arial"/>
        </w:rPr>
        <w:t>202</w:t>
      </w:r>
      <w:r w:rsidR="00D1123B" w:rsidRPr="001F5A7A">
        <w:rPr>
          <w:rFonts w:ascii="Arial" w:hAnsi="Arial" w:cs="Arial"/>
        </w:rPr>
        <w:t>2</w:t>
      </w:r>
      <w:r w:rsidR="00FF443F" w:rsidRPr="001F5A7A">
        <w:rPr>
          <w:rFonts w:ascii="Arial" w:hAnsi="Arial" w:cs="Arial"/>
        </w:rPr>
        <w:t xml:space="preserve">, we </w:t>
      </w:r>
      <w:r w:rsidR="003E2BA6" w:rsidRPr="001F5A7A">
        <w:rPr>
          <w:rFonts w:ascii="Arial" w:hAnsi="Arial" w:cs="Arial"/>
        </w:rPr>
        <w:t>removed all vacant posts from the budget set</w:t>
      </w:r>
      <w:r w:rsidR="00387B2F">
        <w:rPr>
          <w:rFonts w:ascii="Arial" w:hAnsi="Arial" w:cs="Arial"/>
        </w:rPr>
        <w:t xml:space="preserve"> and </w:t>
      </w:r>
      <w:r w:rsidR="003E2BA6" w:rsidRPr="001F5A7A">
        <w:rPr>
          <w:rFonts w:ascii="Arial" w:hAnsi="Arial" w:cs="Arial"/>
        </w:rPr>
        <w:t>assumed</w:t>
      </w:r>
      <w:r w:rsidR="00D64C80" w:rsidRPr="001F5A7A">
        <w:rPr>
          <w:rFonts w:ascii="Arial" w:hAnsi="Arial" w:cs="Arial"/>
        </w:rPr>
        <w:t xml:space="preserve"> savings from </w:t>
      </w:r>
      <w:r w:rsidR="00AA0BB3" w:rsidRPr="001F5A7A">
        <w:rPr>
          <w:rFonts w:ascii="Arial" w:hAnsi="Arial" w:cs="Arial"/>
        </w:rPr>
        <w:t>staff turnover of approx</w:t>
      </w:r>
      <w:r w:rsidR="00786512" w:rsidRPr="001F5A7A">
        <w:rPr>
          <w:rFonts w:ascii="Arial" w:hAnsi="Arial" w:cs="Arial"/>
        </w:rPr>
        <w:t>i</w:t>
      </w:r>
      <w:r w:rsidR="001F5A7A" w:rsidRPr="001F5A7A">
        <w:rPr>
          <w:rFonts w:ascii="Arial" w:hAnsi="Arial" w:cs="Arial"/>
        </w:rPr>
        <w:t>mately</w:t>
      </w:r>
      <w:r w:rsidR="00AA0BB3" w:rsidRPr="001F5A7A">
        <w:rPr>
          <w:rFonts w:ascii="Arial" w:hAnsi="Arial" w:cs="Arial"/>
        </w:rPr>
        <w:t xml:space="preserve"> £800k</w:t>
      </w:r>
      <w:r w:rsidR="001F5A7A" w:rsidRPr="001F5A7A">
        <w:rPr>
          <w:rFonts w:ascii="Arial" w:hAnsi="Arial" w:cs="Arial"/>
        </w:rPr>
        <w:t>.</w:t>
      </w:r>
      <w:r w:rsidR="00AA0BB3" w:rsidRPr="001F5A7A">
        <w:rPr>
          <w:rFonts w:ascii="Arial" w:hAnsi="Arial" w:cs="Arial"/>
        </w:rPr>
        <w:t xml:space="preserve"> </w:t>
      </w:r>
    </w:p>
    <w:p w14:paraId="3D4817F9" w14:textId="77777777" w:rsidR="00D64C80" w:rsidRPr="00A534EB" w:rsidRDefault="00D64C80" w:rsidP="00654DCD">
      <w:pPr>
        <w:spacing w:line="360" w:lineRule="auto"/>
        <w:ind w:right="142"/>
        <w:rPr>
          <w:rFonts w:ascii="Arial" w:hAnsi="Arial" w:cs="Arial"/>
        </w:rPr>
      </w:pPr>
    </w:p>
    <w:p w14:paraId="48D44828" w14:textId="1EF7B178" w:rsidR="00E26D69" w:rsidRPr="00A534EB" w:rsidRDefault="00E26D69" w:rsidP="00654DCD">
      <w:pPr>
        <w:spacing w:line="360" w:lineRule="auto"/>
        <w:ind w:right="142"/>
        <w:rPr>
          <w:rFonts w:ascii="Arial" w:hAnsi="Arial" w:cs="Arial"/>
        </w:rPr>
      </w:pPr>
      <w:r w:rsidRPr="00A534EB">
        <w:rPr>
          <w:rFonts w:ascii="Arial" w:hAnsi="Arial" w:cs="Arial"/>
          <w:b/>
        </w:rPr>
        <w:t>Fees and charges</w:t>
      </w:r>
    </w:p>
    <w:p w14:paraId="13DAA3AD" w14:textId="5E0BB83A" w:rsidR="00C30D1B" w:rsidRPr="00A534EB" w:rsidRDefault="00E26D69" w:rsidP="00654DCD">
      <w:pPr>
        <w:spacing w:line="360" w:lineRule="auto"/>
        <w:ind w:right="142"/>
        <w:rPr>
          <w:rFonts w:ascii="Arial" w:hAnsi="Arial" w:cs="Arial"/>
        </w:rPr>
      </w:pPr>
      <w:r w:rsidRPr="00A534EB">
        <w:rPr>
          <w:rFonts w:ascii="Arial" w:hAnsi="Arial" w:cs="Arial"/>
        </w:rPr>
        <w:t xml:space="preserve">In </w:t>
      </w:r>
      <w:r w:rsidR="005E585D" w:rsidRPr="00A534EB">
        <w:rPr>
          <w:rFonts w:ascii="Arial" w:hAnsi="Arial" w:cs="Arial"/>
        </w:rPr>
        <w:t>202</w:t>
      </w:r>
      <w:r w:rsidR="008442ED">
        <w:rPr>
          <w:rFonts w:ascii="Arial" w:hAnsi="Arial" w:cs="Arial"/>
        </w:rPr>
        <w:t>1</w:t>
      </w:r>
      <w:r w:rsidR="005E585D" w:rsidRPr="00A534EB">
        <w:rPr>
          <w:rFonts w:ascii="Arial" w:hAnsi="Arial" w:cs="Arial"/>
        </w:rPr>
        <w:t>/2</w:t>
      </w:r>
      <w:r w:rsidR="008442ED">
        <w:rPr>
          <w:rFonts w:ascii="Arial" w:hAnsi="Arial" w:cs="Arial"/>
        </w:rPr>
        <w:t>2</w:t>
      </w:r>
      <w:r w:rsidRPr="00A534EB">
        <w:rPr>
          <w:rFonts w:ascii="Arial" w:hAnsi="Arial" w:cs="Arial"/>
        </w:rPr>
        <w:t xml:space="preserve">, SEPA </w:t>
      </w:r>
      <w:r w:rsidRPr="00734E6E">
        <w:rPr>
          <w:rFonts w:ascii="Arial" w:hAnsi="Arial" w:cs="Arial"/>
        </w:rPr>
        <w:t>earned</w:t>
      </w:r>
      <w:r w:rsidR="006D4C2A" w:rsidRPr="00734E6E">
        <w:rPr>
          <w:rFonts w:ascii="Arial" w:hAnsi="Arial" w:cs="Arial"/>
        </w:rPr>
        <w:t xml:space="preserve"> £</w:t>
      </w:r>
      <w:r w:rsidR="00734E6E" w:rsidRPr="00734E6E">
        <w:rPr>
          <w:rFonts w:ascii="Arial" w:hAnsi="Arial" w:cs="Arial"/>
        </w:rPr>
        <w:t>47.7</w:t>
      </w:r>
      <w:r w:rsidR="006D4C2A" w:rsidRPr="00734E6E">
        <w:rPr>
          <w:rFonts w:ascii="Arial" w:hAnsi="Arial" w:cs="Arial"/>
        </w:rPr>
        <w:t xml:space="preserve">m </w:t>
      </w:r>
      <w:r w:rsidRPr="00734E6E">
        <w:rPr>
          <w:rFonts w:ascii="Arial" w:hAnsi="Arial" w:cs="Arial"/>
        </w:rPr>
        <w:t>from</w:t>
      </w:r>
      <w:r w:rsidRPr="00A534EB">
        <w:rPr>
          <w:rFonts w:ascii="Arial" w:hAnsi="Arial" w:cs="Arial"/>
        </w:rPr>
        <w:t xml:space="preserve"> statutory charges and other income. SEPA </w:t>
      </w:r>
      <w:r w:rsidR="008417F7" w:rsidRPr="00A534EB">
        <w:rPr>
          <w:rFonts w:ascii="Arial" w:hAnsi="Arial" w:cs="Arial"/>
        </w:rPr>
        <w:t xml:space="preserve">fees and charges have been set to </w:t>
      </w:r>
      <w:r w:rsidRPr="00A534EB">
        <w:rPr>
          <w:rFonts w:ascii="Arial" w:hAnsi="Arial" w:cs="Arial"/>
        </w:rPr>
        <w:t>compl</w:t>
      </w:r>
      <w:r w:rsidR="006972EE" w:rsidRPr="00A534EB">
        <w:rPr>
          <w:rFonts w:ascii="Arial" w:hAnsi="Arial" w:cs="Arial"/>
        </w:rPr>
        <w:t>y</w:t>
      </w:r>
      <w:r w:rsidRPr="00A534EB">
        <w:rPr>
          <w:rFonts w:ascii="Arial" w:hAnsi="Arial" w:cs="Arial"/>
        </w:rPr>
        <w:t xml:space="preserve"> with the cost allocation and charging requirements set out by Scottish Public Finance Manual, HM Treasury</w:t>
      </w:r>
      <w:r w:rsidR="00035B44">
        <w:rPr>
          <w:rFonts w:ascii="Arial" w:hAnsi="Arial" w:cs="Arial"/>
        </w:rPr>
        <w:t>,</w:t>
      </w:r>
      <w:r w:rsidRPr="00A534EB">
        <w:rPr>
          <w:rFonts w:ascii="Arial" w:hAnsi="Arial" w:cs="Arial"/>
        </w:rPr>
        <w:t xml:space="preserve"> and the Office of Public Sector Information guidance on trading funds and commercial services.</w:t>
      </w:r>
      <w:r w:rsidR="008417F7" w:rsidRPr="00A534EB">
        <w:rPr>
          <w:rFonts w:ascii="Arial" w:hAnsi="Arial" w:cs="Arial"/>
        </w:rPr>
        <w:t xml:space="preserve"> </w:t>
      </w:r>
      <w:r w:rsidR="00D17B25">
        <w:rPr>
          <w:rFonts w:ascii="Arial" w:hAnsi="Arial" w:cs="Arial"/>
        </w:rPr>
        <w:t xml:space="preserve"> </w:t>
      </w:r>
      <w:hyperlink w:anchor="Note19Tradingaccountsschemes" w:history="1">
        <w:r w:rsidR="00D17B25" w:rsidRPr="00387B2F">
          <w:rPr>
            <w:rStyle w:val="Hyperlink"/>
            <w:rFonts w:ascii="Arial" w:hAnsi="Arial" w:cs="Arial"/>
          </w:rPr>
          <w:t>Note 1</w:t>
        </w:r>
        <w:r w:rsidR="00737147">
          <w:rPr>
            <w:rStyle w:val="Hyperlink"/>
            <w:rFonts w:ascii="Arial" w:hAnsi="Arial" w:cs="Arial"/>
          </w:rPr>
          <w:t>9</w:t>
        </w:r>
      </w:hyperlink>
      <w:r w:rsidR="00D17B25">
        <w:rPr>
          <w:rFonts w:ascii="Arial" w:hAnsi="Arial" w:cs="Arial"/>
        </w:rPr>
        <w:t xml:space="preserve"> of the </w:t>
      </w:r>
      <w:r w:rsidR="00502454">
        <w:rPr>
          <w:rFonts w:ascii="Arial" w:hAnsi="Arial" w:cs="Arial"/>
        </w:rPr>
        <w:t>Financial Statements provides the detail of our income, expenditure</w:t>
      </w:r>
      <w:r w:rsidR="00387B2F">
        <w:rPr>
          <w:rFonts w:ascii="Arial" w:hAnsi="Arial" w:cs="Arial"/>
        </w:rPr>
        <w:t>,</w:t>
      </w:r>
      <w:r w:rsidR="00502454">
        <w:rPr>
          <w:rFonts w:ascii="Arial" w:hAnsi="Arial" w:cs="Arial"/>
        </w:rPr>
        <w:t xml:space="preserve"> and cost recovery levels for charging schemes</w:t>
      </w:r>
      <w:r w:rsidR="00FC543A">
        <w:rPr>
          <w:rFonts w:ascii="Arial" w:hAnsi="Arial" w:cs="Arial"/>
        </w:rPr>
        <w:t xml:space="preserve">.  </w:t>
      </w:r>
      <w:hyperlink w:anchor="Note3otherincome" w:history="1">
        <w:r w:rsidR="00FC543A" w:rsidRPr="00387B2F">
          <w:rPr>
            <w:rStyle w:val="Hyperlink"/>
            <w:rFonts w:ascii="Arial" w:hAnsi="Arial" w:cs="Arial"/>
          </w:rPr>
          <w:t>Note 3</w:t>
        </w:r>
      </w:hyperlink>
      <w:r w:rsidR="00FC543A">
        <w:rPr>
          <w:rFonts w:ascii="Arial" w:hAnsi="Arial" w:cs="Arial"/>
        </w:rPr>
        <w:t xml:space="preserve"> shows a breakdown of our other income.</w:t>
      </w:r>
    </w:p>
    <w:p w14:paraId="5C8D518B" w14:textId="77777777" w:rsidR="00E26D69" w:rsidRPr="00A534EB" w:rsidRDefault="00E26D69" w:rsidP="00654DCD">
      <w:pPr>
        <w:spacing w:line="360" w:lineRule="auto"/>
        <w:ind w:right="142"/>
        <w:rPr>
          <w:rFonts w:ascii="Arial" w:hAnsi="Arial" w:cs="Arial"/>
          <w:b/>
          <w:color w:val="000000" w:themeColor="text1"/>
        </w:rPr>
      </w:pPr>
    </w:p>
    <w:p w14:paraId="347E394F" w14:textId="747B070A" w:rsidR="00E26D69" w:rsidRDefault="00E26D69" w:rsidP="00C26DF1">
      <w:pPr>
        <w:spacing w:line="360" w:lineRule="auto"/>
        <w:rPr>
          <w:rFonts w:ascii="Arial" w:hAnsi="Arial" w:cs="Arial"/>
          <w:color w:val="000000" w:themeColor="text1"/>
        </w:rPr>
      </w:pPr>
      <w:r w:rsidRPr="00A923BD">
        <w:rPr>
          <w:rFonts w:ascii="Arial" w:hAnsi="Arial" w:cs="Arial"/>
          <w:color w:val="000000" w:themeColor="text1"/>
        </w:rPr>
        <w:t xml:space="preserve">Approved by the Board on </w:t>
      </w:r>
      <w:r w:rsidR="00463A73" w:rsidRPr="00A923BD">
        <w:rPr>
          <w:rFonts w:ascii="Arial" w:hAnsi="Arial" w:cs="Arial"/>
          <w:color w:val="000000" w:themeColor="text1"/>
        </w:rPr>
        <w:t xml:space="preserve">29 November </w:t>
      </w:r>
      <w:r w:rsidR="00CD465C" w:rsidRPr="00A923BD">
        <w:rPr>
          <w:rFonts w:ascii="Arial" w:hAnsi="Arial" w:cs="Arial"/>
          <w:color w:val="000000" w:themeColor="text1"/>
        </w:rPr>
        <w:t>2022</w:t>
      </w:r>
      <w:r w:rsidRPr="00A923BD">
        <w:rPr>
          <w:rFonts w:ascii="Arial" w:hAnsi="Arial" w:cs="Arial"/>
          <w:color w:val="000000" w:themeColor="text1"/>
        </w:rPr>
        <w:t xml:space="preserve"> and signed on behalf of the Board</w:t>
      </w:r>
      <w:r w:rsidR="0049724E" w:rsidRPr="00A923BD">
        <w:rPr>
          <w:rFonts w:ascii="Arial" w:hAnsi="Arial" w:cs="Arial"/>
          <w:color w:val="000000" w:themeColor="text1"/>
        </w:rPr>
        <w:t xml:space="preserve"> on</w:t>
      </w:r>
      <w:r w:rsidR="00463A73" w:rsidRPr="00A923BD">
        <w:rPr>
          <w:rFonts w:ascii="Arial" w:hAnsi="Arial" w:cs="Arial"/>
          <w:color w:val="000000" w:themeColor="text1"/>
        </w:rPr>
        <w:t xml:space="preserve"> 0</w:t>
      </w:r>
      <w:r w:rsidR="008B64BA">
        <w:rPr>
          <w:rFonts w:ascii="Arial" w:hAnsi="Arial" w:cs="Arial"/>
          <w:color w:val="000000" w:themeColor="text1"/>
        </w:rPr>
        <w:t>2</w:t>
      </w:r>
      <w:r w:rsidR="00463A73" w:rsidRPr="00A923BD">
        <w:rPr>
          <w:rFonts w:ascii="Arial" w:hAnsi="Arial" w:cs="Arial"/>
          <w:color w:val="000000" w:themeColor="text1"/>
        </w:rPr>
        <w:t xml:space="preserve"> December</w:t>
      </w:r>
      <w:r w:rsidR="0049724E" w:rsidRPr="00A923BD">
        <w:rPr>
          <w:rFonts w:ascii="Arial" w:hAnsi="Arial" w:cs="Arial"/>
          <w:color w:val="000000" w:themeColor="text1"/>
        </w:rPr>
        <w:t xml:space="preserve"> 202</w:t>
      </w:r>
      <w:r w:rsidR="00CD465C" w:rsidRPr="00A923BD">
        <w:rPr>
          <w:rFonts w:ascii="Arial" w:hAnsi="Arial" w:cs="Arial"/>
          <w:color w:val="000000" w:themeColor="text1"/>
        </w:rPr>
        <w:t>2</w:t>
      </w:r>
      <w:r w:rsidRPr="00A923BD">
        <w:rPr>
          <w:rFonts w:ascii="Arial" w:hAnsi="Arial" w:cs="Arial"/>
          <w:color w:val="000000" w:themeColor="text1"/>
        </w:rPr>
        <w:t>.</w:t>
      </w:r>
    </w:p>
    <w:p w14:paraId="15BEEC00" w14:textId="77777777" w:rsidR="007D398E" w:rsidRDefault="007D398E" w:rsidP="00C26DF1">
      <w:pPr>
        <w:spacing w:line="360" w:lineRule="auto"/>
        <w:rPr>
          <w:rFonts w:ascii="Arial" w:hAnsi="Arial" w:cs="Arial"/>
          <w:color w:val="000000" w:themeColor="text1"/>
        </w:rPr>
      </w:pPr>
    </w:p>
    <w:p w14:paraId="6C602DC4" w14:textId="77777777" w:rsidR="007D398E" w:rsidRPr="00A534EB" w:rsidRDefault="007D398E" w:rsidP="00C26DF1">
      <w:pPr>
        <w:spacing w:line="360" w:lineRule="auto"/>
        <w:rPr>
          <w:rFonts w:ascii="Arial" w:hAnsi="Arial" w:cs="Arial"/>
          <w:color w:val="000000" w:themeColor="text1"/>
        </w:rPr>
      </w:pPr>
    </w:p>
    <w:p w14:paraId="1B0E5CF0" w14:textId="77777777" w:rsidR="00C23942" w:rsidRPr="00A534EB" w:rsidRDefault="00C23942" w:rsidP="00C26DF1">
      <w:pPr>
        <w:spacing w:line="360" w:lineRule="auto"/>
        <w:rPr>
          <w:rFonts w:ascii="Arial" w:hAnsi="Arial" w:cs="Arial"/>
          <w:b/>
          <w:color w:val="000000" w:themeColor="text1"/>
        </w:rPr>
      </w:pPr>
    </w:p>
    <w:p w14:paraId="4C3626B4" w14:textId="57698B2B" w:rsidR="00E26D69" w:rsidRPr="00A534EB" w:rsidRDefault="00E26D69" w:rsidP="00C26DF1">
      <w:pPr>
        <w:spacing w:line="360" w:lineRule="auto"/>
        <w:rPr>
          <w:rFonts w:ascii="Arial" w:hAnsi="Arial" w:cs="Arial"/>
          <w:b/>
        </w:rPr>
      </w:pPr>
      <w:r w:rsidRPr="00A534EB">
        <w:rPr>
          <w:rFonts w:ascii="Arial" w:hAnsi="Arial" w:cs="Arial"/>
          <w:b/>
        </w:rPr>
        <w:t>________________________________                                  _______________</w:t>
      </w:r>
    </w:p>
    <w:p w14:paraId="547794A4" w14:textId="19B6BA9A" w:rsidR="00E26D69" w:rsidRPr="00A534EB" w:rsidRDefault="00E22306" w:rsidP="00135BC5">
      <w:pPr>
        <w:rPr>
          <w:rFonts w:ascii="Arial" w:hAnsi="Arial" w:cs="Arial"/>
          <w:b/>
        </w:rPr>
      </w:pPr>
      <w:r>
        <w:rPr>
          <w:rFonts w:ascii="Arial" w:hAnsi="Arial" w:cs="Arial"/>
          <w:b/>
        </w:rPr>
        <w:t>Nicole Paterson</w:t>
      </w:r>
      <w:r w:rsidR="00CD465C">
        <w:rPr>
          <w:rFonts w:ascii="Arial" w:hAnsi="Arial" w:cs="Arial"/>
          <w:b/>
        </w:rPr>
        <w:tab/>
      </w:r>
      <w:r w:rsidR="00E26D69" w:rsidRPr="00A534EB">
        <w:rPr>
          <w:rFonts w:ascii="Arial" w:hAnsi="Arial" w:cs="Arial"/>
          <w:b/>
        </w:rPr>
        <w:tab/>
      </w:r>
      <w:r w:rsidR="00E26D69" w:rsidRPr="00A534EB">
        <w:rPr>
          <w:rFonts w:ascii="Arial" w:hAnsi="Arial" w:cs="Arial"/>
          <w:b/>
        </w:rPr>
        <w:tab/>
      </w:r>
      <w:r w:rsidR="00E26D69" w:rsidRPr="00A534EB">
        <w:rPr>
          <w:rFonts w:ascii="Arial" w:hAnsi="Arial" w:cs="Arial"/>
          <w:b/>
        </w:rPr>
        <w:tab/>
      </w:r>
      <w:r w:rsidR="00E26D69" w:rsidRPr="00A534EB">
        <w:rPr>
          <w:rFonts w:ascii="Arial" w:hAnsi="Arial" w:cs="Arial"/>
          <w:b/>
        </w:rPr>
        <w:tab/>
      </w:r>
      <w:r w:rsidR="00E26D69" w:rsidRPr="00A534EB">
        <w:rPr>
          <w:rFonts w:ascii="Arial" w:hAnsi="Arial" w:cs="Arial"/>
          <w:b/>
        </w:rPr>
        <w:tab/>
      </w:r>
      <w:r w:rsidR="00E26D69" w:rsidRPr="00A534EB">
        <w:rPr>
          <w:rFonts w:ascii="Arial" w:hAnsi="Arial" w:cs="Arial"/>
          <w:b/>
        </w:rPr>
        <w:tab/>
        <w:t>Date of signature</w:t>
      </w:r>
    </w:p>
    <w:p w14:paraId="0A8E3BD6" w14:textId="67630103" w:rsidR="00E26D69" w:rsidRPr="00E26D69" w:rsidRDefault="00E26D69" w:rsidP="00135BC5">
      <w:pPr>
        <w:rPr>
          <w:rFonts w:ascii="Arial" w:hAnsi="Arial" w:cs="Arial"/>
          <w:b/>
        </w:rPr>
      </w:pPr>
      <w:r w:rsidRPr="00A534EB">
        <w:rPr>
          <w:rFonts w:ascii="Arial" w:hAnsi="Arial" w:cs="Arial"/>
          <w:b/>
        </w:rPr>
        <w:t>Chief Executive and Accountable Officer</w:t>
      </w:r>
      <w:r w:rsidRPr="00E26D69">
        <w:rPr>
          <w:rFonts w:ascii="Arial" w:hAnsi="Arial" w:cs="Arial"/>
          <w:b/>
        </w:rPr>
        <w:tab/>
      </w:r>
      <w:r w:rsidRPr="00E26D69">
        <w:rPr>
          <w:rFonts w:ascii="Arial" w:hAnsi="Arial" w:cs="Arial"/>
          <w:b/>
        </w:rPr>
        <w:tab/>
      </w:r>
      <w:r w:rsidRPr="00E26D69">
        <w:rPr>
          <w:rFonts w:ascii="Arial" w:hAnsi="Arial" w:cs="Arial"/>
          <w:b/>
        </w:rPr>
        <w:tab/>
      </w:r>
    </w:p>
    <w:p w14:paraId="7005D7AF" w14:textId="464542AF" w:rsidR="00B0774F" w:rsidRDefault="00B0774F" w:rsidP="00E26D69">
      <w:pPr>
        <w:spacing w:line="360" w:lineRule="auto"/>
        <w:rPr>
          <w:rFonts w:ascii="Arial" w:hAnsi="Arial" w:cs="Arial"/>
        </w:rPr>
      </w:pPr>
      <w:r>
        <w:rPr>
          <w:rFonts w:ascii="Arial" w:hAnsi="Arial" w:cs="Arial"/>
        </w:rPr>
        <w:br w:type="page"/>
      </w:r>
    </w:p>
    <w:p w14:paraId="2B3056E0" w14:textId="5726253C" w:rsidR="00E26D69" w:rsidRPr="00C16BAA" w:rsidRDefault="00E26D69" w:rsidP="00A11485">
      <w:pPr>
        <w:pStyle w:val="01bSubheader"/>
        <w:numPr>
          <w:ilvl w:val="1"/>
          <w:numId w:val="13"/>
        </w:numPr>
        <w:ind w:left="567" w:hanging="567"/>
        <w:rPr>
          <w:lang w:eastAsia="en-US"/>
        </w:rPr>
      </w:pPr>
      <w:bookmarkStart w:id="32" w:name="_Toc119068090"/>
      <w:r w:rsidRPr="00C16BAA">
        <w:rPr>
          <w:lang w:eastAsia="en-US"/>
        </w:rPr>
        <w:lastRenderedPageBreak/>
        <w:t>Independent auditor’s report to the members of Scottish Environment Protection Agency, the Auditor General for Scotland</w:t>
      </w:r>
      <w:r w:rsidR="003F5066" w:rsidRPr="00C16BAA">
        <w:rPr>
          <w:lang w:eastAsia="en-US"/>
        </w:rPr>
        <w:t>,</w:t>
      </w:r>
      <w:r w:rsidRPr="00C16BAA">
        <w:rPr>
          <w:lang w:eastAsia="en-US"/>
        </w:rPr>
        <w:t xml:space="preserve"> and the Scottish Parliament</w:t>
      </w:r>
      <w:bookmarkEnd w:id="32"/>
    </w:p>
    <w:p w14:paraId="688EF7F2" w14:textId="03F8646C" w:rsidR="007938CE" w:rsidRPr="00C16BAA" w:rsidRDefault="007938CE" w:rsidP="008570D5">
      <w:pPr>
        <w:spacing w:line="360" w:lineRule="auto"/>
        <w:rPr>
          <w:rFonts w:ascii="Arial" w:hAnsi="Arial" w:cs="Arial"/>
          <w:lang w:eastAsia="en-US"/>
        </w:rPr>
      </w:pPr>
    </w:p>
    <w:p w14:paraId="25104E6A" w14:textId="79FC645D" w:rsidR="000E5729" w:rsidRPr="005001C8" w:rsidRDefault="00C101B6" w:rsidP="008570D5">
      <w:pPr>
        <w:pStyle w:val="01bSubheader"/>
        <w:rPr>
          <w:lang w:eastAsia="en-US"/>
        </w:rPr>
      </w:pPr>
      <w:r w:rsidRPr="00F93538">
        <w:rPr>
          <w:lang w:eastAsia="en-US"/>
        </w:rPr>
        <w:t>Report</w:t>
      </w:r>
      <w:r>
        <w:rPr>
          <w:lang w:eastAsia="en-US"/>
        </w:rPr>
        <w:t>ing</w:t>
      </w:r>
      <w:r w:rsidRPr="00F93538">
        <w:rPr>
          <w:lang w:eastAsia="en-US"/>
        </w:rPr>
        <w:t xml:space="preserve"> on the audit of the financial statements</w:t>
      </w:r>
    </w:p>
    <w:p w14:paraId="6B37B0B8" w14:textId="77777777" w:rsidR="00C101B6" w:rsidRPr="001839F8" w:rsidRDefault="00C101B6" w:rsidP="008570D5">
      <w:pPr>
        <w:pStyle w:val="Caption"/>
        <w:keepNext/>
        <w:spacing w:after="0" w:line="360" w:lineRule="auto"/>
        <w:rPr>
          <w:rFonts w:ascii="Arial" w:hAnsi="Arial" w:cs="Arial"/>
          <w:color w:val="000000" w:themeColor="text1"/>
          <w:sz w:val="24"/>
          <w:szCs w:val="24"/>
        </w:rPr>
      </w:pPr>
      <w:r w:rsidRPr="001839F8">
        <w:rPr>
          <w:rFonts w:ascii="Arial" w:hAnsi="Arial" w:cs="Arial"/>
          <w:color w:val="000000" w:themeColor="text1"/>
          <w:sz w:val="24"/>
          <w:szCs w:val="24"/>
        </w:rPr>
        <w:t>Qualified opinion on financial statements</w:t>
      </w:r>
    </w:p>
    <w:p w14:paraId="52837675" w14:textId="40CFF613" w:rsidR="00C101B6" w:rsidRDefault="00C101B6" w:rsidP="00AB0D49">
      <w:pPr>
        <w:spacing w:line="360" w:lineRule="auto"/>
        <w:ind w:right="142"/>
        <w:rPr>
          <w:rFonts w:ascii="Arial" w:hAnsi="Arial" w:cs="Arial"/>
        </w:rPr>
      </w:pPr>
      <w:r w:rsidRPr="003E1D35">
        <w:rPr>
          <w:rFonts w:ascii="Arial" w:hAnsi="Arial" w:cs="Arial"/>
        </w:rPr>
        <w:t>We have audited the financial statements in the annual report and accounts of Scottish Environment Protection Agency for the year ended 31 March 2022 under section 46 of the Environment Act 1995. The financial statements comprise the Statement of Comprehensive Net Expenditure, Statement of Financial Position, Statement of Cash Flows, Statement of Changes in Taxpayers’ Equity, and notes to the financial statements, including significant accounting policies. The financial reporting framework that has been applied in their preparation is applicable law and UK adopted international accounting standards, as interpreted and adapted by the 2021/22 Government Financial Reporting Manual (the 2021/22 FReM).</w:t>
      </w:r>
    </w:p>
    <w:p w14:paraId="051FFE63" w14:textId="77777777" w:rsidR="000E5729" w:rsidRPr="003E1D35" w:rsidRDefault="000E5729" w:rsidP="00AB0D49">
      <w:pPr>
        <w:spacing w:line="360" w:lineRule="auto"/>
        <w:ind w:right="142"/>
        <w:rPr>
          <w:rFonts w:ascii="Arial" w:hAnsi="Arial" w:cs="Arial"/>
        </w:rPr>
      </w:pPr>
    </w:p>
    <w:p w14:paraId="18644AD6" w14:textId="376EDA62" w:rsidR="00C101B6" w:rsidRDefault="00C101B6" w:rsidP="00AB0D49">
      <w:pPr>
        <w:spacing w:line="360" w:lineRule="auto"/>
        <w:ind w:right="142"/>
        <w:rPr>
          <w:rFonts w:ascii="Arial" w:hAnsi="Arial" w:cs="Arial"/>
        </w:rPr>
      </w:pPr>
      <w:r w:rsidRPr="000E5729">
        <w:rPr>
          <w:rFonts w:ascii="Arial" w:hAnsi="Arial" w:cs="Arial"/>
        </w:rPr>
        <w:t>In our opinion, except for the possible effects on the corresponding figures of the matter described in the Basis for qualified opinion section of our report, the accompanying financial statements:</w:t>
      </w:r>
    </w:p>
    <w:p w14:paraId="32BCA0D8" w14:textId="77777777" w:rsidR="000E5729" w:rsidRPr="000E5729" w:rsidRDefault="000E5729" w:rsidP="00AB0D49">
      <w:pPr>
        <w:spacing w:line="360" w:lineRule="auto"/>
        <w:ind w:right="142"/>
        <w:rPr>
          <w:rFonts w:ascii="Arial" w:hAnsi="Arial" w:cs="Arial"/>
        </w:rPr>
      </w:pPr>
    </w:p>
    <w:p w14:paraId="5A97AF89" w14:textId="6C39DE41" w:rsidR="00C101B6" w:rsidRDefault="00C101B6" w:rsidP="002740A7">
      <w:pPr>
        <w:pStyle w:val="ListParagraph"/>
        <w:numPr>
          <w:ilvl w:val="0"/>
          <w:numId w:val="24"/>
        </w:numPr>
        <w:spacing w:line="360" w:lineRule="auto"/>
        <w:rPr>
          <w:rFonts w:ascii="Arial" w:eastAsia="Arial" w:hAnsi="Arial" w:cs="Arial"/>
        </w:rPr>
      </w:pPr>
      <w:r w:rsidRPr="002740A7">
        <w:rPr>
          <w:rFonts w:ascii="Arial" w:eastAsia="Arial" w:hAnsi="Arial" w:cs="Arial"/>
        </w:rPr>
        <w:t>give a true and fair view in accordance with Section 45(2) of the Environment Act 1995 and directions made thereunder by the Scottish Ministers of the state of the body's affairs as at 31 March 2022 and of its net expenditure for the year then ended;</w:t>
      </w:r>
    </w:p>
    <w:p w14:paraId="0310610C" w14:textId="77777777" w:rsidR="00C003BC" w:rsidRPr="002740A7" w:rsidRDefault="00C003BC" w:rsidP="00C003BC">
      <w:pPr>
        <w:pStyle w:val="ListParagraph"/>
        <w:spacing w:line="360" w:lineRule="auto"/>
        <w:rPr>
          <w:rFonts w:ascii="Arial" w:eastAsia="Arial" w:hAnsi="Arial" w:cs="Arial"/>
        </w:rPr>
      </w:pPr>
    </w:p>
    <w:p w14:paraId="0835F2AA" w14:textId="2667BF89" w:rsidR="00C101B6" w:rsidRDefault="00C101B6" w:rsidP="002740A7">
      <w:pPr>
        <w:pStyle w:val="ListParagraph"/>
        <w:numPr>
          <w:ilvl w:val="0"/>
          <w:numId w:val="24"/>
        </w:numPr>
        <w:spacing w:line="360" w:lineRule="auto"/>
        <w:rPr>
          <w:rFonts w:ascii="Arial" w:eastAsia="Arial" w:hAnsi="Arial" w:cs="Arial"/>
        </w:rPr>
      </w:pPr>
      <w:r w:rsidRPr="002740A7">
        <w:rPr>
          <w:rFonts w:ascii="Arial" w:eastAsia="Arial" w:hAnsi="Arial" w:cs="Arial"/>
        </w:rPr>
        <w:t>have been properly prepared in accordance with UK adopted international accounting standards, as interpreted and adapted by the 2021/22 FReM; and</w:t>
      </w:r>
    </w:p>
    <w:p w14:paraId="752BAAC2" w14:textId="77777777" w:rsidR="00C003BC" w:rsidRPr="00C003BC" w:rsidRDefault="00C003BC" w:rsidP="00C003BC">
      <w:pPr>
        <w:spacing w:line="360" w:lineRule="auto"/>
        <w:rPr>
          <w:rFonts w:ascii="Arial" w:eastAsia="Arial" w:hAnsi="Arial" w:cs="Arial"/>
        </w:rPr>
      </w:pPr>
    </w:p>
    <w:p w14:paraId="18AB19B5" w14:textId="10B265D1" w:rsidR="00C101B6" w:rsidRDefault="00C101B6" w:rsidP="002740A7">
      <w:pPr>
        <w:pStyle w:val="ListParagraph"/>
        <w:numPr>
          <w:ilvl w:val="0"/>
          <w:numId w:val="24"/>
        </w:numPr>
        <w:spacing w:line="360" w:lineRule="auto"/>
        <w:rPr>
          <w:rFonts w:ascii="Arial" w:eastAsia="Arial" w:hAnsi="Arial" w:cs="Arial"/>
        </w:rPr>
      </w:pPr>
      <w:r w:rsidRPr="002740A7">
        <w:rPr>
          <w:rFonts w:ascii="Arial" w:eastAsia="Arial" w:hAnsi="Arial" w:cs="Arial"/>
        </w:rPr>
        <w:t xml:space="preserve">have been prepared in accordance with the requirements of Section 45(2) of the Environment Act 1995 and directions made thereunder by the Scottish Ministers. </w:t>
      </w:r>
    </w:p>
    <w:p w14:paraId="26F8BD26" w14:textId="77777777" w:rsidR="00C003BC" w:rsidRPr="00C003BC" w:rsidRDefault="00C003BC" w:rsidP="00C003BC">
      <w:pPr>
        <w:spacing w:line="360" w:lineRule="auto"/>
        <w:rPr>
          <w:rFonts w:ascii="Arial" w:eastAsia="Arial" w:hAnsi="Arial" w:cs="Arial"/>
        </w:rPr>
      </w:pPr>
    </w:p>
    <w:p w14:paraId="77060633" w14:textId="77777777" w:rsidR="00C101B6" w:rsidRPr="00C003BC" w:rsidRDefault="00C101B6" w:rsidP="009D591A">
      <w:pPr>
        <w:pStyle w:val="Caption"/>
        <w:keepNext/>
        <w:spacing w:after="0" w:line="360" w:lineRule="auto"/>
        <w:rPr>
          <w:rFonts w:ascii="Arial" w:hAnsi="Arial" w:cs="Arial"/>
          <w:color w:val="000000" w:themeColor="text1"/>
          <w:sz w:val="24"/>
          <w:szCs w:val="24"/>
        </w:rPr>
      </w:pPr>
      <w:r w:rsidRPr="00C003BC">
        <w:rPr>
          <w:rFonts w:ascii="Arial" w:hAnsi="Arial" w:cs="Arial"/>
          <w:color w:val="000000" w:themeColor="text1"/>
          <w:sz w:val="24"/>
          <w:szCs w:val="24"/>
        </w:rPr>
        <w:t>Basis for qualified opinion</w:t>
      </w:r>
    </w:p>
    <w:p w14:paraId="3D28BD60" w14:textId="0619D484" w:rsidR="00C101B6" w:rsidRDefault="00C101B6" w:rsidP="009D591A">
      <w:pPr>
        <w:spacing w:line="360" w:lineRule="auto"/>
        <w:ind w:right="142"/>
        <w:rPr>
          <w:rFonts w:ascii="Arial" w:hAnsi="Arial" w:cs="Arial"/>
        </w:rPr>
      </w:pPr>
      <w:r w:rsidRPr="00C003BC">
        <w:rPr>
          <w:rFonts w:ascii="Arial" w:hAnsi="Arial" w:cs="Arial"/>
        </w:rPr>
        <w:t xml:space="preserve">The cyber-attack suffered by the Scottish Environment Protection Agency on 24 December 2020 resulted in the loss of the body’s financial records for the year ended 31 March 2021. Consequently, the corresponding figures in the financial statements for the year ended 31 March 2022 were predominantly created using cash records. There were limitations in this </w:t>
      </w:r>
      <w:r w:rsidRPr="00C003BC">
        <w:rPr>
          <w:rFonts w:ascii="Arial" w:hAnsi="Arial" w:cs="Arial"/>
        </w:rPr>
        <w:lastRenderedPageBreak/>
        <w:t xml:space="preserve">approach, including lack of supporting documentation for some transactions and balances included in the financial statements. For Income from Contracts (£42.092 million) we were unable to obtain sufficient audit evidence over the underlying substance of the transactions and whether the income related to the Scottish Environment Protection Agency and was then subsequently accounted for appropriately. This also impacted on the bad debt written off in the year (£2.197 million) included with other Operating Charges where we were unable to gain assurance over the occurrence of the income recognised and subsequent amount written off. </w:t>
      </w:r>
    </w:p>
    <w:p w14:paraId="27FA78B0" w14:textId="77777777" w:rsidR="009D591A" w:rsidRPr="00C003BC" w:rsidRDefault="009D591A" w:rsidP="009D591A">
      <w:pPr>
        <w:spacing w:line="360" w:lineRule="auto"/>
        <w:ind w:right="142"/>
        <w:rPr>
          <w:rFonts w:ascii="Arial" w:hAnsi="Arial" w:cs="Arial"/>
        </w:rPr>
      </w:pPr>
    </w:p>
    <w:p w14:paraId="5EF5E69D" w14:textId="4CCD8E4B" w:rsidR="00C101B6" w:rsidRDefault="00C101B6" w:rsidP="009D591A">
      <w:pPr>
        <w:spacing w:line="360" w:lineRule="auto"/>
        <w:ind w:right="142"/>
        <w:rPr>
          <w:rFonts w:ascii="Arial" w:hAnsi="Arial" w:cs="Arial"/>
        </w:rPr>
      </w:pPr>
      <w:r w:rsidRPr="00C003BC">
        <w:rPr>
          <w:rFonts w:ascii="Arial" w:hAnsi="Arial" w:cs="Arial"/>
        </w:rPr>
        <w:t>As a result of these matters, we were unable to determine whether any adjustments might have been found necessary in respect of income balances and bad debts written off recorded in the Statement of Comprehensive Net Expenditure for the year ended 31 March 2021. This also impacted on the related entries in the Cash Flow Statement and Statement of Changes in Taxpayers’ Equity for the year ended 31 March 2021. We concluded that the possible effects on the financial statements of undetected misstatements for the year ended 31 March 2021 could be both material and pervasive and disclaimed our audit opinion on the financial statements accordingly.</w:t>
      </w:r>
    </w:p>
    <w:p w14:paraId="04D8B3AF" w14:textId="77777777" w:rsidR="005D3E6E" w:rsidRPr="00C003BC" w:rsidRDefault="005D3E6E" w:rsidP="009D591A">
      <w:pPr>
        <w:spacing w:line="360" w:lineRule="auto"/>
        <w:ind w:right="142"/>
        <w:rPr>
          <w:rFonts w:ascii="Arial" w:hAnsi="Arial" w:cs="Arial"/>
        </w:rPr>
      </w:pPr>
    </w:p>
    <w:p w14:paraId="1A9CED9A" w14:textId="0871EB49" w:rsidR="00C101B6" w:rsidRDefault="00C101B6" w:rsidP="009D591A">
      <w:pPr>
        <w:spacing w:line="360" w:lineRule="auto"/>
        <w:ind w:right="142"/>
        <w:rPr>
          <w:rFonts w:ascii="Arial" w:hAnsi="Arial" w:cs="Arial"/>
        </w:rPr>
      </w:pPr>
      <w:r w:rsidRPr="00C003BC">
        <w:rPr>
          <w:rFonts w:ascii="Arial" w:hAnsi="Arial" w:cs="Arial"/>
        </w:rPr>
        <w:t>Our opinion on the current year’s financial statements is qualified because of the possible effect of this matter on the comparability of the figures for the year ended 31 March 2022 and the corresponding figures for the year ended 31 March 2021.</w:t>
      </w:r>
    </w:p>
    <w:p w14:paraId="155C1787" w14:textId="77777777" w:rsidR="005D3E6E" w:rsidRPr="00C003BC" w:rsidRDefault="005D3E6E" w:rsidP="009D591A">
      <w:pPr>
        <w:spacing w:line="360" w:lineRule="auto"/>
        <w:ind w:right="142"/>
        <w:rPr>
          <w:rFonts w:ascii="Arial" w:hAnsi="Arial" w:cs="Arial"/>
        </w:rPr>
      </w:pPr>
    </w:p>
    <w:p w14:paraId="4D3499D9" w14:textId="77777777" w:rsidR="00D559A7" w:rsidRDefault="00C101B6" w:rsidP="009D591A">
      <w:pPr>
        <w:spacing w:line="360" w:lineRule="auto"/>
        <w:ind w:right="142"/>
        <w:rPr>
          <w:rFonts w:ascii="Arial" w:hAnsi="Arial" w:cs="Arial"/>
        </w:rPr>
      </w:pPr>
      <w:r w:rsidRPr="00D559A7">
        <w:rPr>
          <w:rFonts w:ascii="Arial" w:hAnsi="Arial" w:cs="Arial"/>
        </w:rPr>
        <w:t xml:space="preserve">We conducted our audit in accordance with applicable law and International Standards on Auditing (UK) (ISAs (UK)), as required by the </w:t>
      </w:r>
      <w:hyperlink r:id="rId75" w:history="1">
        <w:r w:rsidR="00D559A7" w:rsidRPr="00D559A7">
          <w:rPr>
            <w:rStyle w:val="Hyperlink"/>
            <w:rFonts w:ascii="Arial" w:hAnsi="Arial" w:cs="Arial"/>
          </w:rPr>
          <w:t>Code of Audit practice</w:t>
        </w:r>
      </w:hyperlink>
      <w:r w:rsidR="00D559A7">
        <w:rPr>
          <w:rFonts w:ascii="Arial" w:hAnsi="Arial" w:cs="Arial"/>
        </w:rPr>
        <w:t xml:space="preserve"> </w:t>
      </w:r>
      <w:r w:rsidRPr="00D559A7">
        <w:rPr>
          <w:rFonts w:ascii="Arial" w:hAnsi="Arial" w:cs="Arial"/>
        </w:rPr>
        <w:t>approved by the Auditor General for Scotland. Our responsibilities under those standards are further described in the auditor’s responsibilities for the audit of the financial statements section of our report. We were appointed by the Auditor General on 31 May 2016. The period of total uninterrupted appointment is six years. We are independent of the body in accordance with the ethical requirements that are relevant to our audit of the financial statements in the UK including the Financial Reporting Council’s Ethical Standard, and we have fulfilled our other ethical responsibilities in accordance with these requirements. Non-audit services prohibited by the Ethical Standard were not provided to the body. We believe that the audit evidence we have obtained is sufficient and appropriate to provide a basis for our qualified opinion</w:t>
      </w:r>
    </w:p>
    <w:p w14:paraId="501927B1" w14:textId="77777777" w:rsidR="00D559A7" w:rsidRDefault="00D559A7" w:rsidP="009D591A">
      <w:pPr>
        <w:spacing w:line="360" w:lineRule="auto"/>
        <w:ind w:right="142"/>
        <w:rPr>
          <w:rFonts w:ascii="Arial" w:hAnsi="Arial" w:cs="Arial"/>
        </w:rPr>
      </w:pPr>
    </w:p>
    <w:p w14:paraId="5DDA729B" w14:textId="75FEEEB9" w:rsidR="00C101B6" w:rsidRPr="00D559A7" w:rsidRDefault="00C101B6" w:rsidP="009D591A">
      <w:pPr>
        <w:pStyle w:val="Caption"/>
        <w:keepNext/>
        <w:spacing w:after="0" w:line="360" w:lineRule="auto"/>
        <w:rPr>
          <w:rFonts w:ascii="Arial" w:hAnsi="Arial" w:cs="Arial"/>
          <w:color w:val="000000" w:themeColor="text1"/>
          <w:sz w:val="24"/>
          <w:szCs w:val="24"/>
        </w:rPr>
      </w:pPr>
      <w:r w:rsidRPr="00D559A7">
        <w:rPr>
          <w:rFonts w:ascii="Arial" w:hAnsi="Arial" w:cs="Arial"/>
          <w:color w:val="000000" w:themeColor="text1"/>
          <w:sz w:val="24"/>
          <w:szCs w:val="24"/>
        </w:rPr>
        <w:t>Conclusions relating to going concern basis of accounting</w:t>
      </w:r>
    </w:p>
    <w:p w14:paraId="206B9288" w14:textId="3B378E95" w:rsidR="00C101B6" w:rsidRDefault="00C101B6" w:rsidP="009D591A">
      <w:pPr>
        <w:pStyle w:val="AS-P06-Bodytext"/>
        <w:spacing w:after="0" w:line="360" w:lineRule="auto"/>
        <w:ind w:right="-2"/>
        <w:rPr>
          <w:rFonts w:cs="Arial"/>
          <w:color w:val="auto"/>
          <w:szCs w:val="24"/>
        </w:rPr>
      </w:pPr>
      <w:r w:rsidRPr="00D559A7">
        <w:rPr>
          <w:rFonts w:cs="Arial"/>
          <w:color w:val="auto"/>
          <w:szCs w:val="24"/>
        </w:rPr>
        <w:t>We have concluded that the use of the going concern basis of accounting in the preparation of the financial statements is appropriate.</w:t>
      </w:r>
    </w:p>
    <w:p w14:paraId="5D65C1CB" w14:textId="77777777" w:rsidR="009D591A" w:rsidRPr="00D559A7" w:rsidRDefault="009D591A" w:rsidP="009D591A">
      <w:pPr>
        <w:pStyle w:val="AS-P06-Bodytext"/>
        <w:spacing w:after="0" w:line="360" w:lineRule="auto"/>
        <w:ind w:right="-2"/>
        <w:rPr>
          <w:rFonts w:cs="Arial"/>
          <w:color w:val="auto"/>
          <w:szCs w:val="24"/>
        </w:rPr>
      </w:pPr>
    </w:p>
    <w:p w14:paraId="59E1264C" w14:textId="3285D7CC" w:rsidR="00C101B6" w:rsidRDefault="00C101B6" w:rsidP="009D591A">
      <w:pPr>
        <w:spacing w:line="360" w:lineRule="auto"/>
        <w:ind w:right="142"/>
        <w:rPr>
          <w:rFonts w:ascii="Arial" w:hAnsi="Arial" w:cs="Arial"/>
        </w:rPr>
      </w:pPr>
      <w:r w:rsidRPr="002A196C">
        <w:rPr>
          <w:rFonts w:ascii="Arial" w:hAnsi="Arial" w:cs="Arial"/>
        </w:rPr>
        <w:t>Based on the work we have performed, we have not identified any material uncertainties relating to events or conditions that, individually or collectively, may cast significant doubt on the body’s ability to continue to adopt the going concern basis of accounting for a period of at least twelve months from when the financial statements are authorised for issue.</w:t>
      </w:r>
    </w:p>
    <w:p w14:paraId="53B48274" w14:textId="77777777" w:rsidR="00C64863" w:rsidRPr="002A196C" w:rsidRDefault="00C64863" w:rsidP="009D591A">
      <w:pPr>
        <w:spacing w:line="360" w:lineRule="auto"/>
        <w:ind w:right="142"/>
        <w:rPr>
          <w:rFonts w:ascii="Arial" w:hAnsi="Arial" w:cs="Arial"/>
        </w:rPr>
      </w:pPr>
    </w:p>
    <w:p w14:paraId="259CE678" w14:textId="36B30963" w:rsidR="00884D82" w:rsidRPr="002A196C" w:rsidRDefault="00C101B6" w:rsidP="00D311DE">
      <w:pPr>
        <w:spacing w:line="360" w:lineRule="auto"/>
        <w:ind w:right="142"/>
        <w:rPr>
          <w:rFonts w:ascii="Arial" w:hAnsi="Arial" w:cs="Arial"/>
        </w:rPr>
      </w:pPr>
      <w:r w:rsidRPr="002A196C">
        <w:rPr>
          <w:rFonts w:ascii="Arial" w:hAnsi="Arial" w:cs="Arial"/>
        </w:rPr>
        <w:t xml:space="preserve">These conclusions are not intended to, nor do they, provide assurance on the body’s current or future financial sustainability. However, we report on the body’s arrangements for financial sustainability in a separate Annual Audit Report available from the </w:t>
      </w:r>
      <w:hyperlink r:id="rId76" w:history="1">
        <w:r w:rsidR="00ED40F7" w:rsidRPr="00ED40F7">
          <w:rPr>
            <w:rStyle w:val="Hyperlink"/>
            <w:rFonts w:ascii="Arial" w:hAnsi="Arial"/>
          </w:rPr>
          <w:t>Audit</w:t>
        </w:r>
        <w:r w:rsidR="00ED40F7" w:rsidRPr="00ED40F7">
          <w:rPr>
            <w:rStyle w:val="Hyperlink"/>
            <w:rFonts w:ascii="Arial" w:hAnsi="Arial" w:cs="Arial"/>
          </w:rPr>
          <w:t xml:space="preserve"> Scotland website</w:t>
        </w:r>
      </w:hyperlink>
      <w:r w:rsidR="00884D82" w:rsidRPr="002A196C">
        <w:rPr>
          <w:rFonts w:ascii="Arial" w:hAnsi="Arial" w:cs="Arial"/>
        </w:rPr>
        <w:t>.</w:t>
      </w:r>
    </w:p>
    <w:p w14:paraId="13513E15" w14:textId="77777777" w:rsidR="00884D82" w:rsidRDefault="00884D82" w:rsidP="00D311DE">
      <w:pPr>
        <w:pStyle w:val="Caption"/>
        <w:keepNext/>
        <w:spacing w:after="0" w:line="360" w:lineRule="auto"/>
        <w:rPr>
          <w:rFonts w:ascii="Arial" w:hAnsi="Arial" w:cs="Arial"/>
          <w:color w:val="000000" w:themeColor="text1"/>
          <w:sz w:val="24"/>
          <w:szCs w:val="24"/>
        </w:rPr>
      </w:pPr>
    </w:p>
    <w:p w14:paraId="353B997F" w14:textId="0B493A60" w:rsidR="00C101B6" w:rsidRPr="00884D82" w:rsidRDefault="00C101B6" w:rsidP="00D311DE">
      <w:pPr>
        <w:pStyle w:val="Caption"/>
        <w:keepNext/>
        <w:spacing w:after="0" w:line="360" w:lineRule="auto"/>
        <w:rPr>
          <w:rFonts w:ascii="Arial" w:hAnsi="Arial" w:cs="Arial"/>
          <w:color w:val="000000" w:themeColor="text1"/>
          <w:sz w:val="24"/>
          <w:szCs w:val="24"/>
        </w:rPr>
      </w:pPr>
      <w:r w:rsidRPr="00884D82">
        <w:rPr>
          <w:rFonts w:ascii="Arial" w:hAnsi="Arial" w:cs="Arial"/>
          <w:color w:val="000000" w:themeColor="text1"/>
          <w:sz w:val="24"/>
          <w:szCs w:val="24"/>
        </w:rPr>
        <w:t>Risks of material misstatement</w:t>
      </w:r>
    </w:p>
    <w:p w14:paraId="4A7C6A16" w14:textId="44B2D42F" w:rsidR="00C101B6" w:rsidRDefault="00C101B6" w:rsidP="00D311DE">
      <w:pPr>
        <w:spacing w:line="360" w:lineRule="auto"/>
        <w:ind w:right="142"/>
        <w:rPr>
          <w:rFonts w:ascii="Arial" w:hAnsi="Arial" w:cs="Arial"/>
        </w:rPr>
      </w:pPr>
      <w:r w:rsidRPr="00C64863">
        <w:rPr>
          <w:rFonts w:ascii="Arial" w:hAnsi="Arial" w:cs="Arial"/>
        </w:rPr>
        <w:t>We report in our separate Annual Audit Report the most significant assessed risks of material misstatement that we identified and our judgements thereon.</w:t>
      </w:r>
    </w:p>
    <w:p w14:paraId="1B82F4D4" w14:textId="77777777" w:rsidR="00D311DE" w:rsidRPr="00C64863" w:rsidRDefault="00D311DE" w:rsidP="00D311DE">
      <w:pPr>
        <w:spacing w:line="360" w:lineRule="auto"/>
        <w:ind w:right="142"/>
        <w:rPr>
          <w:rFonts w:ascii="Arial" w:hAnsi="Arial" w:cs="Arial"/>
        </w:rPr>
      </w:pPr>
    </w:p>
    <w:p w14:paraId="21FEBCBD" w14:textId="77777777" w:rsidR="00C101B6" w:rsidRPr="00BD2A57" w:rsidRDefault="00C101B6" w:rsidP="00D311DE">
      <w:pPr>
        <w:pStyle w:val="Caption"/>
        <w:keepNext/>
        <w:spacing w:after="0" w:line="360" w:lineRule="auto"/>
        <w:rPr>
          <w:rFonts w:ascii="Arial" w:hAnsi="Arial" w:cs="Arial"/>
          <w:color w:val="000000" w:themeColor="text1"/>
          <w:sz w:val="24"/>
          <w:szCs w:val="24"/>
        </w:rPr>
      </w:pPr>
      <w:r w:rsidRPr="00BD2A57">
        <w:rPr>
          <w:rFonts w:ascii="Arial" w:hAnsi="Arial" w:cs="Arial"/>
          <w:color w:val="000000" w:themeColor="text1"/>
          <w:sz w:val="24"/>
          <w:szCs w:val="24"/>
        </w:rPr>
        <w:t>Responsibilities of the Accountable Officer for the financial statements</w:t>
      </w:r>
    </w:p>
    <w:p w14:paraId="449B63F8" w14:textId="3F1E09FF" w:rsidR="00C101B6" w:rsidRDefault="00C101B6" w:rsidP="00D311DE">
      <w:pPr>
        <w:spacing w:line="360" w:lineRule="auto"/>
        <w:ind w:right="142"/>
        <w:rPr>
          <w:rFonts w:ascii="Arial" w:hAnsi="Arial" w:cs="Arial"/>
        </w:rPr>
      </w:pPr>
      <w:r w:rsidRPr="00C64863">
        <w:rPr>
          <w:rFonts w:ascii="Arial" w:hAnsi="Arial" w:cs="Arial"/>
        </w:rPr>
        <w:t>As explained more fully in the Statement of Accountable Officer’s</w:t>
      </w:r>
      <w:r w:rsidRPr="00C64863" w:rsidDel="002B5A16">
        <w:rPr>
          <w:rFonts w:ascii="Arial" w:hAnsi="Arial" w:cs="Arial"/>
        </w:rPr>
        <w:t xml:space="preserve"> </w:t>
      </w:r>
      <w:r w:rsidRPr="00C64863">
        <w:rPr>
          <w:rFonts w:ascii="Arial" w:hAnsi="Arial" w:cs="Arial"/>
        </w:rPr>
        <w:t>Responsibilities, the Accountable Officer is responsible for the preparation of financial statements that give a true and fair view in accordance with the financial reporting framework, and for such internal control as the Accountable Officer determines is necessary to enable the preparation of financial statements that are free from material misstatement, whether due to fraud or error.</w:t>
      </w:r>
    </w:p>
    <w:p w14:paraId="7E724A88" w14:textId="77777777" w:rsidR="00C64863" w:rsidRPr="00C64863" w:rsidRDefault="00C64863" w:rsidP="00D311DE">
      <w:pPr>
        <w:spacing w:line="360" w:lineRule="auto"/>
        <w:ind w:right="142"/>
        <w:rPr>
          <w:rFonts w:ascii="Arial" w:hAnsi="Arial" w:cs="Arial"/>
        </w:rPr>
      </w:pPr>
    </w:p>
    <w:p w14:paraId="1856FB9C" w14:textId="09393EF6" w:rsidR="00C101B6" w:rsidRDefault="00C101B6" w:rsidP="00D311DE">
      <w:pPr>
        <w:spacing w:line="360" w:lineRule="auto"/>
        <w:ind w:right="142"/>
        <w:rPr>
          <w:rFonts w:ascii="Arial" w:hAnsi="Arial" w:cs="Arial"/>
        </w:rPr>
      </w:pPr>
      <w:r w:rsidRPr="00C64863">
        <w:rPr>
          <w:rFonts w:ascii="Arial" w:hAnsi="Arial" w:cs="Arial"/>
        </w:rPr>
        <w:t>In preparing the financial statements, the Accountable Officer is responsible for assessing the body’s ability to continue as a going concern, disclosing, as applicable, matters related to going concern and using the going concern basis of accounting unless there is an intention to discontinue the body’s operations.</w:t>
      </w:r>
    </w:p>
    <w:p w14:paraId="74312C1F" w14:textId="77777777" w:rsidR="00C64863" w:rsidRPr="00C64863" w:rsidRDefault="00C64863" w:rsidP="00D311DE">
      <w:pPr>
        <w:spacing w:line="360" w:lineRule="auto"/>
        <w:ind w:right="142"/>
        <w:rPr>
          <w:rFonts w:ascii="Arial" w:hAnsi="Arial" w:cs="Arial"/>
        </w:rPr>
      </w:pPr>
    </w:p>
    <w:p w14:paraId="5BFF5355" w14:textId="77777777" w:rsidR="00C101B6" w:rsidRPr="00BD2A57" w:rsidRDefault="00C101B6" w:rsidP="00D311DE">
      <w:pPr>
        <w:pStyle w:val="Caption"/>
        <w:keepNext/>
        <w:spacing w:after="0" w:line="360" w:lineRule="auto"/>
        <w:rPr>
          <w:rFonts w:ascii="Arial" w:hAnsi="Arial" w:cs="Arial"/>
          <w:color w:val="000000" w:themeColor="text1"/>
          <w:sz w:val="24"/>
          <w:szCs w:val="24"/>
        </w:rPr>
      </w:pPr>
      <w:r w:rsidRPr="00BD2A57">
        <w:rPr>
          <w:rFonts w:ascii="Arial" w:hAnsi="Arial" w:cs="Arial"/>
          <w:color w:val="000000" w:themeColor="text1"/>
          <w:sz w:val="24"/>
          <w:szCs w:val="24"/>
        </w:rPr>
        <w:t>Auditor’s responsibilities for the audit of the financial statements</w:t>
      </w:r>
    </w:p>
    <w:p w14:paraId="6D2CBE8A" w14:textId="5A9D1DAE" w:rsidR="00C101B6" w:rsidRDefault="00C101B6" w:rsidP="00D311DE">
      <w:pPr>
        <w:spacing w:line="360" w:lineRule="auto"/>
        <w:ind w:right="142"/>
        <w:rPr>
          <w:rFonts w:ascii="Arial" w:hAnsi="Arial" w:cs="Arial"/>
        </w:rPr>
      </w:pPr>
      <w:r w:rsidRPr="00C64863">
        <w:rPr>
          <w:rFonts w:ascii="Arial" w:hAnsi="Arial" w:cs="Arial"/>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(UK) will always detect material misstatement when it exists. Misstatements can arise from fraud or error and are considered material if, individually or in the aggregate, they could reasonably be expected to influence the decisions of users taken on the basis of these financial statements.</w:t>
      </w:r>
    </w:p>
    <w:p w14:paraId="58888A94" w14:textId="77777777" w:rsidR="00C64863" w:rsidRPr="00C64863" w:rsidRDefault="00C64863" w:rsidP="00D311DE">
      <w:pPr>
        <w:spacing w:line="360" w:lineRule="auto"/>
        <w:ind w:right="142"/>
        <w:rPr>
          <w:rFonts w:ascii="Arial" w:hAnsi="Arial" w:cs="Arial"/>
        </w:rPr>
      </w:pPr>
    </w:p>
    <w:p w14:paraId="6896AC17" w14:textId="5AEE07EC" w:rsidR="00C101B6" w:rsidRDefault="00C101B6" w:rsidP="00D311DE">
      <w:pPr>
        <w:spacing w:line="360" w:lineRule="auto"/>
        <w:ind w:right="142"/>
        <w:rPr>
          <w:rFonts w:ascii="Arial" w:hAnsi="Arial" w:cs="Arial"/>
        </w:rPr>
      </w:pPr>
      <w:r w:rsidRPr="00C64863">
        <w:rPr>
          <w:rFonts w:ascii="Arial" w:hAnsi="Arial" w:cs="Arial"/>
        </w:rPr>
        <w:lastRenderedPageBreak/>
        <w:t>Irregularities, including fraud, are instances of non-compliance with laws and regulations. We design procedures in line with our responsibilities outlined above to detect material misstatements in respect of irregularities, including fraud. Procedures include:</w:t>
      </w:r>
    </w:p>
    <w:p w14:paraId="78B2C2B8" w14:textId="77777777" w:rsidR="00C64863" w:rsidRPr="00C64863" w:rsidRDefault="00C64863" w:rsidP="00D311DE">
      <w:pPr>
        <w:spacing w:line="360" w:lineRule="auto"/>
        <w:ind w:right="142"/>
        <w:rPr>
          <w:rFonts w:ascii="Arial" w:hAnsi="Arial" w:cs="Arial"/>
        </w:rPr>
      </w:pPr>
    </w:p>
    <w:p w14:paraId="0DC96292" w14:textId="646AC1B9" w:rsidR="00E15614" w:rsidRPr="002A4795" w:rsidRDefault="00C101B6" w:rsidP="002A4795">
      <w:pPr>
        <w:pStyle w:val="ListParagraph"/>
        <w:numPr>
          <w:ilvl w:val="0"/>
          <w:numId w:val="24"/>
        </w:numPr>
        <w:spacing w:line="360" w:lineRule="auto"/>
        <w:rPr>
          <w:rFonts w:ascii="Arial" w:eastAsia="Arial" w:hAnsi="Arial" w:cs="Arial"/>
        </w:rPr>
      </w:pPr>
      <w:r w:rsidRPr="00C64863">
        <w:rPr>
          <w:rFonts w:ascii="Arial" w:eastAsia="Arial" w:hAnsi="Arial" w:cs="Arial"/>
        </w:rPr>
        <w:t>obtaining an understanding of the applicable legal and regulatory framework and how the body is complying with that framework;</w:t>
      </w:r>
    </w:p>
    <w:p w14:paraId="38064548" w14:textId="0E6A523B" w:rsidR="00E15614" w:rsidRPr="002A4795" w:rsidRDefault="00C101B6" w:rsidP="00E15614">
      <w:pPr>
        <w:pStyle w:val="ListParagraph"/>
        <w:numPr>
          <w:ilvl w:val="0"/>
          <w:numId w:val="24"/>
        </w:numPr>
        <w:spacing w:line="360" w:lineRule="auto"/>
        <w:rPr>
          <w:rFonts w:ascii="Arial" w:eastAsia="Arial" w:hAnsi="Arial" w:cs="Arial"/>
        </w:rPr>
      </w:pPr>
      <w:r w:rsidRPr="00C64863">
        <w:rPr>
          <w:rFonts w:ascii="Arial" w:eastAsia="Arial" w:hAnsi="Arial" w:cs="Arial"/>
        </w:rPr>
        <w:t>identifying which laws and regulations are significant in the context of the body;</w:t>
      </w:r>
    </w:p>
    <w:p w14:paraId="11DD4687" w14:textId="24FB4E0E" w:rsidR="00E15614" w:rsidRPr="002A4795" w:rsidRDefault="00C101B6" w:rsidP="00E15614">
      <w:pPr>
        <w:pStyle w:val="ListParagraph"/>
        <w:numPr>
          <w:ilvl w:val="0"/>
          <w:numId w:val="24"/>
        </w:numPr>
        <w:spacing w:line="360" w:lineRule="auto"/>
        <w:rPr>
          <w:rFonts w:ascii="Arial" w:eastAsia="Arial" w:hAnsi="Arial" w:cs="Arial"/>
        </w:rPr>
      </w:pPr>
      <w:r w:rsidRPr="00C64863">
        <w:rPr>
          <w:rFonts w:ascii="Arial" w:eastAsia="Arial" w:hAnsi="Arial" w:cs="Arial"/>
        </w:rPr>
        <w:t>assessing the susceptibility of the financial statements to material misstatement, including how fraud might occur; and</w:t>
      </w:r>
    </w:p>
    <w:p w14:paraId="15DBE886" w14:textId="1DAAE7BF" w:rsidR="00C101B6" w:rsidRDefault="00C101B6" w:rsidP="00C64863">
      <w:pPr>
        <w:pStyle w:val="ListParagraph"/>
        <w:numPr>
          <w:ilvl w:val="0"/>
          <w:numId w:val="24"/>
        </w:numPr>
        <w:spacing w:line="360" w:lineRule="auto"/>
        <w:rPr>
          <w:rFonts w:ascii="Arial" w:eastAsia="Arial" w:hAnsi="Arial" w:cs="Arial"/>
        </w:rPr>
      </w:pPr>
      <w:r w:rsidRPr="00C64863">
        <w:rPr>
          <w:rFonts w:ascii="Arial" w:eastAsia="Arial" w:hAnsi="Arial" w:cs="Arial"/>
        </w:rPr>
        <w:t>considering whether the audit team collectively has the appropriate competence and capabilities to identify or recognise non-compliance with laws and regulations.</w:t>
      </w:r>
    </w:p>
    <w:p w14:paraId="4089576A" w14:textId="77777777" w:rsidR="00C64863" w:rsidRPr="00C64863" w:rsidRDefault="00C64863" w:rsidP="00E15614">
      <w:pPr>
        <w:pStyle w:val="ListParagraph"/>
        <w:spacing w:line="360" w:lineRule="auto"/>
        <w:rPr>
          <w:rFonts w:ascii="Arial" w:eastAsia="Arial" w:hAnsi="Arial" w:cs="Arial"/>
        </w:rPr>
      </w:pPr>
    </w:p>
    <w:p w14:paraId="30742849" w14:textId="0F1B4D81" w:rsidR="00C101B6" w:rsidRDefault="00C101B6" w:rsidP="00E15614">
      <w:pPr>
        <w:spacing w:line="360" w:lineRule="auto"/>
        <w:ind w:right="142"/>
        <w:rPr>
          <w:rFonts w:ascii="Arial" w:hAnsi="Arial" w:cs="Arial"/>
        </w:rPr>
      </w:pPr>
      <w:r w:rsidRPr="00C64863">
        <w:rPr>
          <w:rFonts w:ascii="Arial" w:hAnsi="Arial" w:cs="Arial"/>
        </w:rPr>
        <w:t>The extent to which our procedures are capable of detecting irregularities, including fraud, is affected by the inherent difficulty in detecting irregularities, the effectiveness of the body’s controls, and the nature, timing and extent of the audit procedures performed.</w:t>
      </w:r>
    </w:p>
    <w:p w14:paraId="25790F34" w14:textId="77777777" w:rsidR="007C6060" w:rsidRPr="00C64863" w:rsidRDefault="007C6060" w:rsidP="00E15614">
      <w:pPr>
        <w:spacing w:line="360" w:lineRule="auto"/>
        <w:ind w:right="142"/>
        <w:rPr>
          <w:rFonts w:ascii="Arial" w:hAnsi="Arial" w:cs="Arial"/>
        </w:rPr>
      </w:pPr>
    </w:p>
    <w:p w14:paraId="733A368F" w14:textId="3049005A" w:rsidR="00C101B6" w:rsidRDefault="00C101B6" w:rsidP="00E15614">
      <w:pPr>
        <w:spacing w:line="360" w:lineRule="auto"/>
        <w:ind w:right="142"/>
        <w:rPr>
          <w:rFonts w:ascii="Arial" w:hAnsi="Arial" w:cs="Arial"/>
        </w:rPr>
      </w:pPr>
      <w:r w:rsidRPr="00C64863">
        <w:rPr>
          <w:rFonts w:ascii="Arial" w:hAnsi="Arial" w:cs="Arial"/>
        </w:rPr>
        <w:t>Irregularities that result from fraud are inherently more difficult to detect than irregularities that result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7B9F5AF4" w14:textId="77777777" w:rsidR="007C6060" w:rsidRPr="00C64863" w:rsidRDefault="007C6060" w:rsidP="00E15614">
      <w:pPr>
        <w:spacing w:line="360" w:lineRule="auto"/>
        <w:ind w:right="142"/>
        <w:rPr>
          <w:rFonts w:ascii="Arial" w:hAnsi="Arial" w:cs="Arial"/>
        </w:rPr>
      </w:pPr>
    </w:p>
    <w:p w14:paraId="1B4BF514" w14:textId="0F6DF9B7" w:rsidR="00C101B6" w:rsidRDefault="00C101B6" w:rsidP="00E15614">
      <w:pPr>
        <w:spacing w:line="360" w:lineRule="auto"/>
        <w:ind w:right="142"/>
        <w:rPr>
          <w:rFonts w:ascii="Arial" w:hAnsi="Arial" w:cs="Arial"/>
        </w:rPr>
      </w:pPr>
      <w:r w:rsidRPr="007C6060">
        <w:rPr>
          <w:rFonts w:ascii="Arial" w:hAnsi="Arial" w:cs="Arial"/>
        </w:rPr>
        <w:t xml:space="preserve">A further description of the auditor’s responsibilities for the audit of the financial statements is located on the Financial Reporting Council's website </w:t>
      </w:r>
      <w:hyperlink r:id="rId77" w:history="1">
        <w:r w:rsidR="007C6060" w:rsidRPr="00C04927">
          <w:rPr>
            <w:rStyle w:val="Hyperlink"/>
            <w:rFonts w:ascii="Arial" w:hAnsi="Arial" w:cs="Arial"/>
          </w:rPr>
          <w:t>www.frc.org.uk/auditorsresponsibilities</w:t>
        </w:r>
      </w:hyperlink>
      <w:r w:rsidRPr="007C6060">
        <w:rPr>
          <w:rFonts w:ascii="Arial" w:hAnsi="Arial" w:cs="Arial"/>
        </w:rPr>
        <w:t>. This description forms part of our auditor’s report.</w:t>
      </w:r>
    </w:p>
    <w:p w14:paraId="09119A81" w14:textId="77777777" w:rsidR="00640ECF" w:rsidRDefault="00640ECF" w:rsidP="00E15614">
      <w:pPr>
        <w:spacing w:line="360" w:lineRule="auto"/>
        <w:ind w:right="142"/>
        <w:rPr>
          <w:rFonts w:ascii="Arial" w:hAnsi="Arial" w:cs="Arial"/>
        </w:rPr>
      </w:pPr>
    </w:p>
    <w:p w14:paraId="4C05ADBF" w14:textId="77777777" w:rsidR="00C101B6" w:rsidRDefault="00C101B6" w:rsidP="00E15614">
      <w:pPr>
        <w:pStyle w:val="01bSubheader"/>
        <w:rPr>
          <w:lang w:eastAsia="en-US"/>
        </w:rPr>
      </w:pPr>
      <w:r w:rsidRPr="00F93538">
        <w:rPr>
          <w:lang w:eastAsia="en-US"/>
        </w:rPr>
        <w:t>Report</w:t>
      </w:r>
      <w:r>
        <w:rPr>
          <w:lang w:eastAsia="en-US"/>
        </w:rPr>
        <w:t>ing</w:t>
      </w:r>
      <w:r w:rsidRPr="00F93538">
        <w:rPr>
          <w:lang w:eastAsia="en-US"/>
        </w:rPr>
        <w:t xml:space="preserve"> on </w:t>
      </w:r>
      <w:r w:rsidRPr="005001C8">
        <w:rPr>
          <w:lang w:eastAsia="en-US"/>
        </w:rPr>
        <w:t>regularity</w:t>
      </w:r>
      <w:r>
        <w:rPr>
          <w:lang w:eastAsia="en-US"/>
        </w:rPr>
        <w:t xml:space="preserve"> of expenditure and income</w:t>
      </w:r>
    </w:p>
    <w:p w14:paraId="6F7B4989" w14:textId="473E1392" w:rsidR="007C6060" w:rsidRPr="00176218" w:rsidRDefault="00C101B6" w:rsidP="00176218">
      <w:pPr>
        <w:pStyle w:val="Caption"/>
        <w:keepNext/>
        <w:spacing w:after="0" w:line="360" w:lineRule="auto"/>
        <w:rPr>
          <w:rFonts w:ascii="Arial" w:hAnsi="Arial" w:cs="Arial"/>
          <w:color w:val="000000" w:themeColor="text1"/>
          <w:sz w:val="24"/>
          <w:szCs w:val="24"/>
        </w:rPr>
      </w:pPr>
      <w:r w:rsidRPr="007C6060">
        <w:rPr>
          <w:rFonts w:ascii="Arial" w:hAnsi="Arial" w:cs="Arial"/>
          <w:color w:val="000000" w:themeColor="text1"/>
          <w:sz w:val="24"/>
          <w:szCs w:val="24"/>
        </w:rPr>
        <w:t>Opinion on regularity</w:t>
      </w:r>
    </w:p>
    <w:p w14:paraId="16C2DBCE" w14:textId="67C0F1B2" w:rsidR="00C101B6" w:rsidRDefault="00C101B6" w:rsidP="00E15614">
      <w:pPr>
        <w:spacing w:line="360" w:lineRule="auto"/>
        <w:ind w:right="142"/>
        <w:rPr>
          <w:rFonts w:ascii="Arial" w:hAnsi="Arial" w:cs="Arial"/>
        </w:rPr>
      </w:pPr>
      <w:r w:rsidRPr="007C6060">
        <w:rPr>
          <w:rFonts w:ascii="Arial" w:hAnsi="Arial" w:cs="Arial"/>
        </w:rPr>
        <w:t>In our opinion in all material respects the expenditure and income in the financial statements were incurred or applied in accordance with any applicable enactments and guidance issued by the Scottish Ministers.</w:t>
      </w:r>
    </w:p>
    <w:p w14:paraId="70052D47" w14:textId="77777777" w:rsidR="007C6060" w:rsidRPr="007C6060" w:rsidRDefault="007C6060" w:rsidP="00E15614">
      <w:pPr>
        <w:spacing w:line="360" w:lineRule="auto"/>
        <w:ind w:right="142"/>
        <w:rPr>
          <w:rFonts w:ascii="Arial" w:hAnsi="Arial" w:cs="Arial"/>
        </w:rPr>
      </w:pPr>
    </w:p>
    <w:p w14:paraId="4C771E17" w14:textId="77777777" w:rsidR="00C101B6" w:rsidRPr="00176218" w:rsidRDefault="00C101B6" w:rsidP="00176218">
      <w:pPr>
        <w:pStyle w:val="Caption"/>
        <w:keepNext/>
        <w:spacing w:after="0" w:line="360" w:lineRule="auto"/>
        <w:rPr>
          <w:rFonts w:ascii="Arial" w:hAnsi="Arial" w:cs="Arial"/>
          <w:color w:val="000000" w:themeColor="text1"/>
          <w:sz w:val="24"/>
          <w:szCs w:val="24"/>
        </w:rPr>
      </w:pPr>
      <w:r w:rsidRPr="00176218">
        <w:rPr>
          <w:rFonts w:ascii="Arial" w:hAnsi="Arial" w:cs="Arial"/>
          <w:color w:val="000000" w:themeColor="text1"/>
          <w:sz w:val="24"/>
          <w:szCs w:val="24"/>
        </w:rPr>
        <w:t>Responsibilities for regularity</w:t>
      </w:r>
    </w:p>
    <w:p w14:paraId="10CA314C" w14:textId="5D927148" w:rsidR="00C101B6" w:rsidRDefault="00C101B6" w:rsidP="007C6060">
      <w:pPr>
        <w:spacing w:line="360" w:lineRule="auto"/>
        <w:ind w:right="142"/>
        <w:rPr>
          <w:rFonts w:ascii="Arial" w:hAnsi="Arial" w:cs="Arial"/>
        </w:rPr>
      </w:pPr>
      <w:r w:rsidRPr="007C6060">
        <w:rPr>
          <w:rFonts w:ascii="Arial" w:hAnsi="Arial" w:cs="Arial"/>
        </w:rPr>
        <w:t xml:space="preserve">The Accountable Officer is responsible for ensuring the regularity of expenditure and income. In addition to our responsibilities in respect of irregularities explained in the audit of the </w:t>
      </w:r>
      <w:r w:rsidRPr="007C6060">
        <w:rPr>
          <w:rFonts w:ascii="Arial" w:hAnsi="Arial" w:cs="Arial"/>
        </w:rPr>
        <w:lastRenderedPageBreak/>
        <w:t>financial statements section of our report, we are responsible for expressing an opinion on the regularity of expenditure and income in accordance with the Public Finance and Accountability (Scotland) Act 2000.</w:t>
      </w:r>
    </w:p>
    <w:p w14:paraId="1E0D1AEC" w14:textId="77777777" w:rsidR="007C6060" w:rsidRPr="007C6060" w:rsidRDefault="007C6060" w:rsidP="007C6060">
      <w:pPr>
        <w:spacing w:line="360" w:lineRule="auto"/>
        <w:ind w:right="142"/>
        <w:rPr>
          <w:rFonts w:ascii="Arial" w:hAnsi="Arial" w:cs="Arial"/>
        </w:rPr>
      </w:pPr>
    </w:p>
    <w:p w14:paraId="37D1FB63" w14:textId="77777777" w:rsidR="00C101B6" w:rsidRPr="003B5F70" w:rsidRDefault="00C101B6" w:rsidP="00640ECF">
      <w:pPr>
        <w:pStyle w:val="01bSubheader"/>
        <w:rPr>
          <w:lang w:eastAsia="en-US"/>
        </w:rPr>
      </w:pPr>
      <w:r w:rsidRPr="003B5F70">
        <w:rPr>
          <w:lang w:eastAsia="en-US"/>
        </w:rPr>
        <w:t>Report</w:t>
      </w:r>
      <w:r>
        <w:rPr>
          <w:lang w:eastAsia="en-US"/>
        </w:rPr>
        <w:t>ing</w:t>
      </w:r>
      <w:r w:rsidRPr="003B5F70">
        <w:rPr>
          <w:lang w:eastAsia="en-US"/>
        </w:rPr>
        <w:t xml:space="preserve"> on other requirements</w:t>
      </w:r>
    </w:p>
    <w:p w14:paraId="0DA5E972" w14:textId="77777777" w:rsidR="00C101B6" w:rsidRPr="007C6060" w:rsidRDefault="00C101B6" w:rsidP="00640ECF">
      <w:pPr>
        <w:pStyle w:val="Caption"/>
        <w:keepNext/>
        <w:spacing w:after="0" w:line="360" w:lineRule="auto"/>
        <w:rPr>
          <w:rFonts w:ascii="Arial" w:hAnsi="Arial" w:cs="Arial"/>
          <w:color w:val="000000" w:themeColor="text1"/>
          <w:sz w:val="24"/>
          <w:szCs w:val="24"/>
        </w:rPr>
      </w:pPr>
      <w:r w:rsidRPr="007C6060">
        <w:rPr>
          <w:rFonts w:ascii="Arial" w:hAnsi="Arial" w:cs="Arial"/>
          <w:color w:val="000000" w:themeColor="text1"/>
          <w:sz w:val="24"/>
          <w:szCs w:val="24"/>
        </w:rPr>
        <w:t>Opinion prescribed by the Auditor General for Scotland on audited part of the Remuneration and Staff Report</w:t>
      </w:r>
    </w:p>
    <w:p w14:paraId="30F98425" w14:textId="5CD8F172" w:rsidR="00C101B6" w:rsidRDefault="00C101B6" w:rsidP="00640ECF">
      <w:pPr>
        <w:spacing w:line="360" w:lineRule="auto"/>
        <w:ind w:right="142"/>
        <w:rPr>
          <w:rFonts w:ascii="Arial" w:hAnsi="Arial" w:cs="Arial"/>
        </w:rPr>
      </w:pPr>
      <w:r w:rsidRPr="007C6060">
        <w:rPr>
          <w:rFonts w:ascii="Arial" w:hAnsi="Arial" w:cs="Arial"/>
        </w:rPr>
        <w:t>We have audited the parts of the Remuneration and Staff Report described as audited. In our opinion, the audited part of the Remuneration and Staff Report has been properly prepared in accordance with the Environment Act 1995 and directions made thereunder by the Scottish Ministers.</w:t>
      </w:r>
    </w:p>
    <w:p w14:paraId="09B3809A" w14:textId="77777777" w:rsidR="007C6060" w:rsidRPr="007C6060" w:rsidRDefault="007C6060" w:rsidP="00640ECF">
      <w:pPr>
        <w:spacing w:line="360" w:lineRule="auto"/>
        <w:ind w:right="142"/>
        <w:rPr>
          <w:rFonts w:ascii="Arial" w:hAnsi="Arial" w:cs="Arial"/>
        </w:rPr>
      </w:pPr>
    </w:p>
    <w:p w14:paraId="6F4F4F16" w14:textId="53ABF61A" w:rsidR="00C101B6" w:rsidRPr="00921EBC" w:rsidRDefault="00C101B6" w:rsidP="00921EBC">
      <w:pPr>
        <w:pStyle w:val="Caption"/>
        <w:keepNext/>
        <w:spacing w:after="0" w:line="360" w:lineRule="auto"/>
        <w:rPr>
          <w:rFonts w:ascii="Arial" w:hAnsi="Arial" w:cs="Arial"/>
          <w:color w:val="000000" w:themeColor="text1"/>
          <w:sz w:val="24"/>
          <w:szCs w:val="24"/>
        </w:rPr>
      </w:pPr>
      <w:r w:rsidRPr="00921EBC">
        <w:rPr>
          <w:rFonts w:ascii="Arial" w:hAnsi="Arial" w:cs="Arial"/>
          <w:color w:val="000000" w:themeColor="text1"/>
          <w:sz w:val="24"/>
          <w:szCs w:val="24"/>
        </w:rPr>
        <w:t xml:space="preserve">Other information </w:t>
      </w:r>
    </w:p>
    <w:p w14:paraId="509A026A" w14:textId="7AB08CAD" w:rsidR="00C101B6" w:rsidRDefault="00C101B6" w:rsidP="00640ECF">
      <w:pPr>
        <w:spacing w:line="360" w:lineRule="auto"/>
        <w:ind w:right="142"/>
        <w:rPr>
          <w:rFonts w:ascii="Arial" w:hAnsi="Arial" w:cs="Arial"/>
        </w:rPr>
      </w:pPr>
      <w:r w:rsidRPr="007C6060">
        <w:rPr>
          <w:rFonts w:ascii="Arial" w:hAnsi="Arial" w:cs="Arial"/>
        </w:rPr>
        <w:t xml:space="preserve">The Accountable Officer is responsible for the other information in the annual report and accounts. The other information comprises the Performance Report and the Accountability Report excluding the audited part of the Remuneration and Staff Report. </w:t>
      </w:r>
    </w:p>
    <w:p w14:paraId="6211BA36" w14:textId="77777777" w:rsidR="0000036F" w:rsidRPr="007C6060" w:rsidRDefault="0000036F" w:rsidP="00640ECF">
      <w:pPr>
        <w:spacing w:line="360" w:lineRule="auto"/>
        <w:ind w:right="142"/>
        <w:rPr>
          <w:rFonts w:ascii="Arial" w:hAnsi="Arial" w:cs="Arial"/>
        </w:rPr>
      </w:pPr>
    </w:p>
    <w:p w14:paraId="3F5B8D6D" w14:textId="4B92AE32" w:rsidR="00C101B6" w:rsidRDefault="00C101B6" w:rsidP="00640ECF">
      <w:pPr>
        <w:spacing w:line="360" w:lineRule="auto"/>
        <w:ind w:right="142"/>
        <w:rPr>
          <w:rFonts w:ascii="Arial" w:hAnsi="Arial" w:cs="Arial"/>
        </w:rPr>
      </w:pPr>
      <w:r w:rsidRPr="007C6060">
        <w:rPr>
          <w:rFonts w:ascii="Arial" w:hAnsi="Arial" w:cs="Arial"/>
        </w:rPr>
        <w:t xml:space="preserve">Our responsibility is to read all the other information and, in doing so, consider whether the other information is materially inconsistent with the financial statements or our knowledge obtained in the course of the audit or otherwise appears to be materially misstated. If we identify such material inconsistencies or apparent material misstatements, we are required to determine whether this gives rise to a material misstatement in the financial statements themselves. If, based on the work we have performed, we conclude that there is a material misstatement of this other information, we are required to report that fact. </w:t>
      </w:r>
    </w:p>
    <w:p w14:paraId="55319831" w14:textId="77777777" w:rsidR="007C6060" w:rsidRPr="007C6060" w:rsidRDefault="007C6060" w:rsidP="00640ECF">
      <w:pPr>
        <w:spacing w:line="360" w:lineRule="auto"/>
        <w:ind w:right="142"/>
        <w:rPr>
          <w:rFonts w:ascii="Arial" w:hAnsi="Arial" w:cs="Arial"/>
        </w:rPr>
      </w:pPr>
    </w:p>
    <w:p w14:paraId="364D5E2C" w14:textId="6AA87C72" w:rsidR="00C101B6" w:rsidRDefault="00C101B6" w:rsidP="00640ECF">
      <w:pPr>
        <w:spacing w:line="360" w:lineRule="auto"/>
        <w:ind w:right="142"/>
        <w:rPr>
          <w:rFonts w:ascii="Arial" w:hAnsi="Arial" w:cs="Arial"/>
        </w:rPr>
      </w:pPr>
      <w:r w:rsidRPr="007C6060">
        <w:rPr>
          <w:rFonts w:ascii="Arial" w:hAnsi="Arial" w:cs="Arial"/>
        </w:rPr>
        <w:t xml:space="preserve">As described in the Basis for qualified opinion section of our report, due to the cyber-attack and loss of records, we disclaimed our opinion on the financial statements for the year ended 31 March 2021. Accordingly, we have concluded that where the other information relates to these corresponding figures it may be materially misstated.  </w:t>
      </w:r>
    </w:p>
    <w:p w14:paraId="5CBB09CA" w14:textId="77777777" w:rsidR="007C6060" w:rsidRPr="007C6060" w:rsidRDefault="007C6060" w:rsidP="00640ECF">
      <w:pPr>
        <w:spacing w:line="360" w:lineRule="auto"/>
        <w:ind w:right="142"/>
        <w:rPr>
          <w:rFonts w:ascii="Arial" w:hAnsi="Arial" w:cs="Arial"/>
        </w:rPr>
      </w:pPr>
    </w:p>
    <w:p w14:paraId="51229414" w14:textId="6DA2EFFA" w:rsidR="00C101B6" w:rsidRDefault="00C101B6" w:rsidP="00640ECF">
      <w:pPr>
        <w:spacing w:line="360" w:lineRule="auto"/>
        <w:ind w:right="142"/>
        <w:rPr>
          <w:rFonts w:ascii="Arial" w:hAnsi="Arial" w:cs="Arial"/>
        </w:rPr>
      </w:pPr>
      <w:r w:rsidRPr="007C6060">
        <w:rPr>
          <w:rFonts w:ascii="Arial" w:hAnsi="Arial" w:cs="Arial"/>
        </w:rPr>
        <w:t>Our opinion on the financial statements does not cover the other information and we do not express any form of assurance conclusion thereon except on the Performance Report and Governance Statement to the extent explicitly stated in the following opinions prescribed by the Auditor General for Scotland.</w:t>
      </w:r>
    </w:p>
    <w:p w14:paraId="1EDD4587" w14:textId="77777777" w:rsidR="00640ECF" w:rsidRPr="007C6060" w:rsidRDefault="00640ECF" w:rsidP="00640ECF">
      <w:pPr>
        <w:spacing w:line="360" w:lineRule="auto"/>
        <w:ind w:right="142"/>
        <w:rPr>
          <w:rFonts w:ascii="Arial" w:hAnsi="Arial" w:cs="Arial"/>
        </w:rPr>
      </w:pPr>
    </w:p>
    <w:p w14:paraId="369791CB" w14:textId="77777777" w:rsidR="00C101B6" w:rsidRPr="00BB49EA" w:rsidRDefault="00C101B6" w:rsidP="00BB49EA">
      <w:pPr>
        <w:pStyle w:val="Caption"/>
        <w:keepNext/>
        <w:spacing w:after="0" w:line="360" w:lineRule="auto"/>
        <w:rPr>
          <w:rFonts w:ascii="Arial" w:hAnsi="Arial" w:cs="Arial"/>
          <w:color w:val="000000" w:themeColor="text1"/>
          <w:sz w:val="24"/>
          <w:szCs w:val="24"/>
        </w:rPr>
      </w:pPr>
      <w:r w:rsidRPr="00BB49EA">
        <w:rPr>
          <w:rFonts w:ascii="Arial" w:hAnsi="Arial" w:cs="Arial"/>
          <w:color w:val="000000" w:themeColor="text1"/>
          <w:sz w:val="24"/>
          <w:szCs w:val="24"/>
        </w:rPr>
        <w:lastRenderedPageBreak/>
        <w:t>Qualified opinions on a matter prescribed by the Auditor General for Scotland on Performance Report and Governance Statement</w:t>
      </w:r>
    </w:p>
    <w:p w14:paraId="6FC0DA02" w14:textId="56BD188B" w:rsidR="00C101B6" w:rsidRDefault="00C101B6" w:rsidP="00640ECF">
      <w:pPr>
        <w:spacing w:line="360" w:lineRule="auto"/>
        <w:ind w:right="142"/>
        <w:rPr>
          <w:rFonts w:ascii="Arial" w:hAnsi="Arial" w:cs="Arial"/>
        </w:rPr>
      </w:pPr>
      <w:r w:rsidRPr="007C6060">
        <w:rPr>
          <w:rFonts w:ascii="Arial" w:hAnsi="Arial" w:cs="Arial"/>
        </w:rPr>
        <w:t>In our opinion, except for the possible effects on the corresponding figures of the matter described in the Basis for qualified opinion section of our report, based on the work undertaken in the course of the audit:</w:t>
      </w:r>
    </w:p>
    <w:p w14:paraId="2F6382F6" w14:textId="77777777" w:rsidR="007C6060" w:rsidRPr="007C6060" w:rsidRDefault="007C6060" w:rsidP="00640ECF">
      <w:pPr>
        <w:spacing w:line="360" w:lineRule="auto"/>
        <w:ind w:right="142"/>
        <w:rPr>
          <w:rFonts w:ascii="Arial" w:hAnsi="Arial" w:cs="Arial"/>
        </w:rPr>
      </w:pPr>
    </w:p>
    <w:p w14:paraId="54786095" w14:textId="04CEEDD1" w:rsidR="00C101B6" w:rsidRDefault="00C101B6" w:rsidP="00640ECF">
      <w:pPr>
        <w:pStyle w:val="ListParagraph"/>
        <w:numPr>
          <w:ilvl w:val="0"/>
          <w:numId w:val="24"/>
        </w:numPr>
        <w:spacing w:line="360" w:lineRule="auto"/>
        <w:rPr>
          <w:rFonts w:ascii="Arial" w:eastAsia="Arial" w:hAnsi="Arial" w:cs="Arial"/>
        </w:rPr>
      </w:pPr>
      <w:r w:rsidRPr="007C6060">
        <w:rPr>
          <w:rFonts w:ascii="Arial" w:eastAsia="Arial" w:hAnsi="Arial" w:cs="Arial"/>
        </w:rPr>
        <w:t>the information given in the Performance Report for the financial year for which the financial statements are prepared is consistent with the financial statements and that report has been prepared in accordance with the Public Finance and Accountability (Scotland) Act 2000 and directions made thereunder by the Scottish Ministers; and</w:t>
      </w:r>
    </w:p>
    <w:p w14:paraId="118626A6" w14:textId="77777777" w:rsidR="007C6060" w:rsidRPr="007C6060" w:rsidRDefault="007C6060" w:rsidP="00640ECF">
      <w:pPr>
        <w:pStyle w:val="ListParagraph"/>
        <w:spacing w:line="360" w:lineRule="auto"/>
        <w:rPr>
          <w:rFonts w:ascii="Arial" w:eastAsia="Arial" w:hAnsi="Arial" w:cs="Arial"/>
        </w:rPr>
      </w:pPr>
    </w:p>
    <w:p w14:paraId="30AEF6B8" w14:textId="64EDEC0D" w:rsidR="007C6060" w:rsidRDefault="00C101B6" w:rsidP="00640ECF">
      <w:pPr>
        <w:pStyle w:val="ListParagraph"/>
        <w:numPr>
          <w:ilvl w:val="0"/>
          <w:numId w:val="24"/>
        </w:numPr>
        <w:spacing w:line="360" w:lineRule="auto"/>
        <w:rPr>
          <w:rFonts w:ascii="Arial" w:eastAsia="Arial" w:hAnsi="Arial" w:cs="Arial"/>
        </w:rPr>
      </w:pPr>
      <w:r w:rsidRPr="007C6060">
        <w:rPr>
          <w:rFonts w:ascii="Arial" w:eastAsia="Arial" w:hAnsi="Arial" w:cs="Arial"/>
        </w:rPr>
        <w:t>the information given in the Governance Statement for the financial year for which the financial statements are prepared is consistent with the financial statements and that report has been prepared in accordance with the Public Finance and Accountability (Scotland) Act 2000 and directions made thereunder by the Scottish Ministers.</w:t>
      </w:r>
    </w:p>
    <w:p w14:paraId="1685AABB" w14:textId="77777777" w:rsidR="007C6060" w:rsidRPr="007C6060" w:rsidRDefault="007C6060" w:rsidP="00640ECF">
      <w:pPr>
        <w:spacing w:line="360" w:lineRule="auto"/>
        <w:rPr>
          <w:rFonts w:ascii="Arial" w:eastAsia="Arial" w:hAnsi="Arial" w:cs="Arial"/>
        </w:rPr>
      </w:pPr>
    </w:p>
    <w:p w14:paraId="025825C5" w14:textId="77777777" w:rsidR="00C101B6" w:rsidRPr="00BB49EA" w:rsidRDefault="00C101B6" w:rsidP="00BB49EA">
      <w:pPr>
        <w:pStyle w:val="Caption"/>
        <w:keepNext/>
        <w:spacing w:after="0" w:line="360" w:lineRule="auto"/>
        <w:rPr>
          <w:rFonts w:ascii="Arial" w:hAnsi="Arial" w:cs="Arial"/>
          <w:color w:val="000000" w:themeColor="text1"/>
          <w:sz w:val="24"/>
          <w:szCs w:val="24"/>
        </w:rPr>
      </w:pPr>
      <w:r w:rsidRPr="00BB49EA">
        <w:rPr>
          <w:rFonts w:ascii="Arial" w:hAnsi="Arial" w:cs="Arial"/>
          <w:color w:val="000000" w:themeColor="text1"/>
          <w:sz w:val="24"/>
          <w:szCs w:val="24"/>
        </w:rPr>
        <w:t>Matters on which we are required to report by exception</w:t>
      </w:r>
    </w:p>
    <w:p w14:paraId="0AAD97EA" w14:textId="45672014" w:rsidR="00C101B6" w:rsidRDefault="00C101B6" w:rsidP="00640ECF">
      <w:pPr>
        <w:spacing w:line="360" w:lineRule="auto"/>
        <w:ind w:right="142"/>
        <w:rPr>
          <w:rFonts w:ascii="Arial" w:hAnsi="Arial" w:cs="Arial"/>
        </w:rPr>
      </w:pPr>
      <w:r w:rsidRPr="007C6060">
        <w:rPr>
          <w:rFonts w:ascii="Arial" w:hAnsi="Arial" w:cs="Arial"/>
        </w:rPr>
        <w:t>We are required by the Auditor General for Scotland to report to you if, in our opinion:</w:t>
      </w:r>
    </w:p>
    <w:p w14:paraId="20467F2D" w14:textId="77777777" w:rsidR="007C6060" w:rsidRPr="007C6060" w:rsidRDefault="007C6060" w:rsidP="00640ECF">
      <w:pPr>
        <w:spacing w:line="360" w:lineRule="auto"/>
        <w:ind w:right="142"/>
        <w:rPr>
          <w:rFonts w:ascii="Arial" w:hAnsi="Arial" w:cs="Arial"/>
        </w:rPr>
      </w:pPr>
    </w:p>
    <w:p w14:paraId="40A998F8" w14:textId="77777777" w:rsidR="00C101B6" w:rsidRPr="007C6060" w:rsidRDefault="00C101B6" w:rsidP="00640ECF">
      <w:pPr>
        <w:pStyle w:val="ListParagraph"/>
        <w:numPr>
          <w:ilvl w:val="0"/>
          <w:numId w:val="24"/>
        </w:numPr>
        <w:spacing w:line="360" w:lineRule="auto"/>
        <w:rPr>
          <w:rFonts w:ascii="Arial" w:eastAsia="Arial" w:hAnsi="Arial" w:cs="Arial"/>
        </w:rPr>
      </w:pPr>
      <w:r w:rsidRPr="007C6060">
        <w:rPr>
          <w:rFonts w:ascii="Arial" w:eastAsia="Arial" w:hAnsi="Arial" w:cs="Arial"/>
        </w:rPr>
        <w:t>adequate accounting records have not been kept; or</w:t>
      </w:r>
    </w:p>
    <w:p w14:paraId="455E2BF7" w14:textId="77777777" w:rsidR="00C101B6" w:rsidRPr="007C6060" w:rsidRDefault="00C101B6" w:rsidP="00640ECF">
      <w:pPr>
        <w:pStyle w:val="ListParagraph"/>
        <w:numPr>
          <w:ilvl w:val="0"/>
          <w:numId w:val="24"/>
        </w:numPr>
        <w:spacing w:line="360" w:lineRule="auto"/>
        <w:rPr>
          <w:rFonts w:ascii="Arial" w:eastAsia="Arial" w:hAnsi="Arial" w:cs="Arial"/>
        </w:rPr>
      </w:pPr>
      <w:r w:rsidRPr="007C6060">
        <w:rPr>
          <w:rFonts w:ascii="Arial" w:eastAsia="Arial" w:hAnsi="Arial" w:cs="Arial"/>
        </w:rPr>
        <w:t>the financial statements and the audited part of the Remuneration and Staff Report are not in agreement with the accounting records; or</w:t>
      </w:r>
    </w:p>
    <w:p w14:paraId="48C97108" w14:textId="4B89A801" w:rsidR="00C101B6" w:rsidRDefault="00C101B6" w:rsidP="00640ECF">
      <w:pPr>
        <w:pStyle w:val="ListParagraph"/>
        <w:numPr>
          <w:ilvl w:val="0"/>
          <w:numId w:val="24"/>
        </w:numPr>
        <w:spacing w:line="360" w:lineRule="auto"/>
        <w:rPr>
          <w:rFonts w:ascii="Arial" w:eastAsia="Arial" w:hAnsi="Arial" w:cs="Arial"/>
        </w:rPr>
      </w:pPr>
      <w:r w:rsidRPr="007C6060">
        <w:rPr>
          <w:rFonts w:ascii="Arial" w:eastAsia="Arial" w:hAnsi="Arial" w:cs="Arial"/>
        </w:rPr>
        <w:t>We have not received all the information and explanations we require for our audit.</w:t>
      </w:r>
    </w:p>
    <w:p w14:paraId="7AFF1337" w14:textId="77777777" w:rsidR="007C6060" w:rsidRPr="007C6060" w:rsidRDefault="007C6060" w:rsidP="00640ECF">
      <w:pPr>
        <w:spacing w:line="360" w:lineRule="auto"/>
        <w:rPr>
          <w:rFonts w:ascii="Arial" w:eastAsia="Arial" w:hAnsi="Arial" w:cs="Arial"/>
        </w:rPr>
      </w:pPr>
    </w:p>
    <w:p w14:paraId="730212A0" w14:textId="40C57082" w:rsidR="00C101B6" w:rsidRDefault="00C101B6" w:rsidP="007C6060">
      <w:pPr>
        <w:spacing w:line="360" w:lineRule="auto"/>
        <w:ind w:right="142"/>
        <w:rPr>
          <w:rFonts w:ascii="Arial" w:hAnsi="Arial" w:cs="Arial"/>
        </w:rPr>
      </w:pPr>
      <w:r w:rsidRPr="007C6060">
        <w:rPr>
          <w:rFonts w:ascii="Arial" w:hAnsi="Arial" w:cs="Arial"/>
        </w:rPr>
        <w:t>We have nothing to report in respect of these matters.</w:t>
      </w:r>
    </w:p>
    <w:p w14:paraId="7179FA93" w14:textId="77777777" w:rsidR="007C6060" w:rsidRPr="007C6060" w:rsidRDefault="007C6060" w:rsidP="007C6060">
      <w:pPr>
        <w:spacing w:line="360" w:lineRule="auto"/>
        <w:ind w:right="142"/>
        <w:rPr>
          <w:rFonts w:ascii="Arial" w:hAnsi="Arial" w:cs="Arial"/>
        </w:rPr>
      </w:pPr>
    </w:p>
    <w:p w14:paraId="31917259" w14:textId="77777777" w:rsidR="00C101B6" w:rsidRPr="00DD1F2A" w:rsidRDefault="00C101B6" w:rsidP="00DD1F2A">
      <w:pPr>
        <w:pStyle w:val="Caption"/>
        <w:keepNext/>
        <w:spacing w:after="0" w:line="360" w:lineRule="auto"/>
        <w:rPr>
          <w:rFonts w:ascii="Arial" w:hAnsi="Arial" w:cs="Arial"/>
          <w:color w:val="000000" w:themeColor="text1"/>
          <w:sz w:val="24"/>
          <w:szCs w:val="24"/>
        </w:rPr>
      </w:pPr>
      <w:r w:rsidRPr="00DD1F2A">
        <w:rPr>
          <w:rFonts w:ascii="Arial" w:hAnsi="Arial" w:cs="Arial"/>
          <w:color w:val="000000" w:themeColor="text1"/>
          <w:sz w:val="24"/>
          <w:szCs w:val="24"/>
        </w:rPr>
        <w:t>Conclusions on wider scope responsibilities</w:t>
      </w:r>
    </w:p>
    <w:p w14:paraId="33DC7B4D" w14:textId="0E43E482" w:rsidR="00C101B6" w:rsidRDefault="00C101B6" w:rsidP="007C6060">
      <w:pPr>
        <w:spacing w:line="360" w:lineRule="auto"/>
        <w:ind w:right="142"/>
        <w:rPr>
          <w:rFonts w:ascii="Arial" w:hAnsi="Arial" w:cs="Arial"/>
        </w:rPr>
      </w:pPr>
      <w:r w:rsidRPr="007C6060">
        <w:rPr>
          <w:rFonts w:ascii="Arial" w:hAnsi="Arial" w:cs="Arial"/>
        </w:rPr>
        <w:t>In addition to our responsibilities for the annual report and accounts, our conclusions on the wider scope responsibilities specified in the Code of Audit Practice are set out in our Annual Audit Report.</w:t>
      </w:r>
    </w:p>
    <w:p w14:paraId="5DA201A7" w14:textId="018B1AE3" w:rsidR="00117BD7" w:rsidRDefault="00117BD7" w:rsidP="007C6060">
      <w:pPr>
        <w:spacing w:line="360" w:lineRule="auto"/>
        <w:ind w:right="142"/>
        <w:rPr>
          <w:rFonts w:ascii="Arial" w:hAnsi="Arial" w:cs="Arial"/>
        </w:rPr>
      </w:pPr>
      <w:r>
        <w:rPr>
          <w:rFonts w:ascii="Arial" w:hAnsi="Arial" w:cs="Arial"/>
        </w:rPr>
        <w:br w:type="page"/>
      </w:r>
    </w:p>
    <w:p w14:paraId="50932A2A" w14:textId="77777777" w:rsidR="007C6060" w:rsidRPr="007C6060" w:rsidRDefault="007C6060" w:rsidP="007C6060">
      <w:pPr>
        <w:spacing w:line="360" w:lineRule="auto"/>
        <w:ind w:right="142"/>
        <w:rPr>
          <w:rFonts w:ascii="Arial" w:hAnsi="Arial" w:cs="Arial"/>
        </w:rPr>
      </w:pPr>
    </w:p>
    <w:p w14:paraId="2C7310F1" w14:textId="77777777" w:rsidR="00C101B6" w:rsidRDefault="00C101B6" w:rsidP="007C6060">
      <w:pPr>
        <w:pStyle w:val="01bSubheader"/>
        <w:rPr>
          <w:lang w:eastAsia="en-US"/>
        </w:rPr>
      </w:pPr>
      <w:r>
        <w:rPr>
          <w:lang w:eastAsia="en-US"/>
        </w:rPr>
        <w:t>Use of our report</w:t>
      </w:r>
    </w:p>
    <w:p w14:paraId="555DAA77" w14:textId="77777777" w:rsidR="00C101B6" w:rsidRPr="007C6060" w:rsidRDefault="00C101B6" w:rsidP="007C6060">
      <w:pPr>
        <w:spacing w:line="360" w:lineRule="auto"/>
        <w:ind w:right="142"/>
        <w:rPr>
          <w:rFonts w:ascii="Arial" w:hAnsi="Arial" w:cs="Arial"/>
        </w:rPr>
      </w:pPr>
      <w:r w:rsidRPr="007C6060">
        <w:rPr>
          <w:rFonts w:ascii="Arial" w:hAnsi="Arial" w:cs="Arial"/>
        </w:rPr>
        <w:t>This report is made solely to the parties to whom it is addressed in accordance with the Public Finance and Accountability (Scotland) Act 2000 and for no other purpose. In accordance with paragraph 120 of the Code of Audit Practice, we do not undertake to have responsibilities to members or officers, in their individual capacities, or to third parties.</w:t>
      </w:r>
    </w:p>
    <w:p w14:paraId="5DB3D615" w14:textId="77777777" w:rsidR="00DD1F2A" w:rsidRDefault="00DD1F2A" w:rsidP="00A45C5A">
      <w:pPr>
        <w:spacing w:line="360" w:lineRule="auto"/>
        <w:rPr>
          <w:rFonts w:ascii="Arial" w:hAnsi="Arial" w:cs="Arial"/>
        </w:rPr>
      </w:pPr>
    </w:p>
    <w:p w14:paraId="0E637352" w14:textId="77777777" w:rsidR="00DC647E" w:rsidRDefault="00DC647E" w:rsidP="00A45C5A">
      <w:pPr>
        <w:spacing w:line="360" w:lineRule="auto"/>
        <w:rPr>
          <w:rFonts w:ascii="Arial" w:hAnsi="Arial" w:cs="Arial"/>
        </w:rPr>
      </w:pPr>
    </w:p>
    <w:p w14:paraId="2D143D9E" w14:textId="77777777" w:rsidR="00DC647E" w:rsidRDefault="00DC647E" w:rsidP="00A45C5A">
      <w:pPr>
        <w:spacing w:line="360" w:lineRule="auto"/>
        <w:rPr>
          <w:rFonts w:ascii="Arial" w:hAnsi="Arial" w:cs="Arial"/>
        </w:rPr>
      </w:pPr>
    </w:p>
    <w:p w14:paraId="3C57A593" w14:textId="77777777" w:rsidR="00DC647E" w:rsidRDefault="00DC647E" w:rsidP="00A45C5A">
      <w:pPr>
        <w:spacing w:line="360" w:lineRule="auto"/>
        <w:rPr>
          <w:rFonts w:ascii="Arial" w:hAnsi="Arial" w:cs="Arial"/>
        </w:rPr>
      </w:pPr>
    </w:p>
    <w:p w14:paraId="54B0EB75" w14:textId="7C8CB062" w:rsidR="00DD1F2A" w:rsidRDefault="00DD1F2A" w:rsidP="00A45C5A">
      <w:pPr>
        <w:spacing w:line="360" w:lineRule="auto"/>
        <w:rPr>
          <w:rFonts w:ascii="Arial" w:hAnsi="Arial" w:cs="Arial"/>
        </w:rPr>
      </w:pPr>
      <w:r w:rsidRPr="00E26D69">
        <w:rPr>
          <w:rFonts w:ascii="Arial" w:hAnsi="Arial" w:cs="Arial"/>
          <w:noProof/>
        </w:rPr>
        <mc:AlternateContent>
          <mc:Choice Requires="wps">
            <w:drawing>
              <wp:anchor distT="0" distB="0" distL="114300" distR="114300" simplePos="0" relativeHeight="251658240" behindDoc="0" locked="0" layoutInCell="1" allowOverlap="1" wp14:anchorId="6F146621" wp14:editId="2871E0E8">
                <wp:simplePos x="0" y="0"/>
                <wp:positionH relativeFrom="column">
                  <wp:posOffset>29210</wp:posOffset>
                </wp:positionH>
                <wp:positionV relativeFrom="paragraph">
                  <wp:posOffset>259715</wp:posOffset>
                </wp:positionV>
                <wp:extent cx="3721100" cy="10160"/>
                <wp:effectExtent l="0" t="0" r="31750" b="27940"/>
                <wp:wrapNone/>
                <wp:docPr id="17" name="Straight Connector 17"/>
                <wp:cNvGraphicFramePr/>
                <a:graphic xmlns:a="http://schemas.openxmlformats.org/drawingml/2006/main">
                  <a:graphicData uri="http://schemas.microsoft.com/office/word/2010/wordprocessingShape">
                    <wps:wsp>
                      <wps:cNvCnPr/>
                      <wps:spPr>
                        <a:xfrm>
                          <a:off x="0" y="0"/>
                          <a:ext cx="3721100" cy="10160"/>
                        </a:xfrm>
                        <a:prstGeom prst="line">
                          <a:avLst/>
                        </a:prstGeom>
                        <a:noFill/>
                        <a:ln w="9525" cap="flat" cmpd="sng" algn="ctr">
                          <a:solidFill>
                            <a:sysClr val="windowText" lastClr="000000"/>
                          </a:solidFill>
                          <a:prstDash val="solid"/>
                        </a:ln>
                        <a:effectLst/>
                      </wps:spPr>
                      <wps:bodyPr/>
                    </wps:wsp>
                  </a:graphicData>
                </a:graphic>
              </wp:anchor>
            </w:drawing>
          </mc:Choice>
          <mc:Fallback xmlns:arto="http://schemas.microsoft.com/office/word/2006/arto">
            <w:pict>
              <v:line w14:anchorId="510B35A7" id="Straight Connector 1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3pt,20.45pt" to="295.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" strokecolor="windowText"/>
            </w:pict>
          </mc:Fallback>
        </mc:AlternateContent>
      </w:r>
    </w:p>
    <w:p w14:paraId="2C2AB741" w14:textId="01924120" w:rsidR="00E26D69" w:rsidRPr="00E26D69" w:rsidRDefault="00E26D69" w:rsidP="00A45C5A">
      <w:pPr>
        <w:spacing w:line="360" w:lineRule="auto"/>
        <w:rPr>
          <w:rFonts w:ascii="Arial" w:hAnsi="Arial" w:cs="Arial"/>
        </w:rPr>
      </w:pPr>
      <w:r w:rsidRPr="00E26D69">
        <w:rPr>
          <w:rFonts w:ascii="Arial" w:hAnsi="Arial" w:cs="Arial"/>
          <w:noProof/>
        </w:rPr>
        <mc:AlternateContent>
          <mc:Choice Requires="wps">
            <w:drawing>
              <wp:anchor distT="0" distB="0" distL="114300" distR="114300" simplePos="0" relativeHeight="251658241" behindDoc="0" locked="0" layoutInCell="1" allowOverlap="1" wp14:anchorId="7FC81FAC" wp14:editId="10C9F1DC">
                <wp:simplePos x="0" y="0"/>
                <wp:positionH relativeFrom="column">
                  <wp:posOffset>4568825</wp:posOffset>
                </wp:positionH>
                <wp:positionV relativeFrom="paragraph">
                  <wp:posOffset>16568</wp:posOffset>
                </wp:positionV>
                <wp:extent cx="1201479" cy="10633"/>
                <wp:effectExtent l="0" t="0" r="36830" b="27940"/>
                <wp:wrapNone/>
                <wp:docPr id="18" name="Straight Connector 18"/>
                <wp:cNvGraphicFramePr/>
                <a:graphic xmlns:a="http://schemas.openxmlformats.org/drawingml/2006/main">
                  <a:graphicData uri="http://schemas.microsoft.com/office/word/2010/wordprocessingShape">
                    <wps:wsp>
                      <wps:cNvCnPr/>
                      <wps:spPr>
                        <a:xfrm flipV="1">
                          <a:off x="0" y="0"/>
                          <a:ext cx="1201479" cy="10633"/>
                        </a:xfrm>
                        <a:prstGeom prst="line">
                          <a:avLst/>
                        </a:prstGeom>
                        <a:noFill/>
                        <a:ln w="9525" cap="flat" cmpd="sng" algn="ctr">
                          <a:solidFill>
                            <a:sysClr val="windowText" lastClr="000000"/>
                          </a:solidFill>
                          <a:prstDash val="solid"/>
                        </a:ln>
                        <a:effectLst/>
                      </wps:spPr>
                      <wps:bodyPr/>
                    </wps:wsp>
                  </a:graphicData>
                </a:graphic>
              </wp:anchor>
            </w:drawing>
          </mc:Choice>
          <mc:Fallback xmlns:arto="http://schemas.microsoft.com/office/word/2006/arto">
            <w:pict>
              <v:line w14:anchorId="37ABAA8D" id="Straight Connector 18" o:spid="_x0000_s1026"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from="359.75pt,1.3pt" to="454.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" strokecolor="windowText"/>
            </w:pict>
          </mc:Fallback>
        </mc:AlternateContent>
      </w:r>
    </w:p>
    <w:p w14:paraId="7DC4F30E" w14:textId="053DAE93" w:rsidR="00E26D69" w:rsidRPr="00E26D69" w:rsidRDefault="00E26D69" w:rsidP="00A45C5A">
      <w:pPr>
        <w:spacing w:line="360" w:lineRule="auto"/>
        <w:rPr>
          <w:rFonts w:ascii="Arial" w:hAnsi="Arial" w:cs="Arial"/>
          <w:b/>
        </w:rPr>
      </w:pPr>
      <w:r w:rsidRPr="00E26D69">
        <w:rPr>
          <w:rFonts w:ascii="Arial" w:hAnsi="Arial" w:cs="Arial"/>
          <w:b/>
        </w:rPr>
        <w:t>Joanne Brown (for and on be</w:t>
      </w:r>
      <w:r w:rsidR="00AB6AC7">
        <w:rPr>
          <w:rFonts w:ascii="Arial" w:hAnsi="Arial" w:cs="Arial"/>
          <w:b/>
        </w:rPr>
        <w:t>half of Grant Thornton UK LLP)</w:t>
      </w:r>
      <w:r w:rsidR="00AB6AC7">
        <w:rPr>
          <w:rFonts w:ascii="Arial" w:hAnsi="Arial" w:cs="Arial"/>
          <w:b/>
        </w:rPr>
        <w:tab/>
      </w:r>
      <w:r w:rsidRPr="00E26D69">
        <w:rPr>
          <w:rFonts w:ascii="Arial" w:hAnsi="Arial" w:cs="Arial"/>
          <w:b/>
        </w:rPr>
        <w:t>Date of signature</w:t>
      </w:r>
    </w:p>
    <w:p w14:paraId="07AD5401" w14:textId="77777777" w:rsidR="00E26D69" w:rsidRPr="00E26D69" w:rsidRDefault="00E26D69" w:rsidP="00A45C5A">
      <w:pPr>
        <w:spacing w:line="360" w:lineRule="auto"/>
        <w:rPr>
          <w:rFonts w:ascii="Arial" w:hAnsi="Arial" w:cs="Arial"/>
        </w:rPr>
      </w:pPr>
    </w:p>
    <w:p w14:paraId="1F7C5DD7" w14:textId="77777777" w:rsidR="00E26D69" w:rsidRPr="00E26D69" w:rsidRDefault="00E26D69" w:rsidP="00A45C5A">
      <w:pPr>
        <w:spacing w:line="360" w:lineRule="auto"/>
        <w:rPr>
          <w:rFonts w:ascii="Arial" w:hAnsi="Arial" w:cs="Arial"/>
        </w:rPr>
      </w:pPr>
      <w:r w:rsidRPr="00E26D69">
        <w:rPr>
          <w:rFonts w:ascii="Arial" w:hAnsi="Arial" w:cs="Arial"/>
        </w:rPr>
        <w:t>Grant Thornton UK LLP</w:t>
      </w:r>
    </w:p>
    <w:p w14:paraId="162AF5AF" w14:textId="77777777" w:rsidR="00E26D69" w:rsidRPr="00E26D69" w:rsidRDefault="00E26D69" w:rsidP="00A45C5A">
      <w:pPr>
        <w:spacing w:line="360" w:lineRule="auto"/>
        <w:rPr>
          <w:rFonts w:ascii="Arial" w:hAnsi="Arial" w:cs="Arial"/>
        </w:rPr>
      </w:pPr>
      <w:r w:rsidRPr="00E26D69">
        <w:rPr>
          <w:rFonts w:ascii="Arial" w:hAnsi="Arial" w:cs="Arial"/>
        </w:rPr>
        <w:t>110 Queen Street</w:t>
      </w:r>
    </w:p>
    <w:p w14:paraId="092008CE" w14:textId="77777777" w:rsidR="00E26D69" w:rsidRPr="00E26D69" w:rsidRDefault="00E26D69" w:rsidP="00A45C5A">
      <w:pPr>
        <w:spacing w:line="360" w:lineRule="auto"/>
        <w:rPr>
          <w:rFonts w:ascii="Arial" w:hAnsi="Arial" w:cs="Arial"/>
        </w:rPr>
      </w:pPr>
      <w:r w:rsidRPr="00E26D69">
        <w:rPr>
          <w:rFonts w:ascii="Arial" w:hAnsi="Arial" w:cs="Arial"/>
        </w:rPr>
        <w:t>Glasgow</w:t>
      </w:r>
    </w:p>
    <w:p w14:paraId="2CFE77BA" w14:textId="6BF91CD1" w:rsidR="00F60F8B" w:rsidRDefault="00E26D69" w:rsidP="00A45C5A">
      <w:pPr>
        <w:spacing w:line="360" w:lineRule="auto"/>
        <w:rPr>
          <w:rFonts w:ascii="Arial" w:hAnsi="Arial" w:cs="Arial"/>
        </w:rPr>
      </w:pPr>
      <w:r w:rsidRPr="00E26D69">
        <w:rPr>
          <w:rFonts w:ascii="Arial" w:hAnsi="Arial" w:cs="Arial"/>
        </w:rPr>
        <w:t>G1 3BX</w:t>
      </w:r>
      <w:r w:rsidRPr="00E26D69">
        <w:rPr>
          <w:rFonts w:ascii="Arial" w:hAnsi="Arial" w:cs="Arial"/>
        </w:rPr>
        <w:br w:type="page"/>
      </w:r>
    </w:p>
    <w:p w14:paraId="7F226074" w14:textId="37BDE622" w:rsidR="00E26D69" w:rsidRPr="00AB0FE1" w:rsidRDefault="00E26D69" w:rsidP="00DA4475">
      <w:pPr>
        <w:pStyle w:val="01aMainHeader"/>
        <w:numPr>
          <w:ilvl w:val="0"/>
          <w:numId w:val="13"/>
        </w:numPr>
      </w:pPr>
      <w:bookmarkStart w:id="33" w:name="_Toc119068091"/>
      <w:r w:rsidRPr="00AB0FE1">
        <w:lastRenderedPageBreak/>
        <w:t>Financial statements</w:t>
      </w:r>
      <w:bookmarkEnd w:id="33"/>
    </w:p>
    <w:p w14:paraId="64DB5034" w14:textId="10D7C95E" w:rsidR="00E26D69" w:rsidRPr="00093C8A" w:rsidRDefault="00E26D69" w:rsidP="00C152F6">
      <w:pPr>
        <w:pStyle w:val="01cSubsubheader0"/>
        <w:ind w:left="709" w:hanging="709"/>
        <w:rPr>
          <w:sz w:val="28"/>
          <w:szCs w:val="28"/>
        </w:rPr>
      </w:pPr>
      <w:r w:rsidRPr="00093C8A">
        <w:rPr>
          <w:sz w:val="28"/>
          <w:szCs w:val="28"/>
        </w:rPr>
        <w:t>Statement of comprehensive net expenditure for the year to 31 March 202</w:t>
      </w:r>
      <w:r w:rsidR="007033EE" w:rsidRPr="00093C8A">
        <w:rPr>
          <w:sz w:val="28"/>
          <w:szCs w:val="28"/>
        </w:rPr>
        <w:t>2</w:t>
      </w:r>
    </w:p>
    <w:tbl>
      <w:tblPr>
        <w:tblStyle w:val="TableClassic1"/>
        <w:tblW w:w="9923" w:type="dxa"/>
        <w:tblBorders>
          <w:top w:val="none" w:sz="0" w:space="0" w:color="auto"/>
          <w:bottom w:val="none" w:sz="0" w:space="0" w:color="auto"/>
        </w:tblBorders>
        <w:tblLook w:val="0000" w:firstRow="0" w:lastRow="0" w:firstColumn="0" w:lastColumn="0" w:noHBand="0" w:noVBand="0"/>
      </w:tblPr>
      <w:tblGrid>
        <w:gridCol w:w="5773"/>
        <w:gridCol w:w="883"/>
        <w:gridCol w:w="1555"/>
        <w:gridCol w:w="1712"/>
      </w:tblGrid>
      <w:tr w:rsidR="00E26D69" w:rsidRPr="00E26D69" w14:paraId="7DAB6D21" w14:textId="77777777" w:rsidTr="00BD19D6">
        <w:trPr>
          <w:trHeight w:val="949"/>
        </w:trPr>
        <w:tc>
          <w:tcPr>
            <w:tcW w:w="5773" w:type="dxa"/>
          </w:tcPr>
          <w:p w14:paraId="02C75A2B" w14:textId="77777777" w:rsidR="00E26D69" w:rsidRPr="00AB0FE1" w:rsidRDefault="00E26D69" w:rsidP="00441F6B">
            <w:pPr>
              <w:rPr>
                <w:rFonts w:ascii="Arial" w:hAnsi="Arial" w:cs="Arial"/>
              </w:rPr>
            </w:pPr>
          </w:p>
        </w:tc>
        <w:tc>
          <w:tcPr>
            <w:tcW w:w="883" w:type="dxa"/>
            <w:vAlign w:val="bottom"/>
          </w:tcPr>
          <w:p w14:paraId="3DA335E5" w14:textId="77777777" w:rsidR="00E26D69" w:rsidRPr="00AB0FE1" w:rsidRDefault="00E26D69" w:rsidP="00441F6B">
            <w:pPr>
              <w:jc w:val="center"/>
              <w:rPr>
                <w:rFonts w:ascii="Arial" w:hAnsi="Arial" w:cs="Arial"/>
                <w:b/>
                <w:bCs/>
              </w:rPr>
            </w:pPr>
            <w:r w:rsidRPr="00AB0FE1">
              <w:rPr>
                <w:rFonts w:ascii="Arial" w:hAnsi="Arial" w:cs="Arial"/>
                <w:b/>
                <w:bCs/>
              </w:rPr>
              <w:t>Notes</w:t>
            </w:r>
          </w:p>
        </w:tc>
        <w:tc>
          <w:tcPr>
            <w:tcW w:w="1555" w:type="dxa"/>
            <w:shd w:val="clear" w:color="auto" w:fill="EAF1DD" w:themeFill="accent3" w:themeFillTint="33"/>
            <w:vAlign w:val="bottom"/>
          </w:tcPr>
          <w:p w14:paraId="66C4A403" w14:textId="353A4934" w:rsidR="00E26D69" w:rsidRPr="00AB0FE1" w:rsidRDefault="00E26D69" w:rsidP="00441F6B">
            <w:pPr>
              <w:tabs>
                <w:tab w:val="left" w:pos="744"/>
              </w:tabs>
              <w:jc w:val="right"/>
              <w:rPr>
                <w:rFonts w:ascii="Arial" w:hAnsi="Arial" w:cs="Arial"/>
                <w:b/>
                <w:bCs/>
              </w:rPr>
            </w:pPr>
            <w:r w:rsidRPr="00AB0FE1">
              <w:rPr>
                <w:rFonts w:ascii="Arial" w:hAnsi="Arial" w:cs="Arial"/>
                <w:b/>
                <w:bCs/>
              </w:rPr>
              <w:t>Year to 31 March 202</w:t>
            </w:r>
            <w:r w:rsidR="007033EE" w:rsidRPr="00AB0FE1">
              <w:rPr>
                <w:rFonts w:ascii="Arial" w:hAnsi="Arial" w:cs="Arial"/>
                <w:b/>
                <w:bCs/>
              </w:rPr>
              <w:t>2</w:t>
            </w:r>
          </w:p>
          <w:p w14:paraId="6D9459DC" w14:textId="77777777" w:rsidR="00441F6B" w:rsidRPr="00AB0FE1" w:rsidRDefault="00441F6B" w:rsidP="00441F6B">
            <w:pPr>
              <w:tabs>
                <w:tab w:val="left" w:pos="744"/>
              </w:tabs>
              <w:jc w:val="right"/>
              <w:rPr>
                <w:rFonts w:ascii="Arial" w:hAnsi="Arial" w:cs="Arial"/>
                <w:b/>
                <w:bCs/>
              </w:rPr>
            </w:pPr>
          </w:p>
          <w:p w14:paraId="20D4F11E" w14:textId="77777777" w:rsidR="00E26D69" w:rsidRPr="00AB0FE1" w:rsidRDefault="00E26D69" w:rsidP="00441F6B">
            <w:pPr>
              <w:tabs>
                <w:tab w:val="left" w:pos="744"/>
              </w:tabs>
              <w:jc w:val="right"/>
              <w:rPr>
                <w:rFonts w:ascii="Arial" w:hAnsi="Arial" w:cs="Arial"/>
                <w:b/>
                <w:bCs/>
              </w:rPr>
            </w:pPr>
            <w:r w:rsidRPr="00AB0FE1">
              <w:rPr>
                <w:rFonts w:ascii="Arial" w:hAnsi="Arial" w:cs="Arial"/>
                <w:b/>
                <w:bCs/>
              </w:rPr>
              <w:t>£’000</w:t>
            </w:r>
          </w:p>
        </w:tc>
        <w:tc>
          <w:tcPr>
            <w:tcW w:w="1712" w:type="dxa"/>
            <w:vAlign w:val="bottom"/>
          </w:tcPr>
          <w:p w14:paraId="1E9D3C0C" w14:textId="00D077D8" w:rsidR="00E26D69" w:rsidRPr="00AB0FE1" w:rsidRDefault="00E26D69" w:rsidP="00441F6B">
            <w:pPr>
              <w:tabs>
                <w:tab w:val="left" w:pos="744"/>
              </w:tabs>
              <w:jc w:val="right"/>
              <w:rPr>
                <w:rFonts w:ascii="Arial" w:hAnsi="Arial" w:cs="Arial"/>
                <w:b/>
                <w:bCs/>
              </w:rPr>
            </w:pPr>
            <w:r w:rsidRPr="00AB0FE1">
              <w:rPr>
                <w:rFonts w:ascii="Arial" w:hAnsi="Arial" w:cs="Arial"/>
                <w:b/>
                <w:bCs/>
              </w:rPr>
              <w:t>Year to 31 March 20</w:t>
            </w:r>
            <w:r w:rsidR="00B37A79" w:rsidRPr="00AB0FE1">
              <w:rPr>
                <w:rFonts w:ascii="Arial" w:hAnsi="Arial" w:cs="Arial"/>
                <w:b/>
                <w:bCs/>
              </w:rPr>
              <w:t>2</w:t>
            </w:r>
            <w:r w:rsidR="007033EE" w:rsidRPr="00AB0FE1">
              <w:rPr>
                <w:rFonts w:ascii="Arial" w:hAnsi="Arial" w:cs="Arial"/>
                <w:b/>
                <w:bCs/>
              </w:rPr>
              <w:t>1</w:t>
            </w:r>
          </w:p>
          <w:p w14:paraId="40C418D4" w14:textId="77777777" w:rsidR="00441F6B" w:rsidRPr="00AB0FE1" w:rsidRDefault="00441F6B" w:rsidP="00441F6B">
            <w:pPr>
              <w:tabs>
                <w:tab w:val="left" w:pos="744"/>
              </w:tabs>
              <w:jc w:val="right"/>
              <w:rPr>
                <w:rFonts w:ascii="Arial" w:hAnsi="Arial" w:cs="Arial"/>
                <w:b/>
                <w:bCs/>
              </w:rPr>
            </w:pPr>
          </w:p>
          <w:p w14:paraId="11156AB5" w14:textId="77777777" w:rsidR="00E26D69" w:rsidRPr="00E26D69" w:rsidRDefault="00E26D69" w:rsidP="00441F6B">
            <w:pPr>
              <w:tabs>
                <w:tab w:val="left" w:pos="744"/>
              </w:tabs>
              <w:ind w:hanging="72"/>
              <w:jc w:val="right"/>
              <w:rPr>
                <w:rFonts w:ascii="Arial" w:hAnsi="Arial" w:cs="Arial"/>
                <w:b/>
                <w:bCs/>
              </w:rPr>
            </w:pPr>
            <w:r w:rsidRPr="00AB0FE1">
              <w:rPr>
                <w:rFonts w:ascii="Arial" w:hAnsi="Arial" w:cs="Arial"/>
                <w:b/>
                <w:bCs/>
              </w:rPr>
              <w:t>£’000</w:t>
            </w:r>
          </w:p>
        </w:tc>
      </w:tr>
      <w:tr w:rsidR="005D23E3" w:rsidRPr="00E26D69" w14:paraId="2B64DFFC" w14:textId="77777777" w:rsidTr="00E14C20">
        <w:trPr>
          <w:trHeight w:val="454"/>
        </w:trPr>
        <w:tc>
          <w:tcPr>
            <w:tcW w:w="5773" w:type="dxa"/>
            <w:vAlign w:val="bottom"/>
          </w:tcPr>
          <w:p w14:paraId="348680DA" w14:textId="77777777" w:rsidR="00E26D69" w:rsidRPr="00E26D69" w:rsidRDefault="00E26D69" w:rsidP="00441F6B">
            <w:pPr>
              <w:ind w:left="-100"/>
              <w:rPr>
                <w:rFonts w:ascii="Arial" w:hAnsi="Arial" w:cs="Arial"/>
                <w:b/>
                <w:bCs/>
              </w:rPr>
            </w:pPr>
            <w:r w:rsidRPr="00E26D69">
              <w:rPr>
                <w:rFonts w:ascii="Arial" w:hAnsi="Arial" w:cs="Arial"/>
                <w:b/>
                <w:bCs/>
              </w:rPr>
              <w:t>Income</w:t>
            </w:r>
          </w:p>
        </w:tc>
        <w:tc>
          <w:tcPr>
            <w:tcW w:w="883" w:type="dxa"/>
            <w:vAlign w:val="bottom"/>
          </w:tcPr>
          <w:p w14:paraId="2709FA65" w14:textId="77777777" w:rsidR="00E26D69" w:rsidRPr="00E26D69" w:rsidRDefault="00E26D69" w:rsidP="00441F6B">
            <w:pPr>
              <w:jc w:val="center"/>
              <w:rPr>
                <w:rFonts w:ascii="Arial" w:hAnsi="Arial" w:cs="Arial"/>
              </w:rPr>
            </w:pPr>
          </w:p>
        </w:tc>
        <w:tc>
          <w:tcPr>
            <w:tcW w:w="1555" w:type="dxa"/>
            <w:shd w:val="clear" w:color="auto" w:fill="EAF1DD" w:themeFill="accent3" w:themeFillTint="33"/>
            <w:vAlign w:val="bottom"/>
          </w:tcPr>
          <w:p w14:paraId="44D7CE4E" w14:textId="77777777" w:rsidR="00E26D69" w:rsidRPr="00E26D69" w:rsidRDefault="00E26D69" w:rsidP="00441F6B">
            <w:pPr>
              <w:tabs>
                <w:tab w:val="left" w:pos="744"/>
              </w:tabs>
              <w:jc w:val="right"/>
              <w:rPr>
                <w:rFonts w:ascii="Arial" w:hAnsi="Arial" w:cs="Arial"/>
              </w:rPr>
            </w:pPr>
          </w:p>
        </w:tc>
        <w:tc>
          <w:tcPr>
            <w:tcW w:w="1712" w:type="dxa"/>
            <w:vAlign w:val="bottom"/>
          </w:tcPr>
          <w:p w14:paraId="26126978" w14:textId="77777777" w:rsidR="00E26D69" w:rsidRPr="00E26D69" w:rsidRDefault="00E26D69" w:rsidP="00441F6B">
            <w:pPr>
              <w:tabs>
                <w:tab w:val="left" w:pos="744"/>
              </w:tabs>
              <w:jc w:val="right"/>
              <w:rPr>
                <w:rFonts w:ascii="Arial" w:hAnsi="Arial" w:cs="Arial"/>
              </w:rPr>
            </w:pPr>
          </w:p>
        </w:tc>
      </w:tr>
      <w:tr w:rsidR="00C152F6" w:rsidRPr="00E26D69" w14:paraId="4C37B6A3" w14:textId="77777777" w:rsidTr="007033EE">
        <w:trPr>
          <w:trHeight w:val="454"/>
        </w:trPr>
        <w:tc>
          <w:tcPr>
            <w:tcW w:w="5773" w:type="dxa"/>
            <w:vAlign w:val="bottom"/>
          </w:tcPr>
          <w:p w14:paraId="57F193A6" w14:textId="77777777" w:rsidR="00C152F6" w:rsidRPr="00E26D69" w:rsidRDefault="00C152F6" w:rsidP="00C152F6">
            <w:pPr>
              <w:ind w:left="-100"/>
              <w:rPr>
                <w:rFonts w:ascii="Arial" w:hAnsi="Arial" w:cs="Arial"/>
              </w:rPr>
            </w:pPr>
            <w:r w:rsidRPr="00E26D69">
              <w:rPr>
                <w:rFonts w:ascii="Arial" w:hAnsi="Arial" w:cs="Arial"/>
              </w:rPr>
              <w:t>Income from contracts</w:t>
            </w:r>
          </w:p>
        </w:tc>
        <w:tc>
          <w:tcPr>
            <w:tcW w:w="883" w:type="dxa"/>
            <w:vAlign w:val="bottom"/>
          </w:tcPr>
          <w:p w14:paraId="69BA1D9F" w14:textId="445291F5" w:rsidR="00C152F6" w:rsidRPr="00A63C57" w:rsidRDefault="00C152F6" w:rsidP="00C152F6">
            <w:pPr>
              <w:jc w:val="center"/>
              <w:rPr>
                <w:rFonts w:ascii="Arial" w:hAnsi="Arial" w:cs="Arial"/>
              </w:rPr>
            </w:pPr>
            <w:hyperlink w:anchor="Note2incomefromcontracts" w:history="1">
              <w:r w:rsidRPr="00FF2FB0">
                <w:rPr>
                  <w:rStyle w:val="Hyperlink"/>
                  <w:rFonts w:ascii="Arial" w:hAnsi="Arial" w:cs="Arial"/>
                </w:rPr>
                <w:t>2</w:t>
              </w:r>
            </w:hyperlink>
            <w:r w:rsidRPr="00A63C57">
              <w:rPr>
                <w:rFonts w:ascii="Arial" w:hAnsi="Arial" w:cs="Arial"/>
              </w:rPr>
              <w:t xml:space="preserve">, </w:t>
            </w:r>
            <w:hyperlink w:anchor="Note19Tradingaccountsschemes" w:history="1">
              <w:r w:rsidRPr="00FF2FB0">
                <w:rPr>
                  <w:rStyle w:val="Hyperlink"/>
                  <w:rFonts w:ascii="Arial" w:hAnsi="Arial" w:cs="Arial"/>
                </w:rPr>
                <w:t>19</w:t>
              </w:r>
            </w:hyperlink>
          </w:p>
        </w:tc>
        <w:tc>
          <w:tcPr>
            <w:tcW w:w="1555" w:type="dxa"/>
            <w:shd w:val="clear" w:color="auto" w:fill="EAF1DD" w:themeFill="accent3" w:themeFillTint="33"/>
            <w:vAlign w:val="bottom"/>
          </w:tcPr>
          <w:p w14:paraId="240F4032" w14:textId="3FBC330F" w:rsidR="00C152F6" w:rsidRPr="00E26D69" w:rsidRDefault="00905E92" w:rsidP="00C152F6">
            <w:pPr>
              <w:tabs>
                <w:tab w:val="left" w:pos="744"/>
              </w:tabs>
              <w:jc w:val="right"/>
              <w:rPr>
                <w:rFonts w:ascii="Arial" w:hAnsi="Arial" w:cs="Arial"/>
              </w:rPr>
            </w:pPr>
            <w:r>
              <w:rPr>
                <w:rFonts w:ascii="Arial" w:hAnsi="Arial" w:cs="Arial"/>
              </w:rPr>
              <w:t>44,21</w:t>
            </w:r>
            <w:r w:rsidR="00983159">
              <w:rPr>
                <w:rFonts w:ascii="Arial" w:hAnsi="Arial" w:cs="Arial"/>
              </w:rPr>
              <w:t>9</w:t>
            </w:r>
          </w:p>
        </w:tc>
        <w:tc>
          <w:tcPr>
            <w:tcW w:w="1712" w:type="dxa"/>
            <w:vAlign w:val="bottom"/>
          </w:tcPr>
          <w:p w14:paraId="43310FCB" w14:textId="075B2E0F" w:rsidR="00C152F6" w:rsidRPr="00E26D69" w:rsidRDefault="00C152F6" w:rsidP="00C152F6">
            <w:pPr>
              <w:tabs>
                <w:tab w:val="left" w:pos="744"/>
              </w:tabs>
              <w:jc w:val="right"/>
              <w:rPr>
                <w:rFonts w:ascii="Arial" w:hAnsi="Arial" w:cs="Arial"/>
              </w:rPr>
            </w:pPr>
            <w:r>
              <w:rPr>
                <w:rFonts w:ascii="Arial" w:hAnsi="Arial" w:cs="Arial"/>
              </w:rPr>
              <w:t>42,092</w:t>
            </w:r>
          </w:p>
        </w:tc>
      </w:tr>
      <w:tr w:rsidR="00C152F6" w:rsidRPr="00E26D69" w14:paraId="0A11344F" w14:textId="77777777" w:rsidTr="007033EE">
        <w:trPr>
          <w:trHeight w:val="454"/>
        </w:trPr>
        <w:tc>
          <w:tcPr>
            <w:tcW w:w="5773" w:type="dxa"/>
            <w:vAlign w:val="bottom"/>
          </w:tcPr>
          <w:p w14:paraId="10666788" w14:textId="77777777" w:rsidR="00C152F6" w:rsidRPr="00E26D69" w:rsidRDefault="00C152F6" w:rsidP="00C152F6">
            <w:pPr>
              <w:ind w:left="-100"/>
              <w:rPr>
                <w:rFonts w:ascii="Arial" w:hAnsi="Arial" w:cs="Arial"/>
              </w:rPr>
            </w:pPr>
            <w:r w:rsidRPr="00E26D69">
              <w:rPr>
                <w:rFonts w:ascii="Arial" w:hAnsi="Arial" w:cs="Arial"/>
              </w:rPr>
              <w:t>Other income</w:t>
            </w:r>
          </w:p>
        </w:tc>
        <w:tc>
          <w:tcPr>
            <w:tcW w:w="883" w:type="dxa"/>
            <w:vAlign w:val="bottom"/>
          </w:tcPr>
          <w:p w14:paraId="439E777D" w14:textId="43C0176B" w:rsidR="00C152F6" w:rsidRPr="00A63C57" w:rsidRDefault="00C152F6" w:rsidP="00C152F6">
            <w:pPr>
              <w:jc w:val="center"/>
              <w:rPr>
                <w:rFonts w:ascii="Arial" w:hAnsi="Arial" w:cs="Arial"/>
              </w:rPr>
            </w:pPr>
            <w:hyperlink w:anchor="Note3otherincome" w:history="1">
              <w:r w:rsidRPr="00FF2FB0">
                <w:rPr>
                  <w:rStyle w:val="Hyperlink"/>
                  <w:rFonts w:ascii="Arial" w:hAnsi="Arial" w:cs="Arial"/>
                </w:rPr>
                <w:t>3</w:t>
              </w:r>
            </w:hyperlink>
          </w:p>
        </w:tc>
        <w:tc>
          <w:tcPr>
            <w:tcW w:w="1555" w:type="dxa"/>
            <w:tcBorders>
              <w:bottom w:val="single" w:sz="4" w:space="0" w:color="auto"/>
            </w:tcBorders>
            <w:shd w:val="clear" w:color="auto" w:fill="EAF1DD" w:themeFill="accent3" w:themeFillTint="33"/>
            <w:vAlign w:val="bottom"/>
          </w:tcPr>
          <w:p w14:paraId="315AE142" w14:textId="651B67C3" w:rsidR="00C152F6" w:rsidRPr="00E26D69" w:rsidRDefault="00F9470A" w:rsidP="00C152F6">
            <w:pPr>
              <w:tabs>
                <w:tab w:val="left" w:pos="744"/>
              </w:tabs>
              <w:jc w:val="right"/>
              <w:rPr>
                <w:rFonts w:ascii="Arial" w:hAnsi="Arial" w:cs="Arial"/>
              </w:rPr>
            </w:pPr>
            <w:r>
              <w:rPr>
                <w:rFonts w:ascii="Arial" w:hAnsi="Arial" w:cs="Arial"/>
              </w:rPr>
              <w:t>3,49</w:t>
            </w:r>
            <w:r w:rsidR="00DB746D">
              <w:rPr>
                <w:rFonts w:ascii="Arial" w:hAnsi="Arial" w:cs="Arial"/>
              </w:rPr>
              <w:t>3</w:t>
            </w:r>
          </w:p>
        </w:tc>
        <w:tc>
          <w:tcPr>
            <w:tcW w:w="1712" w:type="dxa"/>
            <w:tcBorders>
              <w:bottom w:val="single" w:sz="4" w:space="0" w:color="auto"/>
            </w:tcBorders>
            <w:vAlign w:val="bottom"/>
          </w:tcPr>
          <w:p w14:paraId="06807B92" w14:textId="0F513235" w:rsidR="00C152F6" w:rsidRPr="00E26D69" w:rsidRDefault="00C152F6" w:rsidP="00C152F6">
            <w:pPr>
              <w:tabs>
                <w:tab w:val="left" w:pos="744"/>
              </w:tabs>
              <w:jc w:val="right"/>
              <w:rPr>
                <w:rFonts w:ascii="Arial" w:hAnsi="Arial" w:cs="Arial"/>
              </w:rPr>
            </w:pPr>
            <w:r>
              <w:rPr>
                <w:rFonts w:ascii="Arial" w:hAnsi="Arial" w:cs="Arial"/>
              </w:rPr>
              <w:t>1,762</w:t>
            </w:r>
          </w:p>
        </w:tc>
      </w:tr>
      <w:tr w:rsidR="00C152F6" w:rsidRPr="00E26D69" w14:paraId="5B903812" w14:textId="77777777" w:rsidTr="007033EE">
        <w:trPr>
          <w:trHeight w:val="454"/>
        </w:trPr>
        <w:tc>
          <w:tcPr>
            <w:tcW w:w="5773" w:type="dxa"/>
            <w:vAlign w:val="bottom"/>
          </w:tcPr>
          <w:p w14:paraId="51106AE1" w14:textId="77777777" w:rsidR="00C152F6" w:rsidRPr="00E26D69" w:rsidRDefault="00C152F6" w:rsidP="00C152F6">
            <w:pPr>
              <w:ind w:left="-100"/>
              <w:rPr>
                <w:rFonts w:ascii="Arial" w:hAnsi="Arial" w:cs="Arial"/>
                <w:b/>
              </w:rPr>
            </w:pPr>
            <w:r w:rsidRPr="00E26D69">
              <w:rPr>
                <w:rFonts w:ascii="Arial" w:hAnsi="Arial" w:cs="Arial"/>
                <w:b/>
              </w:rPr>
              <w:t>Total operating income</w:t>
            </w:r>
          </w:p>
        </w:tc>
        <w:tc>
          <w:tcPr>
            <w:tcW w:w="883" w:type="dxa"/>
            <w:vAlign w:val="bottom"/>
          </w:tcPr>
          <w:p w14:paraId="7DE10BB5" w14:textId="77777777" w:rsidR="00C152F6" w:rsidRPr="008C023F" w:rsidRDefault="00C152F6" w:rsidP="00C152F6">
            <w:pPr>
              <w:jc w:val="center"/>
              <w:rPr>
                <w:rFonts w:ascii="Arial" w:hAnsi="Arial" w:cs="Arial"/>
                <w:b/>
                <w:highlight w:val="magenta"/>
              </w:rPr>
            </w:pPr>
          </w:p>
        </w:tc>
        <w:tc>
          <w:tcPr>
            <w:tcW w:w="1555" w:type="dxa"/>
            <w:tcBorders>
              <w:top w:val="single" w:sz="4" w:space="0" w:color="auto"/>
              <w:bottom w:val="single" w:sz="4" w:space="0" w:color="auto"/>
            </w:tcBorders>
            <w:shd w:val="clear" w:color="auto" w:fill="EAF1DD" w:themeFill="accent3" w:themeFillTint="33"/>
            <w:vAlign w:val="bottom"/>
          </w:tcPr>
          <w:p w14:paraId="3D8B1404" w14:textId="36B228AF" w:rsidR="00C152F6" w:rsidRPr="00E26D69" w:rsidRDefault="00F9470A" w:rsidP="00C152F6">
            <w:pPr>
              <w:tabs>
                <w:tab w:val="left" w:pos="744"/>
              </w:tabs>
              <w:jc w:val="right"/>
              <w:rPr>
                <w:rFonts w:ascii="Arial" w:hAnsi="Arial" w:cs="Arial"/>
                <w:b/>
              </w:rPr>
            </w:pPr>
            <w:r>
              <w:rPr>
                <w:rFonts w:ascii="Arial" w:hAnsi="Arial" w:cs="Arial"/>
                <w:b/>
              </w:rPr>
              <w:t>47,71</w:t>
            </w:r>
            <w:r w:rsidR="00983159">
              <w:rPr>
                <w:rFonts w:ascii="Arial" w:hAnsi="Arial" w:cs="Arial"/>
                <w:b/>
              </w:rPr>
              <w:t>2</w:t>
            </w:r>
          </w:p>
        </w:tc>
        <w:tc>
          <w:tcPr>
            <w:tcW w:w="1712" w:type="dxa"/>
            <w:tcBorders>
              <w:top w:val="single" w:sz="4" w:space="0" w:color="auto"/>
              <w:bottom w:val="single" w:sz="4" w:space="0" w:color="auto"/>
            </w:tcBorders>
            <w:vAlign w:val="bottom"/>
          </w:tcPr>
          <w:p w14:paraId="1B8BC1A3" w14:textId="48713031" w:rsidR="00C152F6" w:rsidRPr="00E26D69" w:rsidRDefault="00C152F6" w:rsidP="00C152F6">
            <w:pPr>
              <w:tabs>
                <w:tab w:val="left" w:pos="744"/>
              </w:tabs>
              <w:jc w:val="right"/>
              <w:rPr>
                <w:rFonts w:ascii="Arial" w:hAnsi="Arial" w:cs="Arial"/>
                <w:b/>
              </w:rPr>
            </w:pPr>
            <w:r>
              <w:rPr>
                <w:rFonts w:ascii="Arial" w:hAnsi="Arial" w:cs="Arial"/>
                <w:b/>
              </w:rPr>
              <w:t>43,854</w:t>
            </w:r>
          </w:p>
        </w:tc>
      </w:tr>
      <w:tr w:rsidR="00C152F6" w:rsidRPr="00E26D69" w14:paraId="388B73E3" w14:textId="77777777" w:rsidTr="007033EE">
        <w:trPr>
          <w:trHeight w:val="454"/>
        </w:trPr>
        <w:tc>
          <w:tcPr>
            <w:tcW w:w="5773" w:type="dxa"/>
            <w:vAlign w:val="bottom"/>
          </w:tcPr>
          <w:p w14:paraId="46C3EAAC" w14:textId="77777777" w:rsidR="00C152F6" w:rsidRPr="00E26D69" w:rsidRDefault="00C152F6" w:rsidP="00C152F6">
            <w:pPr>
              <w:ind w:left="-100"/>
              <w:rPr>
                <w:rFonts w:ascii="Arial" w:hAnsi="Arial" w:cs="Arial"/>
              </w:rPr>
            </w:pPr>
          </w:p>
        </w:tc>
        <w:tc>
          <w:tcPr>
            <w:tcW w:w="883" w:type="dxa"/>
            <w:vAlign w:val="bottom"/>
          </w:tcPr>
          <w:p w14:paraId="650EA40B" w14:textId="77777777" w:rsidR="00C152F6" w:rsidRPr="008C023F" w:rsidRDefault="00C152F6" w:rsidP="00C152F6">
            <w:pPr>
              <w:jc w:val="center"/>
              <w:rPr>
                <w:rFonts w:ascii="Arial" w:hAnsi="Arial" w:cs="Arial"/>
                <w:highlight w:val="magenta"/>
              </w:rPr>
            </w:pPr>
          </w:p>
        </w:tc>
        <w:tc>
          <w:tcPr>
            <w:tcW w:w="1555" w:type="dxa"/>
            <w:tcBorders>
              <w:top w:val="single" w:sz="4" w:space="0" w:color="auto"/>
            </w:tcBorders>
            <w:shd w:val="clear" w:color="auto" w:fill="EAF1DD" w:themeFill="accent3" w:themeFillTint="33"/>
            <w:vAlign w:val="bottom"/>
          </w:tcPr>
          <w:p w14:paraId="7DB838D9" w14:textId="77777777" w:rsidR="00C152F6" w:rsidRPr="00E26D69" w:rsidRDefault="00C152F6" w:rsidP="00C152F6">
            <w:pPr>
              <w:tabs>
                <w:tab w:val="left" w:pos="744"/>
              </w:tabs>
              <w:jc w:val="right"/>
              <w:rPr>
                <w:rFonts w:ascii="Arial" w:hAnsi="Arial" w:cs="Arial"/>
              </w:rPr>
            </w:pPr>
          </w:p>
        </w:tc>
        <w:tc>
          <w:tcPr>
            <w:tcW w:w="1712" w:type="dxa"/>
            <w:tcBorders>
              <w:top w:val="single" w:sz="4" w:space="0" w:color="auto"/>
            </w:tcBorders>
            <w:vAlign w:val="bottom"/>
          </w:tcPr>
          <w:p w14:paraId="1F69CA88" w14:textId="77777777" w:rsidR="00C152F6" w:rsidRPr="00E26D69" w:rsidRDefault="00C152F6" w:rsidP="00C152F6">
            <w:pPr>
              <w:tabs>
                <w:tab w:val="left" w:pos="744"/>
              </w:tabs>
              <w:jc w:val="right"/>
              <w:rPr>
                <w:rFonts w:ascii="Arial" w:hAnsi="Arial" w:cs="Arial"/>
              </w:rPr>
            </w:pPr>
          </w:p>
        </w:tc>
      </w:tr>
      <w:tr w:rsidR="00C152F6" w:rsidRPr="00E26D69" w14:paraId="0168880D" w14:textId="77777777" w:rsidTr="007033EE">
        <w:trPr>
          <w:trHeight w:val="454"/>
        </w:trPr>
        <w:tc>
          <w:tcPr>
            <w:tcW w:w="5773" w:type="dxa"/>
            <w:vAlign w:val="bottom"/>
          </w:tcPr>
          <w:p w14:paraId="58E992F2" w14:textId="77777777" w:rsidR="00C152F6" w:rsidRPr="00E26D69" w:rsidRDefault="00C152F6" w:rsidP="00C152F6">
            <w:pPr>
              <w:ind w:left="-100"/>
              <w:rPr>
                <w:rFonts w:ascii="Arial" w:hAnsi="Arial" w:cs="Arial"/>
                <w:b/>
                <w:bCs/>
              </w:rPr>
            </w:pPr>
            <w:r w:rsidRPr="00E26D69">
              <w:rPr>
                <w:rFonts w:ascii="Arial" w:hAnsi="Arial" w:cs="Arial"/>
                <w:b/>
                <w:bCs/>
              </w:rPr>
              <w:t>Expenditure</w:t>
            </w:r>
          </w:p>
        </w:tc>
        <w:tc>
          <w:tcPr>
            <w:tcW w:w="883" w:type="dxa"/>
            <w:vAlign w:val="bottom"/>
          </w:tcPr>
          <w:p w14:paraId="13B732B2" w14:textId="77777777" w:rsidR="00C152F6" w:rsidRPr="008C023F" w:rsidRDefault="00C152F6" w:rsidP="00C152F6">
            <w:pPr>
              <w:jc w:val="center"/>
              <w:rPr>
                <w:rFonts w:ascii="Arial" w:hAnsi="Arial" w:cs="Arial"/>
                <w:highlight w:val="magenta"/>
              </w:rPr>
            </w:pPr>
          </w:p>
        </w:tc>
        <w:tc>
          <w:tcPr>
            <w:tcW w:w="1555" w:type="dxa"/>
            <w:shd w:val="clear" w:color="auto" w:fill="EAF1DD" w:themeFill="accent3" w:themeFillTint="33"/>
            <w:vAlign w:val="bottom"/>
          </w:tcPr>
          <w:p w14:paraId="762095E7" w14:textId="77777777" w:rsidR="00C152F6" w:rsidRPr="00E26D69" w:rsidRDefault="00C152F6" w:rsidP="00C152F6">
            <w:pPr>
              <w:tabs>
                <w:tab w:val="left" w:pos="744"/>
              </w:tabs>
              <w:jc w:val="right"/>
              <w:rPr>
                <w:rFonts w:ascii="Arial" w:hAnsi="Arial" w:cs="Arial"/>
              </w:rPr>
            </w:pPr>
          </w:p>
        </w:tc>
        <w:tc>
          <w:tcPr>
            <w:tcW w:w="1712" w:type="dxa"/>
            <w:vAlign w:val="bottom"/>
          </w:tcPr>
          <w:p w14:paraId="5B23A472" w14:textId="77777777" w:rsidR="00C152F6" w:rsidRPr="00E26D69" w:rsidRDefault="00C152F6" w:rsidP="00C152F6">
            <w:pPr>
              <w:tabs>
                <w:tab w:val="left" w:pos="744"/>
              </w:tabs>
              <w:jc w:val="right"/>
              <w:rPr>
                <w:rFonts w:ascii="Arial" w:hAnsi="Arial" w:cs="Arial"/>
              </w:rPr>
            </w:pPr>
          </w:p>
        </w:tc>
      </w:tr>
      <w:tr w:rsidR="00C152F6" w:rsidRPr="00E26D69" w14:paraId="5B76FC79" w14:textId="77777777" w:rsidTr="007033EE">
        <w:trPr>
          <w:trHeight w:val="454"/>
        </w:trPr>
        <w:tc>
          <w:tcPr>
            <w:tcW w:w="5773" w:type="dxa"/>
            <w:vAlign w:val="bottom"/>
          </w:tcPr>
          <w:p w14:paraId="22381E03" w14:textId="77777777" w:rsidR="00C152F6" w:rsidRPr="00E26D69" w:rsidRDefault="00C152F6" w:rsidP="00C152F6">
            <w:pPr>
              <w:ind w:left="-100"/>
              <w:rPr>
                <w:rFonts w:ascii="Arial" w:hAnsi="Arial" w:cs="Arial"/>
              </w:rPr>
            </w:pPr>
            <w:r w:rsidRPr="00E26D69">
              <w:rPr>
                <w:rFonts w:ascii="Arial" w:hAnsi="Arial" w:cs="Arial"/>
              </w:rPr>
              <w:t>Staff costs</w:t>
            </w:r>
          </w:p>
        </w:tc>
        <w:tc>
          <w:tcPr>
            <w:tcW w:w="883" w:type="dxa"/>
            <w:vAlign w:val="bottom"/>
          </w:tcPr>
          <w:p w14:paraId="5DE410E9" w14:textId="75D24C2C" w:rsidR="00C152F6" w:rsidRPr="008C023F" w:rsidRDefault="00C152F6" w:rsidP="00C152F6">
            <w:pPr>
              <w:jc w:val="center"/>
              <w:rPr>
                <w:rFonts w:ascii="Arial" w:hAnsi="Arial" w:cs="Arial"/>
                <w:highlight w:val="magenta"/>
              </w:rPr>
            </w:pPr>
            <w:hyperlink w:anchor="Note4inforegardingemployeesandBoard" w:history="1">
              <w:r w:rsidRPr="00FF2FB0">
                <w:rPr>
                  <w:rStyle w:val="Hyperlink"/>
                  <w:rFonts w:ascii="Arial" w:hAnsi="Arial" w:cs="Arial"/>
                </w:rPr>
                <w:t>4</w:t>
              </w:r>
            </w:hyperlink>
          </w:p>
        </w:tc>
        <w:tc>
          <w:tcPr>
            <w:tcW w:w="1555" w:type="dxa"/>
            <w:shd w:val="clear" w:color="auto" w:fill="EAF1DD" w:themeFill="accent3" w:themeFillTint="33"/>
            <w:vAlign w:val="bottom"/>
          </w:tcPr>
          <w:p w14:paraId="1169AC5A" w14:textId="596232E7" w:rsidR="00C152F6" w:rsidRPr="00E26D69" w:rsidRDefault="00F9470A" w:rsidP="00C152F6">
            <w:pPr>
              <w:tabs>
                <w:tab w:val="left" w:pos="744"/>
                <w:tab w:val="left" w:pos="924"/>
              </w:tabs>
              <w:jc w:val="right"/>
              <w:rPr>
                <w:rFonts w:ascii="Arial" w:hAnsi="Arial" w:cs="Arial"/>
              </w:rPr>
            </w:pPr>
            <w:r>
              <w:rPr>
                <w:rFonts w:ascii="Arial" w:hAnsi="Arial" w:cs="Arial"/>
              </w:rPr>
              <w:t>(76,508)</w:t>
            </w:r>
          </w:p>
        </w:tc>
        <w:tc>
          <w:tcPr>
            <w:tcW w:w="1712" w:type="dxa"/>
            <w:vAlign w:val="bottom"/>
          </w:tcPr>
          <w:p w14:paraId="1E05B17E" w14:textId="32D91933" w:rsidR="00C152F6" w:rsidRPr="00E26D69" w:rsidRDefault="00C152F6" w:rsidP="00C152F6">
            <w:pPr>
              <w:tabs>
                <w:tab w:val="left" w:pos="744"/>
                <w:tab w:val="left" w:pos="924"/>
              </w:tabs>
              <w:jc w:val="right"/>
              <w:rPr>
                <w:rFonts w:ascii="Arial" w:hAnsi="Arial" w:cs="Arial"/>
              </w:rPr>
            </w:pPr>
            <w:r>
              <w:rPr>
                <w:rFonts w:ascii="Arial" w:hAnsi="Arial" w:cs="Arial"/>
              </w:rPr>
              <w:t>(69,383)</w:t>
            </w:r>
          </w:p>
        </w:tc>
      </w:tr>
      <w:tr w:rsidR="00C152F6" w:rsidRPr="00E26D69" w14:paraId="4A284D8D" w14:textId="77777777" w:rsidTr="007033EE">
        <w:trPr>
          <w:trHeight w:val="737"/>
        </w:trPr>
        <w:tc>
          <w:tcPr>
            <w:tcW w:w="5773" w:type="dxa"/>
            <w:vAlign w:val="bottom"/>
          </w:tcPr>
          <w:p w14:paraId="7EC095A7" w14:textId="40897578" w:rsidR="00C152F6" w:rsidRPr="00E26D69" w:rsidRDefault="00C152F6" w:rsidP="00C152F6">
            <w:pPr>
              <w:ind w:left="-100"/>
              <w:rPr>
                <w:rFonts w:ascii="Arial" w:hAnsi="Arial" w:cs="Arial"/>
              </w:rPr>
            </w:pPr>
            <w:r w:rsidRPr="00E26D69">
              <w:rPr>
                <w:rFonts w:ascii="Arial" w:hAnsi="Arial" w:cs="Arial"/>
              </w:rPr>
              <w:t>Depreciation, loss on sale</w:t>
            </w:r>
            <w:r>
              <w:rPr>
                <w:rFonts w:ascii="Arial" w:hAnsi="Arial" w:cs="Arial"/>
              </w:rPr>
              <w:t>,</w:t>
            </w:r>
            <w:r w:rsidRPr="00E26D69">
              <w:rPr>
                <w:rFonts w:ascii="Arial" w:hAnsi="Arial" w:cs="Arial"/>
              </w:rPr>
              <w:t xml:space="preserve"> and impairment of non-current assets</w:t>
            </w:r>
          </w:p>
        </w:tc>
        <w:tc>
          <w:tcPr>
            <w:tcW w:w="883" w:type="dxa"/>
            <w:vAlign w:val="bottom"/>
          </w:tcPr>
          <w:p w14:paraId="3D3A36DB" w14:textId="62C9293B" w:rsidR="00C152F6" w:rsidRPr="00A63C57" w:rsidRDefault="00C152F6" w:rsidP="00C152F6">
            <w:pPr>
              <w:jc w:val="center"/>
              <w:rPr>
                <w:rFonts w:ascii="Arial" w:hAnsi="Arial" w:cs="Arial"/>
              </w:rPr>
            </w:pPr>
            <w:hyperlink w:anchor="Note9noncurrentassets" w:history="1">
              <w:r w:rsidRPr="00FF2FB0">
                <w:rPr>
                  <w:rStyle w:val="Hyperlink"/>
                  <w:rFonts w:ascii="Arial" w:hAnsi="Arial" w:cs="Arial"/>
                </w:rPr>
                <w:t>9</w:t>
              </w:r>
            </w:hyperlink>
          </w:p>
        </w:tc>
        <w:tc>
          <w:tcPr>
            <w:tcW w:w="1555" w:type="dxa"/>
            <w:shd w:val="clear" w:color="auto" w:fill="EAF1DD" w:themeFill="accent3" w:themeFillTint="33"/>
            <w:vAlign w:val="bottom"/>
          </w:tcPr>
          <w:p w14:paraId="7D574DE4" w14:textId="360FC550" w:rsidR="00C152F6" w:rsidRPr="00E26D69" w:rsidRDefault="00F9470A" w:rsidP="00C152F6">
            <w:pPr>
              <w:tabs>
                <w:tab w:val="left" w:pos="744"/>
              </w:tabs>
              <w:jc w:val="right"/>
              <w:rPr>
                <w:rFonts w:ascii="Arial" w:hAnsi="Arial" w:cs="Arial"/>
              </w:rPr>
            </w:pPr>
            <w:r>
              <w:rPr>
                <w:rFonts w:ascii="Arial" w:hAnsi="Arial" w:cs="Arial"/>
              </w:rPr>
              <w:t>(3,33</w:t>
            </w:r>
            <w:r w:rsidR="00482E1D">
              <w:rPr>
                <w:rFonts w:ascii="Arial" w:hAnsi="Arial" w:cs="Arial"/>
              </w:rPr>
              <w:t>4</w:t>
            </w:r>
            <w:r>
              <w:rPr>
                <w:rFonts w:ascii="Arial" w:hAnsi="Arial" w:cs="Arial"/>
              </w:rPr>
              <w:t>)</w:t>
            </w:r>
          </w:p>
        </w:tc>
        <w:tc>
          <w:tcPr>
            <w:tcW w:w="1712" w:type="dxa"/>
            <w:vAlign w:val="bottom"/>
          </w:tcPr>
          <w:p w14:paraId="195417F8" w14:textId="541C71FF" w:rsidR="00C152F6" w:rsidRPr="00E26D69" w:rsidRDefault="00C152F6" w:rsidP="00C152F6">
            <w:pPr>
              <w:tabs>
                <w:tab w:val="left" w:pos="744"/>
              </w:tabs>
              <w:jc w:val="right"/>
              <w:rPr>
                <w:rFonts w:ascii="Arial" w:hAnsi="Arial" w:cs="Arial"/>
              </w:rPr>
            </w:pPr>
            <w:r>
              <w:rPr>
                <w:rFonts w:ascii="Arial" w:hAnsi="Arial" w:cs="Arial"/>
              </w:rPr>
              <w:t>(3,502)</w:t>
            </w:r>
          </w:p>
        </w:tc>
      </w:tr>
      <w:tr w:rsidR="00C152F6" w:rsidRPr="00E26D69" w14:paraId="4338B9F9" w14:textId="77777777" w:rsidTr="007033EE">
        <w:trPr>
          <w:trHeight w:val="454"/>
        </w:trPr>
        <w:tc>
          <w:tcPr>
            <w:tcW w:w="5773" w:type="dxa"/>
            <w:vAlign w:val="bottom"/>
          </w:tcPr>
          <w:p w14:paraId="0733E681" w14:textId="77777777" w:rsidR="00C152F6" w:rsidRPr="00E26D69" w:rsidRDefault="00C152F6" w:rsidP="00C152F6">
            <w:pPr>
              <w:ind w:left="-100"/>
              <w:rPr>
                <w:rFonts w:ascii="Arial" w:hAnsi="Arial" w:cs="Arial"/>
              </w:rPr>
            </w:pPr>
            <w:r w:rsidRPr="00E26D69">
              <w:rPr>
                <w:rFonts w:ascii="Arial" w:hAnsi="Arial" w:cs="Arial"/>
              </w:rPr>
              <w:t>Other operating charges</w:t>
            </w:r>
          </w:p>
        </w:tc>
        <w:tc>
          <w:tcPr>
            <w:tcW w:w="883" w:type="dxa"/>
            <w:vAlign w:val="bottom"/>
          </w:tcPr>
          <w:p w14:paraId="6D1E92E4" w14:textId="3206848F" w:rsidR="00C152F6" w:rsidRPr="00A63C57" w:rsidRDefault="00C152F6" w:rsidP="00C152F6">
            <w:pPr>
              <w:jc w:val="center"/>
              <w:rPr>
                <w:rFonts w:ascii="Arial" w:hAnsi="Arial" w:cs="Arial"/>
              </w:rPr>
            </w:pPr>
            <w:hyperlink w:anchor="Note5otheroperatingcharges" w:history="1">
              <w:r w:rsidRPr="00FF2FB0">
                <w:rPr>
                  <w:rStyle w:val="Hyperlink"/>
                  <w:rFonts w:ascii="Arial" w:hAnsi="Arial" w:cs="Arial"/>
                </w:rPr>
                <w:t>5</w:t>
              </w:r>
            </w:hyperlink>
          </w:p>
        </w:tc>
        <w:tc>
          <w:tcPr>
            <w:tcW w:w="1555" w:type="dxa"/>
            <w:tcBorders>
              <w:bottom w:val="single" w:sz="4" w:space="0" w:color="auto"/>
            </w:tcBorders>
            <w:shd w:val="clear" w:color="auto" w:fill="EAF1DD" w:themeFill="accent3" w:themeFillTint="33"/>
            <w:vAlign w:val="bottom"/>
          </w:tcPr>
          <w:p w14:paraId="48F61F3A" w14:textId="762A3088" w:rsidR="00C152F6" w:rsidRPr="00E26D69" w:rsidRDefault="0018182E" w:rsidP="00C152F6">
            <w:pPr>
              <w:tabs>
                <w:tab w:val="left" w:pos="744"/>
              </w:tabs>
              <w:jc w:val="right"/>
              <w:rPr>
                <w:rFonts w:ascii="Arial" w:hAnsi="Arial" w:cs="Arial"/>
              </w:rPr>
            </w:pPr>
            <w:r>
              <w:rPr>
                <w:rFonts w:ascii="Arial" w:hAnsi="Arial" w:cs="Arial"/>
              </w:rPr>
              <w:t>(21,14</w:t>
            </w:r>
            <w:r w:rsidR="001E4C2E">
              <w:rPr>
                <w:rFonts w:ascii="Arial" w:hAnsi="Arial" w:cs="Arial"/>
              </w:rPr>
              <w:t>4</w:t>
            </w:r>
            <w:r>
              <w:rPr>
                <w:rFonts w:ascii="Arial" w:hAnsi="Arial" w:cs="Arial"/>
              </w:rPr>
              <w:t>)</w:t>
            </w:r>
          </w:p>
        </w:tc>
        <w:tc>
          <w:tcPr>
            <w:tcW w:w="1712" w:type="dxa"/>
            <w:tcBorders>
              <w:bottom w:val="single" w:sz="4" w:space="0" w:color="auto"/>
            </w:tcBorders>
            <w:vAlign w:val="bottom"/>
          </w:tcPr>
          <w:p w14:paraId="2518CB37" w14:textId="6AFE5548" w:rsidR="00C152F6" w:rsidRPr="00E26D69" w:rsidRDefault="00C152F6" w:rsidP="00C152F6">
            <w:pPr>
              <w:tabs>
                <w:tab w:val="left" w:pos="744"/>
              </w:tabs>
              <w:jc w:val="right"/>
              <w:rPr>
                <w:rFonts w:ascii="Arial" w:hAnsi="Arial" w:cs="Arial"/>
              </w:rPr>
            </w:pPr>
            <w:r>
              <w:rPr>
                <w:rFonts w:ascii="Arial" w:hAnsi="Arial" w:cs="Arial"/>
              </w:rPr>
              <w:t>(16,615)</w:t>
            </w:r>
          </w:p>
        </w:tc>
      </w:tr>
      <w:tr w:rsidR="00C152F6" w:rsidRPr="00E26D69" w14:paraId="49AE6E97" w14:textId="77777777" w:rsidTr="007033EE">
        <w:trPr>
          <w:trHeight w:val="454"/>
        </w:trPr>
        <w:tc>
          <w:tcPr>
            <w:tcW w:w="5773" w:type="dxa"/>
            <w:vAlign w:val="bottom"/>
          </w:tcPr>
          <w:p w14:paraId="724359C0" w14:textId="77777777" w:rsidR="00C152F6" w:rsidRPr="00E26D69" w:rsidRDefault="00C152F6" w:rsidP="00C152F6">
            <w:pPr>
              <w:ind w:left="-100"/>
              <w:rPr>
                <w:rFonts w:ascii="Arial" w:hAnsi="Arial" w:cs="Arial"/>
                <w:b/>
              </w:rPr>
            </w:pPr>
            <w:r w:rsidRPr="00E26D69">
              <w:rPr>
                <w:rFonts w:ascii="Arial" w:hAnsi="Arial" w:cs="Arial"/>
                <w:b/>
              </w:rPr>
              <w:t>Total operating expenditure</w:t>
            </w:r>
          </w:p>
        </w:tc>
        <w:tc>
          <w:tcPr>
            <w:tcW w:w="883" w:type="dxa"/>
            <w:vAlign w:val="bottom"/>
          </w:tcPr>
          <w:p w14:paraId="1CD701DB" w14:textId="77777777" w:rsidR="00C152F6" w:rsidRPr="008C023F" w:rsidRDefault="00C152F6" w:rsidP="00C152F6">
            <w:pPr>
              <w:jc w:val="center"/>
              <w:rPr>
                <w:rFonts w:ascii="Arial" w:hAnsi="Arial" w:cs="Arial"/>
                <w:b/>
                <w:highlight w:val="magenta"/>
              </w:rPr>
            </w:pPr>
          </w:p>
        </w:tc>
        <w:tc>
          <w:tcPr>
            <w:tcW w:w="1555" w:type="dxa"/>
            <w:tcBorders>
              <w:top w:val="single" w:sz="4" w:space="0" w:color="auto"/>
              <w:bottom w:val="single" w:sz="4" w:space="0" w:color="auto"/>
            </w:tcBorders>
            <w:shd w:val="clear" w:color="auto" w:fill="EAF1DD" w:themeFill="accent3" w:themeFillTint="33"/>
            <w:vAlign w:val="bottom"/>
          </w:tcPr>
          <w:p w14:paraId="7F6EDFA2" w14:textId="569ECA7C" w:rsidR="00C152F6" w:rsidRPr="00E26D69" w:rsidRDefault="0018182E" w:rsidP="00C152F6">
            <w:pPr>
              <w:tabs>
                <w:tab w:val="left" w:pos="744"/>
              </w:tabs>
              <w:jc w:val="right"/>
              <w:rPr>
                <w:rFonts w:ascii="Arial" w:hAnsi="Arial" w:cs="Arial"/>
                <w:b/>
              </w:rPr>
            </w:pPr>
            <w:r>
              <w:rPr>
                <w:rFonts w:ascii="Arial" w:hAnsi="Arial" w:cs="Arial"/>
                <w:b/>
              </w:rPr>
              <w:t>(100,986)</w:t>
            </w:r>
          </w:p>
        </w:tc>
        <w:tc>
          <w:tcPr>
            <w:tcW w:w="1712" w:type="dxa"/>
            <w:tcBorders>
              <w:top w:val="single" w:sz="4" w:space="0" w:color="auto"/>
              <w:bottom w:val="single" w:sz="4" w:space="0" w:color="auto"/>
            </w:tcBorders>
            <w:vAlign w:val="bottom"/>
          </w:tcPr>
          <w:p w14:paraId="5B864914" w14:textId="29E2548E" w:rsidR="00C152F6" w:rsidRPr="00E26D69" w:rsidRDefault="00C152F6" w:rsidP="00C152F6">
            <w:pPr>
              <w:tabs>
                <w:tab w:val="left" w:pos="744"/>
              </w:tabs>
              <w:jc w:val="right"/>
              <w:rPr>
                <w:rFonts w:ascii="Arial" w:hAnsi="Arial" w:cs="Arial"/>
                <w:b/>
              </w:rPr>
            </w:pPr>
            <w:r>
              <w:rPr>
                <w:rFonts w:ascii="Arial" w:hAnsi="Arial" w:cs="Arial"/>
                <w:b/>
              </w:rPr>
              <w:t>(89,500)</w:t>
            </w:r>
          </w:p>
        </w:tc>
      </w:tr>
      <w:tr w:rsidR="00C152F6" w:rsidRPr="00E26D69" w14:paraId="2A20676B" w14:textId="77777777" w:rsidTr="007033EE">
        <w:trPr>
          <w:trHeight w:val="454"/>
        </w:trPr>
        <w:tc>
          <w:tcPr>
            <w:tcW w:w="5773" w:type="dxa"/>
            <w:vAlign w:val="bottom"/>
          </w:tcPr>
          <w:p w14:paraId="43D56707" w14:textId="77777777" w:rsidR="00C152F6" w:rsidRPr="00E26D69" w:rsidRDefault="00C152F6" w:rsidP="00C152F6">
            <w:pPr>
              <w:ind w:left="-100"/>
              <w:rPr>
                <w:rFonts w:ascii="Arial" w:hAnsi="Arial" w:cs="Arial"/>
              </w:rPr>
            </w:pPr>
          </w:p>
        </w:tc>
        <w:tc>
          <w:tcPr>
            <w:tcW w:w="883" w:type="dxa"/>
            <w:vAlign w:val="bottom"/>
          </w:tcPr>
          <w:p w14:paraId="6CDE5F04" w14:textId="77777777" w:rsidR="00C152F6" w:rsidRPr="008C023F" w:rsidRDefault="00C152F6" w:rsidP="00C152F6">
            <w:pPr>
              <w:jc w:val="center"/>
              <w:rPr>
                <w:rFonts w:ascii="Arial" w:hAnsi="Arial" w:cs="Arial"/>
                <w:highlight w:val="magenta"/>
              </w:rPr>
            </w:pPr>
          </w:p>
        </w:tc>
        <w:tc>
          <w:tcPr>
            <w:tcW w:w="1555" w:type="dxa"/>
            <w:tcBorders>
              <w:top w:val="single" w:sz="4" w:space="0" w:color="auto"/>
            </w:tcBorders>
            <w:shd w:val="clear" w:color="auto" w:fill="EAF1DD" w:themeFill="accent3" w:themeFillTint="33"/>
            <w:vAlign w:val="bottom"/>
          </w:tcPr>
          <w:p w14:paraId="29F016BD" w14:textId="77777777" w:rsidR="00C152F6" w:rsidRPr="00E26D69" w:rsidRDefault="00C152F6" w:rsidP="00C152F6">
            <w:pPr>
              <w:tabs>
                <w:tab w:val="left" w:pos="744"/>
              </w:tabs>
              <w:jc w:val="right"/>
              <w:rPr>
                <w:rFonts w:ascii="Arial" w:hAnsi="Arial" w:cs="Arial"/>
              </w:rPr>
            </w:pPr>
          </w:p>
        </w:tc>
        <w:tc>
          <w:tcPr>
            <w:tcW w:w="1712" w:type="dxa"/>
            <w:tcBorders>
              <w:top w:val="single" w:sz="4" w:space="0" w:color="auto"/>
            </w:tcBorders>
            <w:vAlign w:val="bottom"/>
          </w:tcPr>
          <w:p w14:paraId="7AA514EB" w14:textId="77777777" w:rsidR="00C152F6" w:rsidRPr="00E26D69" w:rsidRDefault="00C152F6" w:rsidP="00C152F6">
            <w:pPr>
              <w:tabs>
                <w:tab w:val="left" w:pos="744"/>
              </w:tabs>
              <w:jc w:val="right"/>
              <w:rPr>
                <w:rFonts w:ascii="Arial" w:hAnsi="Arial" w:cs="Arial"/>
              </w:rPr>
            </w:pPr>
          </w:p>
        </w:tc>
      </w:tr>
      <w:tr w:rsidR="00C152F6" w:rsidRPr="00E26D69" w14:paraId="02E5B101" w14:textId="77777777" w:rsidTr="007033EE">
        <w:trPr>
          <w:trHeight w:val="454"/>
        </w:trPr>
        <w:tc>
          <w:tcPr>
            <w:tcW w:w="5773" w:type="dxa"/>
            <w:vAlign w:val="bottom"/>
          </w:tcPr>
          <w:p w14:paraId="382C4B03" w14:textId="77777777" w:rsidR="00C152F6" w:rsidRPr="00E26D69" w:rsidRDefault="00C152F6" w:rsidP="00C152F6">
            <w:pPr>
              <w:ind w:left="-100"/>
              <w:rPr>
                <w:rFonts w:ascii="Arial" w:hAnsi="Arial" w:cs="Arial"/>
                <w:b/>
              </w:rPr>
            </w:pPr>
            <w:r w:rsidRPr="00E26D69">
              <w:rPr>
                <w:rFonts w:ascii="Arial" w:hAnsi="Arial" w:cs="Arial"/>
                <w:b/>
              </w:rPr>
              <w:t>Net operating expenditure</w:t>
            </w:r>
          </w:p>
        </w:tc>
        <w:tc>
          <w:tcPr>
            <w:tcW w:w="883" w:type="dxa"/>
            <w:vAlign w:val="bottom"/>
          </w:tcPr>
          <w:p w14:paraId="16469573" w14:textId="77777777" w:rsidR="00C152F6" w:rsidRPr="008C023F" w:rsidRDefault="00C152F6" w:rsidP="00C152F6">
            <w:pPr>
              <w:jc w:val="center"/>
              <w:rPr>
                <w:rFonts w:ascii="Arial" w:hAnsi="Arial" w:cs="Arial"/>
                <w:b/>
                <w:highlight w:val="magenta"/>
              </w:rPr>
            </w:pPr>
          </w:p>
        </w:tc>
        <w:tc>
          <w:tcPr>
            <w:tcW w:w="1555" w:type="dxa"/>
            <w:tcBorders>
              <w:bottom w:val="single" w:sz="4" w:space="0" w:color="auto"/>
            </w:tcBorders>
            <w:shd w:val="clear" w:color="auto" w:fill="EAF1DD" w:themeFill="accent3" w:themeFillTint="33"/>
            <w:vAlign w:val="bottom"/>
          </w:tcPr>
          <w:p w14:paraId="2CE00AB6" w14:textId="6E8A8DFA" w:rsidR="00C152F6" w:rsidRPr="00E26D69" w:rsidRDefault="0018182E" w:rsidP="00C152F6">
            <w:pPr>
              <w:tabs>
                <w:tab w:val="left" w:pos="744"/>
              </w:tabs>
              <w:jc w:val="right"/>
              <w:rPr>
                <w:rFonts w:ascii="Arial" w:hAnsi="Arial" w:cs="Arial"/>
                <w:b/>
              </w:rPr>
            </w:pPr>
            <w:r>
              <w:rPr>
                <w:rFonts w:ascii="Arial" w:hAnsi="Arial" w:cs="Arial"/>
                <w:b/>
              </w:rPr>
              <w:t>(53,2</w:t>
            </w:r>
            <w:r w:rsidR="0009327E">
              <w:rPr>
                <w:rFonts w:ascii="Arial" w:hAnsi="Arial" w:cs="Arial"/>
                <w:b/>
              </w:rPr>
              <w:t>74</w:t>
            </w:r>
            <w:r>
              <w:rPr>
                <w:rFonts w:ascii="Arial" w:hAnsi="Arial" w:cs="Arial"/>
                <w:b/>
              </w:rPr>
              <w:t>)</w:t>
            </w:r>
          </w:p>
        </w:tc>
        <w:tc>
          <w:tcPr>
            <w:tcW w:w="1712" w:type="dxa"/>
            <w:tcBorders>
              <w:bottom w:val="single" w:sz="4" w:space="0" w:color="auto"/>
            </w:tcBorders>
            <w:vAlign w:val="bottom"/>
          </w:tcPr>
          <w:p w14:paraId="2A07A8DB" w14:textId="28DCF4ED" w:rsidR="00C152F6" w:rsidRPr="00E26D69" w:rsidRDefault="00C152F6" w:rsidP="00C152F6">
            <w:pPr>
              <w:tabs>
                <w:tab w:val="left" w:pos="744"/>
              </w:tabs>
              <w:jc w:val="right"/>
              <w:rPr>
                <w:rFonts w:ascii="Arial" w:hAnsi="Arial" w:cs="Arial"/>
                <w:b/>
              </w:rPr>
            </w:pPr>
            <w:r>
              <w:rPr>
                <w:rFonts w:ascii="Arial" w:hAnsi="Arial" w:cs="Arial"/>
                <w:b/>
              </w:rPr>
              <w:t>(45,646)</w:t>
            </w:r>
          </w:p>
        </w:tc>
      </w:tr>
      <w:tr w:rsidR="00C152F6" w:rsidRPr="00E26D69" w14:paraId="2214F0DF" w14:textId="77777777" w:rsidTr="007033EE">
        <w:trPr>
          <w:trHeight w:val="454"/>
        </w:trPr>
        <w:tc>
          <w:tcPr>
            <w:tcW w:w="5773" w:type="dxa"/>
            <w:vAlign w:val="bottom"/>
          </w:tcPr>
          <w:p w14:paraId="23EE9684" w14:textId="77777777" w:rsidR="00C152F6" w:rsidRPr="00E26D69" w:rsidRDefault="00C152F6" w:rsidP="00C152F6">
            <w:pPr>
              <w:ind w:left="-100"/>
              <w:rPr>
                <w:rFonts w:ascii="Arial" w:hAnsi="Arial" w:cs="Arial"/>
              </w:rPr>
            </w:pPr>
            <w:r w:rsidRPr="00E26D69">
              <w:rPr>
                <w:rFonts w:ascii="Arial" w:hAnsi="Arial" w:cs="Arial"/>
              </w:rPr>
              <w:t>Finance income</w:t>
            </w:r>
          </w:p>
        </w:tc>
        <w:tc>
          <w:tcPr>
            <w:tcW w:w="883" w:type="dxa"/>
            <w:vAlign w:val="bottom"/>
          </w:tcPr>
          <w:p w14:paraId="13110785" w14:textId="3C9365D8" w:rsidR="00C152F6" w:rsidRPr="00A63C57" w:rsidRDefault="00C152F6" w:rsidP="00C152F6">
            <w:pPr>
              <w:jc w:val="center"/>
              <w:rPr>
                <w:rFonts w:ascii="Arial" w:hAnsi="Arial" w:cs="Arial"/>
              </w:rPr>
            </w:pPr>
            <w:hyperlink w:anchor="Note6interestreceivableandsimilarincome" w:history="1">
              <w:r w:rsidRPr="00FF2FB0">
                <w:rPr>
                  <w:rStyle w:val="Hyperlink"/>
                  <w:rFonts w:ascii="Arial" w:hAnsi="Arial" w:cs="Arial"/>
                </w:rPr>
                <w:t>6</w:t>
              </w:r>
            </w:hyperlink>
          </w:p>
        </w:tc>
        <w:tc>
          <w:tcPr>
            <w:tcW w:w="1555" w:type="dxa"/>
            <w:shd w:val="clear" w:color="auto" w:fill="EAF1DD" w:themeFill="accent3" w:themeFillTint="33"/>
            <w:vAlign w:val="bottom"/>
          </w:tcPr>
          <w:p w14:paraId="0F5A2A53" w14:textId="52F19A5B" w:rsidR="00C152F6" w:rsidRPr="00E26D69" w:rsidRDefault="0018182E" w:rsidP="00C152F6">
            <w:pPr>
              <w:tabs>
                <w:tab w:val="left" w:pos="744"/>
              </w:tabs>
              <w:jc w:val="right"/>
              <w:rPr>
                <w:rFonts w:ascii="Arial" w:hAnsi="Arial" w:cs="Arial"/>
              </w:rPr>
            </w:pPr>
            <w:r>
              <w:rPr>
                <w:rFonts w:ascii="Arial" w:hAnsi="Arial" w:cs="Arial"/>
              </w:rPr>
              <w:t>1</w:t>
            </w:r>
          </w:p>
        </w:tc>
        <w:tc>
          <w:tcPr>
            <w:tcW w:w="1712" w:type="dxa"/>
            <w:vAlign w:val="bottom"/>
          </w:tcPr>
          <w:p w14:paraId="11165DB0" w14:textId="67928F80" w:rsidR="00C152F6" w:rsidRPr="00E26D69" w:rsidRDefault="00C152F6" w:rsidP="00C152F6">
            <w:pPr>
              <w:tabs>
                <w:tab w:val="left" w:pos="744"/>
              </w:tabs>
              <w:jc w:val="right"/>
              <w:rPr>
                <w:rFonts w:ascii="Arial" w:hAnsi="Arial" w:cs="Arial"/>
              </w:rPr>
            </w:pPr>
            <w:r>
              <w:rPr>
                <w:rFonts w:ascii="Arial" w:hAnsi="Arial" w:cs="Arial"/>
              </w:rPr>
              <w:t>3</w:t>
            </w:r>
          </w:p>
        </w:tc>
      </w:tr>
      <w:tr w:rsidR="00C152F6" w:rsidRPr="00E26D69" w14:paraId="2BA33499" w14:textId="77777777" w:rsidTr="007033EE">
        <w:trPr>
          <w:trHeight w:val="454"/>
        </w:trPr>
        <w:tc>
          <w:tcPr>
            <w:tcW w:w="5773" w:type="dxa"/>
            <w:vAlign w:val="bottom"/>
          </w:tcPr>
          <w:p w14:paraId="18695CE0" w14:textId="77777777" w:rsidR="00C152F6" w:rsidRPr="00E26D69" w:rsidRDefault="00C152F6" w:rsidP="00C152F6">
            <w:pPr>
              <w:ind w:left="-100"/>
              <w:rPr>
                <w:rFonts w:ascii="Arial" w:hAnsi="Arial" w:cs="Arial"/>
              </w:rPr>
            </w:pPr>
            <w:r w:rsidRPr="00E26D69">
              <w:rPr>
                <w:rFonts w:ascii="Arial" w:hAnsi="Arial" w:cs="Arial"/>
              </w:rPr>
              <w:t>Finance expenses</w:t>
            </w:r>
          </w:p>
        </w:tc>
        <w:tc>
          <w:tcPr>
            <w:tcW w:w="883" w:type="dxa"/>
            <w:vAlign w:val="bottom"/>
          </w:tcPr>
          <w:p w14:paraId="1D1CCA41" w14:textId="17F9A277" w:rsidR="00C152F6" w:rsidRPr="00A63C57" w:rsidRDefault="00C152F6" w:rsidP="00C152F6">
            <w:pPr>
              <w:jc w:val="center"/>
              <w:rPr>
                <w:rFonts w:ascii="Arial" w:hAnsi="Arial" w:cs="Arial"/>
              </w:rPr>
            </w:pPr>
            <w:hyperlink w:anchor="Note7interestpayable" w:history="1">
              <w:r w:rsidRPr="00FF2FB0">
                <w:rPr>
                  <w:rStyle w:val="Hyperlink"/>
                  <w:rFonts w:ascii="Arial" w:hAnsi="Arial" w:cs="Arial"/>
                </w:rPr>
                <w:t>7</w:t>
              </w:r>
            </w:hyperlink>
          </w:p>
        </w:tc>
        <w:tc>
          <w:tcPr>
            <w:tcW w:w="1555" w:type="dxa"/>
            <w:tcBorders>
              <w:bottom w:val="single" w:sz="4" w:space="0" w:color="auto"/>
            </w:tcBorders>
            <w:shd w:val="clear" w:color="auto" w:fill="EAF1DD" w:themeFill="accent3" w:themeFillTint="33"/>
            <w:vAlign w:val="bottom"/>
          </w:tcPr>
          <w:p w14:paraId="7487E106" w14:textId="6EAA286A" w:rsidR="00C152F6" w:rsidRPr="00E26D69" w:rsidRDefault="0018182E" w:rsidP="00C152F6">
            <w:pPr>
              <w:tabs>
                <w:tab w:val="left" w:pos="744"/>
              </w:tabs>
              <w:jc w:val="right"/>
              <w:rPr>
                <w:rFonts w:ascii="Arial" w:hAnsi="Arial" w:cs="Arial"/>
              </w:rPr>
            </w:pPr>
            <w:r>
              <w:rPr>
                <w:rFonts w:ascii="Arial" w:hAnsi="Arial" w:cs="Arial"/>
              </w:rPr>
              <w:t>(3,949)</w:t>
            </w:r>
          </w:p>
        </w:tc>
        <w:tc>
          <w:tcPr>
            <w:tcW w:w="1712" w:type="dxa"/>
            <w:tcBorders>
              <w:bottom w:val="single" w:sz="4" w:space="0" w:color="auto"/>
            </w:tcBorders>
            <w:vAlign w:val="bottom"/>
          </w:tcPr>
          <w:p w14:paraId="1BD092FA" w14:textId="70E4E3FF" w:rsidR="00C152F6" w:rsidRPr="00E26D69" w:rsidRDefault="00C152F6" w:rsidP="00C152F6">
            <w:pPr>
              <w:tabs>
                <w:tab w:val="left" w:pos="744"/>
              </w:tabs>
              <w:jc w:val="right"/>
              <w:rPr>
                <w:rFonts w:ascii="Arial" w:hAnsi="Arial" w:cs="Arial"/>
              </w:rPr>
            </w:pPr>
            <w:r>
              <w:rPr>
                <w:rFonts w:ascii="Arial" w:hAnsi="Arial" w:cs="Arial"/>
              </w:rPr>
              <w:t>(2,761)</w:t>
            </w:r>
          </w:p>
        </w:tc>
      </w:tr>
      <w:tr w:rsidR="00C152F6" w:rsidRPr="00E26D69" w14:paraId="171C3AFE" w14:textId="77777777" w:rsidTr="007033EE">
        <w:trPr>
          <w:trHeight w:val="454"/>
        </w:trPr>
        <w:tc>
          <w:tcPr>
            <w:tcW w:w="5773" w:type="dxa"/>
            <w:vAlign w:val="bottom"/>
          </w:tcPr>
          <w:p w14:paraId="2F2598C4" w14:textId="77777777" w:rsidR="00C152F6" w:rsidRPr="00E26D69" w:rsidRDefault="00C152F6" w:rsidP="00C152F6">
            <w:pPr>
              <w:ind w:left="-100"/>
              <w:rPr>
                <w:rFonts w:ascii="Arial" w:hAnsi="Arial" w:cs="Arial"/>
                <w:b/>
                <w:bCs/>
              </w:rPr>
            </w:pPr>
            <w:r w:rsidRPr="00E26D69">
              <w:rPr>
                <w:rFonts w:ascii="Arial" w:hAnsi="Arial" w:cs="Arial"/>
                <w:b/>
                <w:bCs/>
              </w:rPr>
              <w:t>Net expenditure for year</w:t>
            </w:r>
          </w:p>
        </w:tc>
        <w:tc>
          <w:tcPr>
            <w:tcW w:w="883" w:type="dxa"/>
            <w:vAlign w:val="bottom"/>
          </w:tcPr>
          <w:p w14:paraId="5062601C" w14:textId="77777777" w:rsidR="00C152F6" w:rsidRPr="008C023F" w:rsidRDefault="00C152F6" w:rsidP="00C152F6">
            <w:pPr>
              <w:jc w:val="center"/>
              <w:rPr>
                <w:rFonts w:ascii="Arial" w:hAnsi="Arial" w:cs="Arial"/>
                <w:highlight w:val="magenta"/>
              </w:rPr>
            </w:pPr>
          </w:p>
        </w:tc>
        <w:tc>
          <w:tcPr>
            <w:tcW w:w="1555" w:type="dxa"/>
            <w:tcBorders>
              <w:top w:val="single" w:sz="4" w:space="0" w:color="auto"/>
              <w:bottom w:val="single" w:sz="4" w:space="0" w:color="auto"/>
            </w:tcBorders>
            <w:shd w:val="clear" w:color="auto" w:fill="EAF1DD" w:themeFill="accent3" w:themeFillTint="33"/>
            <w:vAlign w:val="bottom"/>
          </w:tcPr>
          <w:p w14:paraId="690DE1E5" w14:textId="3E9BCE35" w:rsidR="00C152F6" w:rsidRPr="00E26D69" w:rsidRDefault="00E1530D" w:rsidP="00C152F6">
            <w:pPr>
              <w:tabs>
                <w:tab w:val="left" w:pos="744"/>
              </w:tabs>
              <w:jc w:val="right"/>
              <w:rPr>
                <w:rFonts w:ascii="Arial" w:hAnsi="Arial" w:cs="Arial"/>
                <w:b/>
              </w:rPr>
            </w:pPr>
            <w:r>
              <w:rPr>
                <w:rFonts w:ascii="Arial" w:hAnsi="Arial" w:cs="Arial"/>
                <w:b/>
              </w:rPr>
              <w:t>(57,22</w:t>
            </w:r>
            <w:r w:rsidR="0009327E">
              <w:rPr>
                <w:rFonts w:ascii="Arial" w:hAnsi="Arial" w:cs="Arial"/>
                <w:b/>
              </w:rPr>
              <w:t>2</w:t>
            </w:r>
            <w:r>
              <w:rPr>
                <w:rFonts w:ascii="Arial" w:hAnsi="Arial" w:cs="Arial"/>
                <w:b/>
              </w:rPr>
              <w:t>)</w:t>
            </w:r>
          </w:p>
        </w:tc>
        <w:tc>
          <w:tcPr>
            <w:tcW w:w="1712" w:type="dxa"/>
            <w:tcBorders>
              <w:top w:val="single" w:sz="4" w:space="0" w:color="auto"/>
              <w:bottom w:val="single" w:sz="4" w:space="0" w:color="auto"/>
            </w:tcBorders>
            <w:vAlign w:val="bottom"/>
          </w:tcPr>
          <w:p w14:paraId="549FF238" w14:textId="0E789823" w:rsidR="00C152F6" w:rsidRPr="00E26D69" w:rsidRDefault="00C152F6" w:rsidP="00C152F6">
            <w:pPr>
              <w:tabs>
                <w:tab w:val="left" w:pos="744"/>
              </w:tabs>
              <w:jc w:val="right"/>
              <w:rPr>
                <w:rFonts w:ascii="Arial" w:hAnsi="Arial" w:cs="Arial"/>
                <w:b/>
              </w:rPr>
            </w:pPr>
            <w:r>
              <w:rPr>
                <w:rFonts w:ascii="Arial" w:hAnsi="Arial" w:cs="Arial"/>
                <w:b/>
              </w:rPr>
              <w:t>(48,404)</w:t>
            </w:r>
          </w:p>
        </w:tc>
      </w:tr>
      <w:tr w:rsidR="00C152F6" w:rsidRPr="00E26D69" w14:paraId="2B254609" w14:textId="77777777" w:rsidTr="007033EE">
        <w:trPr>
          <w:trHeight w:val="454"/>
        </w:trPr>
        <w:tc>
          <w:tcPr>
            <w:tcW w:w="5773" w:type="dxa"/>
            <w:vAlign w:val="bottom"/>
          </w:tcPr>
          <w:p w14:paraId="310FE449" w14:textId="77777777" w:rsidR="00C152F6" w:rsidRPr="00E26D69" w:rsidRDefault="00C152F6" w:rsidP="00C152F6">
            <w:pPr>
              <w:ind w:left="-100"/>
              <w:rPr>
                <w:rFonts w:ascii="Arial" w:hAnsi="Arial" w:cs="Arial"/>
                <w:b/>
                <w:bCs/>
              </w:rPr>
            </w:pPr>
          </w:p>
        </w:tc>
        <w:tc>
          <w:tcPr>
            <w:tcW w:w="883" w:type="dxa"/>
            <w:vAlign w:val="bottom"/>
          </w:tcPr>
          <w:p w14:paraId="49B59F55" w14:textId="77777777" w:rsidR="00C152F6" w:rsidRPr="008C023F" w:rsidRDefault="00C152F6" w:rsidP="00C152F6">
            <w:pPr>
              <w:jc w:val="center"/>
              <w:rPr>
                <w:rFonts w:ascii="Arial" w:hAnsi="Arial" w:cs="Arial"/>
                <w:highlight w:val="magenta"/>
              </w:rPr>
            </w:pPr>
          </w:p>
        </w:tc>
        <w:tc>
          <w:tcPr>
            <w:tcW w:w="1555" w:type="dxa"/>
            <w:tcBorders>
              <w:top w:val="single" w:sz="4" w:space="0" w:color="auto"/>
            </w:tcBorders>
            <w:shd w:val="clear" w:color="auto" w:fill="EAF1DD" w:themeFill="accent3" w:themeFillTint="33"/>
            <w:vAlign w:val="bottom"/>
          </w:tcPr>
          <w:p w14:paraId="57AE5F69" w14:textId="77777777" w:rsidR="00C152F6" w:rsidRPr="00E26D69" w:rsidRDefault="00C152F6" w:rsidP="00C152F6">
            <w:pPr>
              <w:tabs>
                <w:tab w:val="left" w:pos="744"/>
              </w:tabs>
              <w:jc w:val="right"/>
              <w:rPr>
                <w:rFonts w:ascii="Arial" w:hAnsi="Arial" w:cs="Arial"/>
              </w:rPr>
            </w:pPr>
          </w:p>
        </w:tc>
        <w:tc>
          <w:tcPr>
            <w:tcW w:w="1712" w:type="dxa"/>
            <w:tcBorders>
              <w:top w:val="single" w:sz="4" w:space="0" w:color="auto"/>
            </w:tcBorders>
            <w:vAlign w:val="bottom"/>
          </w:tcPr>
          <w:p w14:paraId="578F2FB0" w14:textId="77777777" w:rsidR="00C152F6" w:rsidRPr="00E26D69" w:rsidRDefault="00C152F6" w:rsidP="00C152F6">
            <w:pPr>
              <w:tabs>
                <w:tab w:val="left" w:pos="744"/>
              </w:tabs>
              <w:jc w:val="right"/>
              <w:rPr>
                <w:rFonts w:ascii="Arial" w:hAnsi="Arial" w:cs="Arial"/>
              </w:rPr>
            </w:pPr>
          </w:p>
        </w:tc>
      </w:tr>
      <w:tr w:rsidR="00C152F6" w:rsidRPr="00E26D69" w14:paraId="45AE17BA" w14:textId="77777777" w:rsidTr="007033EE">
        <w:trPr>
          <w:trHeight w:val="454"/>
        </w:trPr>
        <w:tc>
          <w:tcPr>
            <w:tcW w:w="5773" w:type="dxa"/>
            <w:vAlign w:val="bottom"/>
          </w:tcPr>
          <w:p w14:paraId="4FFC8B9A" w14:textId="77777777" w:rsidR="00C152F6" w:rsidRPr="00E26D69" w:rsidRDefault="00C152F6" w:rsidP="00C152F6">
            <w:pPr>
              <w:ind w:left="-100"/>
              <w:rPr>
                <w:rFonts w:ascii="Arial" w:hAnsi="Arial" w:cs="Arial"/>
                <w:b/>
                <w:bCs/>
              </w:rPr>
            </w:pPr>
            <w:r w:rsidRPr="00E26D69">
              <w:rPr>
                <w:rFonts w:ascii="Arial" w:hAnsi="Arial" w:cs="Arial"/>
                <w:b/>
                <w:bCs/>
              </w:rPr>
              <w:t>Other comprehensive expenditure</w:t>
            </w:r>
          </w:p>
        </w:tc>
        <w:tc>
          <w:tcPr>
            <w:tcW w:w="883" w:type="dxa"/>
            <w:vAlign w:val="bottom"/>
          </w:tcPr>
          <w:p w14:paraId="268485F6" w14:textId="77777777" w:rsidR="00C152F6" w:rsidRPr="008C023F" w:rsidRDefault="00C152F6" w:rsidP="00C152F6">
            <w:pPr>
              <w:jc w:val="center"/>
              <w:rPr>
                <w:rFonts w:ascii="Arial" w:hAnsi="Arial" w:cs="Arial"/>
                <w:highlight w:val="magenta"/>
              </w:rPr>
            </w:pPr>
          </w:p>
        </w:tc>
        <w:tc>
          <w:tcPr>
            <w:tcW w:w="1555" w:type="dxa"/>
            <w:shd w:val="clear" w:color="auto" w:fill="EAF1DD" w:themeFill="accent3" w:themeFillTint="33"/>
            <w:vAlign w:val="bottom"/>
          </w:tcPr>
          <w:p w14:paraId="2B8056F4" w14:textId="77777777" w:rsidR="00C152F6" w:rsidRPr="00E26D69" w:rsidRDefault="00C152F6" w:rsidP="00C152F6">
            <w:pPr>
              <w:tabs>
                <w:tab w:val="left" w:pos="744"/>
              </w:tabs>
              <w:jc w:val="right"/>
              <w:rPr>
                <w:rFonts w:ascii="Arial" w:hAnsi="Arial" w:cs="Arial"/>
              </w:rPr>
            </w:pPr>
          </w:p>
        </w:tc>
        <w:tc>
          <w:tcPr>
            <w:tcW w:w="1712" w:type="dxa"/>
            <w:vAlign w:val="bottom"/>
          </w:tcPr>
          <w:p w14:paraId="62F0A9C7" w14:textId="77777777" w:rsidR="00C152F6" w:rsidRPr="00E26D69" w:rsidRDefault="00C152F6" w:rsidP="00C152F6">
            <w:pPr>
              <w:tabs>
                <w:tab w:val="left" w:pos="744"/>
              </w:tabs>
              <w:jc w:val="right"/>
              <w:rPr>
                <w:rFonts w:ascii="Arial" w:hAnsi="Arial" w:cs="Arial"/>
              </w:rPr>
            </w:pPr>
          </w:p>
        </w:tc>
      </w:tr>
      <w:tr w:rsidR="00C152F6" w:rsidRPr="00E26D69" w14:paraId="5E59C93F" w14:textId="77777777" w:rsidTr="007033EE">
        <w:trPr>
          <w:trHeight w:val="737"/>
        </w:trPr>
        <w:tc>
          <w:tcPr>
            <w:tcW w:w="5773" w:type="dxa"/>
            <w:vAlign w:val="bottom"/>
          </w:tcPr>
          <w:p w14:paraId="42D10BA5" w14:textId="09515FB8" w:rsidR="00C152F6" w:rsidRPr="00E26D69" w:rsidRDefault="00C152F6" w:rsidP="00C152F6">
            <w:pPr>
              <w:ind w:left="-100"/>
              <w:rPr>
                <w:rFonts w:ascii="Arial" w:hAnsi="Arial" w:cs="Arial"/>
                <w:bCs/>
              </w:rPr>
            </w:pPr>
            <w:r w:rsidRPr="00E26D69">
              <w:rPr>
                <w:rFonts w:ascii="Arial" w:hAnsi="Arial" w:cs="Arial"/>
                <w:bCs/>
              </w:rPr>
              <w:t>Net (loss)/gain on revaluation of property, plant</w:t>
            </w:r>
            <w:r>
              <w:rPr>
                <w:rFonts w:ascii="Arial" w:hAnsi="Arial" w:cs="Arial"/>
                <w:bCs/>
              </w:rPr>
              <w:t>,</w:t>
            </w:r>
            <w:r w:rsidRPr="00E26D69">
              <w:rPr>
                <w:rFonts w:ascii="Arial" w:hAnsi="Arial" w:cs="Arial"/>
                <w:bCs/>
              </w:rPr>
              <w:t xml:space="preserve"> and equipment</w:t>
            </w:r>
          </w:p>
        </w:tc>
        <w:tc>
          <w:tcPr>
            <w:tcW w:w="883" w:type="dxa"/>
            <w:vAlign w:val="bottom"/>
          </w:tcPr>
          <w:p w14:paraId="68B880F2" w14:textId="304F264E" w:rsidR="00C152F6" w:rsidRPr="008C023F" w:rsidRDefault="00C152F6" w:rsidP="00C152F6">
            <w:pPr>
              <w:jc w:val="center"/>
              <w:rPr>
                <w:rFonts w:ascii="Arial" w:hAnsi="Arial" w:cs="Arial"/>
                <w:highlight w:val="magenta"/>
              </w:rPr>
            </w:pPr>
            <w:hyperlink w:anchor="Note9noncurrentassets" w:history="1">
              <w:r w:rsidRPr="00FF2FB0">
                <w:rPr>
                  <w:rStyle w:val="Hyperlink"/>
                  <w:rFonts w:ascii="Arial" w:hAnsi="Arial" w:cs="Arial"/>
                </w:rPr>
                <w:t>9</w:t>
              </w:r>
            </w:hyperlink>
          </w:p>
        </w:tc>
        <w:tc>
          <w:tcPr>
            <w:tcW w:w="1555" w:type="dxa"/>
            <w:shd w:val="clear" w:color="auto" w:fill="EAF1DD" w:themeFill="accent3" w:themeFillTint="33"/>
            <w:vAlign w:val="bottom"/>
          </w:tcPr>
          <w:p w14:paraId="0937B31C" w14:textId="486F80C2" w:rsidR="00C152F6" w:rsidRPr="00E26D69" w:rsidRDefault="00E1530D" w:rsidP="00C152F6">
            <w:pPr>
              <w:tabs>
                <w:tab w:val="left" w:pos="744"/>
                <w:tab w:val="left" w:pos="924"/>
              </w:tabs>
              <w:jc w:val="right"/>
              <w:rPr>
                <w:rFonts w:ascii="Arial" w:hAnsi="Arial" w:cs="Arial"/>
              </w:rPr>
            </w:pPr>
            <w:r>
              <w:rPr>
                <w:rFonts w:ascii="Arial" w:hAnsi="Arial" w:cs="Arial"/>
              </w:rPr>
              <w:t>2</w:t>
            </w:r>
            <w:r w:rsidR="002D4CE2">
              <w:rPr>
                <w:rFonts w:ascii="Arial" w:hAnsi="Arial" w:cs="Arial"/>
              </w:rPr>
              <w:t>83</w:t>
            </w:r>
          </w:p>
        </w:tc>
        <w:tc>
          <w:tcPr>
            <w:tcW w:w="1712" w:type="dxa"/>
            <w:vAlign w:val="bottom"/>
          </w:tcPr>
          <w:p w14:paraId="38DF01EE" w14:textId="69E1EF26" w:rsidR="00C152F6" w:rsidRPr="00E26D69" w:rsidRDefault="00C152F6" w:rsidP="00C152F6">
            <w:pPr>
              <w:tabs>
                <w:tab w:val="left" w:pos="744"/>
                <w:tab w:val="left" w:pos="924"/>
              </w:tabs>
              <w:jc w:val="right"/>
              <w:rPr>
                <w:rFonts w:ascii="Arial" w:hAnsi="Arial" w:cs="Arial"/>
              </w:rPr>
            </w:pPr>
            <w:r>
              <w:rPr>
                <w:rFonts w:ascii="Arial" w:hAnsi="Arial" w:cs="Arial"/>
              </w:rPr>
              <w:t>9</w:t>
            </w:r>
          </w:p>
        </w:tc>
      </w:tr>
      <w:tr w:rsidR="00C152F6" w:rsidRPr="00E26D69" w14:paraId="7DA4A72E" w14:textId="77777777" w:rsidTr="007033EE">
        <w:trPr>
          <w:trHeight w:val="454"/>
        </w:trPr>
        <w:tc>
          <w:tcPr>
            <w:tcW w:w="5773" w:type="dxa"/>
            <w:vAlign w:val="bottom"/>
          </w:tcPr>
          <w:p w14:paraId="358A6229" w14:textId="4CFD1227" w:rsidR="00C152F6" w:rsidRPr="00E26D69" w:rsidRDefault="00C152F6" w:rsidP="00C152F6">
            <w:pPr>
              <w:ind w:left="-100"/>
              <w:rPr>
                <w:rFonts w:ascii="Arial" w:hAnsi="Arial" w:cs="Arial"/>
                <w:bCs/>
              </w:rPr>
            </w:pPr>
            <w:r w:rsidRPr="00E26D69">
              <w:rPr>
                <w:rFonts w:ascii="Arial" w:hAnsi="Arial" w:cs="Arial"/>
                <w:bCs/>
              </w:rPr>
              <w:t>Actuarial gain/(loss) on pension scheme</w:t>
            </w:r>
          </w:p>
        </w:tc>
        <w:tc>
          <w:tcPr>
            <w:tcW w:w="883" w:type="dxa"/>
            <w:vAlign w:val="bottom"/>
          </w:tcPr>
          <w:p w14:paraId="18E4846E" w14:textId="083DEB1F" w:rsidR="00C152F6" w:rsidRPr="008C023F" w:rsidRDefault="00C152F6" w:rsidP="00C152F6">
            <w:pPr>
              <w:jc w:val="center"/>
              <w:rPr>
                <w:rFonts w:ascii="Arial" w:hAnsi="Arial" w:cs="Arial"/>
                <w:highlight w:val="magenta"/>
              </w:rPr>
            </w:pPr>
            <w:hyperlink w:anchor="Note15IAS19Pensionassetandliabilities" w:history="1">
              <w:r w:rsidRPr="00FF2FB0">
                <w:rPr>
                  <w:rStyle w:val="Hyperlink"/>
                  <w:rFonts w:ascii="Arial" w:hAnsi="Arial" w:cs="Arial"/>
                </w:rPr>
                <w:t>15</w:t>
              </w:r>
            </w:hyperlink>
          </w:p>
        </w:tc>
        <w:tc>
          <w:tcPr>
            <w:tcW w:w="1555" w:type="dxa"/>
            <w:tcBorders>
              <w:bottom w:val="single" w:sz="4" w:space="0" w:color="auto"/>
            </w:tcBorders>
            <w:shd w:val="clear" w:color="auto" w:fill="EAF1DD" w:themeFill="accent3" w:themeFillTint="33"/>
            <w:vAlign w:val="bottom"/>
          </w:tcPr>
          <w:p w14:paraId="09CD2C1E" w14:textId="3D503FDD" w:rsidR="00C152F6" w:rsidRPr="00E26D69" w:rsidRDefault="00E1530D" w:rsidP="00C152F6">
            <w:pPr>
              <w:tabs>
                <w:tab w:val="left" w:pos="744"/>
                <w:tab w:val="left" w:pos="924"/>
              </w:tabs>
              <w:jc w:val="right"/>
              <w:rPr>
                <w:rFonts w:ascii="Arial" w:hAnsi="Arial" w:cs="Arial"/>
              </w:rPr>
            </w:pPr>
            <w:r>
              <w:rPr>
                <w:rFonts w:ascii="Arial" w:hAnsi="Arial" w:cs="Arial"/>
              </w:rPr>
              <w:t>88,659</w:t>
            </w:r>
          </w:p>
        </w:tc>
        <w:tc>
          <w:tcPr>
            <w:tcW w:w="1712" w:type="dxa"/>
            <w:tcBorders>
              <w:bottom w:val="single" w:sz="4" w:space="0" w:color="auto"/>
            </w:tcBorders>
            <w:vAlign w:val="bottom"/>
          </w:tcPr>
          <w:p w14:paraId="1F223053" w14:textId="7504F2F6" w:rsidR="00C152F6" w:rsidRPr="00E26D69" w:rsidRDefault="00C152F6" w:rsidP="00C152F6">
            <w:pPr>
              <w:tabs>
                <w:tab w:val="left" w:pos="744"/>
                <w:tab w:val="left" w:pos="924"/>
              </w:tabs>
              <w:jc w:val="right"/>
              <w:rPr>
                <w:rFonts w:ascii="Arial" w:hAnsi="Arial" w:cs="Arial"/>
              </w:rPr>
            </w:pPr>
            <w:r>
              <w:rPr>
                <w:rFonts w:ascii="Arial" w:hAnsi="Arial" w:cs="Arial"/>
              </w:rPr>
              <w:t>(63,436)</w:t>
            </w:r>
          </w:p>
        </w:tc>
      </w:tr>
      <w:tr w:rsidR="00C152F6" w:rsidRPr="00E26D69" w14:paraId="4929D236" w14:textId="77777777" w:rsidTr="008014CF">
        <w:trPr>
          <w:trHeight w:val="454"/>
        </w:trPr>
        <w:tc>
          <w:tcPr>
            <w:tcW w:w="5773" w:type="dxa"/>
            <w:vAlign w:val="bottom"/>
          </w:tcPr>
          <w:p w14:paraId="30AE9768" w14:textId="7B177105" w:rsidR="00C152F6" w:rsidRPr="00E26D69" w:rsidRDefault="00C152F6" w:rsidP="000845C9">
            <w:pPr>
              <w:pStyle w:val="Heading4"/>
              <w:spacing w:before="0" w:after="0"/>
              <w:ind w:left="-102"/>
            </w:pPr>
            <w:r w:rsidRPr="00E26D69">
              <w:t xml:space="preserve">Comprehensive net expenditure for the year  </w:t>
            </w:r>
          </w:p>
        </w:tc>
        <w:tc>
          <w:tcPr>
            <w:tcW w:w="883" w:type="dxa"/>
            <w:vAlign w:val="bottom"/>
          </w:tcPr>
          <w:p w14:paraId="34F348D3" w14:textId="77777777" w:rsidR="00C152F6" w:rsidRPr="00E26D69" w:rsidRDefault="00C152F6" w:rsidP="008014CF">
            <w:pPr>
              <w:jc w:val="right"/>
              <w:rPr>
                <w:rFonts w:ascii="Arial" w:hAnsi="Arial" w:cs="Arial"/>
              </w:rPr>
            </w:pPr>
          </w:p>
        </w:tc>
        <w:tc>
          <w:tcPr>
            <w:tcW w:w="1555" w:type="dxa"/>
            <w:tcBorders>
              <w:top w:val="single" w:sz="4" w:space="0" w:color="auto"/>
              <w:bottom w:val="double" w:sz="4" w:space="0" w:color="auto"/>
            </w:tcBorders>
            <w:shd w:val="clear" w:color="auto" w:fill="EAF1DD" w:themeFill="accent3" w:themeFillTint="33"/>
            <w:vAlign w:val="bottom"/>
          </w:tcPr>
          <w:p w14:paraId="77F89956" w14:textId="760EAD7D" w:rsidR="00C152F6" w:rsidRPr="00E26D69" w:rsidRDefault="00E1530D" w:rsidP="008014CF">
            <w:pPr>
              <w:tabs>
                <w:tab w:val="left" w:pos="744"/>
                <w:tab w:val="left" w:pos="924"/>
              </w:tabs>
              <w:jc w:val="right"/>
              <w:rPr>
                <w:rFonts w:ascii="Arial" w:hAnsi="Arial" w:cs="Arial"/>
                <w:b/>
              </w:rPr>
            </w:pPr>
            <w:r>
              <w:rPr>
                <w:rFonts w:ascii="Arial" w:hAnsi="Arial" w:cs="Arial"/>
                <w:b/>
              </w:rPr>
              <w:t>31,</w:t>
            </w:r>
            <w:r w:rsidR="00F2451B">
              <w:rPr>
                <w:rFonts w:ascii="Arial" w:hAnsi="Arial" w:cs="Arial"/>
                <w:b/>
              </w:rPr>
              <w:t>7</w:t>
            </w:r>
            <w:r w:rsidR="0009327E">
              <w:rPr>
                <w:rFonts w:ascii="Arial" w:hAnsi="Arial" w:cs="Arial"/>
                <w:b/>
              </w:rPr>
              <w:t>20</w:t>
            </w:r>
          </w:p>
        </w:tc>
        <w:tc>
          <w:tcPr>
            <w:tcW w:w="1712" w:type="dxa"/>
            <w:tcBorders>
              <w:top w:val="single" w:sz="4" w:space="0" w:color="auto"/>
              <w:bottom w:val="double" w:sz="4" w:space="0" w:color="auto"/>
            </w:tcBorders>
            <w:vAlign w:val="bottom"/>
          </w:tcPr>
          <w:p w14:paraId="2A48E299" w14:textId="75E53D06" w:rsidR="00C152F6" w:rsidRPr="00E26D69" w:rsidRDefault="00C152F6" w:rsidP="008014CF">
            <w:pPr>
              <w:tabs>
                <w:tab w:val="left" w:pos="744"/>
                <w:tab w:val="left" w:pos="924"/>
              </w:tabs>
              <w:jc w:val="right"/>
              <w:rPr>
                <w:rFonts w:ascii="Arial" w:hAnsi="Arial" w:cs="Arial"/>
                <w:b/>
              </w:rPr>
            </w:pPr>
            <w:r>
              <w:rPr>
                <w:rFonts w:ascii="Arial" w:hAnsi="Arial" w:cs="Arial"/>
                <w:b/>
              </w:rPr>
              <w:t>(111,831)</w:t>
            </w:r>
          </w:p>
        </w:tc>
      </w:tr>
    </w:tbl>
    <w:p w14:paraId="64723828" w14:textId="77777777" w:rsidR="00E26D69" w:rsidRPr="00E26D69" w:rsidRDefault="00E26D69" w:rsidP="009D34F9">
      <w:pPr>
        <w:spacing w:line="360" w:lineRule="auto"/>
        <w:jc w:val="both"/>
        <w:rPr>
          <w:rFonts w:ascii="Arial" w:hAnsi="Arial" w:cs="Arial"/>
        </w:rPr>
      </w:pPr>
    </w:p>
    <w:p w14:paraId="0CE14EDF" w14:textId="0C4C17C9" w:rsidR="0039700F" w:rsidRDefault="00E26D69" w:rsidP="00B70701">
      <w:pPr>
        <w:spacing w:line="360" w:lineRule="auto"/>
        <w:ind w:right="142"/>
        <w:rPr>
          <w:rFonts w:ascii="Arial" w:hAnsi="Arial" w:cs="Arial"/>
        </w:rPr>
      </w:pPr>
      <w:r w:rsidRPr="00E26D69">
        <w:rPr>
          <w:rFonts w:ascii="Arial" w:hAnsi="Arial" w:cs="Arial"/>
        </w:rPr>
        <w:t xml:space="preserve">The note numbers referred to above are incorporated within the </w:t>
      </w:r>
      <w:r w:rsidRPr="00A91F81">
        <w:rPr>
          <w:rFonts w:ascii="Arial" w:hAnsi="Arial" w:cs="Arial"/>
        </w:rPr>
        <w:t>notes to the accounts</w:t>
      </w:r>
      <w:r w:rsidR="00A91F81">
        <w:rPr>
          <w:rFonts w:ascii="Arial" w:hAnsi="Arial" w:cs="Arial"/>
        </w:rPr>
        <w:t xml:space="preserve"> at section 3.5</w:t>
      </w:r>
      <w:r w:rsidRPr="00E26D69">
        <w:rPr>
          <w:rFonts w:ascii="Arial" w:hAnsi="Arial" w:cs="Arial"/>
        </w:rPr>
        <w:t>.</w:t>
      </w:r>
      <w:r w:rsidR="0039700F">
        <w:rPr>
          <w:rFonts w:ascii="Arial" w:hAnsi="Arial" w:cs="Arial"/>
        </w:rPr>
        <w:br w:type="page"/>
      </w:r>
    </w:p>
    <w:p w14:paraId="6BB96C83" w14:textId="7C353A72" w:rsidR="00E26D69" w:rsidRPr="004E4804" w:rsidRDefault="00E26D69" w:rsidP="007033EE">
      <w:pPr>
        <w:pStyle w:val="01cSubsubheader0"/>
        <w:ind w:left="709" w:hanging="709"/>
        <w:rPr>
          <w:sz w:val="28"/>
          <w:szCs w:val="28"/>
        </w:rPr>
      </w:pPr>
      <w:r w:rsidRPr="004E4804">
        <w:rPr>
          <w:sz w:val="28"/>
          <w:szCs w:val="28"/>
        </w:rPr>
        <w:lastRenderedPageBreak/>
        <w:t>Statement of financial position at 31 March 202</w:t>
      </w:r>
      <w:r w:rsidR="01606103" w:rsidRPr="004E4804">
        <w:rPr>
          <w:sz w:val="28"/>
          <w:szCs w:val="28"/>
        </w:rPr>
        <w:t>2</w:t>
      </w:r>
    </w:p>
    <w:tbl>
      <w:tblPr>
        <w:tblW w:w="9970" w:type="dxa"/>
        <w:tblInd w:w="-5" w:type="dxa"/>
        <w:tblLayout w:type="fixed"/>
        <w:tblLook w:val="0000" w:firstRow="0" w:lastRow="0" w:firstColumn="0" w:lastColumn="0" w:noHBand="0" w:noVBand="0"/>
      </w:tblPr>
      <w:tblGrid>
        <w:gridCol w:w="4967"/>
        <w:gridCol w:w="992"/>
        <w:gridCol w:w="1984"/>
        <w:gridCol w:w="2027"/>
      </w:tblGrid>
      <w:tr w:rsidR="0086791E" w:rsidRPr="00E26D69" w14:paraId="2F63B1AB" w14:textId="77777777" w:rsidTr="005F6D74">
        <w:trPr>
          <w:trHeight w:val="397"/>
        </w:trPr>
        <w:tc>
          <w:tcPr>
            <w:tcW w:w="4967" w:type="dxa"/>
          </w:tcPr>
          <w:p w14:paraId="4384BFBF" w14:textId="77777777" w:rsidR="00E26D69" w:rsidRPr="00CB0422" w:rsidRDefault="00E26D69" w:rsidP="00EC3EC2">
            <w:pPr>
              <w:rPr>
                <w:rFonts w:ascii="Arial" w:hAnsi="Arial" w:cs="Arial"/>
                <w:b/>
                <w:bCs/>
              </w:rPr>
            </w:pPr>
          </w:p>
          <w:p w14:paraId="56BCDA6D" w14:textId="77777777" w:rsidR="00E26D69" w:rsidRPr="00CB0422" w:rsidRDefault="00E26D69" w:rsidP="00EC3EC2">
            <w:pPr>
              <w:rPr>
                <w:rFonts w:ascii="Arial" w:hAnsi="Arial" w:cs="Arial"/>
              </w:rPr>
            </w:pPr>
          </w:p>
        </w:tc>
        <w:tc>
          <w:tcPr>
            <w:tcW w:w="992" w:type="dxa"/>
            <w:noWrap/>
            <w:vAlign w:val="bottom"/>
          </w:tcPr>
          <w:p w14:paraId="261471D9" w14:textId="4C9A2493" w:rsidR="00E26D69" w:rsidRPr="00CB0422" w:rsidRDefault="009668F7" w:rsidP="00EC3EC2">
            <w:pPr>
              <w:jc w:val="center"/>
              <w:rPr>
                <w:rFonts w:ascii="Arial" w:hAnsi="Arial" w:cs="Arial"/>
                <w:b/>
              </w:rPr>
            </w:pPr>
            <w:r w:rsidRPr="00CB0422">
              <w:rPr>
                <w:rFonts w:ascii="Arial" w:hAnsi="Arial" w:cs="Arial"/>
                <w:b/>
              </w:rPr>
              <w:t>Notes</w:t>
            </w:r>
          </w:p>
        </w:tc>
        <w:tc>
          <w:tcPr>
            <w:tcW w:w="1984" w:type="dxa"/>
            <w:shd w:val="clear" w:color="auto" w:fill="EAF1DD" w:themeFill="accent3" w:themeFillTint="33"/>
            <w:vAlign w:val="bottom"/>
          </w:tcPr>
          <w:p w14:paraId="79605B09" w14:textId="3D513326" w:rsidR="00E26D69" w:rsidRPr="00CB0422" w:rsidRDefault="00E26D69" w:rsidP="00EC3EC2">
            <w:pPr>
              <w:tabs>
                <w:tab w:val="left" w:pos="744"/>
              </w:tabs>
              <w:jc w:val="right"/>
              <w:rPr>
                <w:rFonts w:ascii="Arial" w:hAnsi="Arial" w:cs="Arial"/>
                <w:b/>
                <w:bCs/>
              </w:rPr>
            </w:pPr>
            <w:r w:rsidRPr="00CB0422">
              <w:rPr>
                <w:rFonts w:ascii="Arial" w:hAnsi="Arial" w:cs="Arial"/>
                <w:b/>
                <w:bCs/>
              </w:rPr>
              <w:t xml:space="preserve">At 31 March </w:t>
            </w:r>
          </w:p>
          <w:p w14:paraId="7143862B" w14:textId="26969C1F" w:rsidR="00E26D69" w:rsidRPr="00CB0422" w:rsidRDefault="00E26D69" w:rsidP="00EC3EC2">
            <w:pPr>
              <w:tabs>
                <w:tab w:val="left" w:pos="744"/>
              </w:tabs>
              <w:jc w:val="right"/>
              <w:rPr>
                <w:rFonts w:ascii="Arial" w:hAnsi="Arial" w:cs="Arial"/>
                <w:b/>
                <w:bCs/>
              </w:rPr>
            </w:pPr>
            <w:r w:rsidRPr="00CB0422">
              <w:rPr>
                <w:rFonts w:ascii="Arial" w:hAnsi="Arial" w:cs="Arial"/>
                <w:b/>
                <w:bCs/>
              </w:rPr>
              <w:t>202</w:t>
            </w:r>
            <w:r w:rsidR="000921DE">
              <w:rPr>
                <w:rFonts w:ascii="Arial" w:hAnsi="Arial" w:cs="Arial"/>
                <w:b/>
                <w:bCs/>
              </w:rPr>
              <w:t>2</w:t>
            </w:r>
          </w:p>
          <w:p w14:paraId="1D02099C" w14:textId="77777777" w:rsidR="009668F7" w:rsidRPr="00CB0422" w:rsidRDefault="009668F7" w:rsidP="00EC3EC2">
            <w:pPr>
              <w:tabs>
                <w:tab w:val="left" w:pos="744"/>
              </w:tabs>
              <w:jc w:val="right"/>
              <w:rPr>
                <w:rFonts w:ascii="Arial" w:hAnsi="Arial" w:cs="Arial"/>
                <w:b/>
                <w:bCs/>
              </w:rPr>
            </w:pPr>
          </w:p>
          <w:p w14:paraId="009153DF" w14:textId="3F36BF4D" w:rsidR="003E0907" w:rsidRPr="00CB0422" w:rsidRDefault="003E0907" w:rsidP="00EC3EC2">
            <w:pPr>
              <w:tabs>
                <w:tab w:val="left" w:pos="744"/>
              </w:tabs>
              <w:jc w:val="right"/>
              <w:rPr>
                <w:rFonts w:ascii="Arial" w:hAnsi="Arial" w:cs="Arial"/>
                <w:b/>
                <w:bCs/>
              </w:rPr>
            </w:pPr>
            <w:r w:rsidRPr="00CB0422">
              <w:rPr>
                <w:rFonts w:ascii="Arial" w:hAnsi="Arial" w:cs="Arial"/>
                <w:b/>
                <w:bCs/>
              </w:rPr>
              <w:t>£</w:t>
            </w:r>
            <w:r w:rsidR="0076770C" w:rsidRPr="00CB0422">
              <w:rPr>
                <w:rFonts w:ascii="Arial" w:hAnsi="Arial" w:cs="Arial"/>
                <w:b/>
                <w:bCs/>
              </w:rPr>
              <w:t>’000</w:t>
            </w:r>
          </w:p>
        </w:tc>
        <w:tc>
          <w:tcPr>
            <w:tcW w:w="2027" w:type="dxa"/>
            <w:vAlign w:val="bottom"/>
          </w:tcPr>
          <w:p w14:paraId="624B3F31" w14:textId="3B5A9C3D" w:rsidR="00E26D69" w:rsidRPr="00CB0422" w:rsidRDefault="00E26D69" w:rsidP="00EC3EC2">
            <w:pPr>
              <w:tabs>
                <w:tab w:val="left" w:pos="744"/>
              </w:tabs>
              <w:jc w:val="right"/>
              <w:rPr>
                <w:rFonts w:ascii="Arial" w:hAnsi="Arial" w:cs="Arial"/>
                <w:b/>
                <w:bCs/>
              </w:rPr>
            </w:pPr>
            <w:r w:rsidRPr="00CB0422">
              <w:rPr>
                <w:rFonts w:ascii="Arial" w:hAnsi="Arial" w:cs="Arial"/>
                <w:b/>
                <w:bCs/>
              </w:rPr>
              <w:t xml:space="preserve">At 31 March </w:t>
            </w:r>
          </w:p>
          <w:p w14:paraId="1FB04BA0" w14:textId="1174417D" w:rsidR="00E26D69" w:rsidRPr="00CB0422" w:rsidRDefault="00E26D69" w:rsidP="00EC3EC2">
            <w:pPr>
              <w:tabs>
                <w:tab w:val="left" w:pos="744"/>
              </w:tabs>
              <w:jc w:val="right"/>
              <w:rPr>
                <w:rFonts w:ascii="Arial" w:hAnsi="Arial" w:cs="Arial"/>
                <w:b/>
                <w:bCs/>
              </w:rPr>
            </w:pPr>
            <w:r w:rsidRPr="00CB0422">
              <w:rPr>
                <w:rFonts w:ascii="Arial" w:hAnsi="Arial" w:cs="Arial"/>
                <w:b/>
                <w:bCs/>
              </w:rPr>
              <w:t>20</w:t>
            </w:r>
            <w:r w:rsidR="00914CF6" w:rsidRPr="00CB0422">
              <w:rPr>
                <w:rFonts w:ascii="Arial" w:hAnsi="Arial" w:cs="Arial"/>
                <w:b/>
                <w:bCs/>
              </w:rPr>
              <w:t>2</w:t>
            </w:r>
            <w:r w:rsidR="000921DE">
              <w:rPr>
                <w:rFonts w:ascii="Arial" w:hAnsi="Arial" w:cs="Arial"/>
                <w:b/>
                <w:bCs/>
              </w:rPr>
              <w:t>1</w:t>
            </w:r>
          </w:p>
          <w:p w14:paraId="0469AEB3" w14:textId="77777777" w:rsidR="009668F7" w:rsidRPr="00CB0422" w:rsidRDefault="009668F7" w:rsidP="00EC3EC2">
            <w:pPr>
              <w:tabs>
                <w:tab w:val="left" w:pos="744"/>
              </w:tabs>
              <w:jc w:val="right"/>
              <w:rPr>
                <w:rFonts w:ascii="Arial" w:hAnsi="Arial" w:cs="Arial"/>
                <w:b/>
                <w:bCs/>
              </w:rPr>
            </w:pPr>
          </w:p>
          <w:p w14:paraId="7BC428F1" w14:textId="5B5B74E7" w:rsidR="0076770C" w:rsidRPr="00E26D69" w:rsidRDefault="0076770C" w:rsidP="00EC3EC2">
            <w:pPr>
              <w:tabs>
                <w:tab w:val="left" w:pos="744"/>
              </w:tabs>
              <w:jc w:val="right"/>
              <w:rPr>
                <w:rFonts w:ascii="Arial" w:hAnsi="Arial" w:cs="Arial"/>
                <w:b/>
                <w:bCs/>
              </w:rPr>
            </w:pPr>
            <w:r w:rsidRPr="00CB0422">
              <w:rPr>
                <w:rFonts w:ascii="Arial" w:hAnsi="Arial" w:cs="Arial"/>
                <w:b/>
                <w:bCs/>
              </w:rPr>
              <w:t>£</w:t>
            </w:r>
            <w:r w:rsidR="00633447" w:rsidRPr="00CB0422">
              <w:rPr>
                <w:rFonts w:ascii="Arial" w:hAnsi="Arial" w:cs="Arial"/>
                <w:b/>
                <w:bCs/>
              </w:rPr>
              <w:t>’000</w:t>
            </w:r>
          </w:p>
        </w:tc>
      </w:tr>
      <w:tr w:rsidR="0086791E" w:rsidRPr="00E26D69" w14:paraId="650C5AEC" w14:textId="77777777" w:rsidTr="000845C9">
        <w:trPr>
          <w:trHeight w:val="369"/>
        </w:trPr>
        <w:tc>
          <w:tcPr>
            <w:tcW w:w="4967" w:type="dxa"/>
            <w:vAlign w:val="bottom"/>
          </w:tcPr>
          <w:p w14:paraId="2F2FE677" w14:textId="77777777" w:rsidR="00E26D69" w:rsidRPr="00E26D69" w:rsidRDefault="00E26D69" w:rsidP="00EC3EC2">
            <w:pPr>
              <w:ind w:left="-100"/>
              <w:rPr>
                <w:rFonts w:ascii="Arial" w:hAnsi="Arial" w:cs="Arial"/>
                <w:b/>
                <w:bCs/>
              </w:rPr>
            </w:pPr>
            <w:r w:rsidRPr="00E26D69">
              <w:rPr>
                <w:rFonts w:ascii="Arial" w:hAnsi="Arial" w:cs="Arial"/>
                <w:b/>
                <w:bCs/>
              </w:rPr>
              <w:t>Non-current assets</w:t>
            </w:r>
          </w:p>
        </w:tc>
        <w:tc>
          <w:tcPr>
            <w:tcW w:w="992" w:type="dxa"/>
          </w:tcPr>
          <w:p w14:paraId="5BA93C52" w14:textId="77777777" w:rsidR="00E26D69" w:rsidRPr="00E26D69" w:rsidRDefault="00E26D69" w:rsidP="00EC3EC2">
            <w:pPr>
              <w:jc w:val="right"/>
              <w:rPr>
                <w:rFonts w:ascii="Arial" w:hAnsi="Arial" w:cs="Arial"/>
                <w:b/>
              </w:rPr>
            </w:pPr>
          </w:p>
        </w:tc>
        <w:tc>
          <w:tcPr>
            <w:tcW w:w="1984" w:type="dxa"/>
            <w:shd w:val="clear" w:color="auto" w:fill="EAF1DD" w:themeFill="accent3" w:themeFillTint="33"/>
            <w:vAlign w:val="bottom"/>
          </w:tcPr>
          <w:p w14:paraId="067BEE82" w14:textId="77777777" w:rsidR="00E26D69" w:rsidRPr="00E26D69" w:rsidRDefault="00E26D69" w:rsidP="00EC3EC2">
            <w:pPr>
              <w:tabs>
                <w:tab w:val="left" w:pos="744"/>
              </w:tabs>
              <w:jc w:val="right"/>
              <w:rPr>
                <w:rFonts w:ascii="Arial" w:hAnsi="Arial" w:cs="Arial"/>
                <w:b/>
                <w:bCs/>
              </w:rPr>
            </w:pPr>
          </w:p>
        </w:tc>
        <w:tc>
          <w:tcPr>
            <w:tcW w:w="2027" w:type="dxa"/>
            <w:vAlign w:val="bottom"/>
          </w:tcPr>
          <w:p w14:paraId="5B79A719" w14:textId="77777777" w:rsidR="00E26D69" w:rsidRPr="00E26D69" w:rsidRDefault="00E26D69" w:rsidP="00EC3EC2">
            <w:pPr>
              <w:tabs>
                <w:tab w:val="left" w:pos="744"/>
              </w:tabs>
              <w:jc w:val="right"/>
              <w:rPr>
                <w:rFonts w:ascii="Arial" w:hAnsi="Arial" w:cs="Arial"/>
                <w:b/>
                <w:bCs/>
              </w:rPr>
            </w:pPr>
          </w:p>
        </w:tc>
      </w:tr>
      <w:tr w:rsidR="00167866" w:rsidRPr="00E26D69" w14:paraId="54A262C4" w14:textId="77777777" w:rsidTr="000845C9">
        <w:trPr>
          <w:trHeight w:val="369"/>
        </w:trPr>
        <w:tc>
          <w:tcPr>
            <w:tcW w:w="4967" w:type="dxa"/>
            <w:vAlign w:val="bottom"/>
          </w:tcPr>
          <w:p w14:paraId="2608FEB5" w14:textId="3C480388" w:rsidR="00A40EB3" w:rsidRPr="00E26D69" w:rsidRDefault="00A40EB3" w:rsidP="00A40EB3">
            <w:pPr>
              <w:ind w:left="-100"/>
              <w:rPr>
                <w:rFonts w:ascii="Arial" w:hAnsi="Arial" w:cs="Arial"/>
              </w:rPr>
            </w:pPr>
            <w:r w:rsidRPr="00E26D69">
              <w:rPr>
                <w:rFonts w:ascii="Arial" w:hAnsi="Arial" w:cs="Arial"/>
              </w:rPr>
              <w:t>Property, plant and</w:t>
            </w:r>
            <w:r>
              <w:rPr>
                <w:rFonts w:ascii="Arial" w:hAnsi="Arial" w:cs="Arial"/>
              </w:rPr>
              <w:t>,</w:t>
            </w:r>
            <w:r w:rsidRPr="00E26D69">
              <w:rPr>
                <w:rFonts w:ascii="Arial" w:hAnsi="Arial" w:cs="Arial"/>
              </w:rPr>
              <w:t xml:space="preserve"> equipment </w:t>
            </w:r>
          </w:p>
        </w:tc>
        <w:tc>
          <w:tcPr>
            <w:tcW w:w="992" w:type="dxa"/>
            <w:vAlign w:val="bottom"/>
          </w:tcPr>
          <w:p w14:paraId="4220199B" w14:textId="3FEBBEFA" w:rsidR="00A40EB3" w:rsidRPr="00A63C57" w:rsidRDefault="00A40EB3" w:rsidP="00A40EB3">
            <w:pPr>
              <w:jc w:val="center"/>
              <w:rPr>
                <w:rFonts w:ascii="Arial" w:hAnsi="Arial" w:cs="Arial"/>
              </w:rPr>
            </w:pPr>
            <w:hyperlink w:anchor="Note9noncurrentassets" w:history="1">
              <w:r w:rsidRPr="00FF2FB0">
                <w:rPr>
                  <w:rStyle w:val="Hyperlink"/>
                  <w:rFonts w:ascii="Arial" w:hAnsi="Arial" w:cs="Arial"/>
                </w:rPr>
                <w:t>9</w:t>
              </w:r>
            </w:hyperlink>
          </w:p>
        </w:tc>
        <w:tc>
          <w:tcPr>
            <w:tcW w:w="1984" w:type="dxa"/>
            <w:shd w:val="clear" w:color="auto" w:fill="EAF1DD" w:themeFill="accent3" w:themeFillTint="33"/>
            <w:vAlign w:val="bottom"/>
          </w:tcPr>
          <w:p w14:paraId="64831D75" w14:textId="07B94950" w:rsidR="00A40EB3" w:rsidRPr="00E26D69" w:rsidRDefault="00F2451B" w:rsidP="00A40EB3">
            <w:pPr>
              <w:tabs>
                <w:tab w:val="left" w:pos="1332"/>
              </w:tabs>
              <w:jc w:val="right"/>
              <w:rPr>
                <w:rFonts w:ascii="Arial" w:hAnsi="Arial" w:cs="Arial"/>
              </w:rPr>
            </w:pPr>
            <w:r>
              <w:rPr>
                <w:rFonts w:ascii="Arial" w:hAnsi="Arial" w:cs="Arial"/>
              </w:rPr>
              <w:t>4</w:t>
            </w:r>
            <w:r w:rsidR="00ED7FFA">
              <w:rPr>
                <w:rFonts w:ascii="Arial" w:hAnsi="Arial" w:cs="Arial"/>
              </w:rPr>
              <w:t>0</w:t>
            </w:r>
            <w:r w:rsidR="00313FCE">
              <w:rPr>
                <w:rFonts w:ascii="Arial" w:hAnsi="Arial" w:cs="Arial"/>
              </w:rPr>
              <w:t>,</w:t>
            </w:r>
            <w:r w:rsidR="00ED7FFA">
              <w:rPr>
                <w:rFonts w:ascii="Arial" w:hAnsi="Arial" w:cs="Arial"/>
              </w:rPr>
              <w:t>212</w:t>
            </w:r>
          </w:p>
        </w:tc>
        <w:tc>
          <w:tcPr>
            <w:tcW w:w="2027" w:type="dxa"/>
            <w:vAlign w:val="bottom"/>
          </w:tcPr>
          <w:p w14:paraId="150DFCA8" w14:textId="6F23A03F" w:rsidR="00A40EB3" w:rsidRPr="00E26D69" w:rsidRDefault="00A40EB3" w:rsidP="00A40EB3">
            <w:pPr>
              <w:tabs>
                <w:tab w:val="left" w:pos="1332"/>
              </w:tabs>
              <w:jc w:val="right"/>
              <w:rPr>
                <w:rFonts w:ascii="Arial" w:hAnsi="Arial" w:cs="Arial"/>
              </w:rPr>
            </w:pPr>
            <w:r>
              <w:rPr>
                <w:rFonts w:ascii="Arial" w:hAnsi="Arial" w:cs="Arial"/>
              </w:rPr>
              <w:t>35,070</w:t>
            </w:r>
          </w:p>
        </w:tc>
      </w:tr>
      <w:tr w:rsidR="00EF6BF1" w:rsidRPr="00E26D69" w14:paraId="6C1E5168" w14:textId="77777777" w:rsidTr="000845C9">
        <w:trPr>
          <w:trHeight w:val="369"/>
        </w:trPr>
        <w:tc>
          <w:tcPr>
            <w:tcW w:w="4967" w:type="dxa"/>
            <w:vAlign w:val="bottom"/>
          </w:tcPr>
          <w:p w14:paraId="74B3D9B5" w14:textId="77777777" w:rsidR="00A40EB3" w:rsidRPr="00E26D69" w:rsidRDefault="00A40EB3" w:rsidP="00A40EB3">
            <w:pPr>
              <w:ind w:left="-100"/>
              <w:rPr>
                <w:rFonts w:ascii="Arial" w:hAnsi="Arial" w:cs="Arial"/>
              </w:rPr>
            </w:pPr>
            <w:r w:rsidRPr="00E26D69">
              <w:rPr>
                <w:rFonts w:ascii="Arial" w:hAnsi="Arial" w:cs="Arial"/>
              </w:rPr>
              <w:t>Intangible assets</w:t>
            </w:r>
          </w:p>
        </w:tc>
        <w:tc>
          <w:tcPr>
            <w:tcW w:w="992" w:type="dxa"/>
            <w:vAlign w:val="bottom"/>
          </w:tcPr>
          <w:p w14:paraId="32B3F329" w14:textId="4306E811" w:rsidR="00A40EB3" w:rsidRPr="00A63C57" w:rsidRDefault="00A40EB3" w:rsidP="00A40EB3">
            <w:pPr>
              <w:jc w:val="center"/>
              <w:rPr>
                <w:rFonts w:ascii="Arial" w:hAnsi="Arial" w:cs="Arial"/>
              </w:rPr>
            </w:pPr>
            <w:hyperlink w:anchor="Note9noncurrentassets" w:history="1">
              <w:r w:rsidRPr="00FF2FB0">
                <w:rPr>
                  <w:rStyle w:val="Hyperlink"/>
                  <w:rFonts w:ascii="Arial" w:hAnsi="Arial" w:cs="Arial"/>
                </w:rPr>
                <w:t>9</w:t>
              </w:r>
            </w:hyperlink>
          </w:p>
        </w:tc>
        <w:tc>
          <w:tcPr>
            <w:tcW w:w="1984" w:type="dxa"/>
            <w:tcBorders>
              <w:bottom w:val="single" w:sz="4" w:space="0" w:color="auto"/>
            </w:tcBorders>
            <w:shd w:val="clear" w:color="auto" w:fill="EAF1DD" w:themeFill="accent3" w:themeFillTint="33"/>
            <w:vAlign w:val="bottom"/>
          </w:tcPr>
          <w:p w14:paraId="3C842FDB" w14:textId="7C161301" w:rsidR="00A40EB3" w:rsidRPr="00E26D69" w:rsidRDefault="00ED7FFA" w:rsidP="00A40EB3">
            <w:pPr>
              <w:jc w:val="right"/>
              <w:rPr>
                <w:rFonts w:ascii="Arial" w:hAnsi="Arial" w:cs="Arial"/>
              </w:rPr>
            </w:pPr>
            <w:r>
              <w:rPr>
                <w:rFonts w:ascii="Arial" w:hAnsi="Arial" w:cs="Arial"/>
              </w:rPr>
              <w:t>2</w:t>
            </w:r>
            <w:r w:rsidR="00313FCE">
              <w:rPr>
                <w:rFonts w:ascii="Arial" w:hAnsi="Arial" w:cs="Arial"/>
              </w:rPr>
              <w:t>,</w:t>
            </w:r>
            <w:r>
              <w:rPr>
                <w:rFonts w:ascii="Arial" w:hAnsi="Arial" w:cs="Arial"/>
              </w:rPr>
              <w:t>603</w:t>
            </w:r>
          </w:p>
        </w:tc>
        <w:tc>
          <w:tcPr>
            <w:tcW w:w="2027" w:type="dxa"/>
            <w:tcBorders>
              <w:bottom w:val="single" w:sz="4" w:space="0" w:color="auto"/>
            </w:tcBorders>
            <w:vAlign w:val="bottom"/>
          </w:tcPr>
          <w:p w14:paraId="362CB4BC" w14:textId="3433326A" w:rsidR="00A40EB3" w:rsidRPr="00E26D69" w:rsidRDefault="00A40EB3" w:rsidP="00A40EB3">
            <w:pPr>
              <w:jc w:val="right"/>
              <w:rPr>
                <w:rFonts w:ascii="Arial" w:hAnsi="Arial" w:cs="Arial"/>
              </w:rPr>
            </w:pPr>
            <w:r>
              <w:rPr>
                <w:rFonts w:ascii="Arial" w:hAnsi="Arial" w:cs="Arial"/>
              </w:rPr>
              <w:t>753</w:t>
            </w:r>
          </w:p>
        </w:tc>
      </w:tr>
      <w:tr w:rsidR="00EF6BF1" w:rsidRPr="00E26D69" w14:paraId="7E6DAC47" w14:textId="77777777" w:rsidTr="000845C9">
        <w:trPr>
          <w:trHeight w:val="369"/>
        </w:trPr>
        <w:tc>
          <w:tcPr>
            <w:tcW w:w="4967" w:type="dxa"/>
            <w:vAlign w:val="bottom"/>
          </w:tcPr>
          <w:p w14:paraId="6225FD10" w14:textId="77777777" w:rsidR="00A40EB3" w:rsidRPr="00E26D69" w:rsidRDefault="00A40EB3" w:rsidP="00A40EB3">
            <w:pPr>
              <w:ind w:left="-100"/>
              <w:rPr>
                <w:rFonts w:ascii="Arial" w:hAnsi="Arial" w:cs="Arial"/>
              </w:rPr>
            </w:pPr>
          </w:p>
        </w:tc>
        <w:tc>
          <w:tcPr>
            <w:tcW w:w="992" w:type="dxa"/>
            <w:vAlign w:val="bottom"/>
          </w:tcPr>
          <w:p w14:paraId="666A396F" w14:textId="77777777" w:rsidR="00A40EB3" w:rsidRPr="00161F10" w:rsidRDefault="00A40EB3" w:rsidP="00A40EB3">
            <w:pPr>
              <w:jc w:val="center"/>
              <w:rPr>
                <w:rFonts w:ascii="Arial" w:hAnsi="Arial" w:cs="Arial"/>
                <w:highlight w:val="magenta"/>
              </w:rPr>
            </w:pPr>
          </w:p>
        </w:tc>
        <w:tc>
          <w:tcPr>
            <w:tcW w:w="1984" w:type="dxa"/>
            <w:tcBorders>
              <w:top w:val="single" w:sz="4" w:space="0" w:color="auto"/>
              <w:bottom w:val="single" w:sz="4" w:space="0" w:color="auto"/>
            </w:tcBorders>
            <w:shd w:val="clear" w:color="auto" w:fill="EAF1DD" w:themeFill="accent3" w:themeFillTint="33"/>
            <w:vAlign w:val="bottom"/>
          </w:tcPr>
          <w:p w14:paraId="142A4360" w14:textId="5A1C8023" w:rsidR="00A40EB3" w:rsidRPr="00694524" w:rsidRDefault="00F2451B" w:rsidP="00A40EB3">
            <w:pPr>
              <w:jc w:val="right"/>
              <w:rPr>
                <w:rFonts w:ascii="Arial" w:hAnsi="Arial" w:cs="Arial"/>
                <w:b/>
                <w:bCs/>
              </w:rPr>
            </w:pPr>
            <w:r>
              <w:rPr>
                <w:rFonts w:ascii="Arial" w:hAnsi="Arial" w:cs="Arial"/>
                <w:b/>
                <w:bCs/>
              </w:rPr>
              <w:t>42</w:t>
            </w:r>
            <w:r w:rsidR="00313FCE">
              <w:rPr>
                <w:rFonts w:ascii="Arial" w:hAnsi="Arial" w:cs="Arial"/>
                <w:b/>
                <w:bCs/>
              </w:rPr>
              <w:t>,</w:t>
            </w:r>
            <w:r>
              <w:rPr>
                <w:rFonts w:ascii="Arial" w:hAnsi="Arial" w:cs="Arial"/>
                <w:b/>
                <w:bCs/>
              </w:rPr>
              <w:t>81</w:t>
            </w:r>
            <w:r w:rsidR="00776EB3">
              <w:rPr>
                <w:rFonts w:ascii="Arial" w:hAnsi="Arial" w:cs="Arial"/>
                <w:b/>
                <w:bCs/>
              </w:rPr>
              <w:t>5</w:t>
            </w:r>
          </w:p>
        </w:tc>
        <w:tc>
          <w:tcPr>
            <w:tcW w:w="2027" w:type="dxa"/>
            <w:tcBorders>
              <w:top w:val="single" w:sz="4" w:space="0" w:color="auto"/>
              <w:bottom w:val="single" w:sz="4" w:space="0" w:color="auto"/>
            </w:tcBorders>
            <w:vAlign w:val="bottom"/>
          </w:tcPr>
          <w:p w14:paraId="34676A81" w14:textId="4E5258B8" w:rsidR="00A40EB3" w:rsidRPr="00694524" w:rsidRDefault="00A40EB3" w:rsidP="00A40EB3">
            <w:pPr>
              <w:jc w:val="right"/>
              <w:rPr>
                <w:rFonts w:ascii="Arial" w:hAnsi="Arial" w:cs="Arial"/>
                <w:b/>
                <w:bCs/>
              </w:rPr>
            </w:pPr>
            <w:r>
              <w:rPr>
                <w:rFonts w:ascii="Arial" w:hAnsi="Arial" w:cs="Arial"/>
                <w:b/>
                <w:bCs/>
              </w:rPr>
              <w:t>35,823</w:t>
            </w:r>
          </w:p>
        </w:tc>
      </w:tr>
      <w:tr w:rsidR="00167866" w:rsidRPr="00E26D69" w14:paraId="3E2E3F09" w14:textId="77777777" w:rsidTr="000845C9">
        <w:trPr>
          <w:trHeight w:val="369"/>
        </w:trPr>
        <w:tc>
          <w:tcPr>
            <w:tcW w:w="4967" w:type="dxa"/>
            <w:vAlign w:val="bottom"/>
          </w:tcPr>
          <w:p w14:paraId="605AC81F" w14:textId="77777777" w:rsidR="00A40EB3" w:rsidRPr="00E26D69" w:rsidRDefault="00A40EB3" w:rsidP="00A40EB3">
            <w:pPr>
              <w:ind w:left="-100"/>
              <w:rPr>
                <w:rFonts w:ascii="Arial" w:hAnsi="Arial" w:cs="Arial"/>
                <w:b/>
              </w:rPr>
            </w:pPr>
            <w:r w:rsidRPr="00E26D69">
              <w:rPr>
                <w:rFonts w:ascii="Arial" w:hAnsi="Arial" w:cs="Arial"/>
                <w:b/>
              </w:rPr>
              <w:t xml:space="preserve">Current assets </w:t>
            </w:r>
          </w:p>
        </w:tc>
        <w:tc>
          <w:tcPr>
            <w:tcW w:w="992" w:type="dxa"/>
            <w:vAlign w:val="bottom"/>
          </w:tcPr>
          <w:p w14:paraId="15BC38C9" w14:textId="77777777" w:rsidR="00A40EB3" w:rsidRPr="00161F10" w:rsidRDefault="00A40EB3" w:rsidP="00A40EB3">
            <w:pPr>
              <w:jc w:val="center"/>
              <w:rPr>
                <w:rFonts w:ascii="Arial" w:hAnsi="Arial" w:cs="Arial"/>
                <w:highlight w:val="magenta"/>
              </w:rPr>
            </w:pPr>
          </w:p>
        </w:tc>
        <w:tc>
          <w:tcPr>
            <w:tcW w:w="1984" w:type="dxa"/>
            <w:shd w:val="clear" w:color="auto" w:fill="EAF1DD" w:themeFill="accent3" w:themeFillTint="33"/>
            <w:vAlign w:val="bottom"/>
          </w:tcPr>
          <w:p w14:paraId="70DB4398" w14:textId="77777777" w:rsidR="00A40EB3" w:rsidRPr="00E26D69" w:rsidRDefault="00A40EB3" w:rsidP="00A40EB3">
            <w:pPr>
              <w:jc w:val="right"/>
              <w:rPr>
                <w:rFonts w:ascii="Arial" w:hAnsi="Arial" w:cs="Arial"/>
              </w:rPr>
            </w:pPr>
          </w:p>
        </w:tc>
        <w:tc>
          <w:tcPr>
            <w:tcW w:w="2027" w:type="dxa"/>
            <w:vAlign w:val="bottom"/>
          </w:tcPr>
          <w:p w14:paraId="26BD107C" w14:textId="77777777" w:rsidR="00A40EB3" w:rsidRPr="00E26D69" w:rsidRDefault="00A40EB3" w:rsidP="00A40EB3">
            <w:pPr>
              <w:jc w:val="right"/>
              <w:rPr>
                <w:rFonts w:ascii="Arial" w:hAnsi="Arial" w:cs="Arial"/>
              </w:rPr>
            </w:pPr>
          </w:p>
        </w:tc>
      </w:tr>
      <w:tr w:rsidR="00167866" w:rsidRPr="00E26D69" w14:paraId="567166F8" w14:textId="77777777" w:rsidTr="000845C9">
        <w:trPr>
          <w:trHeight w:val="369"/>
        </w:trPr>
        <w:tc>
          <w:tcPr>
            <w:tcW w:w="4967" w:type="dxa"/>
            <w:vAlign w:val="bottom"/>
          </w:tcPr>
          <w:p w14:paraId="0F351BE2" w14:textId="77777777" w:rsidR="00A40EB3" w:rsidRPr="00E26D69" w:rsidRDefault="00A40EB3" w:rsidP="00A40EB3">
            <w:pPr>
              <w:ind w:left="-100"/>
              <w:rPr>
                <w:rFonts w:ascii="Arial" w:hAnsi="Arial" w:cs="Arial"/>
              </w:rPr>
            </w:pPr>
            <w:r w:rsidRPr="00E26D69">
              <w:rPr>
                <w:rFonts w:ascii="Arial" w:hAnsi="Arial" w:cs="Arial"/>
              </w:rPr>
              <w:t>Trade and other receivables</w:t>
            </w:r>
          </w:p>
        </w:tc>
        <w:tc>
          <w:tcPr>
            <w:tcW w:w="992" w:type="dxa"/>
            <w:vAlign w:val="bottom"/>
          </w:tcPr>
          <w:p w14:paraId="037B57E4" w14:textId="7DE5E4EA" w:rsidR="00A40EB3" w:rsidRPr="00A63C57" w:rsidRDefault="00A40EB3" w:rsidP="00A40EB3">
            <w:pPr>
              <w:jc w:val="center"/>
              <w:rPr>
                <w:rFonts w:ascii="Arial" w:hAnsi="Arial" w:cs="Arial"/>
              </w:rPr>
            </w:pPr>
            <w:hyperlink w:anchor="Note11Tradeandotherreceivables" w:history="1">
              <w:r w:rsidRPr="00FF2FB0">
                <w:rPr>
                  <w:rStyle w:val="Hyperlink"/>
                  <w:rFonts w:ascii="Arial" w:hAnsi="Arial" w:cs="Arial"/>
                </w:rPr>
                <w:t>11</w:t>
              </w:r>
            </w:hyperlink>
          </w:p>
        </w:tc>
        <w:tc>
          <w:tcPr>
            <w:tcW w:w="1984" w:type="dxa"/>
            <w:shd w:val="clear" w:color="auto" w:fill="EAF1DD" w:themeFill="accent3" w:themeFillTint="33"/>
            <w:vAlign w:val="bottom"/>
          </w:tcPr>
          <w:p w14:paraId="2DE76E71" w14:textId="26417643" w:rsidR="00A40EB3" w:rsidRPr="00CA06AC" w:rsidRDefault="00A74C87" w:rsidP="00A40EB3">
            <w:pPr>
              <w:jc w:val="right"/>
              <w:rPr>
                <w:rFonts w:ascii="Arial" w:hAnsi="Arial" w:cs="Arial"/>
                <w:highlight w:val="cyan"/>
              </w:rPr>
            </w:pPr>
            <w:r>
              <w:rPr>
                <w:rFonts w:ascii="Arial" w:hAnsi="Arial" w:cs="Arial"/>
              </w:rPr>
              <w:t>7,068</w:t>
            </w:r>
          </w:p>
        </w:tc>
        <w:tc>
          <w:tcPr>
            <w:tcW w:w="2027" w:type="dxa"/>
            <w:vAlign w:val="bottom"/>
          </w:tcPr>
          <w:p w14:paraId="2284A9C3" w14:textId="6A021483" w:rsidR="00A40EB3" w:rsidRPr="00E26D69" w:rsidRDefault="00A40EB3" w:rsidP="00A40EB3">
            <w:pPr>
              <w:jc w:val="right"/>
              <w:rPr>
                <w:rFonts w:ascii="Arial" w:hAnsi="Arial" w:cs="Arial"/>
              </w:rPr>
            </w:pPr>
            <w:r w:rsidRPr="00494C36">
              <w:rPr>
                <w:rFonts w:ascii="Arial" w:hAnsi="Arial" w:cs="Arial"/>
              </w:rPr>
              <w:t>3,669</w:t>
            </w:r>
          </w:p>
        </w:tc>
      </w:tr>
      <w:tr w:rsidR="00EF6BF1" w:rsidRPr="00E26D69" w14:paraId="2D7B40F5" w14:textId="77777777" w:rsidTr="000845C9">
        <w:trPr>
          <w:trHeight w:val="369"/>
        </w:trPr>
        <w:tc>
          <w:tcPr>
            <w:tcW w:w="4967" w:type="dxa"/>
            <w:vAlign w:val="bottom"/>
          </w:tcPr>
          <w:p w14:paraId="57881CB9" w14:textId="77777777" w:rsidR="00A40EB3" w:rsidRPr="00E26D69" w:rsidRDefault="00A40EB3" w:rsidP="00A40EB3">
            <w:pPr>
              <w:ind w:left="-100"/>
              <w:rPr>
                <w:rFonts w:ascii="Arial" w:hAnsi="Arial" w:cs="Arial"/>
              </w:rPr>
            </w:pPr>
            <w:r w:rsidRPr="00E26D69">
              <w:rPr>
                <w:rFonts w:ascii="Arial" w:hAnsi="Arial" w:cs="Arial"/>
              </w:rPr>
              <w:t>Cash and cash equivalents</w:t>
            </w:r>
          </w:p>
        </w:tc>
        <w:tc>
          <w:tcPr>
            <w:tcW w:w="992" w:type="dxa"/>
            <w:vAlign w:val="bottom"/>
          </w:tcPr>
          <w:p w14:paraId="1BC2BCE0" w14:textId="6771C21A" w:rsidR="00A40EB3" w:rsidRPr="00A63C57" w:rsidRDefault="00A40EB3" w:rsidP="00A40EB3">
            <w:pPr>
              <w:jc w:val="center"/>
              <w:rPr>
                <w:rFonts w:ascii="Arial" w:hAnsi="Arial" w:cs="Arial"/>
              </w:rPr>
            </w:pPr>
            <w:hyperlink w:anchor="Note10cashandcashequivalents" w:history="1">
              <w:r w:rsidRPr="00FF2FB0">
                <w:rPr>
                  <w:rStyle w:val="Hyperlink"/>
                  <w:rFonts w:ascii="Arial" w:hAnsi="Arial" w:cs="Arial"/>
                </w:rPr>
                <w:t>10</w:t>
              </w:r>
            </w:hyperlink>
          </w:p>
        </w:tc>
        <w:tc>
          <w:tcPr>
            <w:tcW w:w="1984" w:type="dxa"/>
            <w:tcBorders>
              <w:bottom w:val="single" w:sz="4" w:space="0" w:color="auto"/>
            </w:tcBorders>
            <w:shd w:val="clear" w:color="auto" w:fill="EAF1DD" w:themeFill="accent3" w:themeFillTint="33"/>
            <w:vAlign w:val="bottom"/>
          </w:tcPr>
          <w:p w14:paraId="18D4A4C9" w14:textId="38276B15" w:rsidR="00A40EB3" w:rsidRPr="00E26D69" w:rsidRDefault="00E82062" w:rsidP="00A40EB3">
            <w:pPr>
              <w:jc w:val="right"/>
              <w:rPr>
                <w:rFonts w:ascii="Arial" w:hAnsi="Arial" w:cs="Arial"/>
              </w:rPr>
            </w:pPr>
            <w:r>
              <w:rPr>
                <w:rFonts w:ascii="Arial" w:hAnsi="Arial" w:cs="Arial"/>
              </w:rPr>
              <w:t>2,14</w:t>
            </w:r>
            <w:r w:rsidR="00D82A48">
              <w:rPr>
                <w:rFonts w:ascii="Arial" w:hAnsi="Arial" w:cs="Arial"/>
              </w:rPr>
              <w:t>6</w:t>
            </w:r>
          </w:p>
        </w:tc>
        <w:tc>
          <w:tcPr>
            <w:tcW w:w="2027" w:type="dxa"/>
            <w:tcBorders>
              <w:bottom w:val="single" w:sz="4" w:space="0" w:color="auto"/>
            </w:tcBorders>
            <w:vAlign w:val="bottom"/>
          </w:tcPr>
          <w:p w14:paraId="30C26A78" w14:textId="7B912E19" w:rsidR="00A40EB3" w:rsidRPr="00E26D69" w:rsidRDefault="00A40EB3" w:rsidP="00A40EB3">
            <w:pPr>
              <w:jc w:val="right"/>
              <w:rPr>
                <w:rFonts w:ascii="Arial" w:hAnsi="Arial" w:cs="Arial"/>
              </w:rPr>
            </w:pPr>
            <w:r>
              <w:rPr>
                <w:rFonts w:ascii="Arial" w:hAnsi="Arial" w:cs="Arial"/>
              </w:rPr>
              <w:t>4,731</w:t>
            </w:r>
          </w:p>
        </w:tc>
      </w:tr>
      <w:tr w:rsidR="00EF6BF1" w:rsidRPr="00E26D69" w14:paraId="3FA36CBA" w14:textId="77777777" w:rsidTr="000845C9">
        <w:trPr>
          <w:trHeight w:val="369"/>
        </w:trPr>
        <w:tc>
          <w:tcPr>
            <w:tcW w:w="4967" w:type="dxa"/>
            <w:vAlign w:val="bottom"/>
          </w:tcPr>
          <w:p w14:paraId="6C77B5CB" w14:textId="77777777" w:rsidR="00A40EB3" w:rsidRPr="00E26D69" w:rsidRDefault="00A40EB3" w:rsidP="00A40EB3">
            <w:pPr>
              <w:ind w:left="-100"/>
              <w:rPr>
                <w:rFonts w:ascii="Arial" w:hAnsi="Arial" w:cs="Arial"/>
              </w:rPr>
            </w:pPr>
          </w:p>
        </w:tc>
        <w:tc>
          <w:tcPr>
            <w:tcW w:w="992" w:type="dxa"/>
            <w:vAlign w:val="bottom"/>
          </w:tcPr>
          <w:p w14:paraId="47860ED4" w14:textId="77777777" w:rsidR="00A40EB3" w:rsidRPr="00161F10" w:rsidRDefault="00A40EB3" w:rsidP="00A40EB3">
            <w:pPr>
              <w:jc w:val="center"/>
              <w:rPr>
                <w:rFonts w:ascii="Arial" w:hAnsi="Arial" w:cs="Arial"/>
                <w:highlight w:val="magenta"/>
              </w:rPr>
            </w:pPr>
          </w:p>
        </w:tc>
        <w:tc>
          <w:tcPr>
            <w:tcW w:w="1984" w:type="dxa"/>
            <w:tcBorders>
              <w:top w:val="single" w:sz="4" w:space="0" w:color="auto"/>
              <w:bottom w:val="single" w:sz="4" w:space="0" w:color="auto"/>
            </w:tcBorders>
            <w:shd w:val="clear" w:color="auto" w:fill="EAF1DD" w:themeFill="accent3" w:themeFillTint="33"/>
            <w:vAlign w:val="bottom"/>
          </w:tcPr>
          <w:p w14:paraId="7CF3AC02" w14:textId="2D436AA2" w:rsidR="00A40EB3" w:rsidRPr="00E26D69" w:rsidRDefault="00620C93" w:rsidP="00A40EB3">
            <w:pPr>
              <w:jc w:val="right"/>
              <w:rPr>
                <w:rFonts w:ascii="Arial" w:hAnsi="Arial" w:cs="Arial"/>
              </w:rPr>
            </w:pPr>
            <w:r>
              <w:rPr>
                <w:rFonts w:ascii="Arial" w:hAnsi="Arial" w:cs="Arial"/>
              </w:rPr>
              <w:t>9</w:t>
            </w:r>
            <w:r w:rsidR="007A369D">
              <w:rPr>
                <w:rFonts w:ascii="Arial" w:hAnsi="Arial" w:cs="Arial"/>
              </w:rPr>
              <w:t>,</w:t>
            </w:r>
            <w:r>
              <w:rPr>
                <w:rFonts w:ascii="Arial" w:hAnsi="Arial" w:cs="Arial"/>
              </w:rPr>
              <w:t>214</w:t>
            </w:r>
          </w:p>
        </w:tc>
        <w:tc>
          <w:tcPr>
            <w:tcW w:w="2027" w:type="dxa"/>
            <w:tcBorders>
              <w:top w:val="single" w:sz="4" w:space="0" w:color="auto"/>
              <w:bottom w:val="single" w:sz="4" w:space="0" w:color="auto"/>
            </w:tcBorders>
            <w:vAlign w:val="bottom"/>
          </w:tcPr>
          <w:p w14:paraId="2B1AD67E" w14:textId="74406ED4" w:rsidR="00A40EB3" w:rsidRPr="00E26D69" w:rsidRDefault="00A40EB3" w:rsidP="00A40EB3">
            <w:pPr>
              <w:jc w:val="right"/>
              <w:rPr>
                <w:rFonts w:ascii="Arial" w:hAnsi="Arial" w:cs="Arial"/>
              </w:rPr>
            </w:pPr>
            <w:r>
              <w:rPr>
                <w:rFonts w:ascii="Arial" w:hAnsi="Arial" w:cs="Arial"/>
              </w:rPr>
              <w:t>8,400</w:t>
            </w:r>
          </w:p>
        </w:tc>
      </w:tr>
      <w:tr w:rsidR="00EF6BF1" w:rsidRPr="00E26D69" w14:paraId="244A4D56" w14:textId="77777777" w:rsidTr="000845C9">
        <w:trPr>
          <w:trHeight w:val="369"/>
        </w:trPr>
        <w:tc>
          <w:tcPr>
            <w:tcW w:w="4967" w:type="dxa"/>
            <w:vAlign w:val="bottom"/>
          </w:tcPr>
          <w:p w14:paraId="7B8EE3F3" w14:textId="77777777" w:rsidR="00A40EB3" w:rsidRPr="00E26D69" w:rsidRDefault="00A40EB3" w:rsidP="00A40EB3">
            <w:pPr>
              <w:ind w:left="-100"/>
              <w:rPr>
                <w:rFonts w:ascii="Arial" w:hAnsi="Arial" w:cs="Arial"/>
                <w:b/>
                <w:bCs/>
              </w:rPr>
            </w:pPr>
            <w:r w:rsidRPr="00E26D69">
              <w:rPr>
                <w:rFonts w:ascii="Arial" w:hAnsi="Arial" w:cs="Arial"/>
                <w:b/>
                <w:bCs/>
              </w:rPr>
              <w:t xml:space="preserve">Total assets </w:t>
            </w:r>
          </w:p>
        </w:tc>
        <w:tc>
          <w:tcPr>
            <w:tcW w:w="992" w:type="dxa"/>
            <w:vAlign w:val="bottom"/>
          </w:tcPr>
          <w:p w14:paraId="33CBCCF3" w14:textId="77777777" w:rsidR="00A40EB3" w:rsidRPr="00161F10" w:rsidRDefault="00A40EB3" w:rsidP="00A40EB3">
            <w:pPr>
              <w:jc w:val="center"/>
              <w:rPr>
                <w:rFonts w:ascii="Arial" w:hAnsi="Arial" w:cs="Arial"/>
                <w:b/>
                <w:bCs/>
                <w:highlight w:val="magenta"/>
              </w:rPr>
            </w:pPr>
          </w:p>
        </w:tc>
        <w:tc>
          <w:tcPr>
            <w:tcW w:w="1984" w:type="dxa"/>
            <w:tcBorders>
              <w:top w:val="single" w:sz="4" w:space="0" w:color="auto"/>
              <w:bottom w:val="single" w:sz="4" w:space="0" w:color="auto"/>
            </w:tcBorders>
            <w:shd w:val="clear" w:color="auto" w:fill="EAF1DD" w:themeFill="accent3" w:themeFillTint="33"/>
            <w:vAlign w:val="bottom"/>
          </w:tcPr>
          <w:p w14:paraId="2C8260DE" w14:textId="0547C82A" w:rsidR="00A40EB3" w:rsidRPr="00E26D69" w:rsidRDefault="00620C93" w:rsidP="00A40EB3">
            <w:pPr>
              <w:jc w:val="right"/>
              <w:rPr>
                <w:rFonts w:ascii="Arial" w:hAnsi="Arial" w:cs="Arial"/>
                <w:b/>
                <w:bCs/>
              </w:rPr>
            </w:pPr>
            <w:r>
              <w:rPr>
                <w:rFonts w:ascii="Arial" w:hAnsi="Arial" w:cs="Arial"/>
                <w:b/>
                <w:bCs/>
              </w:rPr>
              <w:t>52,029</w:t>
            </w:r>
          </w:p>
        </w:tc>
        <w:tc>
          <w:tcPr>
            <w:tcW w:w="2027" w:type="dxa"/>
            <w:tcBorders>
              <w:top w:val="single" w:sz="4" w:space="0" w:color="auto"/>
              <w:bottom w:val="single" w:sz="4" w:space="0" w:color="auto"/>
            </w:tcBorders>
            <w:vAlign w:val="bottom"/>
          </w:tcPr>
          <w:p w14:paraId="20CAEF47" w14:textId="0A8577F5" w:rsidR="00A40EB3" w:rsidRPr="00E26D69" w:rsidRDefault="00A40EB3" w:rsidP="00A40EB3">
            <w:pPr>
              <w:jc w:val="right"/>
              <w:rPr>
                <w:rFonts w:ascii="Arial" w:hAnsi="Arial" w:cs="Arial"/>
                <w:b/>
                <w:bCs/>
              </w:rPr>
            </w:pPr>
            <w:r>
              <w:rPr>
                <w:rFonts w:ascii="Arial" w:hAnsi="Arial" w:cs="Arial"/>
                <w:b/>
                <w:bCs/>
              </w:rPr>
              <w:t>44,223</w:t>
            </w:r>
          </w:p>
        </w:tc>
      </w:tr>
      <w:tr w:rsidR="00EF6BF1" w:rsidRPr="00E26D69" w14:paraId="07E8131A" w14:textId="77777777" w:rsidTr="000845C9">
        <w:trPr>
          <w:trHeight w:val="283"/>
        </w:trPr>
        <w:tc>
          <w:tcPr>
            <w:tcW w:w="4967" w:type="dxa"/>
            <w:vAlign w:val="bottom"/>
          </w:tcPr>
          <w:p w14:paraId="5185AE37" w14:textId="77777777" w:rsidR="00A40EB3" w:rsidRPr="00E26D69" w:rsidRDefault="00A40EB3" w:rsidP="00A40EB3">
            <w:pPr>
              <w:ind w:left="-100"/>
              <w:rPr>
                <w:rFonts w:ascii="Arial" w:hAnsi="Arial" w:cs="Arial"/>
                <w:b/>
                <w:bCs/>
              </w:rPr>
            </w:pPr>
          </w:p>
        </w:tc>
        <w:tc>
          <w:tcPr>
            <w:tcW w:w="992" w:type="dxa"/>
            <w:vAlign w:val="bottom"/>
          </w:tcPr>
          <w:p w14:paraId="107942E2" w14:textId="77777777" w:rsidR="00A40EB3" w:rsidRPr="00161F10" w:rsidRDefault="00A40EB3" w:rsidP="00A40EB3">
            <w:pPr>
              <w:jc w:val="center"/>
              <w:rPr>
                <w:rFonts w:ascii="Arial" w:hAnsi="Arial" w:cs="Arial"/>
                <w:highlight w:val="magenta"/>
              </w:rPr>
            </w:pPr>
          </w:p>
        </w:tc>
        <w:tc>
          <w:tcPr>
            <w:tcW w:w="1984" w:type="dxa"/>
            <w:tcBorders>
              <w:top w:val="single" w:sz="4" w:space="0" w:color="auto"/>
            </w:tcBorders>
            <w:shd w:val="clear" w:color="auto" w:fill="EAF1DD" w:themeFill="accent3" w:themeFillTint="33"/>
            <w:vAlign w:val="bottom"/>
          </w:tcPr>
          <w:p w14:paraId="170795D8" w14:textId="77777777" w:rsidR="00A40EB3" w:rsidRPr="00E26D69" w:rsidRDefault="00A40EB3" w:rsidP="00A40EB3">
            <w:pPr>
              <w:jc w:val="right"/>
              <w:rPr>
                <w:rFonts w:ascii="Arial" w:hAnsi="Arial" w:cs="Arial"/>
              </w:rPr>
            </w:pPr>
          </w:p>
        </w:tc>
        <w:tc>
          <w:tcPr>
            <w:tcW w:w="2027" w:type="dxa"/>
            <w:tcBorders>
              <w:top w:val="single" w:sz="4" w:space="0" w:color="auto"/>
            </w:tcBorders>
            <w:vAlign w:val="bottom"/>
          </w:tcPr>
          <w:p w14:paraId="190C4CB9" w14:textId="77777777" w:rsidR="00A40EB3" w:rsidRPr="00E26D69" w:rsidRDefault="00A40EB3" w:rsidP="00A40EB3">
            <w:pPr>
              <w:jc w:val="right"/>
              <w:rPr>
                <w:rFonts w:ascii="Arial" w:hAnsi="Arial" w:cs="Arial"/>
              </w:rPr>
            </w:pPr>
          </w:p>
        </w:tc>
      </w:tr>
      <w:tr w:rsidR="00167866" w:rsidRPr="00E26D69" w14:paraId="3B04D729" w14:textId="77777777" w:rsidTr="000845C9">
        <w:trPr>
          <w:trHeight w:val="369"/>
        </w:trPr>
        <w:tc>
          <w:tcPr>
            <w:tcW w:w="4967" w:type="dxa"/>
            <w:vAlign w:val="bottom"/>
          </w:tcPr>
          <w:p w14:paraId="6D318144" w14:textId="77777777" w:rsidR="00A40EB3" w:rsidRPr="00E26D69" w:rsidRDefault="00A40EB3" w:rsidP="00A40EB3">
            <w:pPr>
              <w:ind w:left="-100"/>
              <w:rPr>
                <w:rFonts w:ascii="Arial" w:hAnsi="Arial" w:cs="Arial"/>
                <w:b/>
                <w:bCs/>
              </w:rPr>
            </w:pPr>
            <w:r w:rsidRPr="00E26D69">
              <w:rPr>
                <w:rFonts w:ascii="Arial" w:hAnsi="Arial" w:cs="Arial"/>
                <w:b/>
                <w:bCs/>
              </w:rPr>
              <w:t xml:space="preserve">Current liabilities </w:t>
            </w:r>
          </w:p>
        </w:tc>
        <w:tc>
          <w:tcPr>
            <w:tcW w:w="992" w:type="dxa"/>
            <w:vAlign w:val="bottom"/>
          </w:tcPr>
          <w:p w14:paraId="1F391015" w14:textId="77777777" w:rsidR="00A40EB3" w:rsidRPr="00161F10" w:rsidRDefault="00A40EB3" w:rsidP="00A40EB3">
            <w:pPr>
              <w:jc w:val="center"/>
              <w:rPr>
                <w:rFonts w:ascii="Arial" w:hAnsi="Arial" w:cs="Arial"/>
                <w:highlight w:val="magenta"/>
              </w:rPr>
            </w:pPr>
          </w:p>
        </w:tc>
        <w:tc>
          <w:tcPr>
            <w:tcW w:w="1984" w:type="dxa"/>
            <w:shd w:val="clear" w:color="auto" w:fill="EAF1DD" w:themeFill="accent3" w:themeFillTint="33"/>
            <w:vAlign w:val="bottom"/>
          </w:tcPr>
          <w:p w14:paraId="6B2AAB33" w14:textId="77777777" w:rsidR="00A40EB3" w:rsidRPr="00E26D69" w:rsidRDefault="00A40EB3" w:rsidP="00A40EB3">
            <w:pPr>
              <w:jc w:val="right"/>
              <w:rPr>
                <w:rFonts w:ascii="Arial" w:hAnsi="Arial" w:cs="Arial"/>
              </w:rPr>
            </w:pPr>
          </w:p>
        </w:tc>
        <w:tc>
          <w:tcPr>
            <w:tcW w:w="2027" w:type="dxa"/>
            <w:vAlign w:val="bottom"/>
          </w:tcPr>
          <w:p w14:paraId="5EF6BEDC" w14:textId="77777777" w:rsidR="00A40EB3" w:rsidRPr="00E26D69" w:rsidRDefault="00A40EB3" w:rsidP="00A40EB3">
            <w:pPr>
              <w:jc w:val="right"/>
              <w:rPr>
                <w:rFonts w:ascii="Arial" w:hAnsi="Arial" w:cs="Arial"/>
              </w:rPr>
            </w:pPr>
          </w:p>
        </w:tc>
      </w:tr>
      <w:tr w:rsidR="00167866" w:rsidRPr="00E26D69" w14:paraId="75A2D147" w14:textId="77777777" w:rsidTr="000845C9">
        <w:trPr>
          <w:trHeight w:val="369"/>
        </w:trPr>
        <w:tc>
          <w:tcPr>
            <w:tcW w:w="4967" w:type="dxa"/>
            <w:vAlign w:val="bottom"/>
          </w:tcPr>
          <w:p w14:paraId="43BF268C" w14:textId="77777777" w:rsidR="00A40EB3" w:rsidRPr="00E26D69" w:rsidRDefault="00A40EB3" w:rsidP="00A40EB3">
            <w:pPr>
              <w:ind w:left="-100"/>
              <w:rPr>
                <w:rFonts w:ascii="Arial" w:hAnsi="Arial" w:cs="Arial"/>
              </w:rPr>
            </w:pPr>
            <w:r w:rsidRPr="00E26D69">
              <w:rPr>
                <w:rFonts w:ascii="Arial" w:hAnsi="Arial" w:cs="Arial"/>
              </w:rPr>
              <w:t>Trade and other payables &lt; 1 year</w:t>
            </w:r>
          </w:p>
        </w:tc>
        <w:tc>
          <w:tcPr>
            <w:tcW w:w="992" w:type="dxa"/>
            <w:vAlign w:val="bottom"/>
          </w:tcPr>
          <w:p w14:paraId="17369CDB" w14:textId="2A90062E" w:rsidR="00A40EB3" w:rsidRPr="00A63C57" w:rsidRDefault="00A40EB3" w:rsidP="00A40EB3">
            <w:pPr>
              <w:jc w:val="center"/>
              <w:rPr>
                <w:rFonts w:ascii="Arial" w:hAnsi="Arial" w:cs="Arial"/>
              </w:rPr>
            </w:pPr>
            <w:hyperlink w:anchor="Note12Tradeandotherpayables" w:history="1">
              <w:r w:rsidRPr="00FF2FB0">
                <w:rPr>
                  <w:rStyle w:val="Hyperlink"/>
                  <w:rFonts w:ascii="Arial" w:hAnsi="Arial" w:cs="Arial"/>
                </w:rPr>
                <w:t>12</w:t>
              </w:r>
            </w:hyperlink>
          </w:p>
        </w:tc>
        <w:tc>
          <w:tcPr>
            <w:tcW w:w="1984" w:type="dxa"/>
            <w:shd w:val="clear" w:color="auto" w:fill="EAF1DD" w:themeFill="accent3" w:themeFillTint="33"/>
            <w:vAlign w:val="bottom"/>
          </w:tcPr>
          <w:p w14:paraId="252C48CA" w14:textId="4985946D" w:rsidR="00A40EB3" w:rsidRPr="00E26D69" w:rsidRDefault="00C659F1" w:rsidP="00A40EB3">
            <w:pPr>
              <w:tabs>
                <w:tab w:val="left" w:pos="1332"/>
                <w:tab w:val="left" w:pos="1764"/>
              </w:tabs>
              <w:jc w:val="right"/>
              <w:rPr>
                <w:rFonts w:ascii="Arial" w:hAnsi="Arial" w:cs="Arial"/>
              </w:rPr>
            </w:pPr>
            <w:r>
              <w:rPr>
                <w:rFonts w:ascii="Arial" w:hAnsi="Arial" w:cs="Arial"/>
              </w:rPr>
              <w:t>(</w:t>
            </w:r>
            <w:r w:rsidR="00620C93">
              <w:rPr>
                <w:rFonts w:ascii="Arial" w:hAnsi="Arial" w:cs="Arial"/>
              </w:rPr>
              <w:t>9,477</w:t>
            </w:r>
            <w:r>
              <w:rPr>
                <w:rFonts w:ascii="Arial" w:hAnsi="Arial" w:cs="Arial"/>
              </w:rPr>
              <w:t>)</w:t>
            </w:r>
          </w:p>
        </w:tc>
        <w:tc>
          <w:tcPr>
            <w:tcW w:w="2027" w:type="dxa"/>
            <w:vAlign w:val="bottom"/>
          </w:tcPr>
          <w:p w14:paraId="2EF12EF2" w14:textId="6740482C" w:rsidR="00A40EB3" w:rsidRPr="00E26D69" w:rsidRDefault="00A40EB3" w:rsidP="00A40EB3">
            <w:pPr>
              <w:tabs>
                <w:tab w:val="left" w:pos="1332"/>
                <w:tab w:val="left" w:pos="1764"/>
              </w:tabs>
              <w:jc w:val="right"/>
              <w:rPr>
                <w:rFonts w:ascii="Arial" w:hAnsi="Arial" w:cs="Arial"/>
              </w:rPr>
            </w:pPr>
            <w:r>
              <w:rPr>
                <w:rFonts w:ascii="Arial" w:hAnsi="Arial" w:cs="Arial"/>
              </w:rPr>
              <w:t>(11,210)</w:t>
            </w:r>
          </w:p>
        </w:tc>
      </w:tr>
      <w:tr w:rsidR="00EF6BF1" w:rsidRPr="00E26D69" w14:paraId="785CC336" w14:textId="77777777" w:rsidTr="000845C9">
        <w:trPr>
          <w:trHeight w:val="369"/>
        </w:trPr>
        <w:tc>
          <w:tcPr>
            <w:tcW w:w="4967" w:type="dxa"/>
            <w:vAlign w:val="bottom"/>
          </w:tcPr>
          <w:p w14:paraId="0243890F" w14:textId="77777777" w:rsidR="00A40EB3" w:rsidRPr="00E26D69" w:rsidRDefault="00A40EB3" w:rsidP="00A40EB3">
            <w:pPr>
              <w:ind w:left="-100"/>
              <w:rPr>
                <w:rFonts w:ascii="Arial" w:hAnsi="Arial" w:cs="Arial"/>
              </w:rPr>
            </w:pPr>
            <w:r w:rsidRPr="00E26D69">
              <w:rPr>
                <w:rFonts w:ascii="Arial" w:hAnsi="Arial" w:cs="Arial"/>
              </w:rPr>
              <w:t>Provisions for liabilities and charges &lt;1 year</w:t>
            </w:r>
          </w:p>
        </w:tc>
        <w:tc>
          <w:tcPr>
            <w:tcW w:w="992" w:type="dxa"/>
            <w:vAlign w:val="bottom"/>
          </w:tcPr>
          <w:p w14:paraId="73EDA617" w14:textId="019C932D" w:rsidR="00A40EB3" w:rsidRPr="00A63C57" w:rsidRDefault="00A40EB3" w:rsidP="00A40EB3">
            <w:pPr>
              <w:jc w:val="center"/>
              <w:rPr>
                <w:rFonts w:ascii="Arial" w:hAnsi="Arial" w:cs="Arial"/>
              </w:rPr>
            </w:pPr>
            <w:hyperlink w:anchor="Note13Provisionforliabilitiesandcharges" w:history="1">
              <w:r w:rsidRPr="00FF2FB0">
                <w:rPr>
                  <w:rStyle w:val="Hyperlink"/>
                  <w:rFonts w:ascii="Arial" w:hAnsi="Arial" w:cs="Arial"/>
                </w:rPr>
                <w:t>13</w:t>
              </w:r>
            </w:hyperlink>
          </w:p>
        </w:tc>
        <w:tc>
          <w:tcPr>
            <w:tcW w:w="1984" w:type="dxa"/>
            <w:tcBorders>
              <w:bottom w:val="single" w:sz="4" w:space="0" w:color="auto"/>
            </w:tcBorders>
            <w:shd w:val="clear" w:color="auto" w:fill="EAF1DD" w:themeFill="accent3" w:themeFillTint="33"/>
            <w:vAlign w:val="bottom"/>
          </w:tcPr>
          <w:p w14:paraId="7F09AF8C" w14:textId="6D197DF8" w:rsidR="00A40EB3" w:rsidRPr="00E26D69" w:rsidRDefault="00C659F1" w:rsidP="00A40EB3">
            <w:pPr>
              <w:jc w:val="right"/>
              <w:rPr>
                <w:rFonts w:ascii="Arial" w:hAnsi="Arial" w:cs="Arial"/>
              </w:rPr>
            </w:pPr>
            <w:r>
              <w:rPr>
                <w:rFonts w:ascii="Arial" w:hAnsi="Arial" w:cs="Arial"/>
              </w:rPr>
              <w:t>(</w:t>
            </w:r>
            <w:r w:rsidR="007A369D">
              <w:rPr>
                <w:rFonts w:ascii="Arial" w:hAnsi="Arial" w:cs="Arial"/>
              </w:rPr>
              <w:t>22</w:t>
            </w:r>
            <w:r w:rsidR="00776EB3">
              <w:rPr>
                <w:rFonts w:ascii="Arial" w:hAnsi="Arial" w:cs="Arial"/>
              </w:rPr>
              <w:t>4</w:t>
            </w:r>
            <w:r>
              <w:rPr>
                <w:rFonts w:ascii="Arial" w:hAnsi="Arial" w:cs="Arial"/>
              </w:rPr>
              <w:t>)</w:t>
            </w:r>
          </w:p>
        </w:tc>
        <w:tc>
          <w:tcPr>
            <w:tcW w:w="2027" w:type="dxa"/>
            <w:tcBorders>
              <w:bottom w:val="single" w:sz="4" w:space="0" w:color="auto"/>
            </w:tcBorders>
            <w:vAlign w:val="bottom"/>
          </w:tcPr>
          <w:p w14:paraId="31A0940F" w14:textId="14B6CD67" w:rsidR="00A40EB3" w:rsidRPr="00E26D69" w:rsidRDefault="00A40EB3" w:rsidP="00A40EB3">
            <w:pPr>
              <w:jc w:val="right"/>
              <w:rPr>
                <w:rFonts w:ascii="Arial" w:hAnsi="Arial" w:cs="Arial"/>
              </w:rPr>
            </w:pPr>
            <w:r>
              <w:rPr>
                <w:rFonts w:ascii="Arial" w:hAnsi="Arial" w:cs="Arial"/>
              </w:rPr>
              <w:t>(143)</w:t>
            </w:r>
          </w:p>
        </w:tc>
      </w:tr>
      <w:tr w:rsidR="00EF6BF1" w:rsidRPr="00E26D69" w14:paraId="0D2F3D76" w14:textId="77777777" w:rsidTr="000845C9">
        <w:trPr>
          <w:trHeight w:val="369"/>
        </w:trPr>
        <w:tc>
          <w:tcPr>
            <w:tcW w:w="4967" w:type="dxa"/>
            <w:vAlign w:val="bottom"/>
          </w:tcPr>
          <w:p w14:paraId="19B9DE90" w14:textId="77777777" w:rsidR="00A40EB3" w:rsidRPr="00E26D69" w:rsidRDefault="00A40EB3" w:rsidP="00A40EB3">
            <w:pPr>
              <w:ind w:left="-100"/>
              <w:rPr>
                <w:rFonts w:ascii="Arial" w:hAnsi="Arial" w:cs="Arial"/>
                <w:b/>
                <w:bCs/>
              </w:rPr>
            </w:pPr>
            <w:r w:rsidRPr="00E26D69">
              <w:rPr>
                <w:rFonts w:ascii="Arial" w:hAnsi="Arial" w:cs="Arial"/>
                <w:b/>
                <w:bCs/>
              </w:rPr>
              <w:t xml:space="preserve">Total current liabilities </w:t>
            </w:r>
          </w:p>
        </w:tc>
        <w:tc>
          <w:tcPr>
            <w:tcW w:w="992" w:type="dxa"/>
            <w:vAlign w:val="bottom"/>
          </w:tcPr>
          <w:p w14:paraId="0A9BFC2E" w14:textId="77777777" w:rsidR="00A40EB3" w:rsidRPr="00E26D69" w:rsidRDefault="00A40EB3" w:rsidP="00A40EB3">
            <w:pPr>
              <w:jc w:val="center"/>
              <w:rPr>
                <w:rFonts w:ascii="Arial" w:hAnsi="Arial" w:cs="Arial"/>
              </w:rPr>
            </w:pPr>
          </w:p>
        </w:tc>
        <w:tc>
          <w:tcPr>
            <w:tcW w:w="1984" w:type="dxa"/>
            <w:tcBorders>
              <w:top w:val="single" w:sz="4" w:space="0" w:color="auto"/>
              <w:bottom w:val="single" w:sz="4" w:space="0" w:color="auto"/>
            </w:tcBorders>
            <w:shd w:val="clear" w:color="auto" w:fill="EAF1DD" w:themeFill="accent3" w:themeFillTint="33"/>
            <w:vAlign w:val="bottom"/>
          </w:tcPr>
          <w:p w14:paraId="5955CD7B" w14:textId="0287B653" w:rsidR="00A40EB3" w:rsidRPr="00E26D69" w:rsidRDefault="00C659F1" w:rsidP="00A40EB3">
            <w:pPr>
              <w:jc w:val="right"/>
              <w:rPr>
                <w:rFonts w:ascii="Arial" w:hAnsi="Arial" w:cs="Arial"/>
                <w:b/>
                <w:bCs/>
              </w:rPr>
            </w:pPr>
            <w:r>
              <w:rPr>
                <w:rFonts w:ascii="Arial" w:hAnsi="Arial" w:cs="Arial"/>
                <w:b/>
                <w:bCs/>
              </w:rPr>
              <w:t>(</w:t>
            </w:r>
            <w:r w:rsidR="00B95A6D">
              <w:rPr>
                <w:rFonts w:ascii="Arial" w:hAnsi="Arial" w:cs="Arial"/>
                <w:b/>
                <w:bCs/>
              </w:rPr>
              <w:t>9</w:t>
            </w:r>
            <w:r w:rsidR="007A369D">
              <w:rPr>
                <w:rFonts w:ascii="Arial" w:hAnsi="Arial" w:cs="Arial"/>
                <w:b/>
                <w:bCs/>
              </w:rPr>
              <w:t>,</w:t>
            </w:r>
            <w:r w:rsidR="00B95A6D">
              <w:rPr>
                <w:rFonts w:ascii="Arial" w:hAnsi="Arial" w:cs="Arial"/>
                <w:b/>
                <w:bCs/>
              </w:rPr>
              <w:t>701</w:t>
            </w:r>
            <w:r w:rsidR="00E156DA">
              <w:rPr>
                <w:rFonts w:ascii="Arial" w:hAnsi="Arial" w:cs="Arial"/>
                <w:b/>
                <w:bCs/>
              </w:rPr>
              <w:t>)</w:t>
            </w:r>
          </w:p>
        </w:tc>
        <w:tc>
          <w:tcPr>
            <w:tcW w:w="2027" w:type="dxa"/>
            <w:tcBorders>
              <w:top w:val="single" w:sz="4" w:space="0" w:color="auto"/>
              <w:bottom w:val="single" w:sz="4" w:space="0" w:color="auto"/>
            </w:tcBorders>
            <w:vAlign w:val="bottom"/>
          </w:tcPr>
          <w:p w14:paraId="4BB8D77A" w14:textId="4DFD0A3C" w:rsidR="00A40EB3" w:rsidRPr="00E26D69" w:rsidRDefault="00A40EB3" w:rsidP="00A40EB3">
            <w:pPr>
              <w:jc w:val="right"/>
              <w:rPr>
                <w:rFonts w:ascii="Arial" w:hAnsi="Arial" w:cs="Arial"/>
                <w:b/>
                <w:bCs/>
              </w:rPr>
            </w:pPr>
            <w:r>
              <w:rPr>
                <w:rFonts w:ascii="Arial" w:hAnsi="Arial" w:cs="Arial"/>
                <w:b/>
                <w:bCs/>
              </w:rPr>
              <w:t>(11,353)</w:t>
            </w:r>
          </w:p>
        </w:tc>
      </w:tr>
      <w:tr w:rsidR="00167866" w:rsidRPr="00E26D69" w14:paraId="11A419A6" w14:textId="77777777" w:rsidTr="000845C9">
        <w:trPr>
          <w:trHeight w:val="283"/>
        </w:trPr>
        <w:tc>
          <w:tcPr>
            <w:tcW w:w="5959" w:type="dxa"/>
            <w:gridSpan w:val="2"/>
            <w:vAlign w:val="bottom"/>
          </w:tcPr>
          <w:p w14:paraId="68559F0C" w14:textId="77777777" w:rsidR="00A40EB3" w:rsidRPr="00E26D69" w:rsidRDefault="00A40EB3" w:rsidP="00A40EB3">
            <w:pPr>
              <w:ind w:left="-100"/>
              <w:rPr>
                <w:rFonts w:ascii="Arial" w:hAnsi="Arial" w:cs="Arial"/>
                <w:b/>
                <w:bCs/>
              </w:rPr>
            </w:pPr>
          </w:p>
        </w:tc>
        <w:tc>
          <w:tcPr>
            <w:tcW w:w="1984" w:type="dxa"/>
            <w:tcBorders>
              <w:top w:val="single" w:sz="4" w:space="0" w:color="auto"/>
            </w:tcBorders>
            <w:shd w:val="clear" w:color="auto" w:fill="EAF1DD" w:themeFill="accent3" w:themeFillTint="33"/>
            <w:vAlign w:val="bottom"/>
          </w:tcPr>
          <w:p w14:paraId="37C37EA1" w14:textId="77777777" w:rsidR="00A40EB3" w:rsidRPr="00E26D69" w:rsidRDefault="00A40EB3" w:rsidP="00A40EB3">
            <w:pPr>
              <w:jc w:val="right"/>
              <w:rPr>
                <w:rFonts w:ascii="Arial" w:hAnsi="Arial" w:cs="Arial"/>
                <w:b/>
                <w:bCs/>
              </w:rPr>
            </w:pPr>
          </w:p>
        </w:tc>
        <w:tc>
          <w:tcPr>
            <w:tcW w:w="2027" w:type="dxa"/>
            <w:tcBorders>
              <w:top w:val="single" w:sz="4" w:space="0" w:color="auto"/>
            </w:tcBorders>
            <w:vAlign w:val="bottom"/>
          </w:tcPr>
          <w:p w14:paraId="61DDB636" w14:textId="77777777" w:rsidR="00A40EB3" w:rsidRPr="00E26D69" w:rsidRDefault="00A40EB3" w:rsidP="00A40EB3">
            <w:pPr>
              <w:jc w:val="right"/>
              <w:rPr>
                <w:rFonts w:ascii="Arial" w:hAnsi="Arial" w:cs="Arial"/>
                <w:b/>
                <w:bCs/>
              </w:rPr>
            </w:pPr>
          </w:p>
        </w:tc>
      </w:tr>
      <w:tr w:rsidR="00167866" w:rsidRPr="00E26D69" w14:paraId="300F6A67" w14:textId="77777777" w:rsidTr="000845C9">
        <w:trPr>
          <w:trHeight w:val="369"/>
        </w:trPr>
        <w:tc>
          <w:tcPr>
            <w:tcW w:w="5959" w:type="dxa"/>
            <w:gridSpan w:val="2"/>
            <w:vAlign w:val="bottom"/>
          </w:tcPr>
          <w:p w14:paraId="5F78BB96" w14:textId="77777777" w:rsidR="00A40EB3" w:rsidRPr="00E26D69" w:rsidRDefault="00A40EB3" w:rsidP="00A40EB3">
            <w:pPr>
              <w:ind w:left="-100"/>
              <w:rPr>
                <w:rFonts w:ascii="Arial" w:hAnsi="Arial" w:cs="Arial"/>
              </w:rPr>
            </w:pPr>
            <w:r w:rsidRPr="00E26D69">
              <w:rPr>
                <w:rFonts w:ascii="Arial" w:hAnsi="Arial" w:cs="Arial"/>
                <w:b/>
                <w:bCs/>
              </w:rPr>
              <w:t xml:space="preserve">Total assets less current liabilities </w:t>
            </w:r>
          </w:p>
        </w:tc>
        <w:tc>
          <w:tcPr>
            <w:tcW w:w="1984" w:type="dxa"/>
            <w:tcBorders>
              <w:bottom w:val="single" w:sz="4" w:space="0" w:color="auto"/>
            </w:tcBorders>
            <w:shd w:val="clear" w:color="auto" w:fill="EAF1DD" w:themeFill="accent3" w:themeFillTint="33"/>
            <w:vAlign w:val="bottom"/>
          </w:tcPr>
          <w:p w14:paraId="35C151DE" w14:textId="2EC79C04" w:rsidR="00A40EB3" w:rsidRPr="00E26D69" w:rsidRDefault="00E83D74" w:rsidP="00A40EB3">
            <w:pPr>
              <w:jc w:val="right"/>
              <w:rPr>
                <w:rFonts w:ascii="Arial" w:hAnsi="Arial" w:cs="Arial"/>
                <w:b/>
                <w:bCs/>
              </w:rPr>
            </w:pPr>
            <w:r>
              <w:rPr>
                <w:rFonts w:ascii="Arial" w:hAnsi="Arial" w:cs="Arial"/>
                <w:b/>
                <w:bCs/>
              </w:rPr>
              <w:t>42</w:t>
            </w:r>
            <w:r w:rsidR="00C659F1">
              <w:rPr>
                <w:rFonts w:ascii="Arial" w:hAnsi="Arial" w:cs="Arial"/>
                <w:b/>
                <w:bCs/>
              </w:rPr>
              <w:t>,</w:t>
            </w:r>
            <w:r w:rsidR="007A369D">
              <w:rPr>
                <w:rFonts w:ascii="Arial" w:hAnsi="Arial" w:cs="Arial"/>
                <w:b/>
                <w:bCs/>
              </w:rPr>
              <w:t>32</w:t>
            </w:r>
            <w:r w:rsidR="00405C1D">
              <w:rPr>
                <w:rFonts w:ascii="Arial" w:hAnsi="Arial" w:cs="Arial"/>
                <w:b/>
                <w:bCs/>
              </w:rPr>
              <w:t>8</w:t>
            </w:r>
          </w:p>
        </w:tc>
        <w:tc>
          <w:tcPr>
            <w:tcW w:w="2027" w:type="dxa"/>
            <w:tcBorders>
              <w:bottom w:val="single" w:sz="4" w:space="0" w:color="auto"/>
            </w:tcBorders>
            <w:vAlign w:val="bottom"/>
          </w:tcPr>
          <w:p w14:paraId="546E8C76" w14:textId="241AFD62" w:rsidR="00A40EB3" w:rsidRPr="00E26D69" w:rsidRDefault="00A40EB3" w:rsidP="00A40EB3">
            <w:pPr>
              <w:jc w:val="right"/>
              <w:rPr>
                <w:rFonts w:ascii="Arial" w:hAnsi="Arial" w:cs="Arial"/>
                <w:b/>
                <w:bCs/>
              </w:rPr>
            </w:pPr>
            <w:r w:rsidRPr="00E26D69">
              <w:rPr>
                <w:rFonts w:ascii="Arial" w:hAnsi="Arial" w:cs="Arial"/>
                <w:b/>
                <w:bCs/>
              </w:rPr>
              <w:t>32,</w:t>
            </w:r>
            <w:r w:rsidR="000921DE">
              <w:rPr>
                <w:rFonts w:ascii="Arial" w:hAnsi="Arial" w:cs="Arial"/>
                <w:b/>
                <w:bCs/>
              </w:rPr>
              <w:t>870</w:t>
            </w:r>
          </w:p>
        </w:tc>
      </w:tr>
      <w:tr w:rsidR="00EF6BF1" w:rsidRPr="00E26D69" w14:paraId="0FF2F977" w14:textId="77777777" w:rsidTr="000845C9">
        <w:trPr>
          <w:trHeight w:val="283"/>
        </w:trPr>
        <w:tc>
          <w:tcPr>
            <w:tcW w:w="4967" w:type="dxa"/>
            <w:vAlign w:val="bottom"/>
          </w:tcPr>
          <w:p w14:paraId="5A71BB98" w14:textId="77777777" w:rsidR="00A40EB3" w:rsidRPr="00E26D69" w:rsidRDefault="00A40EB3" w:rsidP="00A40EB3">
            <w:pPr>
              <w:ind w:left="-100"/>
              <w:rPr>
                <w:rFonts w:ascii="Arial" w:hAnsi="Arial" w:cs="Arial"/>
                <w:b/>
                <w:bCs/>
              </w:rPr>
            </w:pPr>
          </w:p>
        </w:tc>
        <w:tc>
          <w:tcPr>
            <w:tcW w:w="992" w:type="dxa"/>
            <w:vAlign w:val="bottom"/>
          </w:tcPr>
          <w:p w14:paraId="5836AFAD" w14:textId="77777777" w:rsidR="00A40EB3" w:rsidRPr="00E26D69" w:rsidRDefault="00A40EB3" w:rsidP="00A40EB3">
            <w:pPr>
              <w:jc w:val="center"/>
              <w:rPr>
                <w:rFonts w:ascii="Arial" w:hAnsi="Arial" w:cs="Arial"/>
              </w:rPr>
            </w:pPr>
          </w:p>
        </w:tc>
        <w:tc>
          <w:tcPr>
            <w:tcW w:w="1984" w:type="dxa"/>
            <w:tcBorders>
              <w:top w:val="single" w:sz="4" w:space="0" w:color="auto"/>
            </w:tcBorders>
            <w:shd w:val="clear" w:color="auto" w:fill="EAF1DD" w:themeFill="accent3" w:themeFillTint="33"/>
            <w:vAlign w:val="bottom"/>
          </w:tcPr>
          <w:p w14:paraId="44FE6A8C" w14:textId="77777777" w:rsidR="00A40EB3" w:rsidRPr="00E26D69" w:rsidRDefault="00A40EB3" w:rsidP="00A40EB3">
            <w:pPr>
              <w:jc w:val="right"/>
              <w:rPr>
                <w:rFonts w:ascii="Arial" w:hAnsi="Arial" w:cs="Arial"/>
              </w:rPr>
            </w:pPr>
          </w:p>
        </w:tc>
        <w:tc>
          <w:tcPr>
            <w:tcW w:w="2027" w:type="dxa"/>
            <w:tcBorders>
              <w:top w:val="single" w:sz="4" w:space="0" w:color="auto"/>
            </w:tcBorders>
            <w:vAlign w:val="bottom"/>
          </w:tcPr>
          <w:p w14:paraId="6F4A4982" w14:textId="77777777" w:rsidR="00A40EB3" w:rsidRPr="00E26D69" w:rsidRDefault="00A40EB3" w:rsidP="00A40EB3">
            <w:pPr>
              <w:jc w:val="right"/>
              <w:rPr>
                <w:rFonts w:ascii="Arial" w:hAnsi="Arial" w:cs="Arial"/>
              </w:rPr>
            </w:pPr>
          </w:p>
        </w:tc>
      </w:tr>
      <w:tr w:rsidR="00167866" w:rsidRPr="00E26D69" w14:paraId="6B10570F" w14:textId="77777777" w:rsidTr="000845C9">
        <w:trPr>
          <w:trHeight w:val="369"/>
        </w:trPr>
        <w:tc>
          <w:tcPr>
            <w:tcW w:w="4967" w:type="dxa"/>
            <w:vAlign w:val="bottom"/>
          </w:tcPr>
          <w:p w14:paraId="7758F9CF" w14:textId="77777777" w:rsidR="00A40EB3" w:rsidRPr="00E26D69" w:rsidRDefault="00A40EB3" w:rsidP="00A40EB3">
            <w:pPr>
              <w:ind w:left="-100"/>
              <w:rPr>
                <w:rFonts w:ascii="Arial" w:hAnsi="Arial" w:cs="Arial"/>
                <w:b/>
                <w:bCs/>
              </w:rPr>
            </w:pPr>
            <w:r w:rsidRPr="00E26D69">
              <w:rPr>
                <w:rFonts w:ascii="Arial" w:hAnsi="Arial" w:cs="Arial"/>
                <w:b/>
                <w:bCs/>
              </w:rPr>
              <w:t xml:space="preserve">Non-current liabilities </w:t>
            </w:r>
          </w:p>
        </w:tc>
        <w:tc>
          <w:tcPr>
            <w:tcW w:w="992" w:type="dxa"/>
            <w:vAlign w:val="bottom"/>
          </w:tcPr>
          <w:p w14:paraId="2B746127" w14:textId="77777777" w:rsidR="00A40EB3" w:rsidRPr="00E26D69" w:rsidRDefault="00A40EB3" w:rsidP="00A40EB3">
            <w:pPr>
              <w:jc w:val="center"/>
              <w:rPr>
                <w:rFonts w:ascii="Arial" w:hAnsi="Arial" w:cs="Arial"/>
              </w:rPr>
            </w:pPr>
          </w:p>
        </w:tc>
        <w:tc>
          <w:tcPr>
            <w:tcW w:w="1984" w:type="dxa"/>
            <w:shd w:val="clear" w:color="auto" w:fill="EAF1DD" w:themeFill="accent3" w:themeFillTint="33"/>
            <w:vAlign w:val="bottom"/>
          </w:tcPr>
          <w:p w14:paraId="2ABFDED3" w14:textId="77777777" w:rsidR="00A40EB3" w:rsidRPr="00E26D69" w:rsidRDefault="00A40EB3" w:rsidP="00A40EB3">
            <w:pPr>
              <w:jc w:val="right"/>
              <w:rPr>
                <w:rFonts w:ascii="Arial" w:hAnsi="Arial" w:cs="Arial"/>
              </w:rPr>
            </w:pPr>
          </w:p>
        </w:tc>
        <w:tc>
          <w:tcPr>
            <w:tcW w:w="2027" w:type="dxa"/>
            <w:vAlign w:val="bottom"/>
          </w:tcPr>
          <w:p w14:paraId="1DD40D56" w14:textId="77777777" w:rsidR="00A40EB3" w:rsidRPr="00E26D69" w:rsidRDefault="00A40EB3" w:rsidP="00A40EB3">
            <w:pPr>
              <w:jc w:val="right"/>
              <w:rPr>
                <w:rFonts w:ascii="Arial" w:hAnsi="Arial" w:cs="Arial"/>
              </w:rPr>
            </w:pPr>
          </w:p>
        </w:tc>
      </w:tr>
      <w:tr w:rsidR="00167866" w:rsidRPr="00E26D69" w14:paraId="027CE913" w14:textId="77777777" w:rsidTr="000845C9">
        <w:trPr>
          <w:trHeight w:val="369"/>
        </w:trPr>
        <w:tc>
          <w:tcPr>
            <w:tcW w:w="4967" w:type="dxa"/>
            <w:vAlign w:val="bottom"/>
          </w:tcPr>
          <w:p w14:paraId="6CE8CAD7" w14:textId="77777777" w:rsidR="00A40EB3" w:rsidRPr="00E26D69" w:rsidRDefault="00A40EB3" w:rsidP="00A40EB3">
            <w:pPr>
              <w:ind w:left="-100"/>
              <w:rPr>
                <w:rFonts w:ascii="Arial" w:hAnsi="Arial" w:cs="Arial"/>
              </w:rPr>
            </w:pPr>
            <w:r w:rsidRPr="00E26D69">
              <w:rPr>
                <w:rFonts w:ascii="Arial" w:hAnsi="Arial" w:cs="Arial"/>
              </w:rPr>
              <w:t>Provisions for liabilities and charges &gt;1 year</w:t>
            </w:r>
          </w:p>
        </w:tc>
        <w:tc>
          <w:tcPr>
            <w:tcW w:w="992" w:type="dxa"/>
            <w:vAlign w:val="bottom"/>
          </w:tcPr>
          <w:p w14:paraId="39BA85A1" w14:textId="2E98EA66" w:rsidR="00A40EB3" w:rsidRPr="00A63C57" w:rsidRDefault="00A40EB3" w:rsidP="00A40EB3">
            <w:pPr>
              <w:jc w:val="center"/>
              <w:rPr>
                <w:rFonts w:ascii="Arial" w:hAnsi="Arial" w:cs="Arial"/>
              </w:rPr>
            </w:pPr>
            <w:hyperlink w:anchor="Note13Provisionforliabilitiesandcharges" w:history="1">
              <w:r w:rsidRPr="00FF2FB0">
                <w:rPr>
                  <w:rStyle w:val="Hyperlink"/>
                  <w:rFonts w:ascii="Arial" w:hAnsi="Arial" w:cs="Arial"/>
                </w:rPr>
                <w:t>13</w:t>
              </w:r>
            </w:hyperlink>
          </w:p>
        </w:tc>
        <w:tc>
          <w:tcPr>
            <w:tcW w:w="1984" w:type="dxa"/>
            <w:shd w:val="clear" w:color="auto" w:fill="EAF1DD" w:themeFill="accent3" w:themeFillTint="33"/>
            <w:vAlign w:val="bottom"/>
          </w:tcPr>
          <w:p w14:paraId="43A53E24" w14:textId="3740160E" w:rsidR="00A40EB3" w:rsidRPr="00E26D69" w:rsidRDefault="00C659F1" w:rsidP="00A40EB3">
            <w:pPr>
              <w:jc w:val="right"/>
              <w:rPr>
                <w:rFonts w:ascii="Arial" w:hAnsi="Arial" w:cs="Arial"/>
              </w:rPr>
            </w:pPr>
            <w:r>
              <w:rPr>
                <w:rFonts w:ascii="Arial" w:hAnsi="Arial" w:cs="Arial"/>
              </w:rPr>
              <w:t>(</w:t>
            </w:r>
            <w:r w:rsidR="00822D01">
              <w:rPr>
                <w:rFonts w:ascii="Arial" w:hAnsi="Arial" w:cs="Arial"/>
              </w:rPr>
              <w:t>5</w:t>
            </w:r>
            <w:r>
              <w:rPr>
                <w:rFonts w:ascii="Arial" w:hAnsi="Arial" w:cs="Arial"/>
              </w:rPr>
              <w:t>,</w:t>
            </w:r>
            <w:r w:rsidR="00822D01">
              <w:rPr>
                <w:rFonts w:ascii="Arial" w:hAnsi="Arial" w:cs="Arial"/>
              </w:rPr>
              <w:t>2</w:t>
            </w:r>
            <w:r w:rsidR="00405C1D">
              <w:rPr>
                <w:rFonts w:ascii="Arial" w:hAnsi="Arial" w:cs="Arial"/>
              </w:rPr>
              <w:t>10</w:t>
            </w:r>
            <w:r>
              <w:rPr>
                <w:rFonts w:ascii="Arial" w:hAnsi="Arial" w:cs="Arial"/>
              </w:rPr>
              <w:t>)</w:t>
            </w:r>
          </w:p>
        </w:tc>
        <w:tc>
          <w:tcPr>
            <w:tcW w:w="2027" w:type="dxa"/>
            <w:vAlign w:val="bottom"/>
          </w:tcPr>
          <w:p w14:paraId="354DBDF3" w14:textId="300AAB0A" w:rsidR="00A40EB3" w:rsidRPr="00E26D69" w:rsidRDefault="00A40EB3" w:rsidP="00A40EB3">
            <w:pPr>
              <w:jc w:val="right"/>
              <w:rPr>
                <w:rFonts w:ascii="Arial" w:hAnsi="Arial" w:cs="Arial"/>
              </w:rPr>
            </w:pPr>
            <w:r>
              <w:rPr>
                <w:rFonts w:ascii="Arial" w:hAnsi="Arial" w:cs="Arial"/>
              </w:rPr>
              <w:t>(4,764)</w:t>
            </w:r>
          </w:p>
        </w:tc>
      </w:tr>
      <w:tr w:rsidR="00EF6BF1" w:rsidRPr="00E26D69" w14:paraId="1C9E8014" w14:textId="77777777" w:rsidTr="000845C9">
        <w:trPr>
          <w:trHeight w:val="369"/>
        </w:trPr>
        <w:tc>
          <w:tcPr>
            <w:tcW w:w="4967" w:type="dxa"/>
            <w:vAlign w:val="bottom"/>
          </w:tcPr>
          <w:p w14:paraId="0D06308F" w14:textId="77777777" w:rsidR="00A40EB3" w:rsidRPr="00E26D69" w:rsidRDefault="00A40EB3" w:rsidP="00A40EB3">
            <w:pPr>
              <w:ind w:left="-100"/>
              <w:rPr>
                <w:rFonts w:ascii="Arial" w:hAnsi="Arial" w:cs="Arial"/>
              </w:rPr>
            </w:pPr>
            <w:r w:rsidRPr="00E26D69">
              <w:rPr>
                <w:rFonts w:ascii="Arial" w:hAnsi="Arial" w:cs="Arial"/>
              </w:rPr>
              <w:t>Employee retirement benefits</w:t>
            </w:r>
          </w:p>
        </w:tc>
        <w:tc>
          <w:tcPr>
            <w:tcW w:w="992" w:type="dxa"/>
            <w:vAlign w:val="bottom"/>
          </w:tcPr>
          <w:p w14:paraId="41818956" w14:textId="56052AEE" w:rsidR="00A40EB3" w:rsidRPr="00A63C57" w:rsidRDefault="00A40EB3" w:rsidP="00A40EB3">
            <w:pPr>
              <w:jc w:val="center"/>
              <w:rPr>
                <w:rFonts w:ascii="Arial" w:hAnsi="Arial" w:cs="Arial"/>
              </w:rPr>
            </w:pPr>
            <w:hyperlink w:anchor="Note15IAS19Pensionassetandliabilities" w:history="1">
              <w:r w:rsidRPr="00FF2FB0">
                <w:rPr>
                  <w:rStyle w:val="Hyperlink"/>
                  <w:rFonts w:ascii="Arial" w:hAnsi="Arial" w:cs="Arial"/>
                </w:rPr>
                <w:t>15</w:t>
              </w:r>
            </w:hyperlink>
          </w:p>
        </w:tc>
        <w:tc>
          <w:tcPr>
            <w:tcW w:w="1984" w:type="dxa"/>
            <w:tcBorders>
              <w:bottom w:val="single" w:sz="4" w:space="0" w:color="auto"/>
            </w:tcBorders>
            <w:shd w:val="clear" w:color="auto" w:fill="EAF1DD" w:themeFill="accent3" w:themeFillTint="33"/>
            <w:vAlign w:val="bottom"/>
          </w:tcPr>
          <w:p w14:paraId="217E793C" w14:textId="29FD8C23" w:rsidR="00A40EB3" w:rsidRPr="00E26D69" w:rsidRDefault="00C659F1" w:rsidP="00A40EB3">
            <w:pPr>
              <w:jc w:val="right"/>
              <w:rPr>
                <w:rFonts w:ascii="Arial" w:hAnsi="Arial" w:cs="Arial"/>
              </w:rPr>
            </w:pPr>
            <w:r>
              <w:rPr>
                <w:rFonts w:ascii="Arial" w:hAnsi="Arial" w:cs="Arial"/>
              </w:rPr>
              <w:t>(120,967)</w:t>
            </w:r>
          </w:p>
        </w:tc>
        <w:tc>
          <w:tcPr>
            <w:tcW w:w="2027" w:type="dxa"/>
            <w:tcBorders>
              <w:bottom w:val="single" w:sz="4" w:space="0" w:color="auto"/>
            </w:tcBorders>
            <w:vAlign w:val="bottom"/>
          </w:tcPr>
          <w:p w14:paraId="0BFDA48E" w14:textId="39ACBF5C" w:rsidR="00A40EB3" w:rsidRPr="00E26D69" w:rsidRDefault="00A40EB3" w:rsidP="00A40EB3">
            <w:pPr>
              <w:jc w:val="right"/>
              <w:rPr>
                <w:rFonts w:ascii="Arial" w:hAnsi="Arial" w:cs="Arial"/>
              </w:rPr>
            </w:pPr>
            <w:r>
              <w:rPr>
                <w:rFonts w:ascii="Arial" w:hAnsi="Arial" w:cs="Arial"/>
              </w:rPr>
              <w:t>(189,654)</w:t>
            </w:r>
          </w:p>
        </w:tc>
      </w:tr>
      <w:tr w:rsidR="00EF6BF1" w:rsidRPr="00E26D69" w14:paraId="0A31E188" w14:textId="77777777" w:rsidTr="000845C9">
        <w:trPr>
          <w:trHeight w:val="369"/>
        </w:trPr>
        <w:tc>
          <w:tcPr>
            <w:tcW w:w="4967" w:type="dxa"/>
            <w:vAlign w:val="bottom"/>
          </w:tcPr>
          <w:p w14:paraId="07A4445A" w14:textId="77777777" w:rsidR="00A40EB3" w:rsidRPr="00E26D69" w:rsidRDefault="00A40EB3" w:rsidP="00A40EB3">
            <w:pPr>
              <w:ind w:left="-100"/>
              <w:rPr>
                <w:rFonts w:ascii="Arial" w:hAnsi="Arial" w:cs="Arial"/>
                <w:b/>
                <w:bCs/>
              </w:rPr>
            </w:pPr>
            <w:r w:rsidRPr="00E26D69">
              <w:rPr>
                <w:rFonts w:ascii="Arial" w:hAnsi="Arial" w:cs="Arial"/>
                <w:b/>
                <w:bCs/>
              </w:rPr>
              <w:t xml:space="preserve">Total non-current liabilities </w:t>
            </w:r>
          </w:p>
        </w:tc>
        <w:tc>
          <w:tcPr>
            <w:tcW w:w="992" w:type="dxa"/>
            <w:vAlign w:val="bottom"/>
          </w:tcPr>
          <w:p w14:paraId="43DEF64E" w14:textId="77777777" w:rsidR="00A40EB3" w:rsidRPr="00E26D69" w:rsidRDefault="00A40EB3" w:rsidP="00A40EB3">
            <w:pPr>
              <w:jc w:val="center"/>
              <w:rPr>
                <w:rFonts w:ascii="Arial" w:hAnsi="Arial" w:cs="Arial"/>
                <w:b/>
                <w:bCs/>
              </w:rPr>
            </w:pPr>
          </w:p>
        </w:tc>
        <w:tc>
          <w:tcPr>
            <w:tcW w:w="1984" w:type="dxa"/>
            <w:tcBorders>
              <w:top w:val="single" w:sz="4" w:space="0" w:color="auto"/>
              <w:bottom w:val="single" w:sz="4" w:space="0" w:color="auto"/>
            </w:tcBorders>
            <w:shd w:val="clear" w:color="auto" w:fill="EAF1DD" w:themeFill="accent3" w:themeFillTint="33"/>
            <w:vAlign w:val="bottom"/>
          </w:tcPr>
          <w:p w14:paraId="5B9BDE5C" w14:textId="43E59C96" w:rsidR="00A40EB3" w:rsidRPr="00E26D69" w:rsidRDefault="00C659F1" w:rsidP="00A40EB3">
            <w:pPr>
              <w:jc w:val="right"/>
              <w:rPr>
                <w:rFonts w:ascii="Arial" w:hAnsi="Arial" w:cs="Arial"/>
                <w:b/>
                <w:bCs/>
              </w:rPr>
            </w:pPr>
            <w:r>
              <w:rPr>
                <w:rFonts w:ascii="Arial" w:hAnsi="Arial" w:cs="Arial"/>
                <w:b/>
                <w:bCs/>
              </w:rPr>
              <w:t>(</w:t>
            </w:r>
            <w:r w:rsidR="00822D01">
              <w:rPr>
                <w:rFonts w:ascii="Arial" w:hAnsi="Arial" w:cs="Arial"/>
                <w:b/>
                <w:bCs/>
              </w:rPr>
              <w:t>126</w:t>
            </w:r>
            <w:r>
              <w:rPr>
                <w:rFonts w:ascii="Arial" w:hAnsi="Arial" w:cs="Arial"/>
                <w:b/>
                <w:bCs/>
              </w:rPr>
              <w:t>,</w:t>
            </w:r>
            <w:r w:rsidR="00822D01">
              <w:rPr>
                <w:rFonts w:ascii="Arial" w:hAnsi="Arial" w:cs="Arial"/>
                <w:b/>
                <w:bCs/>
              </w:rPr>
              <w:t>17</w:t>
            </w:r>
            <w:r w:rsidR="00405C1D">
              <w:rPr>
                <w:rFonts w:ascii="Arial" w:hAnsi="Arial" w:cs="Arial"/>
                <w:b/>
                <w:bCs/>
              </w:rPr>
              <w:t>7</w:t>
            </w:r>
            <w:r w:rsidR="00822D01">
              <w:rPr>
                <w:rFonts w:ascii="Arial" w:hAnsi="Arial" w:cs="Arial"/>
                <w:b/>
                <w:bCs/>
              </w:rPr>
              <w:t>)</w:t>
            </w:r>
          </w:p>
        </w:tc>
        <w:tc>
          <w:tcPr>
            <w:tcW w:w="2027" w:type="dxa"/>
            <w:tcBorders>
              <w:top w:val="single" w:sz="4" w:space="0" w:color="auto"/>
              <w:bottom w:val="single" w:sz="4" w:space="0" w:color="auto"/>
            </w:tcBorders>
            <w:vAlign w:val="bottom"/>
          </w:tcPr>
          <w:p w14:paraId="05AE48F7" w14:textId="3A5BCCDC" w:rsidR="00A40EB3" w:rsidRPr="00E26D69" w:rsidRDefault="00A40EB3" w:rsidP="00A40EB3">
            <w:pPr>
              <w:jc w:val="right"/>
              <w:rPr>
                <w:rFonts w:ascii="Arial" w:hAnsi="Arial" w:cs="Arial"/>
                <w:b/>
                <w:bCs/>
              </w:rPr>
            </w:pPr>
            <w:r>
              <w:rPr>
                <w:rFonts w:ascii="Arial" w:hAnsi="Arial" w:cs="Arial"/>
                <w:b/>
                <w:bCs/>
              </w:rPr>
              <w:t>(194,418)</w:t>
            </w:r>
          </w:p>
        </w:tc>
      </w:tr>
      <w:tr w:rsidR="00EF6BF1" w:rsidRPr="00E26D69" w14:paraId="5CDA9F2B" w14:textId="77777777" w:rsidTr="000845C9">
        <w:trPr>
          <w:trHeight w:val="283"/>
        </w:trPr>
        <w:tc>
          <w:tcPr>
            <w:tcW w:w="4967" w:type="dxa"/>
            <w:noWrap/>
            <w:vAlign w:val="bottom"/>
          </w:tcPr>
          <w:p w14:paraId="36A5E1EB" w14:textId="77777777" w:rsidR="00A40EB3" w:rsidRPr="00E26D69" w:rsidRDefault="00A40EB3" w:rsidP="00A40EB3">
            <w:pPr>
              <w:ind w:left="-100"/>
              <w:rPr>
                <w:rFonts w:ascii="Arial" w:hAnsi="Arial" w:cs="Arial"/>
              </w:rPr>
            </w:pPr>
          </w:p>
        </w:tc>
        <w:tc>
          <w:tcPr>
            <w:tcW w:w="992" w:type="dxa"/>
            <w:vAlign w:val="bottom"/>
          </w:tcPr>
          <w:p w14:paraId="14D8C11A" w14:textId="77777777" w:rsidR="00A40EB3" w:rsidRPr="00E26D69" w:rsidRDefault="00A40EB3" w:rsidP="00A40EB3">
            <w:pPr>
              <w:jc w:val="center"/>
              <w:rPr>
                <w:rFonts w:ascii="Arial" w:hAnsi="Arial" w:cs="Arial"/>
              </w:rPr>
            </w:pPr>
          </w:p>
        </w:tc>
        <w:tc>
          <w:tcPr>
            <w:tcW w:w="1984" w:type="dxa"/>
            <w:tcBorders>
              <w:top w:val="single" w:sz="4" w:space="0" w:color="auto"/>
            </w:tcBorders>
            <w:shd w:val="clear" w:color="auto" w:fill="EAF1DD" w:themeFill="accent3" w:themeFillTint="33"/>
            <w:vAlign w:val="bottom"/>
          </w:tcPr>
          <w:p w14:paraId="5A74B5EB" w14:textId="77777777" w:rsidR="00A40EB3" w:rsidRPr="00E26D69" w:rsidRDefault="00A40EB3" w:rsidP="00A40EB3">
            <w:pPr>
              <w:jc w:val="right"/>
              <w:rPr>
                <w:rFonts w:ascii="Arial" w:hAnsi="Arial" w:cs="Arial"/>
              </w:rPr>
            </w:pPr>
          </w:p>
        </w:tc>
        <w:tc>
          <w:tcPr>
            <w:tcW w:w="2027" w:type="dxa"/>
            <w:tcBorders>
              <w:top w:val="single" w:sz="4" w:space="0" w:color="auto"/>
            </w:tcBorders>
            <w:vAlign w:val="bottom"/>
          </w:tcPr>
          <w:p w14:paraId="4A73F068" w14:textId="77777777" w:rsidR="00A40EB3" w:rsidRPr="00E26D69" w:rsidRDefault="00A40EB3" w:rsidP="00A40EB3">
            <w:pPr>
              <w:jc w:val="right"/>
              <w:rPr>
                <w:rFonts w:ascii="Arial" w:hAnsi="Arial" w:cs="Arial"/>
              </w:rPr>
            </w:pPr>
          </w:p>
        </w:tc>
      </w:tr>
      <w:tr w:rsidR="00EF6BF1" w:rsidRPr="00E26D69" w14:paraId="0BA6EDC5" w14:textId="77777777" w:rsidTr="000845C9">
        <w:trPr>
          <w:trHeight w:val="369"/>
        </w:trPr>
        <w:tc>
          <w:tcPr>
            <w:tcW w:w="4967" w:type="dxa"/>
            <w:vAlign w:val="bottom"/>
          </w:tcPr>
          <w:p w14:paraId="4A192936" w14:textId="77777777" w:rsidR="00A40EB3" w:rsidRPr="00E26D69" w:rsidRDefault="00A40EB3" w:rsidP="00A40EB3">
            <w:pPr>
              <w:ind w:left="-100"/>
              <w:rPr>
                <w:rFonts w:ascii="Arial" w:hAnsi="Arial" w:cs="Arial"/>
                <w:b/>
                <w:bCs/>
              </w:rPr>
            </w:pPr>
            <w:r w:rsidRPr="00E26D69">
              <w:rPr>
                <w:rFonts w:ascii="Arial" w:hAnsi="Arial" w:cs="Arial"/>
                <w:b/>
                <w:bCs/>
              </w:rPr>
              <w:t>Total assets less total liabilities</w:t>
            </w:r>
          </w:p>
        </w:tc>
        <w:tc>
          <w:tcPr>
            <w:tcW w:w="992" w:type="dxa"/>
            <w:vAlign w:val="bottom"/>
          </w:tcPr>
          <w:p w14:paraId="424EC85F" w14:textId="77777777" w:rsidR="00A40EB3" w:rsidRPr="00E26D69" w:rsidRDefault="00A40EB3" w:rsidP="00A40EB3">
            <w:pPr>
              <w:jc w:val="center"/>
              <w:rPr>
                <w:rFonts w:ascii="Arial" w:hAnsi="Arial" w:cs="Arial"/>
                <w:b/>
                <w:bCs/>
              </w:rPr>
            </w:pPr>
          </w:p>
        </w:tc>
        <w:tc>
          <w:tcPr>
            <w:tcW w:w="1984" w:type="dxa"/>
            <w:tcBorders>
              <w:bottom w:val="double" w:sz="4" w:space="0" w:color="auto"/>
            </w:tcBorders>
            <w:shd w:val="clear" w:color="auto" w:fill="EAF1DD" w:themeFill="accent3" w:themeFillTint="33"/>
            <w:vAlign w:val="bottom"/>
          </w:tcPr>
          <w:p w14:paraId="6369B07D" w14:textId="282D9AEC" w:rsidR="00A40EB3" w:rsidRPr="00E26D69" w:rsidRDefault="00C659F1" w:rsidP="00A40EB3">
            <w:pPr>
              <w:jc w:val="right"/>
              <w:rPr>
                <w:rFonts w:ascii="Arial" w:hAnsi="Arial" w:cs="Arial"/>
                <w:b/>
                <w:bCs/>
              </w:rPr>
            </w:pPr>
            <w:r>
              <w:rPr>
                <w:rFonts w:ascii="Arial" w:hAnsi="Arial" w:cs="Arial"/>
                <w:b/>
                <w:bCs/>
              </w:rPr>
              <w:t>(8</w:t>
            </w:r>
            <w:r w:rsidR="00E83D74">
              <w:rPr>
                <w:rFonts w:ascii="Arial" w:hAnsi="Arial" w:cs="Arial"/>
                <w:b/>
                <w:bCs/>
              </w:rPr>
              <w:t>3</w:t>
            </w:r>
            <w:r>
              <w:rPr>
                <w:rFonts w:ascii="Arial" w:hAnsi="Arial" w:cs="Arial"/>
                <w:b/>
                <w:bCs/>
              </w:rPr>
              <w:t>,</w:t>
            </w:r>
            <w:r w:rsidR="00E83D74">
              <w:rPr>
                <w:rFonts w:ascii="Arial" w:hAnsi="Arial" w:cs="Arial"/>
                <w:b/>
                <w:bCs/>
              </w:rPr>
              <w:t>8</w:t>
            </w:r>
            <w:r w:rsidR="00405C1D">
              <w:rPr>
                <w:rFonts w:ascii="Arial" w:hAnsi="Arial" w:cs="Arial"/>
                <w:b/>
                <w:bCs/>
              </w:rPr>
              <w:t>49</w:t>
            </w:r>
            <w:r>
              <w:rPr>
                <w:rFonts w:ascii="Arial" w:hAnsi="Arial" w:cs="Arial"/>
                <w:b/>
                <w:bCs/>
              </w:rPr>
              <w:t>)</w:t>
            </w:r>
          </w:p>
        </w:tc>
        <w:tc>
          <w:tcPr>
            <w:tcW w:w="2027" w:type="dxa"/>
            <w:tcBorders>
              <w:bottom w:val="double" w:sz="4" w:space="0" w:color="auto"/>
            </w:tcBorders>
            <w:vAlign w:val="bottom"/>
          </w:tcPr>
          <w:p w14:paraId="68A48C4A" w14:textId="0FC9CE73" w:rsidR="00A40EB3" w:rsidRPr="00E26D69" w:rsidRDefault="00A40EB3" w:rsidP="00A40EB3">
            <w:pPr>
              <w:jc w:val="right"/>
              <w:rPr>
                <w:rFonts w:ascii="Arial" w:hAnsi="Arial" w:cs="Arial"/>
                <w:b/>
                <w:bCs/>
              </w:rPr>
            </w:pPr>
            <w:r>
              <w:rPr>
                <w:rFonts w:ascii="Arial" w:hAnsi="Arial" w:cs="Arial"/>
                <w:b/>
                <w:bCs/>
              </w:rPr>
              <w:t>(161,548)</w:t>
            </w:r>
          </w:p>
        </w:tc>
      </w:tr>
      <w:tr w:rsidR="00EF6BF1" w:rsidRPr="00E26D69" w14:paraId="1ED8D232" w14:textId="77777777" w:rsidTr="000845C9">
        <w:trPr>
          <w:trHeight w:val="283"/>
        </w:trPr>
        <w:tc>
          <w:tcPr>
            <w:tcW w:w="4967" w:type="dxa"/>
            <w:vAlign w:val="bottom"/>
          </w:tcPr>
          <w:p w14:paraId="72F2E6FA" w14:textId="77777777" w:rsidR="00A40EB3" w:rsidRPr="00E26D69" w:rsidRDefault="00A40EB3" w:rsidP="00A40EB3">
            <w:pPr>
              <w:ind w:left="-100"/>
              <w:rPr>
                <w:rFonts w:ascii="Arial" w:hAnsi="Arial" w:cs="Arial"/>
                <w:b/>
                <w:bCs/>
              </w:rPr>
            </w:pPr>
          </w:p>
        </w:tc>
        <w:tc>
          <w:tcPr>
            <w:tcW w:w="992" w:type="dxa"/>
            <w:vAlign w:val="bottom"/>
          </w:tcPr>
          <w:p w14:paraId="6B9401CD" w14:textId="77777777" w:rsidR="00A40EB3" w:rsidRPr="00E26D69" w:rsidRDefault="00A40EB3" w:rsidP="00A40EB3">
            <w:pPr>
              <w:jc w:val="center"/>
              <w:rPr>
                <w:rFonts w:ascii="Arial" w:hAnsi="Arial" w:cs="Arial"/>
              </w:rPr>
            </w:pPr>
          </w:p>
        </w:tc>
        <w:tc>
          <w:tcPr>
            <w:tcW w:w="1984" w:type="dxa"/>
            <w:tcBorders>
              <w:top w:val="double" w:sz="4" w:space="0" w:color="auto"/>
            </w:tcBorders>
            <w:shd w:val="clear" w:color="auto" w:fill="EAF1DD" w:themeFill="accent3" w:themeFillTint="33"/>
            <w:vAlign w:val="bottom"/>
          </w:tcPr>
          <w:p w14:paraId="2816057E" w14:textId="77777777" w:rsidR="00A40EB3" w:rsidRPr="00E26D69" w:rsidRDefault="00A40EB3" w:rsidP="00A40EB3">
            <w:pPr>
              <w:jc w:val="right"/>
              <w:rPr>
                <w:rFonts w:ascii="Arial" w:hAnsi="Arial" w:cs="Arial"/>
              </w:rPr>
            </w:pPr>
          </w:p>
        </w:tc>
        <w:tc>
          <w:tcPr>
            <w:tcW w:w="2027" w:type="dxa"/>
            <w:tcBorders>
              <w:top w:val="double" w:sz="4" w:space="0" w:color="auto"/>
            </w:tcBorders>
            <w:vAlign w:val="bottom"/>
          </w:tcPr>
          <w:p w14:paraId="6FDD7B87" w14:textId="77777777" w:rsidR="00A40EB3" w:rsidRPr="00E26D69" w:rsidRDefault="00A40EB3" w:rsidP="00A40EB3">
            <w:pPr>
              <w:jc w:val="right"/>
              <w:rPr>
                <w:rFonts w:ascii="Arial" w:hAnsi="Arial" w:cs="Arial"/>
              </w:rPr>
            </w:pPr>
          </w:p>
        </w:tc>
      </w:tr>
      <w:tr w:rsidR="00167866" w:rsidRPr="00E26D69" w14:paraId="7C0979F5" w14:textId="77777777" w:rsidTr="000845C9">
        <w:trPr>
          <w:trHeight w:val="369"/>
        </w:trPr>
        <w:tc>
          <w:tcPr>
            <w:tcW w:w="4967" w:type="dxa"/>
            <w:vAlign w:val="bottom"/>
          </w:tcPr>
          <w:p w14:paraId="1DFC4DD9" w14:textId="231070A5" w:rsidR="00A40EB3" w:rsidRPr="00E26D69" w:rsidRDefault="00A40EB3" w:rsidP="00A40EB3">
            <w:pPr>
              <w:ind w:left="-100"/>
              <w:rPr>
                <w:rFonts w:ascii="Arial" w:hAnsi="Arial" w:cs="Arial"/>
                <w:b/>
                <w:bCs/>
              </w:rPr>
            </w:pPr>
            <w:r w:rsidRPr="00E26D69">
              <w:rPr>
                <w:rFonts w:ascii="Arial" w:hAnsi="Arial" w:cs="Arial"/>
                <w:b/>
                <w:bCs/>
              </w:rPr>
              <w:t>Taxpayers</w:t>
            </w:r>
            <w:r>
              <w:rPr>
                <w:rFonts w:ascii="Arial" w:hAnsi="Arial" w:cs="Arial"/>
                <w:b/>
                <w:bCs/>
              </w:rPr>
              <w:t>’</w:t>
            </w:r>
            <w:r w:rsidRPr="00E26D69">
              <w:rPr>
                <w:rFonts w:ascii="Arial" w:hAnsi="Arial" w:cs="Arial"/>
                <w:b/>
                <w:bCs/>
              </w:rPr>
              <w:t xml:space="preserve"> equity </w:t>
            </w:r>
          </w:p>
        </w:tc>
        <w:tc>
          <w:tcPr>
            <w:tcW w:w="992" w:type="dxa"/>
            <w:vAlign w:val="bottom"/>
          </w:tcPr>
          <w:p w14:paraId="734348E8" w14:textId="77777777" w:rsidR="00A40EB3" w:rsidRPr="00E26D69" w:rsidRDefault="00A40EB3" w:rsidP="00A40EB3">
            <w:pPr>
              <w:jc w:val="center"/>
              <w:rPr>
                <w:rFonts w:ascii="Arial" w:hAnsi="Arial" w:cs="Arial"/>
              </w:rPr>
            </w:pPr>
          </w:p>
        </w:tc>
        <w:tc>
          <w:tcPr>
            <w:tcW w:w="1984" w:type="dxa"/>
            <w:shd w:val="clear" w:color="auto" w:fill="EAF1DD" w:themeFill="accent3" w:themeFillTint="33"/>
            <w:vAlign w:val="bottom"/>
          </w:tcPr>
          <w:p w14:paraId="7750ECA1" w14:textId="77777777" w:rsidR="00A40EB3" w:rsidRPr="00E26D69" w:rsidRDefault="00A40EB3" w:rsidP="00A40EB3">
            <w:pPr>
              <w:jc w:val="right"/>
              <w:rPr>
                <w:rFonts w:ascii="Arial" w:hAnsi="Arial" w:cs="Arial"/>
              </w:rPr>
            </w:pPr>
          </w:p>
        </w:tc>
        <w:tc>
          <w:tcPr>
            <w:tcW w:w="2027" w:type="dxa"/>
            <w:vAlign w:val="bottom"/>
          </w:tcPr>
          <w:p w14:paraId="7692E288" w14:textId="77777777" w:rsidR="00A40EB3" w:rsidRPr="00E26D69" w:rsidRDefault="00A40EB3" w:rsidP="00A40EB3">
            <w:pPr>
              <w:jc w:val="right"/>
              <w:rPr>
                <w:rFonts w:ascii="Arial" w:hAnsi="Arial" w:cs="Arial"/>
              </w:rPr>
            </w:pPr>
          </w:p>
        </w:tc>
      </w:tr>
      <w:tr w:rsidR="00167866" w:rsidRPr="00E26D69" w14:paraId="1A155C10" w14:textId="77777777" w:rsidTr="000845C9">
        <w:trPr>
          <w:trHeight w:val="369"/>
        </w:trPr>
        <w:tc>
          <w:tcPr>
            <w:tcW w:w="4967" w:type="dxa"/>
            <w:vAlign w:val="bottom"/>
          </w:tcPr>
          <w:p w14:paraId="1298A444" w14:textId="77777777" w:rsidR="00A40EB3" w:rsidRPr="00E26D69" w:rsidRDefault="00A40EB3" w:rsidP="00A40EB3">
            <w:pPr>
              <w:ind w:left="-100"/>
              <w:rPr>
                <w:rFonts w:ascii="Arial" w:hAnsi="Arial" w:cs="Arial"/>
              </w:rPr>
            </w:pPr>
            <w:r w:rsidRPr="00E26D69">
              <w:rPr>
                <w:rFonts w:ascii="Arial" w:hAnsi="Arial" w:cs="Arial"/>
              </w:rPr>
              <w:t>Comprehensive net expenditure reserve</w:t>
            </w:r>
          </w:p>
        </w:tc>
        <w:tc>
          <w:tcPr>
            <w:tcW w:w="992" w:type="dxa"/>
            <w:vAlign w:val="bottom"/>
          </w:tcPr>
          <w:p w14:paraId="04E28CB7" w14:textId="77777777" w:rsidR="00A40EB3" w:rsidRPr="00E26D69" w:rsidRDefault="00A40EB3" w:rsidP="00A40EB3">
            <w:pPr>
              <w:jc w:val="center"/>
              <w:rPr>
                <w:rFonts w:ascii="Arial" w:hAnsi="Arial" w:cs="Arial"/>
              </w:rPr>
            </w:pPr>
          </w:p>
        </w:tc>
        <w:tc>
          <w:tcPr>
            <w:tcW w:w="1984" w:type="dxa"/>
            <w:shd w:val="clear" w:color="auto" w:fill="EAF1DD" w:themeFill="accent3" w:themeFillTint="33"/>
            <w:vAlign w:val="bottom"/>
          </w:tcPr>
          <w:p w14:paraId="023CEAF4" w14:textId="4064DD2B" w:rsidR="00A40EB3" w:rsidRPr="00E26D69" w:rsidRDefault="001231E3" w:rsidP="00A40EB3">
            <w:pPr>
              <w:jc w:val="right"/>
              <w:rPr>
                <w:rFonts w:ascii="Arial" w:hAnsi="Arial" w:cs="Arial"/>
              </w:rPr>
            </w:pPr>
            <w:r>
              <w:rPr>
                <w:rFonts w:ascii="Arial" w:hAnsi="Arial" w:cs="Arial"/>
              </w:rPr>
              <w:t>(104,</w:t>
            </w:r>
            <w:r w:rsidR="00C9352E">
              <w:rPr>
                <w:rFonts w:ascii="Arial" w:hAnsi="Arial" w:cs="Arial"/>
              </w:rPr>
              <w:t>47</w:t>
            </w:r>
            <w:r w:rsidR="00405C1D">
              <w:rPr>
                <w:rFonts w:ascii="Arial" w:hAnsi="Arial" w:cs="Arial"/>
              </w:rPr>
              <w:t>3</w:t>
            </w:r>
            <w:r>
              <w:rPr>
                <w:rFonts w:ascii="Arial" w:hAnsi="Arial" w:cs="Arial"/>
              </w:rPr>
              <w:t>)</w:t>
            </w:r>
          </w:p>
        </w:tc>
        <w:tc>
          <w:tcPr>
            <w:tcW w:w="2027" w:type="dxa"/>
            <w:vAlign w:val="bottom"/>
          </w:tcPr>
          <w:p w14:paraId="760E3508" w14:textId="7EBEF4D4" w:rsidR="00A40EB3" w:rsidRPr="00E26D69" w:rsidRDefault="00A40EB3" w:rsidP="00A40EB3">
            <w:pPr>
              <w:jc w:val="right"/>
              <w:rPr>
                <w:rFonts w:ascii="Arial" w:hAnsi="Arial" w:cs="Arial"/>
              </w:rPr>
            </w:pPr>
            <w:r>
              <w:rPr>
                <w:rFonts w:ascii="Arial" w:hAnsi="Arial" w:cs="Arial"/>
              </w:rPr>
              <w:t>(178,036)</w:t>
            </w:r>
          </w:p>
        </w:tc>
      </w:tr>
      <w:tr w:rsidR="00EF6BF1" w:rsidRPr="00E26D69" w14:paraId="7CCE3B9B" w14:textId="77777777" w:rsidTr="000845C9">
        <w:trPr>
          <w:trHeight w:val="369"/>
        </w:trPr>
        <w:tc>
          <w:tcPr>
            <w:tcW w:w="4967" w:type="dxa"/>
            <w:vAlign w:val="bottom"/>
          </w:tcPr>
          <w:p w14:paraId="4079886F" w14:textId="77777777" w:rsidR="00A40EB3" w:rsidRPr="00E26D69" w:rsidRDefault="00A40EB3" w:rsidP="00A40EB3">
            <w:pPr>
              <w:ind w:left="-100"/>
              <w:rPr>
                <w:rFonts w:ascii="Arial" w:hAnsi="Arial" w:cs="Arial"/>
              </w:rPr>
            </w:pPr>
            <w:r w:rsidRPr="00E26D69">
              <w:rPr>
                <w:rFonts w:ascii="Arial" w:hAnsi="Arial" w:cs="Arial"/>
              </w:rPr>
              <w:t>Revaluation reserve</w:t>
            </w:r>
          </w:p>
        </w:tc>
        <w:tc>
          <w:tcPr>
            <w:tcW w:w="992" w:type="dxa"/>
            <w:vAlign w:val="bottom"/>
          </w:tcPr>
          <w:p w14:paraId="1173F420" w14:textId="77777777" w:rsidR="00A40EB3" w:rsidRPr="00E26D69" w:rsidRDefault="00A40EB3" w:rsidP="00A40EB3">
            <w:pPr>
              <w:jc w:val="center"/>
              <w:rPr>
                <w:rFonts w:ascii="Arial" w:hAnsi="Arial" w:cs="Arial"/>
              </w:rPr>
            </w:pPr>
          </w:p>
        </w:tc>
        <w:tc>
          <w:tcPr>
            <w:tcW w:w="1984" w:type="dxa"/>
            <w:tcBorders>
              <w:bottom w:val="single" w:sz="4" w:space="0" w:color="auto"/>
            </w:tcBorders>
            <w:shd w:val="clear" w:color="auto" w:fill="EAF1DD" w:themeFill="accent3" w:themeFillTint="33"/>
            <w:vAlign w:val="bottom"/>
          </w:tcPr>
          <w:p w14:paraId="28693563" w14:textId="1B6803EF" w:rsidR="00A40EB3" w:rsidRPr="00E26D69" w:rsidRDefault="00C9352E" w:rsidP="00A40EB3">
            <w:pPr>
              <w:jc w:val="right"/>
              <w:rPr>
                <w:rFonts w:ascii="Arial" w:hAnsi="Arial" w:cs="Arial"/>
              </w:rPr>
            </w:pPr>
            <w:r>
              <w:rPr>
                <w:rFonts w:ascii="Arial" w:hAnsi="Arial" w:cs="Arial"/>
              </w:rPr>
              <w:t>20</w:t>
            </w:r>
            <w:r w:rsidR="001231E3">
              <w:rPr>
                <w:rFonts w:ascii="Arial" w:hAnsi="Arial" w:cs="Arial"/>
              </w:rPr>
              <w:t>,</w:t>
            </w:r>
            <w:r>
              <w:rPr>
                <w:rFonts w:ascii="Arial" w:hAnsi="Arial" w:cs="Arial"/>
              </w:rPr>
              <w:t>624</w:t>
            </w:r>
          </w:p>
        </w:tc>
        <w:tc>
          <w:tcPr>
            <w:tcW w:w="2027" w:type="dxa"/>
            <w:tcBorders>
              <w:bottom w:val="single" w:sz="4" w:space="0" w:color="auto"/>
            </w:tcBorders>
            <w:vAlign w:val="bottom"/>
          </w:tcPr>
          <w:p w14:paraId="6731CE8F" w14:textId="290D2213" w:rsidR="00A40EB3" w:rsidRPr="00E26D69" w:rsidRDefault="00A40EB3" w:rsidP="00A40EB3">
            <w:pPr>
              <w:jc w:val="right"/>
              <w:rPr>
                <w:rFonts w:ascii="Arial" w:hAnsi="Arial" w:cs="Arial"/>
              </w:rPr>
            </w:pPr>
            <w:r>
              <w:rPr>
                <w:rFonts w:ascii="Arial" w:hAnsi="Arial" w:cs="Arial"/>
              </w:rPr>
              <w:t>16,488</w:t>
            </w:r>
          </w:p>
        </w:tc>
      </w:tr>
      <w:tr w:rsidR="00722032" w:rsidRPr="00E26D69" w14:paraId="5E55E5D9" w14:textId="77777777" w:rsidTr="000845C9">
        <w:trPr>
          <w:trHeight w:val="369"/>
        </w:trPr>
        <w:tc>
          <w:tcPr>
            <w:tcW w:w="4967" w:type="dxa"/>
            <w:vAlign w:val="bottom"/>
          </w:tcPr>
          <w:p w14:paraId="0ED1AC96" w14:textId="4EBEC11C" w:rsidR="00A40EB3" w:rsidRPr="00E26D69" w:rsidRDefault="00A40EB3" w:rsidP="00A40EB3">
            <w:pPr>
              <w:ind w:left="-100"/>
              <w:rPr>
                <w:rFonts w:ascii="Arial" w:hAnsi="Arial" w:cs="Arial"/>
                <w:b/>
                <w:bCs/>
              </w:rPr>
            </w:pPr>
            <w:r w:rsidRPr="00E26D69">
              <w:rPr>
                <w:rFonts w:ascii="Arial" w:hAnsi="Arial" w:cs="Arial"/>
                <w:b/>
                <w:bCs/>
              </w:rPr>
              <w:t>Total taxpayers</w:t>
            </w:r>
            <w:r>
              <w:rPr>
                <w:rFonts w:ascii="Arial" w:hAnsi="Arial" w:cs="Arial"/>
                <w:b/>
                <w:bCs/>
              </w:rPr>
              <w:t>’</w:t>
            </w:r>
            <w:r w:rsidRPr="00E26D69">
              <w:rPr>
                <w:rFonts w:ascii="Arial" w:hAnsi="Arial" w:cs="Arial"/>
                <w:b/>
                <w:bCs/>
              </w:rPr>
              <w:t xml:space="preserve"> equity</w:t>
            </w:r>
          </w:p>
        </w:tc>
        <w:tc>
          <w:tcPr>
            <w:tcW w:w="992" w:type="dxa"/>
            <w:vAlign w:val="bottom"/>
          </w:tcPr>
          <w:p w14:paraId="1CD6B2F6" w14:textId="77777777" w:rsidR="00A40EB3" w:rsidRPr="00E26D69" w:rsidRDefault="00A40EB3" w:rsidP="00A40EB3">
            <w:pPr>
              <w:jc w:val="center"/>
              <w:rPr>
                <w:rFonts w:ascii="Arial" w:hAnsi="Arial" w:cs="Arial"/>
                <w:b/>
                <w:bCs/>
                <w:highlight w:val="cyan"/>
              </w:rPr>
            </w:pPr>
          </w:p>
        </w:tc>
        <w:tc>
          <w:tcPr>
            <w:tcW w:w="1984" w:type="dxa"/>
            <w:tcBorders>
              <w:top w:val="single" w:sz="4" w:space="0" w:color="auto"/>
              <w:bottom w:val="double" w:sz="4" w:space="0" w:color="auto"/>
            </w:tcBorders>
            <w:shd w:val="clear" w:color="auto" w:fill="EAF1DD" w:themeFill="accent3" w:themeFillTint="33"/>
            <w:vAlign w:val="bottom"/>
          </w:tcPr>
          <w:p w14:paraId="739C513E" w14:textId="68FCF0D5" w:rsidR="00A40EB3" w:rsidRPr="00E26D69" w:rsidRDefault="001231E3" w:rsidP="00A40EB3">
            <w:pPr>
              <w:jc w:val="right"/>
              <w:rPr>
                <w:rFonts w:ascii="Arial" w:hAnsi="Arial" w:cs="Arial"/>
                <w:b/>
                <w:bCs/>
              </w:rPr>
            </w:pPr>
            <w:r>
              <w:rPr>
                <w:rFonts w:ascii="Arial" w:hAnsi="Arial" w:cs="Arial"/>
                <w:b/>
                <w:bCs/>
              </w:rPr>
              <w:t>(8</w:t>
            </w:r>
            <w:r w:rsidR="00C9352E">
              <w:rPr>
                <w:rFonts w:ascii="Arial" w:hAnsi="Arial" w:cs="Arial"/>
                <w:b/>
                <w:bCs/>
              </w:rPr>
              <w:t>3</w:t>
            </w:r>
            <w:r>
              <w:rPr>
                <w:rFonts w:ascii="Arial" w:hAnsi="Arial" w:cs="Arial"/>
                <w:b/>
                <w:bCs/>
              </w:rPr>
              <w:t>,</w:t>
            </w:r>
            <w:r w:rsidR="00C9352E">
              <w:rPr>
                <w:rFonts w:ascii="Arial" w:hAnsi="Arial" w:cs="Arial"/>
                <w:b/>
                <w:bCs/>
              </w:rPr>
              <w:t>8</w:t>
            </w:r>
            <w:r w:rsidR="00405C1D">
              <w:rPr>
                <w:rFonts w:ascii="Arial" w:hAnsi="Arial" w:cs="Arial"/>
                <w:b/>
                <w:bCs/>
              </w:rPr>
              <w:t>49)</w:t>
            </w:r>
          </w:p>
        </w:tc>
        <w:tc>
          <w:tcPr>
            <w:tcW w:w="2027" w:type="dxa"/>
            <w:tcBorders>
              <w:top w:val="single" w:sz="4" w:space="0" w:color="auto"/>
              <w:bottom w:val="double" w:sz="4" w:space="0" w:color="auto"/>
            </w:tcBorders>
            <w:vAlign w:val="bottom"/>
          </w:tcPr>
          <w:p w14:paraId="4EE5BB79" w14:textId="0F8A6882" w:rsidR="00A40EB3" w:rsidRPr="00E26D69" w:rsidRDefault="00A40EB3" w:rsidP="00A40EB3">
            <w:pPr>
              <w:jc w:val="right"/>
              <w:rPr>
                <w:rFonts w:ascii="Arial" w:hAnsi="Arial" w:cs="Arial"/>
                <w:b/>
                <w:bCs/>
              </w:rPr>
            </w:pPr>
            <w:r>
              <w:rPr>
                <w:rFonts w:ascii="Arial" w:hAnsi="Arial" w:cs="Arial"/>
                <w:b/>
                <w:bCs/>
              </w:rPr>
              <w:t>(161,548)</w:t>
            </w:r>
          </w:p>
        </w:tc>
      </w:tr>
      <w:tr w:rsidR="000845C9" w:rsidRPr="00E26D69" w14:paraId="56AB5AC5" w14:textId="77777777" w:rsidTr="000845C9">
        <w:trPr>
          <w:trHeight w:val="283"/>
        </w:trPr>
        <w:tc>
          <w:tcPr>
            <w:tcW w:w="4967" w:type="dxa"/>
            <w:vAlign w:val="bottom"/>
          </w:tcPr>
          <w:p w14:paraId="21D5C01B" w14:textId="77777777" w:rsidR="000845C9" w:rsidRPr="00E26D69" w:rsidRDefault="000845C9" w:rsidP="00A40EB3">
            <w:pPr>
              <w:ind w:left="-100"/>
              <w:rPr>
                <w:rFonts w:ascii="Arial" w:hAnsi="Arial" w:cs="Arial"/>
                <w:b/>
                <w:bCs/>
              </w:rPr>
            </w:pPr>
          </w:p>
        </w:tc>
        <w:tc>
          <w:tcPr>
            <w:tcW w:w="992" w:type="dxa"/>
            <w:vAlign w:val="bottom"/>
          </w:tcPr>
          <w:p w14:paraId="20378342" w14:textId="77777777" w:rsidR="000845C9" w:rsidRPr="00E26D69" w:rsidRDefault="000845C9" w:rsidP="00A40EB3">
            <w:pPr>
              <w:jc w:val="center"/>
              <w:rPr>
                <w:rFonts w:ascii="Arial" w:hAnsi="Arial" w:cs="Arial"/>
                <w:b/>
                <w:bCs/>
                <w:highlight w:val="cyan"/>
              </w:rPr>
            </w:pPr>
          </w:p>
        </w:tc>
        <w:tc>
          <w:tcPr>
            <w:tcW w:w="1984" w:type="dxa"/>
            <w:tcBorders>
              <w:top w:val="double" w:sz="4" w:space="0" w:color="auto"/>
            </w:tcBorders>
            <w:vAlign w:val="bottom"/>
          </w:tcPr>
          <w:p w14:paraId="0CB33E57" w14:textId="77777777" w:rsidR="000845C9" w:rsidRDefault="000845C9" w:rsidP="00A40EB3">
            <w:pPr>
              <w:jc w:val="right"/>
              <w:rPr>
                <w:rFonts w:ascii="Arial" w:hAnsi="Arial" w:cs="Arial"/>
                <w:b/>
                <w:bCs/>
              </w:rPr>
            </w:pPr>
          </w:p>
        </w:tc>
        <w:tc>
          <w:tcPr>
            <w:tcW w:w="2027" w:type="dxa"/>
            <w:tcBorders>
              <w:top w:val="double" w:sz="4" w:space="0" w:color="auto"/>
            </w:tcBorders>
            <w:vAlign w:val="bottom"/>
          </w:tcPr>
          <w:p w14:paraId="536B4E65" w14:textId="77777777" w:rsidR="000845C9" w:rsidRDefault="000845C9" w:rsidP="00A40EB3">
            <w:pPr>
              <w:jc w:val="right"/>
              <w:rPr>
                <w:rFonts w:ascii="Arial" w:hAnsi="Arial" w:cs="Arial"/>
                <w:b/>
                <w:bCs/>
              </w:rPr>
            </w:pPr>
          </w:p>
        </w:tc>
      </w:tr>
    </w:tbl>
    <w:p w14:paraId="6FC90B88" w14:textId="77777777" w:rsidR="002D3C87" w:rsidRDefault="002D3C87" w:rsidP="000E48E4">
      <w:pPr>
        <w:rPr>
          <w:rFonts w:ascii="Arial" w:hAnsi="Arial" w:cs="Arial"/>
        </w:rPr>
      </w:pPr>
    </w:p>
    <w:p w14:paraId="15173BC9" w14:textId="18AF7E40" w:rsidR="002D3C87" w:rsidRDefault="00E26D69" w:rsidP="008D6963">
      <w:pPr>
        <w:spacing w:line="360" w:lineRule="auto"/>
        <w:jc w:val="both"/>
        <w:rPr>
          <w:rFonts w:ascii="Arial" w:hAnsi="Arial" w:cs="Arial"/>
        </w:rPr>
      </w:pPr>
      <w:r w:rsidRPr="00E26D69">
        <w:rPr>
          <w:rFonts w:ascii="Arial" w:hAnsi="Arial" w:cs="Arial"/>
        </w:rPr>
        <w:t>The note numbers referred to above are incorporated within the notes to the accounts.</w:t>
      </w:r>
      <w:r w:rsidR="0049724E">
        <w:rPr>
          <w:rFonts w:ascii="Arial" w:hAnsi="Arial" w:cs="Arial"/>
        </w:rPr>
        <w:t xml:space="preserve"> </w:t>
      </w:r>
      <w:r w:rsidRPr="00E26D69">
        <w:rPr>
          <w:rFonts w:ascii="Arial" w:hAnsi="Arial" w:cs="Arial"/>
        </w:rPr>
        <w:t xml:space="preserve">These </w:t>
      </w:r>
      <w:r w:rsidRPr="0048445C">
        <w:rPr>
          <w:rFonts w:ascii="Arial" w:hAnsi="Arial" w:cs="Arial"/>
        </w:rPr>
        <w:t xml:space="preserve">annual accounts were approved by the Board on </w:t>
      </w:r>
      <w:r w:rsidR="00DE28E3" w:rsidRPr="0048445C">
        <w:rPr>
          <w:rFonts w:ascii="Arial" w:hAnsi="Arial" w:cs="Arial"/>
        </w:rPr>
        <w:t>29 November</w:t>
      </w:r>
      <w:r w:rsidR="00CE3740" w:rsidRPr="0048445C">
        <w:rPr>
          <w:rFonts w:ascii="Arial" w:hAnsi="Arial" w:cs="Arial"/>
        </w:rPr>
        <w:t xml:space="preserve"> 2022</w:t>
      </w:r>
      <w:r w:rsidR="0049724E" w:rsidRPr="0048445C">
        <w:rPr>
          <w:rFonts w:ascii="Arial" w:hAnsi="Arial" w:cs="Arial"/>
        </w:rPr>
        <w:t xml:space="preserve"> and </w:t>
      </w:r>
      <w:r w:rsidR="00CA49BC" w:rsidRPr="0048445C">
        <w:rPr>
          <w:rFonts w:ascii="Arial" w:hAnsi="Arial" w:cs="Arial"/>
        </w:rPr>
        <w:t xml:space="preserve">authorised </w:t>
      </w:r>
      <w:r w:rsidR="00DE3816" w:rsidRPr="0048445C">
        <w:rPr>
          <w:rFonts w:ascii="Arial" w:hAnsi="Arial" w:cs="Arial"/>
        </w:rPr>
        <w:t>for</w:t>
      </w:r>
      <w:r w:rsidR="00CA49BC" w:rsidRPr="0048445C">
        <w:rPr>
          <w:rFonts w:ascii="Arial" w:hAnsi="Arial" w:cs="Arial"/>
        </w:rPr>
        <w:t xml:space="preserve"> issue on</w:t>
      </w:r>
      <w:r w:rsidR="0049724E" w:rsidRPr="0048445C">
        <w:rPr>
          <w:rFonts w:ascii="Arial" w:hAnsi="Arial" w:cs="Arial"/>
        </w:rPr>
        <w:t xml:space="preserve"> </w:t>
      </w:r>
      <w:r w:rsidR="00BB31C3" w:rsidRPr="0048445C">
        <w:rPr>
          <w:rFonts w:ascii="Arial" w:hAnsi="Arial" w:cs="Arial"/>
        </w:rPr>
        <w:t>0</w:t>
      </w:r>
      <w:r w:rsidR="008B64BA">
        <w:rPr>
          <w:rFonts w:ascii="Arial" w:hAnsi="Arial" w:cs="Arial"/>
        </w:rPr>
        <w:t>2</w:t>
      </w:r>
      <w:r w:rsidR="00BB31C3" w:rsidRPr="0048445C">
        <w:rPr>
          <w:rFonts w:ascii="Arial" w:hAnsi="Arial" w:cs="Arial"/>
        </w:rPr>
        <w:t xml:space="preserve"> December </w:t>
      </w:r>
      <w:r w:rsidR="0049724E" w:rsidRPr="0048445C">
        <w:rPr>
          <w:rFonts w:ascii="Arial" w:hAnsi="Arial" w:cs="Arial"/>
        </w:rPr>
        <w:t>202</w:t>
      </w:r>
      <w:r w:rsidR="00CE3740" w:rsidRPr="0048445C">
        <w:rPr>
          <w:rFonts w:ascii="Arial" w:hAnsi="Arial" w:cs="Arial"/>
        </w:rPr>
        <w:t>2</w:t>
      </w:r>
      <w:r w:rsidR="00CE5039" w:rsidRPr="0048445C">
        <w:rPr>
          <w:rFonts w:ascii="Arial" w:hAnsi="Arial" w:cs="Arial"/>
        </w:rPr>
        <w:t>.</w:t>
      </w:r>
    </w:p>
    <w:p w14:paraId="2E30478A" w14:textId="77777777" w:rsidR="000E48E4" w:rsidRPr="00E26D69" w:rsidRDefault="000E48E4" w:rsidP="000E48E4">
      <w:pPr>
        <w:rPr>
          <w:rFonts w:ascii="Arial" w:hAnsi="Arial" w:cs="Arial"/>
        </w:rPr>
      </w:pPr>
    </w:p>
    <w:p w14:paraId="4D285011" w14:textId="1997FBF3" w:rsidR="00E26D69" w:rsidRPr="00E26D69" w:rsidRDefault="00E26D69" w:rsidP="000E48E4">
      <w:pPr>
        <w:rPr>
          <w:rFonts w:ascii="Arial" w:hAnsi="Arial" w:cs="Arial"/>
          <w:b/>
        </w:rPr>
      </w:pPr>
      <w:r w:rsidRPr="00E26D69">
        <w:rPr>
          <w:rFonts w:ascii="Arial" w:hAnsi="Arial" w:cs="Arial"/>
          <w:b/>
        </w:rPr>
        <w:t>_______________________________</w:t>
      </w:r>
      <w:r w:rsidRPr="00E26D69">
        <w:rPr>
          <w:rFonts w:ascii="Arial" w:hAnsi="Arial" w:cs="Arial"/>
        </w:rPr>
        <w:t xml:space="preserve">                                   </w:t>
      </w:r>
      <w:r w:rsidR="00994E35">
        <w:rPr>
          <w:rFonts w:ascii="Arial" w:hAnsi="Arial" w:cs="Arial"/>
        </w:rPr>
        <w:t xml:space="preserve">   </w:t>
      </w:r>
      <w:r w:rsidRPr="00CA4724">
        <w:rPr>
          <w:rFonts w:ascii="Arial" w:hAnsi="Arial" w:cs="Arial"/>
          <w:b/>
        </w:rPr>
        <w:t>_______________</w:t>
      </w:r>
    </w:p>
    <w:p w14:paraId="1E946E60" w14:textId="661739A7" w:rsidR="00E26D69" w:rsidRPr="00E26D69" w:rsidRDefault="00E22306" w:rsidP="0039700F">
      <w:pPr>
        <w:ind w:left="6662" w:hanging="6662"/>
        <w:rPr>
          <w:rFonts w:ascii="Arial" w:hAnsi="Arial" w:cs="Arial"/>
          <w:b/>
        </w:rPr>
      </w:pPr>
      <w:r>
        <w:rPr>
          <w:rFonts w:ascii="Arial" w:hAnsi="Arial" w:cs="Arial"/>
          <w:b/>
        </w:rPr>
        <w:t>Nicole Paterson</w:t>
      </w:r>
      <w:r w:rsidR="00E26D69" w:rsidRPr="00E26D69">
        <w:rPr>
          <w:rFonts w:ascii="Arial" w:hAnsi="Arial" w:cs="Arial"/>
          <w:b/>
        </w:rPr>
        <w:t xml:space="preserve"> </w:t>
      </w:r>
      <w:r w:rsidR="00994E35">
        <w:rPr>
          <w:rFonts w:ascii="Arial" w:hAnsi="Arial" w:cs="Arial"/>
          <w:b/>
        </w:rPr>
        <w:tab/>
      </w:r>
      <w:r w:rsidR="00E26D69" w:rsidRPr="00E26D69">
        <w:rPr>
          <w:rFonts w:ascii="Arial" w:hAnsi="Arial" w:cs="Arial"/>
          <w:b/>
        </w:rPr>
        <w:t>Date of signature</w:t>
      </w:r>
    </w:p>
    <w:p w14:paraId="2473F92B" w14:textId="4EE7F6E8" w:rsidR="0039700F" w:rsidRDefault="00E26D69" w:rsidP="0039700F">
      <w:pPr>
        <w:ind w:left="6662" w:hanging="6662"/>
        <w:rPr>
          <w:rFonts w:ascii="Arial" w:hAnsi="Arial" w:cs="Arial"/>
          <w:b/>
        </w:rPr>
      </w:pPr>
      <w:r w:rsidRPr="00E26D69">
        <w:rPr>
          <w:rFonts w:ascii="Arial" w:hAnsi="Arial" w:cs="Arial"/>
          <w:b/>
        </w:rPr>
        <w:t>Chief Executive and Ac</w:t>
      </w:r>
      <w:r w:rsidR="002D3C87">
        <w:rPr>
          <w:rFonts w:ascii="Arial" w:hAnsi="Arial" w:cs="Arial"/>
          <w:b/>
        </w:rPr>
        <w:t>countable Officer</w:t>
      </w:r>
      <w:r w:rsidR="002D3C87">
        <w:rPr>
          <w:rFonts w:ascii="Arial" w:hAnsi="Arial" w:cs="Arial"/>
          <w:b/>
        </w:rPr>
        <w:tab/>
      </w:r>
      <w:r w:rsidR="002D3C87">
        <w:rPr>
          <w:rFonts w:ascii="Arial" w:hAnsi="Arial" w:cs="Arial"/>
          <w:b/>
        </w:rPr>
        <w:tab/>
      </w:r>
      <w:r w:rsidR="002D3C87">
        <w:rPr>
          <w:rFonts w:ascii="Arial" w:hAnsi="Arial" w:cs="Arial"/>
          <w:b/>
        </w:rPr>
        <w:tab/>
      </w:r>
      <w:r w:rsidR="002D3C87">
        <w:rPr>
          <w:rFonts w:ascii="Arial" w:hAnsi="Arial" w:cs="Arial"/>
          <w:b/>
        </w:rPr>
        <w:tab/>
        <w:t xml:space="preserve">         </w:t>
      </w:r>
      <w:r w:rsidR="002D3C87">
        <w:rPr>
          <w:rFonts w:ascii="Arial" w:hAnsi="Arial" w:cs="Arial"/>
          <w:b/>
        </w:rPr>
        <w:tab/>
      </w:r>
      <w:r w:rsidR="0039700F">
        <w:rPr>
          <w:rFonts w:ascii="Arial" w:hAnsi="Arial" w:cs="Arial"/>
          <w:b/>
        </w:rPr>
        <w:br w:type="page"/>
      </w:r>
    </w:p>
    <w:p w14:paraId="516E7453" w14:textId="6BBB6CA8" w:rsidR="00E26D69" w:rsidRPr="004E4804" w:rsidRDefault="00E26D69" w:rsidP="00CE3740">
      <w:pPr>
        <w:pStyle w:val="01cSubsubheader0"/>
        <w:ind w:left="709" w:hanging="709"/>
        <w:rPr>
          <w:sz w:val="28"/>
          <w:szCs w:val="28"/>
        </w:rPr>
      </w:pPr>
      <w:r w:rsidRPr="004E4804">
        <w:rPr>
          <w:sz w:val="28"/>
          <w:szCs w:val="28"/>
        </w:rPr>
        <w:lastRenderedPageBreak/>
        <w:t>Statement of cash flows for year to 31 March 202</w:t>
      </w:r>
      <w:r w:rsidR="00CE3740" w:rsidRPr="004E4804">
        <w:rPr>
          <w:sz w:val="28"/>
          <w:szCs w:val="28"/>
        </w:rPr>
        <w:t>2</w:t>
      </w:r>
    </w:p>
    <w:tbl>
      <w:tblPr>
        <w:tblW w:w="10060" w:type="dxa"/>
        <w:tblInd w:w="-142" w:type="dxa"/>
        <w:tblLayout w:type="fixed"/>
        <w:tblLook w:val="0000" w:firstRow="0" w:lastRow="0" w:firstColumn="0" w:lastColumn="0" w:noHBand="0" w:noVBand="0"/>
      </w:tblPr>
      <w:tblGrid>
        <w:gridCol w:w="5812"/>
        <w:gridCol w:w="988"/>
        <w:gridCol w:w="1559"/>
        <w:gridCol w:w="1701"/>
      </w:tblGrid>
      <w:tr w:rsidR="0086791E" w:rsidRPr="00E26D69" w14:paraId="7246DC22" w14:textId="77777777" w:rsidTr="00100A10">
        <w:trPr>
          <w:trHeight w:val="1152"/>
        </w:trPr>
        <w:tc>
          <w:tcPr>
            <w:tcW w:w="5812" w:type="dxa"/>
            <w:noWrap/>
            <w:vAlign w:val="bottom"/>
          </w:tcPr>
          <w:p w14:paraId="15717E41" w14:textId="77777777" w:rsidR="00E26D69" w:rsidRPr="00E26D69" w:rsidRDefault="00E26D69" w:rsidP="002D3C87">
            <w:pPr>
              <w:rPr>
                <w:rFonts w:ascii="Arial" w:hAnsi="Arial" w:cs="Arial"/>
                <w:b/>
                <w:bCs/>
              </w:rPr>
            </w:pPr>
          </w:p>
        </w:tc>
        <w:tc>
          <w:tcPr>
            <w:tcW w:w="988" w:type="dxa"/>
          </w:tcPr>
          <w:p w14:paraId="4C080AEF" w14:textId="77777777" w:rsidR="00E26D69" w:rsidRDefault="00E26D69" w:rsidP="002D3C87">
            <w:pPr>
              <w:jc w:val="center"/>
              <w:rPr>
                <w:rFonts w:ascii="Arial" w:hAnsi="Arial" w:cs="Arial"/>
                <w:b/>
                <w:bCs/>
              </w:rPr>
            </w:pPr>
          </w:p>
          <w:p w14:paraId="4F348B3C" w14:textId="77777777" w:rsidR="007F7B41" w:rsidRDefault="007F7B41" w:rsidP="002D3C87">
            <w:pPr>
              <w:jc w:val="center"/>
              <w:rPr>
                <w:rFonts w:ascii="Arial" w:hAnsi="Arial" w:cs="Arial"/>
                <w:b/>
                <w:bCs/>
              </w:rPr>
            </w:pPr>
          </w:p>
          <w:p w14:paraId="3943D7EC" w14:textId="77777777" w:rsidR="00B027BF" w:rsidRDefault="00B027BF" w:rsidP="000845C9">
            <w:pPr>
              <w:rPr>
                <w:rFonts w:ascii="Arial" w:hAnsi="Arial" w:cs="Arial"/>
                <w:b/>
                <w:bCs/>
              </w:rPr>
            </w:pPr>
          </w:p>
          <w:p w14:paraId="3E053EE2" w14:textId="2EDB12A3" w:rsidR="007F7B41" w:rsidRPr="00E26D69" w:rsidRDefault="007F7B41" w:rsidP="002D3C87">
            <w:pPr>
              <w:jc w:val="center"/>
              <w:rPr>
                <w:rFonts w:ascii="Arial" w:hAnsi="Arial" w:cs="Arial"/>
                <w:b/>
                <w:bCs/>
              </w:rPr>
            </w:pPr>
            <w:r>
              <w:rPr>
                <w:rFonts w:ascii="Arial" w:hAnsi="Arial" w:cs="Arial"/>
                <w:b/>
                <w:bCs/>
              </w:rPr>
              <w:t>Notes</w:t>
            </w:r>
          </w:p>
        </w:tc>
        <w:tc>
          <w:tcPr>
            <w:tcW w:w="1559" w:type="dxa"/>
            <w:shd w:val="clear" w:color="auto" w:fill="EAF1DD" w:themeFill="accent3" w:themeFillTint="33"/>
          </w:tcPr>
          <w:p w14:paraId="10304B65" w14:textId="29155DC6" w:rsidR="00B027BF" w:rsidRDefault="00443215" w:rsidP="000845C9">
            <w:pPr>
              <w:jc w:val="right"/>
              <w:rPr>
                <w:rFonts w:ascii="Arial" w:hAnsi="Arial" w:cs="Arial"/>
                <w:b/>
                <w:bCs/>
              </w:rPr>
            </w:pPr>
            <w:r>
              <w:rPr>
                <w:rFonts w:ascii="Arial" w:hAnsi="Arial" w:cs="Arial"/>
                <w:b/>
                <w:bCs/>
              </w:rPr>
              <w:t xml:space="preserve">Year to 31 March </w:t>
            </w:r>
            <w:r w:rsidR="00E26D69" w:rsidRPr="00E26D69">
              <w:rPr>
                <w:rFonts w:ascii="Arial" w:hAnsi="Arial" w:cs="Arial"/>
                <w:b/>
                <w:bCs/>
              </w:rPr>
              <w:t>202</w:t>
            </w:r>
            <w:r w:rsidR="00100A10">
              <w:rPr>
                <w:rFonts w:ascii="Arial" w:hAnsi="Arial" w:cs="Arial"/>
                <w:b/>
                <w:bCs/>
              </w:rPr>
              <w:t>2</w:t>
            </w:r>
          </w:p>
          <w:p w14:paraId="59B6D8DD" w14:textId="77777777" w:rsidR="00100A10" w:rsidRDefault="00100A10" w:rsidP="00100A10">
            <w:pPr>
              <w:jc w:val="right"/>
              <w:rPr>
                <w:rFonts w:ascii="Arial" w:hAnsi="Arial" w:cs="Arial"/>
                <w:b/>
                <w:bCs/>
              </w:rPr>
            </w:pPr>
          </w:p>
          <w:p w14:paraId="6A4A3193" w14:textId="2A8D94D9" w:rsidR="00161F10" w:rsidRPr="00E26D69" w:rsidRDefault="007F7B41" w:rsidP="00100A10">
            <w:pPr>
              <w:jc w:val="right"/>
              <w:rPr>
                <w:rFonts w:ascii="Arial" w:hAnsi="Arial" w:cs="Arial"/>
                <w:b/>
                <w:bCs/>
              </w:rPr>
            </w:pPr>
            <w:r>
              <w:rPr>
                <w:rFonts w:ascii="Arial" w:hAnsi="Arial" w:cs="Arial"/>
                <w:b/>
                <w:bCs/>
              </w:rPr>
              <w:t>£’000</w:t>
            </w:r>
          </w:p>
        </w:tc>
        <w:tc>
          <w:tcPr>
            <w:tcW w:w="1701" w:type="dxa"/>
          </w:tcPr>
          <w:p w14:paraId="57560C25" w14:textId="6279E851" w:rsidR="00B027BF" w:rsidRDefault="00E26D69" w:rsidP="00100A10">
            <w:pPr>
              <w:jc w:val="right"/>
              <w:rPr>
                <w:rFonts w:ascii="Arial" w:hAnsi="Arial" w:cs="Arial"/>
                <w:b/>
                <w:bCs/>
              </w:rPr>
            </w:pPr>
            <w:r w:rsidRPr="00E26D69">
              <w:rPr>
                <w:rFonts w:ascii="Arial" w:hAnsi="Arial" w:cs="Arial"/>
                <w:b/>
                <w:bCs/>
              </w:rPr>
              <w:t>Year to 31 M</w:t>
            </w:r>
            <w:r w:rsidR="00443215">
              <w:rPr>
                <w:rFonts w:ascii="Arial" w:hAnsi="Arial" w:cs="Arial"/>
                <w:b/>
                <w:bCs/>
              </w:rPr>
              <w:t xml:space="preserve">arch </w:t>
            </w:r>
            <w:r w:rsidRPr="00E26D69">
              <w:rPr>
                <w:rFonts w:ascii="Arial" w:hAnsi="Arial" w:cs="Arial"/>
                <w:b/>
                <w:bCs/>
              </w:rPr>
              <w:t>20</w:t>
            </w:r>
            <w:r w:rsidR="00161F10">
              <w:rPr>
                <w:rFonts w:ascii="Arial" w:hAnsi="Arial" w:cs="Arial"/>
                <w:b/>
                <w:bCs/>
              </w:rPr>
              <w:t>2</w:t>
            </w:r>
            <w:r w:rsidR="00100A10">
              <w:rPr>
                <w:rFonts w:ascii="Arial" w:hAnsi="Arial" w:cs="Arial"/>
                <w:b/>
                <w:bCs/>
              </w:rPr>
              <w:t>1</w:t>
            </w:r>
          </w:p>
          <w:p w14:paraId="79D25CF0" w14:textId="77777777" w:rsidR="000845C9" w:rsidRDefault="000845C9" w:rsidP="000845C9">
            <w:pPr>
              <w:rPr>
                <w:rFonts w:ascii="Arial" w:hAnsi="Arial" w:cs="Arial"/>
                <w:b/>
                <w:bCs/>
              </w:rPr>
            </w:pPr>
          </w:p>
          <w:p w14:paraId="3B5CCD90" w14:textId="3DBBF8E7" w:rsidR="007F7B41" w:rsidRPr="00E26D69" w:rsidRDefault="007F7B41" w:rsidP="00100A10">
            <w:pPr>
              <w:jc w:val="right"/>
              <w:rPr>
                <w:rFonts w:ascii="Arial" w:hAnsi="Arial" w:cs="Arial"/>
                <w:b/>
                <w:bCs/>
              </w:rPr>
            </w:pPr>
            <w:r>
              <w:rPr>
                <w:rFonts w:ascii="Arial" w:hAnsi="Arial" w:cs="Arial"/>
                <w:b/>
                <w:bCs/>
              </w:rPr>
              <w:t>£’000</w:t>
            </w:r>
          </w:p>
        </w:tc>
      </w:tr>
      <w:tr w:rsidR="00167866" w:rsidRPr="00E26D69" w14:paraId="1BB7BC83" w14:textId="77777777" w:rsidTr="004F768D">
        <w:trPr>
          <w:trHeight w:val="369"/>
        </w:trPr>
        <w:tc>
          <w:tcPr>
            <w:tcW w:w="5812" w:type="dxa"/>
            <w:vAlign w:val="bottom"/>
          </w:tcPr>
          <w:p w14:paraId="7588CBB7" w14:textId="77777777" w:rsidR="00E82ECA" w:rsidRPr="00E26D69" w:rsidRDefault="00E82ECA" w:rsidP="00E82ECA">
            <w:pPr>
              <w:ind w:left="34"/>
              <w:rPr>
                <w:rFonts w:ascii="Arial" w:hAnsi="Arial" w:cs="Arial"/>
                <w:b/>
              </w:rPr>
            </w:pPr>
            <w:r w:rsidRPr="00E26D69">
              <w:rPr>
                <w:rFonts w:ascii="Arial" w:hAnsi="Arial" w:cs="Arial"/>
                <w:b/>
              </w:rPr>
              <w:t>Net operating expenditure</w:t>
            </w:r>
          </w:p>
        </w:tc>
        <w:tc>
          <w:tcPr>
            <w:tcW w:w="988" w:type="dxa"/>
          </w:tcPr>
          <w:p w14:paraId="1BFC23D1" w14:textId="77777777" w:rsidR="00E82ECA" w:rsidRPr="00E26D69" w:rsidRDefault="00E82ECA" w:rsidP="00E82ECA">
            <w:pPr>
              <w:jc w:val="center"/>
              <w:rPr>
                <w:rFonts w:ascii="Arial" w:hAnsi="Arial" w:cs="Arial"/>
              </w:rPr>
            </w:pPr>
          </w:p>
        </w:tc>
        <w:tc>
          <w:tcPr>
            <w:tcW w:w="1559" w:type="dxa"/>
            <w:shd w:val="clear" w:color="auto" w:fill="EAF1DD" w:themeFill="accent3" w:themeFillTint="33"/>
            <w:vAlign w:val="bottom"/>
          </w:tcPr>
          <w:p w14:paraId="32F6D7FA" w14:textId="506D1B07" w:rsidR="00E82ECA" w:rsidRPr="00E26D69" w:rsidRDefault="00F87EA7" w:rsidP="00E82ECA">
            <w:pPr>
              <w:jc w:val="right"/>
              <w:rPr>
                <w:rFonts w:ascii="Arial" w:hAnsi="Arial" w:cs="Arial"/>
              </w:rPr>
            </w:pPr>
            <w:r>
              <w:rPr>
                <w:rFonts w:ascii="Arial" w:hAnsi="Arial" w:cs="Arial"/>
              </w:rPr>
              <w:t>(53,27</w:t>
            </w:r>
            <w:r w:rsidR="00C268F1">
              <w:rPr>
                <w:rFonts w:ascii="Arial" w:hAnsi="Arial" w:cs="Arial"/>
              </w:rPr>
              <w:t>4</w:t>
            </w:r>
            <w:r>
              <w:rPr>
                <w:rFonts w:ascii="Arial" w:hAnsi="Arial" w:cs="Arial"/>
              </w:rPr>
              <w:t>)</w:t>
            </w:r>
          </w:p>
        </w:tc>
        <w:tc>
          <w:tcPr>
            <w:tcW w:w="1701" w:type="dxa"/>
            <w:vAlign w:val="bottom"/>
          </w:tcPr>
          <w:p w14:paraId="42C85D7F" w14:textId="4A38B28D" w:rsidR="00E82ECA" w:rsidRPr="00E26D69" w:rsidRDefault="00E82ECA" w:rsidP="00E82ECA">
            <w:pPr>
              <w:jc w:val="right"/>
              <w:rPr>
                <w:rFonts w:ascii="Arial" w:hAnsi="Arial" w:cs="Arial"/>
              </w:rPr>
            </w:pPr>
            <w:r>
              <w:rPr>
                <w:rFonts w:ascii="Arial" w:hAnsi="Arial" w:cs="Arial"/>
              </w:rPr>
              <w:t>(45,646)</w:t>
            </w:r>
          </w:p>
        </w:tc>
      </w:tr>
      <w:tr w:rsidR="00167866" w:rsidRPr="00E26D69" w14:paraId="5C516FE1" w14:textId="77777777" w:rsidTr="004F768D">
        <w:trPr>
          <w:trHeight w:val="369"/>
        </w:trPr>
        <w:tc>
          <w:tcPr>
            <w:tcW w:w="5812" w:type="dxa"/>
            <w:vAlign w:val="bottom"/>
          </w:tcPr>
          <w:p w14:paraId="1A1A38E7" w14:textId="77777777" w:rsidR="00E82ECA" w:rsidRPr="00E26D69" w:rsidRDefault="00E82ECA" w:rsidP="00E82ECA">
            <w:pPr>
              <w:ind w:left="34"/>
              <w:rPr>
                <w:rFonts w:ascii="Arial" w:hAnsi="Arial" w:cs="Arial"/>
                <w:b/>
                <w:bCs/>
              </w:rPr>
            </w:pPr>
            <w:r w:rsidRPr="00E26D69">
              <w:rPr>
                <w:rFonts w:ascii="Arial" w:hAnsi="Arial" w:cs="Arial"/>
                <w:b/>
                <w:bCs/>
              </w:rPr>
              <w:t>Adjustments for non-cash transactions</w:t>
            </w:r>
          </w:p>
        </w:tc>
        <w:tc>
          <w:tcPr>
            <w:tcW w:w="988" w:type="dxa"/>
            <w:vAlign w:val="bottom"/>
          </w:tcPr>
          <w:p w14:paraId="7B05A87E" w14:textId="77777777" w:rsidR="00E82ECA" w:rsidRPr="00E26D69" w:rsidRDefault="00E82ECA" w:rsidP="00E82ECA">
            <w:pPr>
              <w:jc w:val="center"/>
              <w:rPr>
                <w:rFonts w:ascii="Arial" w:hAnsi="Arial" w:cs="Arial"/>
              </w:rPr>
            </w:pPr>
          </w:p>
        </w:tc>
        <w:tc>
          <w:tcPr>
            <w:tcW w:w="1559" w:type="dxa"/>
            <w:shd w:val="clear" w:color="auto" w:fill="EAF1DD" w:themeFill="accent3" w:themeFillTint="33"/>
            <w:vAlign w:val="bottom"/>
          </w:tcPr>
          <w:p w14:paraId="231DDAEB" w14:textId="77777777" w:rsidR="00E82ECA" w:rsidRPr="00E26D69" w:rsidRDefault="00E82ECA" w:rsidP="00E82ECA">
            <w:pPr>
              <w:jc w:val="right"/>
              <w:rPr>
                <w:rFonts w:ascii="Arial" w:hAnsi="Arial" w:cs="Arial"/>
              </w:rPr>
            </w:pPr>
          </w:p>
        </w:tc>
        <w:tc>
          <w:tcPr>
            <w:tcW w:w="1701" w:type="dxa"/>
            <w:vAlign w:val="bottom"/>
          </w:tcPr>
          <w:p w14:paraId="4B6427A3" w14:textId="77777777" w:rsidR="00E82ECA" w:rsidRPr="00E26D69" w:rsidRDefault="00E82ECA" w:rsidP="00E82ECA">
            <w:pPr>
              <w:jc w:val="right"/>
              <w:rPr>
                <w:rFonts w:ascii="Arial" w:hAnsi="Arial" w:cs="Arial"/>
              </w:rPr>
            </w:pPr>
          </w:p>
        </w:tc>
      </w:tr>
      <w:tr w:rsidR="00167866" w:rsidRPr="00E26D69" w14:paraId="04733FAF" w14:textId="77777777" w:rsidTr="004F768D">
        <w:trPr>
          <w:trHeight w:val="369"/>
        </w:trPr>
        <w:tc>
          <w:tcPr>
            <w:tcW w:w="5812" w:type="dxa"/>
            <w:vAlign w:val="bottom"/>
          </w:tcPr>
          <w:p w14:paraId="3B3DF882" w14:textId="127C0E94" w:rsidR="00E82ECA" w:rsidRPr="00E26D69" w:rsidRDefault="00E82ECA" w:rsidP="00E82ECA">
            <w:pPr>
              <w:ind w:left="34"/>
              <w:rPr>
                <w:rFonts w:ascii="Arial" w:hAnsi="Arial" w:cs="Arial"/>
              </w:rPr>
            </w:pPr>
            <w:r w:rsidRPr="00E26D69">
              <w:rPr>
                <w:rFonts w:ascii="Arial" w:hAnsi="Arial" w:cs="Arial"/>
              </w:rPr>
              <w:t>Depreciation, amortisation</w:t>
            </w:r>
            <w:r>
              <w:rPr>
                <w:rFonts w:ascii="Arial" w:hAnsi="Arial" w:cs="Arial"/>
              </w:rPr>
              <w:t>,</w:t>
            </w:r>
            <w:r w:rsidRPr="00E26D69">
              <w:rPr>
                <w:rFonts w:ascii="Arial" w:hAnsi="Arial" w:cs="Arial"/>
              </w:rPr>
              <w:t xml:space="preserve"> and impairments</w:t>
            </w:r>
          </w:p>
        </w:tc>
        <w:tc>
          <w:tcPr>
            <w:tcW w:w="988" w:type="dxa"/>
            <w:vAlign w:val="bottom"/>
          </w:tcPr>
          <w:p w14:paraId="53737109" w14:textId="2946DB03" w:rsidR="00E82ECA" w:rsidRPr="00161F10" w:rsidRDefault="00E82ECA" w:rsidP="00E82ECA">
            <w:pPr>
              <w:jc w:val="center"/>
              <w:rPr>
                <w:rFonts w:ascii="Arial" w:hAnsi="Arial" w:cs="Arial"/>
                <w:highlight w:val="magenta"/>
              </w:rPr>
            </w:pPr>
            <w:hyperlink w:anchor="Note9noncurrentassets" w:history="1">
              <w:r w:rsidRPr="002D2C02">
                <w:rPr>
                  <w:rStyle w:val="Hyperlink"/>
                  <w:rFonts w:ascii="Arial" w:hAnsi="Arial" w:cs="Arial"/>
                </w:rPr>
                <w:t>9</w:t>
              </w:r>
            </w:hyperlink>
          </w:p>
        </w:tc>
        <w:tc>
          <w:tcPr>
            <w:tcW w:w="1559" w:type="dxa"/>
            <w:shd w:val="clear" w:color="auto" w:fill="EAF1DD" w:themeFill="accent3" w:themeFillTint="33"/>
            <w:vAlign w:val="bottom"/>
          </w:tcPr>
          <w:p w14:paraId="0EC44FFF" w14:textId="34A478F4" w:rsidR="00E82ECA" w:rsidRPr="00E26D69" w:rsidRDefault="00F87EA7" w:rsidP="00E82ECA">
            <w:pPr>
              <w:jc w:val="right"/>
              <w:rPr>
                <w:rFonts w:ascii="Arial" w:hAnsi="Arial" w:cs="Arial"/>
              </w:rPr>
            </w:pPr>
            <w:r>
              <w:rPr>
                <w:rFonts w:ascii="Arial" w:hAnsi="Arial" w:cs="Arial"/>
              </w:rPr>
              <w:t>3,3</w:t>
            </w:r>
            <w:r w:rsidR="0070691D">
              <w:rPr>
                <w:rFonts w:ascii="Arial" w:hAnsi="Arial" w:cs="Arial"/>
              </w:rPr>
              <w:t>37</w:t>
            </w:r>
          </w:p>
        </w:tc>
        <w:tc>
          <w:tcPr>
            <w:tcW w:w="1701" w:type="dxa"/>
            <w:vAlign w:val="bottom"/>
          </w:tcPr>
          <w:p w14:paraId="1C3DA86E" w14:textId="70E7D05F" w:rsidR="00E82ECA" w:rsidRPr="00E26D69" w:rsidRDefault="00E82ECA" w:rsidP="00E82ECA">
            <w:pPr>
              <w:jc w:val="right"/>
              <w:rPr>
                <w:rFonts w:ascii="Arial" w:hAnsi="Arial" w:cs="Arial"/>
              </w:rPr>
            </w:pPr>
            <w:r>
              <w:rPr>
                <w:rFonts w:ascii="Arial" w:hAnsi="Arial" w:cs="Arial"/>
              </w:rPr>
              <w:t>3,506</w:t>
            </w:r>
          </w:p>
        </w:tc>
      </w:tr>
      <w:tr w:rsidR="00167866" w:rsidRPr="00E26D69" w14:paraId="52CD4766" w14:textId="77777777" w:rsidTr="004F768D">
        <w:trPr>
          <w:trHeight w:val="369"/>
        </w:trPr>
        <w:tc>
          <w:tcPr>
            <w:tcW w:w="5812" w:type="dxa"/>
            <w:vAlign w:val="bottom"/>
          </w:tcPr>
          <w:p w14:paraId="545EC722" w14:textId="77777777" w:rsidR="00E82ECA" w:rsidRPr="00E26D69" w:rsidRDefault="00E82ECA" w:rsidP="00E82ECA">
            <w:pPr>
              <w:ind w:left="34"/>
              <w:rPr>
                <w:rFonts w:ascii="Arial" w:hAnsi="Arial" w:cs="Arial"/>
              </w:rPr>
            </w:pPr>
            <w:r w:rsidRPr="00E26D69">
              <w:rPr>
                <w:rFonts w:ascii="Arial" w:hAnsi="Arial" w:cs="Arial"/>
              </w:rPr>
              <w:t>Pension scheme adjustment</w:t>
            </w:r>
          </w:p>
        </w:tc>
        <w:tc>
          <w:tcPr>
            <w:tcW w:w="988" w:type="dxa"/>
            <w:vAlign w:val="bottom"/>
          </w:tcPr>
          <w:p w14:paraId="530A43C9" w14:textId="59576473" w:rsidR="00E82ECA" w:rsidRPr="00161F10" w:rsidRDefault="00E82ECA" w:rsidP="00E82ECA">
            <w:pPr>
              <w:jc w:val="center"/>
              <w:rPr>
                <w:rFonts w:ascii="Arial" w:hAnsi="Arial" w:cs="Arial"/>
                <w:highlight w:val="magenta"/>
              </w:rPr>
            </w:pPr>
            <w:hyperlink w:anchor="Note16IAS19DetailsofentriesintheStatemen" w:history="1">
              <w:r w:rsidRPr="002D2C02">
                <w:rPr>
                  <w:rStyle w:val="Hyperlink"/>
                  <w:rFonts w:ascii="Arial" w:hAnsi="Arial" w:cs="Arial"/>
                </w:rPr>
                <w:t>16</w:t>
              </w:r>
            </w:hyperlink>
          </w:p>
        </w:tc>
        <w:tc>
          <w:tcPr>
            <w:tcW w:w="1559" w:type="dxa"/>
            <w:shd w:val="clear" w:color="auto" w:fill="EAF1DD" w:themeFill="accent3" w:themeFillTint="33"/>
            <w:vAlign w:val="bottom"/>
          </w:tcPr>
          <w:p w14:paraId="4BD74717" w14:textId="3B22B0D8" w:rsidR="00E82ECA" w:rsidRPr="00E26D69" w:rsidRDefault="00116989" w:rsidP="00E82ECA">
            <w:pPr>
              <w:jc w:val="right"/>
              <w:rPr>
                <w:rFonts w:ascii="Arial" w:hAnsi="Arial" w:cs="Arial"/>
              </w:rPr>
            </w:pPr>
            <w:r>
              <w:rPr>
                <w:rFonts w:ascii="Arial" w:hAnsi="Arial" w:cs="Arial"/>
              </w:rPr>
              <w:t>16,023</w:t>
            </w:r>
          </w:p>
        </w:tc>
        <w:tc>
          <w:tcPr>
            <w:tcW w:w="1701" w:type="dxa"/>
            <w:vAlign w:val="bottom"/>
          </w:tcPr>
          <w:p w14:paraId="1CCF2BBA" w14:textId="76E6B87D" w:rsidR="00E82ECA" w:rsidRPr="00E26D69" w:rsidRDefault="00E82ECA" w:rsidP="00E82ECA">
            <w:pPr>
              <w:jc w:val="right"/>
              <w:rPr>
                <w:rFonts w:ascii="Arial" w:hAnsi="Arial" w:cs="Arial"/>
              </w:rPr>
            </w:pPr>
            <w:r>
              <w:rPr>
                <w:rFonts w:ascii="Arial" w:hAnsi="Arial" w:cs="Arial"/>
              </w:rPr>
              <w:t>6,651</w:t>
            </w:r>
          </w:p>
        </w:tc>
      </w:tr>
      <w:tr w:rsidR="00167866" w:rsidRPr="00E26D69" w14:paraId="60149673" w14:textId="77777777" w:rsidTr="004F768D">
        <w:trPr>
          <w:trHeight w:val="369"/>
        </w:trPr>
        <w:tc>
          <w:tcPr>
            <w:tcW w:w="5812" w:type="dxa"/>
            <w:vAlign w:val="bottom"/>
          </w:tcPr>
          <w:p w14:paraId="2839032D" w14:textId="6DE6B964" w:rsidR="00E82ECA" w:rsidRPr="00E26D69" w:rsidRDefault="00E82ECA" w:rsidP="00E82ECA">
            <w:pPr>
              <w:ind w:left="34"/>
              <w:rPr>
                <w:rFonts w:ascii="Arial" w:hAnsi="Arial" w:cs="Arial"/>
              </w:rPr>
            </w:pPr>
            <w:r>
              <w:rPr>
                <w:rFonts w:ascii="Arial" w:hAnsi="Arial" w:cs="Arial"/>
              </w:rPr>
              <w:t xml:space="preserve">Life </w:t>
            </w:r>
            <w:r w:rsidR="0079053F">
              <w:rPr>
                <w:rFonts w:ascii="Arial" w:hAnsi="Arial" w:cs="Arial"/>
              </w:rPr>
              <w:t>a</w:t>
            </w:r>
            <w:r>
              <w:rPr>
                <w:rFonts w:ascii="Arial" w:hAnsi="Arial" w:cs="Arial"/>
              </w:rPr>
              <w:t>ssurance charge</w:t>
            </w:r>
          </w:p>
        </w:tc>
        <w:tc>
          <w:tcPr>
            <w:tcW w:w="988" w:type="dxa"/>
            <w:vAlign w:val="bottom"/>
          </w:tcPr>
          <w:p w14:paraId="2E3B9723" w14:textId="5155C185" w:rsidR="00E82ECA" w:rsidRPr="00500D33" w:rsidRDefault="00E82ECA" w:rsidP="00E82ECA">
            <w:pPr>
              <w:jc w:val="center"/>
              <w:rPr>
                <w:rFonts w:ascii="Arial" w:hAnsi="Arial" w:cs="Arial"/>
              </w:rPr>
            </w:pPr>
            <w:hyperlink w:anchor="Note13Provisionforliabilitiesandcharges" w:history="1">
              <w:r w:rsidRPr="002D2C02">
                <w:rPr>
                  <w:rStyle w:val="Hyperlink"/>
                  <w:rFonts w:ascii="Arial" w:hAnsi="Arial" w:cs="Arial"/>
                </w:rPr>
                <w:t>13</w:t>
              </w:r>
            </w:hyperlink>
          </w:p>
        </w:tc>
        <w:tc>
          <w:tcPr>
            <w:tcW w:w="1559" w:type="dxa"/>
            <w:shd w:val="clear" w:color="auto" w:fill="EAF1DD" w:themeFill="accent3" w:themeFillTint="33"/>
            <w:vAlign w:val="bottom"/>
          </w:tcPr>
          <w:p w14:paraId="3F21DFA0" w14:textId="6E2C0E5C" w:rsidR="00E82ECA" w:rsidRPr="00E26D69" w:rsidRDefault="00054817" w:rsidP="00E82ECA">
            <w:pPr>
              <w:jc w:val="right"/>
              <w:rPr>
                <w:rFonts w:ascii="Arial" w:hAnsi="Arial" w:cs="Arial"/>
              </w:rPr>
            </w:pPr>
            <w:r>
              <w:rPr>
                <w:rFonts w:ascii="Arial" w:hAnsi="Arial" w:cs="Arial"/>
              </w:rPr>
              <w:t>82</w:t>
            </w:r>
          </w:p>
        </w:tc>
        <w:tc>
          <w:tcPr>
            <w:tcW w:w="1701" w:type="dxa"/>
            <w:vAlign w:val="bottom"/>
          </w:tcPr>
          <w:p w14:paraId="118CC2A9" w14:textId="206F4D9F" w:rsidR="00E82ECA" w:rsidRPr="00E26D69" w:rsidRDefault="00E82ECA" w:rsidP="00E82ECA">
            <w:pPr>
              <w:jc w:val="right"/>
              <w:rPr>
                <w:rFonts w:ascii="Arial" w:hAnsi="Arial" w:cs="Arial"/>
              </w:rPr>
            </w:pPr>
            <w:r>
              <w:rPr>
                <w:rFonts w:ascii="Arial" w:hAnsi="Arial" w:cs="Arial"/>
              </w:rPr>
              <w:t>(19)</w:t>
            </w:r>
          </w:p>
        </w:tc>
      </w:tr>
      <w:tr w:rsidR="00167866" w:rsidRPr="00E26D69" w14:paraId="22479BBD" w14:textId="77777777" w:rsidTr="004F768D">
        <w:trPr>
          <w:trHeight w:val="369"/>
        </w:trPr>
        <w:tc>
          <w:tcPr>
            <w:tcW w:w="5812" w:type="dxa"/>
            <w:vAlign w:val="bottom"/>
          </w:tcPr>
          <w:p w14:paraId="6E33F766" w14:textId="673FAF1B" w:rsidR="00E82ECA" w:rsidRDefault="00E82ECA" w:rsidP="00E82ECA">
            <w:pPr>
              <w:ind w:left="34"/>
              <w:rPr>
                <w:rFonts w:ascii="Arial" w:hAnsi="Arial" w:cs="Arial"/>
              </w:rPr>
            </w:pPr>
            <w:r>
              <w:rPr>
                <w:rFonts w:ascii="Arial" w:hAnsi="Arial" w:cs="Arial"/>
              </w:rPr>
              <w:t>Unfunded pensions charge</w:t>
            </w:r>
          </w:p>
        </w:tc>
        <w:tc>
          <w:tcPr>
            <w:tcW w:w="988" w:type="dxa"/>
            <w:vAlign w:val="bottom"/>
          </w:tcPr>
          <w:p w14:paraId="5AA6F2DF" w14:textId="5BE41E51" w:rsidR="00E82ECA" w:rsidRPr="00500D33" w:rsidRDefault="00E82ECA" w:rsidP="00E82ECA">
            <w:pPr>
              <w:jc w:val="center"/>
              <w:rPr>
                <w:rFonts w:ascii="Arial" w:hAnsi="Arial" w:cs="Arial"/>
              </w:rPr>
            </w:pPr>
            <w:hyperlink w:anchor="Note13Provisionforliabilitiesandcharges" w:history="1">
              <w:r w:rsidRPr="002D2C02">
                <w:rPr>
                  <w:rStyle w:val="Hyperlink"/>
                  <w:rFonts w:ascii="Arial" w:hAnsi="Arial" w:cs="Arial"/>
                </w:rPr>
                <w:t>13</w:t>
              </w:r>
            </w:hyperlink>
          </w:p>
        </w:tc>
        <w:tc>
          <w:tcPr>
            <w:tcW w:w="1559" w:type="dxa"/>
            <w:shd w:val="clear" w:color="auto" w:fill="EAF1DD" w:themeFill="accent3" w:themeFillTint="33"/>
            <w:vAlign w:val="bottom"/>
          </w:tcPr>
          <w:p w14:paraId="51C047BA" w14:textId="55EE0D65" w:rsidR="00E82ECA" w:rsidRDefault="00054817" w:rsidP="00E82ECA">
            <w:pPr>
              <w:jc w:val="right"/>
              <w:rPr>
                <w:rFonts w:ascii="Arial" w:hAnsi="Arial" w:cs="Arial"/>
              </w:rPr>
            </w:pPr>
            <w:r>
              <w:rPr>
                <w:rFonts w:ascii="Arial" w:hAnsi="Arial" w:cs="Arial"/>
              </w:rPr>
              <w:t>2</w:t>
            </w:r>
            <w:r w:rsidR="00C268F1">
              <w:rPr>
                <w:rFonts w:ascii="Arial" w:hAnsi="Arial" w:cs="Arial"/>
              </w:rPr>
              <w:t>2</w:t>
            </w:r>
          </w:p>
        </w:tc>
        <w:tc>
          <w:tcPr>
            <w:tcW w:w="1701" w:type="dxa"/>
            <w:vAlign w:val="bottom"/>
          </w:tcPr>
          <w:p w14:paraId="588C87EE" w14:textId="7A568DAE" w:rsidR="00E82ECA" w:rsidRDefault="00E82ECA" w:rsidP="00E82ECA">
            <w:pPr>
              <w:jc w:val="right"/>
              <w:rPr>
                <w:rFonts w:ascii="Arial" w:hAnsi="Arial" w:cs="Arial"/>
              </w:rPr>
            </w:pPr>
            <w:r>
              <w:rPr>
                <w:rFonts w:ascii="Arial" w:hAnsi="Arial" w:cs="Arial"/>
              </w:rPr>
              <w:t>192</w:t>
            </w:r>
          </w:p>
        </w:tc>
      </w:tr>
      <w:tr w:rsidR="00145A80" w:rsidRPr="00E26D69" w14:paraId="231F04EF" w14:textId="77777777" w:rsidTr="004F768D">
        <w:trPr>
          <w:trHeight w:val="170"/>
        </w:trPr>
        <w:tc>
          <w:tcPr>
            <w:tcW w:w="5812" w:type="dxa"/>
            <w:vAlign w:val="bottom"/>
          </w:tcPr>
          <w:p w14:paraId="2FD5CA29" w14:textId="77777777" w:rsidR="00145A80" w:rsidRDefault="00145A80" w:rsidP="00E82ECA">
            <w:pPr>
              <w:ind w:left="34"/>
              <w:rPr>
                <w:rFonts w:ascii="Arial" w:hAnsi="Arial" w:cs="Arial"/>
                <w:b/>
                <w:bCs/>
              </w:rPr>
            </w:pPr>
          </w:p>
        </w:tc>
        <w:tc>
          <w:tcPr>
            <w:tcW w:w="988" w:type="dxa"/>
            <w:vAlign w:val="bottom"/>
          </w:tcPr>
          <w:p w14:paraId="37B95CEA" w14:textId="77777777" w:rsidR="00145A80" w:rsidRPr="00500D33" w:rsidRDefault="00145A80" w:rsidP="00E82ECA">
            <w:pPr>
              <w:jc w:val="center"/>
              <w:rPr>
                <w:rFonts w:ascii="Arial" w:hAnsi="Arial" w:cs="Arial"/>
              </w:rPr>
            </w:pPr>
          </w:p>
        </w:tc>
        <w:tc>
          <w:tcPr>
            <w:tcW w:w="1559" w:type="dxa"/>
            <w:shd w:val="clear" w:color="auto" w:fill="EAF1DD" w:themeFill="accent3" w:themeFillTint="33"/>
            <w:vAlign w:val="bottom"/>
          </w:tcPr>
          <w:p w14:paraId="5D2E4490" w14:textId="77777777" w:rsidR="00145A80" w:rsidRDefault="00145A80" w:rsidP="00E82ECA">
            <w:pPr>
              <w:jc w:val="right"/>
              <w:rPr>
                <w:rFonts w:ascii="Arial" w:hAnsi="Arial" w:cs="Arial"/>
              </w:rPr>
            </w:pPr>
          </w:p>
        </w:tc>
        <w:tc>
          <w:tcPr>
            <w:tcW w:w="1701" w:type="dxa"/>
            <w:vAlign w:val="bottom"/>
          </w:tcPr>
          <w:p w14:paraId="5309340F" w14:textId="77777777" w:rsidR="00145A80" w:rsidRDefault="00145A80" w:rsidP="00E82ECA">
            <w:pPr>
              <w:jc w:val="right"/>
              <w:rPr>
                <w:rFonts w:ascii="Arial" w:hAnsi="Arial" w:cs="Arial"/>
              </w:rPr>
            </w:pPr>
          </w:p>
        </w:tc>
      </w:tr>
      <w:tr w:rsidR="00167866" w:rsidRPr="00E26D69" w14:paraId="475FB5BA" w14:textId="77777777" w:rsidTr="004F768D">
        <w:trPr>
          <w:trHeight w:val="369"/>
        </w:trPr>
        <w:tc>
          <w:tcPr>
            <w:tcW w:w="5812" w:type="dxa"/>
            <w:vAlign w:val="bottom"/>
          </w:tcPr>
          <w:p w14:paraId="5370770D" w14:textId="710B8E09" w:rsidR="00E82ECA" w:rsidRPr="008710B2" w:rsidRDefault="00E82ECA" w:rsidP="00E82ECA">
            <w:pPr>
              <w:ind w:left="34"/>
              <w:rPr>
                <w:rFonts w:ascii="Arial" w:hAnsi="Arial" w:cs="Arial"/>
                <w:b/>
                <w:bCs/>
              </w:rPr>
            </w:pPr>
            <w:r>
              <w:rPr>
                <w:rFonts w:ascii="Arial" w:hAnsi="Arial" w:cs="Arial"/>
                <w:b/>
                <w:bCs/>
              </w:rPr>
              <w:t xml:space="preserve">Cash </w:t>
            </w:r>
            <w:r w:rsidR="00CE3963">
              <w:rPr>
                <w:rFonts w:ascii="Arial" w:hAnsi="Arial" w:cs="Arial"/>
                <w:b/>
                <w:bCs/>
              </w:rPr>
              <w:t>e</w:t>
            </w:r>
            <w:r>
              <w:rPr>
                <w:rFonts w:ascii="Arial" w:hAnsi="Arial" w:cs="Arial"/>
                <w:b/>
                <w:bCs/>
              </w:rPr>
              <w:t>xpended in year</w:t>
            </w:r>
          </w:p>
        </w:tc>
        <w:tc>
          <w:tcPr>
            <w:tcW w:w="988" w:type="dxa"/>
            <w:vAlign w:val="bottom"/>
          </w:tcPr>
          <w:p w14:paraId="1C940338" w14:textId="77777777" w:rsidR="00E82ECA" w:rsidRPr="00500D33" w:rsidRDefault="00E82ECA" w:rsidP="00E82ECA">
            <w:pPr>
              <w:jc w:val="center"/>
              <w:rPr>
                <w:rFonts w:ascii="Arial" w:hAnsi="Arial" w:cs="Arial"/>
              </w:rPr>
            </w:pPr>
          </w:p>
        </w:tc>
        <w:tc>
          <w:tcPr>
            <w:tcW w:w="1559" w:type="dxa"/>
            <w:shd w:val="clear" w:color="auto" w:fill="EAF1DD" w:themeFill="accent3" w:themeFillTint="33"/>
            <w:vAlign w:val="bottom"/>
          </w:tcPr>
          <w:p w14:paraId="754C387B" w14:textId="77777777" w:rsidR="00E82ECA" w:rsidRDefault="00E82ECA" w:rsidP="00E82ECA">
            <w:pPr>
              <w:jc w:val="right"/>
              <w:rPr>
                <w:rFonts w:ascii="Arial" w:hAnsi="Arial" w:cs="Arial"/>
              </w:rPr>
            </w:pPr>
          </w:p>
        </w:tc>
        <w:tc>
          <w:tcPr>
            <w:tcW w:w="1701" w:type="dxa"/>
            <w:vAlign w:val="bottom"/>
          </w:tcPr>
          <w:p w14:paraId="081FCF48" w14:textId="77777777" w:rsidR="00E82ECA" w:rsidRDefault="00E82ECA" w:rsidP="00E82ECA">
            <w:pPr>
              <w:jc w:val="right"/>
              <w:rPr>
                <w:rFonts w:ascii="Arial" w:hAnsi="Arial" w:cs="Arial"/>
              </w:rPr>
            </w:pPr>
          </w:p>
        </w:tc>
      </w:tr>
      <w:tr w:rsidR="00167866" w:rsidRPr="00E26D69" w14:paraId="0190142F" w14:textId="77777777" w:rsidTr="004F768D">
        <w:trPr>
          <w:trHeight w:val="369"/>
        </w:trPr>
        <w:tc>
          <w:tcPr>
            <w:tcW w:w="5812" w:type="dxa"/>
            <w:vAlign w:val="bottom"/>
          </w:tcPr>
          <w:p w14:paraId="21EF389F" w14:textId="436A4069" w:rsidR="00E82ECA" w:rsidRDefault="00E82ECA" w:rsidP="00E82ECA">
            <w:pPr>
              <w:ind w:left="34"/>
              <w:rPr>
                <w:rFonts w:ascii="Arial" w:hAnsi="Arial" w:cs="Arial"/>
              </w:rPr>
            </w:pPr>
            <w:r w:rsidRPr="002F67B3">
              <w:rPr>
                <w:rFonts w:ascii="Arial" w:hAnsi="Arial" w:cs="Arial"/>
              </w:rPr>
              <w:t xml:space="preserve">Life </w:t>
            </w:r>
            <w:r w:rsidR="0079053F">
              <w:rPr>
                <w:rFonts w:ascii="Arial" w:hAnsi="Arial" w:cs="Arial"/>
              </w:rPr>
              <w:t>a</w:t>
            </w:r>
            <w:r w:rsidRPr="002F67B3">
              <w:rPr>
                <w:rFonts w:ascii="Arial" w:hAnsi="Arial" w:cs="Arial"/>
              </w:rPr>
              <w:t>ssurance payments</w:t>
            </w:r>
          </w:p>
        </w:tc>
        <w:tc>
          <w:tcPr>
            <w:tcW w:w="988" w:type="dxa"/>
            <w:vAlign w:val="bottom"/>
          </w:tcPr>
          <w:p w14:paraId="715BF291" w14:textId="4C81270E" w:rsidR="00E82ECA" w:rsidRPr="00500D33" w:rsidRDefault="00E82ECA" w:rsidP="00E82ECA">
            <w:pPr>
              <w:jc w:val="center"/>
              <w:rPr>
                <w:rFonts w:ascii="Arial" w:hAnsi="Arial" w:cs="Arial"/>
              </w:rPr>
            </w:pPr>
            <w:hyperlink w:anchor="Note13Provisionforliabilitiesandcharges" w:history="1">
              <w:r w:rsidRPr="002D2C02">
                <w:rPr>
                  <w:rStyle w:val="Hyperlink"/>
                  <w:rFonts w:ascii="Arial" w:hAnsi="Arial" w:cs="Arial"/>
                </w:rPr>
                <w:t>13</w:t>
              </w:r>
            </w:hyperlink>
          </w:p>
        </w:tc>
        <w:tc>
          <w:tcPr>
            <w:tcW w:w="1559" w:type="dxa"/>
            <w:shd w:val="clear" w:color="auto" w:fill="EAF1DD" w:themeFill="accent3" w:themeFillTint="33"/>
            <w:vAlign w:val="bottom"/>
          </w:tcPr>
          <w:p w14:paraId="6F759777" w14:textId="015BE833" w:rsidR="00E82ECA" w:rsidRDefault="00054817" w:rsidP="00E82ECA">
            <w:pPr>
              <w:jc w:val="right"/>
              <w:rPr>
                <w:rFonts w:ascii="Arial" w:hAnsi="Arial" w:cs="Arial"/>
              </w:rPr>
            </w:pPr>
            <w:r>
              <w:rPr>
                <w:rFonts w:ascii="Arial" w:hAnsi="Arial" w:cs="Arial"/>
              </w:rPr>
              <w:t>(83)</w:t>
            </w:r>
          </w:p>
        </w:tc>
        <w:tc>
          <w:tcPr>
            <w:tcW w:w="1701" w:type="dxa"/>
            <w:vAlign w:val="bottom"/>
          </w:tcPr>
          <w:p w14:paraId="0D409490" w14:textId="6D732190" w:rsidR="00E82ECA" w:rsidRDefault="00E82ECA" w:rsidP="00E82ECA">
            <w:pPr>
              <w:jc w:val="right"/>
              <w:rPr>
                <w:rFonts w:ascii="Arial" w:hAnsi="Arial" w:cs="Arial"/>
              </w:rPr>
            </w:pPr>
            <w:r>
              <w:rPr>
                <w:rFonts w:ascii="Arial" w:hAnsi="Arial" w:cs="Arial"/>
              </w:rPr>
              <w:t>(49)</w:t>
            </w:r>
          </w:p>
        </w:tc>
      </w:tr>
      <w:tr w:rsidR="00167866" w:rsidRPr="00E26D69" w14:paraId="59C98A6A" w14:textId="77777777" w:rsidTr="004F768D">
        <w:trPr>
          <w:trHeight w:val="369"/>
        </w:trPr>
        <w:tc>
          <w:tcPr>
            <w:tcW w:w="5812" w:type="dxa"/>
            <w:vAlign w:val="bottom"/>
          </w:tcPr>
          <w:p w14:paraId="267464BF" w14:textId="42E25D48" w:rsidR="00E82ECA" w:rsidRPr="002F67B3" w:rsidRDefault="00E82ECA" w:rsidP="00E82ECA">
            <w:pPr>
              <w:ind w:left="34"/>
              <w:rPr>
                <w:rFonts w:ascii="Arial" w:hAnsi="Arial" w:cs="Arial"/>
              </w:rPr>
            </w:pPr>
            <w:r>
              <w:rPr>
                <w:rFonts w:ascii="Arial" w:hAnsi="Arial" w:cs="Arial"/>
              </w:rPr>
              <w:t>Unfunded pensions payments</w:t>
            </w:r>
          </w:p>
        </w:tc>
        <w:tc>
          <w:tcPr>
            <w:tcW w:w="988" w:type="dxa"/>
            <w:vAlign w:val="bottom"/>
          </w:tcPr>
          <w:p w14:paraId="5A49B459" w14:textId="16D2148B" w:rsidR="00E82ECA" w:rsidRPr="00500D33" w:rsidRDefault="00E82ECA" w:rsidP="00E82ECA">
            <w:pPr>
              <w:jc w:val="center"/>
              <w:rPr>
                <w:rFonts w:ascii="Arial" w:hAnsi="Arial" w:cs="Arial"/>
              </w:rPr>
            </w:pPr>
            <w:hyperlink w:anchor="Note13Provisionforliabilitiesandcharges" w:history="1">
              <w:r w:rsidRPr="002D2C02">
                <w:rPr>
                  <w:rStyle w:val="Hyperlink"/>
                  <w:rFonts w:ascii="Arial" w:hAnsi="Arial" w:cs="Arial"/>
                </w:rPr>
                <w:t>13</w:t>
              </w:r>
            </w:hyperlink>
          </w:p>
        </w:tc>
        <w:tc>
          <w:tcPr>
            <w:tcW w:w="1559" w:type="dxa"/>
            <w:shd w:val="clear" w:color="auto" w:fill="EAF1DD" w:themeFill="accent3" w:themeFillTint="33"/>
            <w:vAlign w:val="bottom"/>
          </w:tcPr>
          <w:p w14:paraId="5898A6AD" w14:textId="1528E2A4" w:rsidR="00E82ECA" w:rsidRDefault="00054817" w:rsidP="00E82ECA">
            <w:pPr>
              <w:jc w:val="right"/>
              <w:rPr>
                <w:rFonts w:ascii="Arial" w:hAnsi="Arial" w:cs="Arial"/>
              </w:rPr>
            </w:pPr>
            <w:r>
              <w:rPr>
                <w:rFonts w:ascii="Arial" w:hAnsi="Arial" w:cs="Arial"/>
              </w:rPr>
              <w:t>(14</w:t>
            </w:r>
            <w:r w:rsidR="00AE1B83">
              <w:rPr>
                <w:rFonts w:ascii="Arial" w:hAnsi="Arial" w:cs="Arial"/>
              </w:rPr>
              <w:t>1</w:t>
            </w:r>
            <w:r>
              <w:rPr>
                <w:rFonts w:ascii="Arial" w:hAnsi="Arial" w:cs="Arial"/>
              </w:rPr>
              <w:t>)</w:t>
            </w:r>
          </w:p>
        </w:tc>
        <w:tc>
          <w:tcPr>
            <w:tcW w:w="1701" w:type="dxa"/>
            <w:vAlign w:val="bottom"/>
          </w:tcPr>
          <w:p w14:paraId="733F2DB6" w14:textId="258CF0BC" w:rsidR="00E82ECA" w:rsidRDefault="00E82ECA" w:rsidP="00E82ECA">
            <w:pPr>
              <w:jc w:val="right"/>
              <w:rPr>
                <w:rFonts w:ascii="Arial" w:hAnsi="Arial" w:cs="Arial"/>
              </w:rPr>
            </w:pPr>
            <w:r>
              <w:rPr>
                <w:rFonts w:ascii="Arial" w:hAnsi="Arial" w:cs="Arial"/>
              </w:rPr>
              <w:t>(143)</w:t>
            </w:r>
          </w:p>
        </w:tc>
      </w:tr>
      <w:tr w:rsidR="00145A80" w:rsidRPr="00E26D69" w14:paraId="52FA2A74" w14:textId="77777777" w:rsidTr="004F768D">
        <w:trPr>
          <w:trHeight w:val="170"/>
        </w:trPr>
        <w:tc>
          <w:tcPr>
            <w:tcW w:w="5812" w:type="dxa"/>
            <w:vAlign w:val="bottom"/>
          </w:tcPr>
          <w:p w14:paraId="5C5FDCDC" w14:textId="77777777" w:rsidR="00145A80" w:rsidRPr="00E26D69" w:rsidRDefault="00145A80" w:rsidP="00E82ECA">
            <w:pPr>
              <w:ind w:left="34"/>
              <w:rPr>
                <w:rFonts w:ascii="Arial" w:hAnsi="Arial" w:cs="Arial"/>
                <w:b/>
                <w:bCs/>
              </w:rPr>
            </w:pPr>
          </w:p>
        </w:tc>
        <w:tc>
          <w:tcPr>
            <w:tcW w:w="988" w:type="dxa"/>
            <w:vAlign w:val="bottom"/>
          </w:tcPr>
          <w:p w14:paraId="64A8C46D" w14:textId="77777777" w:rsidR="00145A80" w:rsidRPr="00500D33" w:rsidRDefault="00145A80" w:rsidP="00E82ECA">
            <w:pPr>
              <w:jc w:val="center"/>
              <w:rPr>
                <w:rFonts w:ascii="Arial" w:hAnsi="Arial" w:cs="Arial"/>
              </w:rPr>
            </w:pPr>
          </w:p>
        </w:tc>
        <w:tc>
          <w:tcPr>
            <w:tcW w:w="1559" w:type="dxa"/>
            <w:shd w:val="clear" w:color="auto" w:fill="EAF1DD" w:themeFill="accent3" w:themeFillTint="33"/>
            <w:vAlign w:val="bottom"/>
          </w:tcPr>
          <w:p w14:paraId="39848801" w14:textId="77777777" w:rsidR="00145A80" w:rsidRPr="00E26D69" w:rsidRDefault="00145A80" w:rsidP="00E82ECA">
            <w:pPr>
              <w:jc w:val="right"/>
              <w:rPr>
                <w:rFonts w:ascii="Arial" w:hAnsi="Arial" w:cs="Arial"/>
              </w:rPr>
            </w:pPr>
          </w:p>
        </w:tc>
        <w:tc>
          <w:tcPr>
            <w:tcW w:w="1701" w:type="dxa"/>
            <w:vAlign w:val="bottom"/>
          </w:tcPr>
          <w:p w14:paraId="2C625240" w14:textId="77777777" w:rsidR="00145A80" w:rsidRPr="00E26D69" w:rsidRDefault="00145A80" w:rsidP="00E82ECA">
            <w:pPr>
              <w:jc w:val="right"/>
              <w:rPr>
                <w:rFonts w:ascii="Arial" w:hAnsi="Arial" w:cs="Arial"/>
              </w:rPr>
            </w:pPr>
          </w:p>
        </w:tc>
      </w:tr>
      <w:tr w:rsidR="00167866" w:rsidRPr="00E26D69" w14:paraId="08984C83" w14:textId="77777777" w:rsidTr="004F768D">
        <w:trPr>
          <w:trHeight w:val="369"/>
        </w:trPr>
        <w:tc>
          <w:tcPr>
            <w:tcW w:w="5812" w:type="dxa"/>
            <w:vAlign w:val="bottom"/>
          </w:tcPr>
          <w:p w14:paraId="10DC9771" w14:textId="48A8AAA3" w:rsidR="00E82ECA" w:rsidRPr="00E26D69" w:rsidRDefault="00E82ECA" w:rsidP="00E82ECA">
            <w:pPr>
              <w:ind w:left="34"/>
              <w:rPr>
                <w:rFonts w:ascii="Arial" w:hAnsi="Arial" w:cs="Arial"/>
                <w:b/>
                <w:bCs/>
              </w:rPr>
            </w:pPr>
            <w:r w:rsidRPr="00E26D69">
              <w:rPr>
                <w:rFonts w:ascii="Arial" w:hAnsi="Arial" w:cs="Arial"/>
                <w:b/>
                <w:bCs/>
              </w:rPr>
              <w:t>Movements in working capital</w:t>
            </w:r>
          </w:p>
        </w:tc>
        <w:tc>
          <w:tcPr>
            <w:tcW w:w="988" w:type="dxa"/>
            <w:vAlign w:val="bottom"/>
          </w:tcPr>
          <w:p w14:paraId="79AA7F79" w14:textId="77777777" w:rsidR="00E82ECA" w:rsidRPr="00500D33" w:rsidRDefault="00E82ECA" w:rsidP="00E82ECA">
            <w:pPr>
              <w:jc w:val="center"/>
              <w:rPr>
                <w:rFonts w:ascii="Arial" w:hAnsi="Arial" w:cs="Arial"/>
              </w:rPr>
            </w:pPr>
          </w:p>
        </w:tc>
        <w:tc>
          <w:tcPr>
            <w:tcW w:w="1559" w:type="dxa"/>
            <w:shd w:val="clear" w:color="auto" w:fill="EAF1DD" w:themeFill="accent3" w:themeFillTint="33"/>
            <w:vAlign w:val="bottom"/>
          </w:tcPr>
          <w:p w14:paraId="1CE9325B" w14:textId="77777777" w:rsidR="00E82ECA" w:rsidRPr="00E26D69" w:rsidRDefault="00E82ECA" w:rsidP="00E82ECA">
            <w:pPr>
              <w:jc w:val="right"/>
              <w:rPr>
                <w:rFonts w:ascii="Arial" w:hAnsi="Arial" w:cs="Arial"/>
              </w:rPr>
            </w:pPr>
          </w:p>
        </w:tc>
        <w:tc>
          <w:tcPr>
            <w:tcW w:w="1701" w:type="dxa"/>
            <w:vAlign w:val="bottom"/>
          </w:tcPr>
          <w:p w14:paraId="393D8807" w14:textId="77777777" w:rsidR="00E82ECA" w:rsidRPr="00E26D69" w:rsidRDefault="00E82ECA" w:rsidP="00E82ECA">
            <w:pPr>
              <w:jc w:val="right"/>
              <w:rPr>
                <w:rFonts w:ascii="Arial" w:hAnsi="Arial" w:cs="Arial"/>
              </w:rPr>
            </w:pPr>
          </w:p>
        </w:tc>
      </w:tr>
      <w:tr w:rsidR="00167866" w:rsidRPr="00E26D69" w14:paraId="01A67A03" w14:textId="77777777" w:rsidTr="004F768D">
        <w:trPr>
          <w:trHeight w:val="369"/>
        </w:trPr>
        <w:tc>
          <w:tcPr>
            <w:tcW w:w="5812" w:type="dxa"/>
            <w:vAlign w:val="bottom"/>
          </w:tcPr>
          <w:p w14:paraId="5C0A635E" w14:textId="786A34EE" w:rsidR="00E82ECA" w:rsidRPr="0006075A" w:rsidRDefault="00E82ECA" w:rsidP="00E82ECA">
            <w:pPr>
              <w:ind w:left="34"/>
              <w:rPr>
                <w:rFonts w:ascii="Arial" w:hAnsi="Arial" w:cs="Arial"/>
              </w:rPr>
            </w:pPr>
            <w:r>
              <w:rPr>
                <w:rFonts w:ascii="Arial" w:hAnsi="Arial" w:cs="Arial"/>
              </w:rPr>
              <w:t>Decrease in trade and other receivables over 1 year</w:t>
            </w:r>
          </w:p>
        </w:tc>
        <w:tc>
          <w:tcPr>
            <w:tcW w:w="988" w:type="dxa"/>
            <w:vAlign w:val="bottom"/>
          </w:tcPr>
          <w:p w14:paraId="1592EE2F" w14:textId="76840677" w:rsidR="00E82ECA" w:rsidRPr="00500D33" w:rsidRDefault="00E82ECA" w:rsidP="00E82ECA">
            <w:pPr>
              <w:jc w:val="center"/>
              <w:rPr>
                <w:rFonts w:ascii="Arial" w:hAnsi="Arial" w:cs="Arial"/>
              </w:rPr>
            </w:pPr>
            <w:hyperlink w:anchor="Note11Tradeandotherreceivables" w:history="1">
              <w:r w:rsidRPr="002D2C02">
                <w:rPr>
                  <w:rStyle w:val="Hyperlink"/>
                  <w:rFonts w:ascii="Arial" w:hAnsi="Arial" w:cs="Arial"/>
                </w:rPr>
                <w:t>11</w:t>
              </w:r>
            </w:hyperlink>
          </w:p>
        </w:tc>
        <w:tc>
          <w:tcPr>
            <w:tcW w:w="1559" w:type="dxa"/>
            <w:shd w:val="clear" w:color="auto" w:fill="EAF1DD" w:themeFill="accent3" w:themeFillTint="33"/>
            <w:vAlign w:val="bottom"/>
          </w:tcPr>
          <w:p w14:paraId="40C83D2B" w14:textId="2DE08ABF" w:rsidR="00E82ECA" w:rsidRPr="00E26D69" w:rsidRDefault="002D79A4" w:rsidP="00E82ECA">
            <w:pPr>
              <w:jc w:val="right"/>
              <w:rPr>
                <w:rFonts w:ascii="Arial" w:hAnsi="Arial" w:cs="Arial"/>
              </w:rPr>
            </w:pPr>
            <w:r>
              <w:rPr>
                <w:rFonts w:ascii="Arial" w:hAnsi="Arial" w:cs="Arial"/>
              </w:rPr>
              <w:t>-</w:t>
            </w:r>
          </w:p>
        </w:tc>
        <w:tc>
          <w:tcPr>
            <w:tcW w:w="1701" w:type="dxa"/>
            <w:vAlign w:val="bottom"/>
          </w:tcPr>
          <w:p w14:paraId="5CDF6805" w14:textId="268DC738" w:rsidR="00E82ECA" w:rsidRPr="00E26D69" w:rsidRDefault="00E82ECA" w:rsidP="00E82ECA">
            <w:pPr>
              <w:jc w:val="right"/>
              <w:rPr>
                <w:rFonts w:ascii="Arial" w:hAnsi="Arial" w:cs="Arial"/>
              </w:rPr>
            </w:pPr>
            <w:r>
              <w:rPr>
                <w:rFonts w:ascii="Arial" w:hAnsi="Arial" w:cs="Arial"/>
              </w:rPr>
              <w:t>122</w:t>
            </w:r>
          </w:p>
        </w:tc>
      </w:tr>
      <w:tr w:rsidR="00167866" w:rsidRPr="00E26D69" w14:paraId="428BF512" w14:textId="77777777" w:rsidTr="004F768D">
        <w:trPr>
          <w:trHeight w:val="369"/>
        </w:trPr>
        <w:tc>
          <w:tcPr>
            <w:tcW w:w="5812" w:type="dxa"/>
            <w:vAlign w:val="bottom"/>
          </w:tcPr>
          <w:p w14:paraId="55BBFA81" w14:textId="77777777" w:rsidR="00E82ECA" w:rsidRPr="00E26D69" w:rsidRDefault="00E82ECA" w:rsidP="00E82ECA">
            <w:pPr>
              <w:ind w:left="34"/>
              <w:rPr>
                <w:rFonts w:ascii="Arial" w:hAnsi="Arial" w:cs="Arial"/>
              </w:rPr>
            </w:pPr>
            <w:r w:rsidRPr="00E26D69">
              <w:rPr>
                <w:rFonts w:ascii="Arial" w:hAnsi="Arial" w:cs="Arial"/>
              </w:rPr>
              <w:t>Decrease/(Increase) in trade and other receivables</w:t>
            </w:r>
          </w:p>
        </w:tc>
        <w:tc>
          <w:tcPr>
            <w:tcW w:w="988" w:type="dxa"/>
            <w:vAlign w:val="bottom"/>
          </w:tcPr>
          <w:p w14:paraId="27861A8E" w14:textId="141031A1" w:rsidR="00E82ECA" w:rsidRPr="00161F10" w:rsidRDefault="005F0985" w:rsidP="00E82ECA">
            <w:pPr>
              <w:jc w:val="center"/>
              <w:rPr>
                <w:rFonts w:ascii="Arial" w:hAnsi="Arial" w:cs="Arial"/>
                <w:highlight w:val="magenta"/>
              </w:rPr>
            </w:pPr>
            <w:hyperlink w:anchor="Note11Tradeandotherreceivables" w:history="1">
              <w:r w:rsidRPr="002D2C02">
                <w:rPr>
                  <w:rStyle w:val="Hyperlink"/>
                  <w:rFonts w:ascii="Arial" w:hAnsi="Arial" w:cs="Arial"/>
                </w:rPr>
                <w:t>1</w:t>
              </w:r>
              <w:r w:rsidR="004B2B76" w:rsidRPr="002D2C02">
                <w:rPr>
                  <w:rStyle w:val="Hyperlink"/>
                  <w:rFonts w:ascii="Arial" w:hAnsi="Arial" w:cs="Arial"/>
                </w:rPr>
                <w:t>1</w:t>
              </w:r>
            </w:hyperlink>
          </w:p>
        </w:tc>
        <w:tc>
          <w:tcPr>
            <w:tcW w:w="1559" w:type="dxa"/>
            <w:shd w:val="clear" w:color="auto" w:fill="EAF1DD" w:themeFill="accent3" w:themeFillTint="33"/>
            <w:vAlign w:val="bottom"/>
          </w:tcPr>
          <w:p w14:paraId="5EB57E72" w14:textId="314C46AC" w:rsidR="00E82ECA" w:rsidRPr="00E26D69" w:rsidRDefault="00DE0E26" w:rsidP="00E82ECA">
            <w:pPr>
              <w:jc w:val="right"/>
              <w:rPr>
                <w:rFonts w:ascii="Arial" w:hAnsi="Arial" w:cs="Arial"/>
              </w:rPr>
            </w:pPr>
            <w:r>
              <w:rPr>
                <w:rFonts w:ascii="Arial" w:hAnsi="Arial" w:cs="Arial"/>
              </w:rPr>
              <w:t>(</w:t>
            </w:r>
            <w:r w:rsidR="00E83532">
              <w:rPr>
                <w:rFonts w:ascii="Arial" w:hAnsi="Arial" w:cs="Arial"/>
              </w:rPr>
              <w:t>3</w:t>
            </w:r>
            <w:r>
              <w:rPr>
                <w:rFonts w:ascii="Arial" w:hAnsi="Arial" w:cs="Arial"/>
              </w:rPr>
              <w:t>,</w:t>
            </w:r>
            <w:r w:rsidR="00E83532">
              <w:rPr>
                <w:rFonts w:ascii="Arial" w:hAnsi="Arial" w:cs="Arial"/>
              </w:rPr>
              <w:t>399</w:t>
            </w:r>
            <w:r>
              <w:rPr>
                <w:rFonts w:ascii="Arial" w:hAnsi="Arial" w:cs="Arial"/>
              </w:rPr>
              <w:t>)</w:t>
            </w:r>
          </w:p>
        </w:tc>
        <w:tc>
          <w:tcPr>
            <w:tcW w:w="1701" w:type="dxa"/>
            <w:vAlign w:val="bottom"/>
          </w:tcPr>
          <w:p w14:paraId="73C0B27A" w14:textId="01027B5B" w:rsidR="00E82ECA" w:rsidRPr="00E26D69" w:rsidRDefault="00E82ECA" w:rsidP="00E82ECA">
            <w:pPr>
              <w:jc w:val="right"/>
              <w:rPr>
                <w:rFonts w:ascii="Arial" w:hAnsi="Arial" w:cs="Arial"/>
              </w:rPr>
            </w:pPr>
            <w:r>
              <w:rPr>
                <w:rFonts w:ascii="Arial" w:hAnsi="Arial" w:cs="Arial"/>
              </w:rPr>
              <w:t>(418)</w:t>
            </w:r>
          </w:p>
        </w:tc>
      </w:tr>
      <w:tr w:rsidR="00167866" w:rsidRPr="00E26D69" w14:paraId="404F9D40" w14:textId="77777777" w:rsidTr="004F768D">
        <w:trPr>
          <w:trHeight w:val="369"/>
        </w:trPr>
        <w:tc>
          <w:tcPr>
            <w:tcW w:w="5812" w:type="dxa"/>
            <w:vAlign w:val="bottom"/>
          </w:tcPr>
          <w:p w14:paraId="0E458C08" w14:textId="32A27252" w:rsidR="00E82ECA" w:rsidRPr="00E26D69" w:rsidRDefault="00E82ECA" w:rsidP="00E82ECA">
            <w:pPr>
              <w:ind w:left="34"/>
              <w:rPr>
                <w:rFonts w:ascii="Arial" w:hAnsi="Arial" w:cs="Arial"/>
              </w:rPr>
            </w:pPr>
            <w:r w:rsidRPr="00E26D69">
              <w:rPr>
                <w:rFonts w:ascii="Arial" w:hAnsi="Arial" w:cs="Arial"/>
              </w:rPr>
              <w:t xml:space="preserve">(Decrease)/Increase in trade and other payables </w:t>
            </w:r>
          </w:p>
        </w:tc>
        <w:tc>
          <w:tcPr>
            <w:tcW w:w="988" w:type="dxa"/>
            <w:vAlign w:val="bottom"/>
          </w:tcPr>
          <w:p w14:paraId="1D19D63E" w14:textId="0465954A" w:rsidR="00E82ECA" w:rsidRPr="005243FD" w:rsidRDefault="00DD0CBD" w:rsidP="00E82ECA">
            <w:pPr>
              <w:jc w:val="center"/>
              <w:rPr>
                <w:rFonts w:ascii="Arial" w:hAnsi="Arial" w:cs="Arial"/>
              </w:rPr>
            </w:pPr>
            <w:hyperlink w:anchor="Note12Tradeandotherpayables" w:history="1">
              <w:r w:rsidRPr="002D2C02">
                <w:rPr>
                  <w:rStyle w:val="Hyperlink"/>
                  <w:rFonts w:ascii="Arial" w:hAnsi="Arial" w:cs="Arial"/>
                </w:rPr>
                <w:t>12</w:t>
              </w:r>
            </w:hyperlink>
          </w:p>
        </w:tc>
        <w:tc>
          <w:tcPr>
            <w:tcW w:w="1559" w:type="dxa"/>
            <w:tcBorders>
              <w:bottom w:val="single" w:sz="4" w:space="0" w:color="auto"/>
            </w:tcBorders>
            <w:shd w:val="clear" w:color="auto" w:fill="EAF1DD" w:themeFill="accent3" w:themeFillTint="33"/>
            <w:vAlign w:val="bottom"/>
          </w:tcPr>
          <w:p w14:paraId="033CB902" w14:textId="1987D3E0" w:rsidR="00E82ECA" w:rsidRPr="00E26D69" w:rsidRDefault="00DE0E26" w:rsidP="00E82ECA">
            <w:pPr>
              <w:jc w:val="right"/>
              <w:rPr>
                <w:rFonts w:ascii="Arial" w:hAnsi="Arial" w:cs="Arial"/>
              </w:rPr>
            </w:pPr>
            <w:r>
              <w:rPr>
                <w:rFonts w:ascii="Arial" w:hAnsi="Arial" w:cs="Arial"/>
              </w:rPr>
              <w:t>1,</w:t>
            </w:r>
            <w:r w:rsidR="008B264C">
              <w:rPr>
                <w:rFonts w:ascii="Arial" w:hAnsi="Arial" w:cs="Arial"/>
              </w:rPr>
              <w:t>123</w:t>
            </w:r>
          </w:p>
        </w:tc>
        <w:tc>
          <w:tcPr>
            <w:tcW w:w="1701" w:type="dxa"/>
            <w:tcBorders>
              <w:bottom w:val="single" w:sz="4" w:space="0" w:color="auto"/>
            </w:tcBorders>
            <w:vAlign w:val="bottom"/>
          </w:tcPr>
          <w:p w14:paraId="4B9222D8" w14:textId="42B3995F" w:rsidR="00E82ECA" w:rsidRPr="00E26D69" w:rsidRDefault="00E82ECA" w:rsidP="00E82ECA">
            <w:pPr>
              <w:jc w:val="right"/>
              <w:rPr>
                <w:rFonts w:ascii="Arial" w:hAnsi="Arial" w:cs="Arial"/>
              </w:rPr>
            </w:pPr>
            <w:r>
              <w:rPr>
                <w:rFonts w:ascii="Arial" w:hAnsi="Arial" w:cs="Arial"/>
              </w:rPr>
              <w:t>2,983</w:t>
            </w:r>
          </w:p>
        </w:tc>
      </w:tr>
      <w:tr w:rsidR="00167866" w:rsidRPr="00E26D69" w14:paraId="1A3EDE99" w14:textId="77777777" w:rsidTr="004F768D">
        <w:trPr>
          <w:trHeight w:val="369"/>
        </w:trPr>
        <w:tc>
          <w:tcPr>
            <w:tcW w:w="6800" w:type="dxa"/>
            <w:gridSpan w:val="2"/>
            <w:vAlign w:val="bottom"/>
          </w:tcPr>
          <w:p w14:paraId="15FB54CB" w14:textId="77777777" w:rsidR="00E82ECA" w:rsidRPr="00E26D69" w:rsidRDefault="00E82ECA" w:rsidP="00E82ECA">
            <w:pPr>
              <w:ind w:left="34"/>
              <w:rPr>
                <w:rFonts w:ascii="Arial" w:hAnsi="Arial" w:cs="Arial"/>
                <w:b/>
                <w:bCs/>
              </w:rPr>
            </w:pPr>
            <w:r w:rsidRPr="00E26D69">
              <w:rPr>
                <w:rFonts w:ascii="Arial" w:hAnsi="Arial" w:cs="Arial"/>
                <w:b/>
                <w:bCs/>
              </w:rPr>
              <w:t xml:space="preserve">Net cash outflow from operating activities  </w:t>
            </w:r>
          </w:p>
        </w:tc>
        <w:tc>
          <w:tcPr>
            <w:tcW w:w="1559" w:type="dxa"/>
            <w:tcBorders>
              <w:top w:val="single" w:sz="4" w:space="0" w:color="auto"/>
              <w:bottom w:val="double" w:sz="4" w:space="0" w:color="auto"/>
            </w:tcBorders>
            <w:shd w:val="clear" w:color="auto" w:fill="EAF1DD" w:themeFill="accent3" w:themeFillTint="33"/>
            <w:vAlign w:val="bottom"/>
          </w:tcPr>
          <w:p w14:paraId="65F09D13" w14:textId="35E036DF" w:rsidR="00E82ECA" w:rsidRPr="00E26D69" w:rsidRDefault="002207AF" w:rsidP="00E82ECA">
            <w:pPr>
              <w:jc w:val="right"/>
              <w:rPr>
                <w:rFonts w:ascii="Arial" w:hAnsi="Arial" w:cs="Arial"/>
                <w:b/>
                <w:bCs/>
              </w:rPr>
            </w:pPr>
            <w:r>
              <w:rPr>
                <w:rFonts w:ascii="Arial" w:hAnsi="Arial" w:cs="Arial"/>
                <w:b/>
                <w:bCs/>
              </w:rPr>
              <w:t>(38,55</w:t>
            </w:r>
            <w:r w:rsidR="009F7C3C">
              <w:rPr>
                <w:rFonts w:ascii="Arial" w:hAnsi="Arial" w:cs="Arial"/>
                <w:b/>
                <w:bCs/>
              </w:rPr>
              <w:t>6</w:t>
            </w:r>
            <w:r>
              <w:rPr>
                <w:rFonts w:ascii="Arial" w:hAnsi="Arial" w:cs="Arial"/>
                <w:b/>
                <w:bCs/>
              </w:rPr>
              <w:t>)</w:t>
            </w:r>
          </w:p>
        </w:tc>
        <w:tc>
          <w:tcPr>
            <w:tcW w:w="1701" w:type="dxa"/>
            <w:tcBorders>
              <w:top w:val="single" w:sz="4" w:space="0" w:color="auto"/>
              <w:bottom w:val="double" w:sz="4" w:space="0" w:color="auto"/>
            </w:tcBorders>
            <w:vAlign w:val="bottom"/>
          </w:tcPr>
          <w:p w14:paraId="5AC6DDFB" w14:textId="29D7C6A6" w:rsidR="00E82ECA" w:rsidRPr="00E26D69" w:rsidRDefault="00E82ECA" w:rsidP="00E82ECA">
            <w:pPr>
              <w:jc w:val="right"/>
              <w:rPr>
                <w:rFonts w:ascii="Arial" w:hAnsi="Arial" w:cs="Arial"/>
                <w:b/>
                <w:bCs/>
              </w:rPr>
            </w:pPr>
            <w:r w:rsidRPr="00E26D69">
              <w:rPr>
                <w:rFonts w:ascii="Arial" w:hAnsi="Arial" w:cs="Arial"/>
                <w:b/>
                <w:bCs/>
              </w:rPr>
              <w:t>(</w:t>
            </w:r>
            <w:r>
              <w:rPr>
                <w:rFonts w:ascii="Arial" w:hAnsi="Arial" w:cs="Arial"/>
                <w:b/>
                <w:bCs/>
              </w:rPr>
              <w:t>32,</w:t>
            </w:r>
            <w:r w:rsidR="00024D89">
              <w:rPr>
                <w:rFonts w:ascii="Arial" w:hAnsi="Arial" w:cs="Arial"/>
                <w:b/>
                <w:bCs/>
              </w:rPr>
              <w:t>821</w:t>
            </w:r>
            <w:r w:rsidRPr="00E26D69">
              <w:rPr>
                <w:rFonts w:ascii="Arial" w:hAnsi="Arial" w:cs="Arial"/>
                <w:b/>
                <w:bCs/>
              </w:rPr>
              <w:t>)</w:t>
            </w:r>
          </w:p>
        </w:tc>
      </w:tr>
      <w:tr w:rsidR="00145A80" w:rsidRPr="00E26D69" w14:paraId="2704855E" w14:textId="77777777" w:rsidTr="004F768D">
        <w:trPr>
          <w:trHeight w:val="170"/>
        </w:trPr>
        <w:tc>
          <w:tcPr>
            <w:tcW w:w="5812" w:type="dxa"/>
            <w:vAlign w:val="bottom"/>
          </w:tcPr>
          <w:p w14:paraId="2A5D8812" w14:textId="77777777" w:rsidR="00145A80" w:rsidRPr="00E26D69" w:rsidRDefault="00145A80" w:rsidP="00E82ECA">
            <w:pPr>
              <w:ind w:left="34"/>
              <w:rPr>
                <w:rFonts w:ascii="Arial" w:hAnsi="Arial" w:cs="Arial"/>
                <w:b/>
                <w:bCs/>
              </w:rPr>
            </w:pPr>
          </w:p>
        </w:tc>
        <w:tc>
          <w:tcPr>
            <w:tcW w:w="988" w:type="dxa"/>
          </w:tcPr>
          <w:p w14:paraId="6139DB33" w14:textId="77777777" w:rsidR="00145A80" w:rsidRPr="00E26D69" w:rsidRDefault="00145A80" w:rsidP="00E82ECA">
            <w:pPr>
              <w:jc w:val="center"/>
              <w:rPr>
                <w:rFonts w:ascii="Arial" w:hAnsi="Arial" w:cs="Arial"/>
              </w:rPr>
            </w:pPr>
          </w:p>
        </w:tc>
        <w:tc>
          <w:tcPr>
            <w:tcW w:w="1559" w:type="dxa"/>
            <w:shd w:val="clear" w:color="auto" w:fill="EAF1DD" w:themeFill="accent3" w:themeFillTint="33"/>
            <w:vAlign w:val="bottom"/>
          </w:tcPr>
          <w:p w14:paraId="039B2A5E" w14:textId="77777777" w:rsidR="00145A80" w:rsidRPr="00E26D69" w:rsidRDefault="00145A80" w:rsidP="00E82ECA">
            <w:pPr>
              <w:jc w:val="right"/>
              <w:rPr>
                <w:rFonts w:ascii="Arial" w:hAnsi="Arial" w:cs="Arial"/>
              </w:rPr>
            </w:pPr>
          </w:p>
        </w:tc>
        <w:tc>
          <w:tcPr>
            <w:tcW w:w="1701" w:type="dxa"/>
            <w:tcBorders>
              <w:top w:val="double" w:sz="4" w:space="0" w:color="auto"/>
            </w:tcBorders>
            <w:vAlign w:val="bottom"/>
          </w:tcPr>
          <w:p w14:paraId="72B50EC5" w14:textId="77777777" w:rsidR="00145A80" w:rsidRPr="00E26D69" w:rsidRDefault="00145A80" w:rsidP="00E82ECA">
            <w:pPr>
              <w:jc w:val="center"/>
              <w:rPr>
                <w:rFonts w:ascii="Arial" w:hAnsi="Arial" w:cs="Arial"/>
              </w:rPr>
            </w:pPr>
          </w:p>
        </w:tc>
      </w:tr>
      <w:tr w:rsidR="00167866" w:rsidRPr="00E26D69" w14:paraId="264BD1C0" w14:textId="77777777" w:rsidTr="004F768D">
        <w:trPr>
          <w:trHeight w:val="369"/>
        </w:trPr>
        <w:tc>
          <w:tcPr>
            <w:tcW w:w="5812" w:type="dxa"/>
            <w:vAlign w:val="bottom"/>
          </w:tcPr>
          <w:p w14:paraId="6F753820" w14:textId="77777777" w:rsidR="00E82ECA" w:rsidRPr="00E26D69" w:rsidRDefault="00E82ECA" w:rsidP="00E82ECA">
            <w:pPr>
              <w:ind w:left="34"/>
              <w:rPr>
                <w:rFonts w:ascii="Arial" w:hAnsi="Arial" w:cs="Arial"/>
                <w:b/>
                <w:bCs/>
              </w:rPr>
            </w:pPr>
            <w:r w:rsidRPr="00E26D69">
              <w:rPr>
                <w:rFonts w:ascii="Arial" w:hAnsi="Arial" w:cs="Arial"/>
                <w:b/>
                <w:bCs/>
              </w:rPr>
              <w:t>Cash flows from investing activities</w:t>
            </w:r>
          </w:p>
        </w:tc>
        <w:tc>
          <w:tcPr>
            <w:tcW w:w="988" w:type="dxa"/>
          </w:tcPr>
          <w:p w14:paraId="7EF717C3" w14:textId="77777777" w:rsidR="00E82ECA" w:rsidRPr="00E26D69" w:rsidRDefault="00E82ECA" w:rsidP="00E82ECA">
            <w:pPr>
              <w:jc w:val="center"/>
              <w:rPr>
                <w:rFonts w:ascii="Arial" w:hAnsi="Arial" w:cs="Arial"/>
              </w:rPr>
            </w:pPr>
          </w:p>
        </w:tc>
        <w:tc>
          <w:tcPr>
            <w:tcW w:w="1559" w:type="dxa"/>
            <w:shd w:val="clear" w:color="auto" w:fill="EAF1DD" w:themeFill="accent3" w:themeFillTint="33"/>
            <w:vAlign w:val="bottom"/>
          </w:tcPr>
          <w:p w14:paraId="685782A8" w14:textId="77777777" w:rsidR="00E82ECA" w:rsidRPr="00E26D69" w:rsidRDefault="00E82ECA" w:rsidP="00E82ECA">
            <w:pPr>
              <w:jc w:val="right"/>
              <w:rPr>
                <w:rFonts w:ascii="Arial" w:hAnsi="Arial" w:cs="Arial"/>
              </w:rPr>
            </w:pPr>
          </w:p>
        </w:tc>
        <w:tc>
          <w:tcPr>
            <w:tcW w:w="1701" w:type="dxa"/>
            <w:vAlign w:val="bottom"/>
          </w:tcPr>
          <w:p w14:paraId="003C59C0" w14:textId="7838C338" w:rsidR="00E82ECA" w:rsidRPr="00E26D69" w:rsidRDefault="00E82ECA" w:rsidP="00E82ECA">
            <w:pPr>
              <w:jc w:val="center"/>
              <w:rPr>
                <w:rFonts w:ascii="Arial" w:hAnsi="Arial" w:cs="Arial"/>
              </w:rPr>
            </w:pPr>
          </w:p>
        </w:tc>
      </w:tr>
      <w:tr w:rsidR="00EF6BF1" w:rsidRPr="00E26D69" w14:paraId="266AE83C" w14:textId="77777777" w:rsidTr="004F768D">
        <w:trPr>
          <w:trHeight w:val="369"/>
        </w:trPr>
        <w:tc>
          <w:tcPr>
            <w:tcW w:w="5812" w:type="dxa"/>
            <w:vAlign w:val="bottom"/>
          </w:tcPr>
          <w:p w14:paraId="45BA72AA" w14:textId="77777777" w:rsidR="00E82ECA" w:rsidRPr="00E26D69" w:rsidRDefault="00E82ECA" w:rsidP="00E82ECA">
            <w:pPr>
              <w:ind w:left="34"/>
              <w:rPr>
                <w:rFonts w:ascii="Arial" w:hAnsi="Arial" w:cs="Arial"/>
              </w:rPr>
            </w:pPr>
            <w:r w:rsidRPr="00E26D69">
              <w:rPr>
                <w:rFonts w:ascii="Arial" w:hAnsi="Arial" w:cs="Arial"/>
              </w:rPr>
              <w:t>Purchase of non-current assets</w:t>
            </w:r>
          </w:p>
        </w:tc>
        <w:tc>
          <w:tcPr>
            <w:tcW w:w="988" w:type="dxa"/>
            <w:vAlign w:val="bottom"/>
          </w:tcPr>
          <w:p w14:paraId="1CCDC9AA" w14:textId="6D305557" w:rsidR="00E82ECA" w:rsidRPr="005243FD" w:rsidRDefault="00E82ECA" w:rsidP="00E82ECA">
            <w:pPr>
              <w:jc w:val="center"/>
              <w:rPr>
                <w:rFonts w:ascii="Arial" w:hAnsi="Arial" w:cs="Arial"/>
              </w:rPr>
            </w:pPr>
          </w:p>
        </w:tc>
        <w:tc>
          <w:tcPr>
            <w:tcW w:w="1559" w:type="dxa"/>
            <w:tcBorders>
              <w:bottom w:val="single" w:sz="4" w:space="0" w:color="auto"/>
            </w:tcBorders>
            <w:shd w:val="clear" w:color="auto" w:fill="EAF1DD" w:themeFill="accent3" w:themeFillTint="33"/>
            <w:vAlign w:val="bottom"/>
          </w:tcPr>
          <w:p w14:paraId="1DBE336F" w14:textId="77A09B01" w:rsidR="00E82ECA" w:rsidRPr="00D83C24" w:rsidRDefault="002207AF" w:rsidP="00E82ECA">
            <w:pPr>
              <w:jc w:val="right"/>
              <w:rPr>
                <w:rFonts w:ascii="Arial" w:hAnsi="Arial" w:cs="Arial"/>
                <w:b/>
                <w:bCs/>
              </w:rPr>
            </w:pPr>
            <w:r>
              <w:rPr>
                <w:rFonts w:ascii="Arial" w:hAnsi="Arial" w:cs="Arial"/>
                <w:b/>
                <w:bCs/>
              </w:rPr>
              <w:t>(5,84</w:t>
            </w:r>
            <w:r w:rsidR="009F7C3C">
              <w:rPr>
                <w:rFonts w:ascii="Arial" w:hAnsi="Arial" w:cs="Arial"/>
                <w:b/>
                <w:bCs/>
              </w:rPr>
              <w:t>5</w:t>
            </w:r>
            <w:r>
              <w:rPr>
                <w:rFonts w:ascii="Arial" w:hAnsi="Arial" w:cs="Arial"/>
                <w:b/>
                <w:bCs/>
              </w:rPr>
              <w:t>)</w:t>
            </w:r>
          </w:p>
        </w:tc>
        <w:tc>
          <w:tcPr>
            <w:tcW w:w="1701" w:type="dxa"/>
            <w:tcBorders>
              <w:bottom w:val="single" w:sz="4" w:space="0" w:color="auto"/>
            </w:tcBorders>
            <w:vAlign w:val="bottom"/>
          </w:tcPr>
          <w:p w14:paraId="24C7F767" w14:textId="17CB8642" w:rsidR="00E82ECA" w:rsidRPr="00D83C24" w:rsidRDefault="00E82ECA" w:rsidP="00E82ECA">
            <w:pPr>
              <w:jc w:val="right"/>
              <w:rPr>
                <w:rFonts w:ascii="Arial" w:hAnsi="Arial" w:cs="Arial"/>
                <w:b/>
                <w:bCs/>
              </w:rPr>
            </w:pPr>
            <w:r w:rsidRPr="00D83C24">
              <w:rPr>
                <w:rFonts w:ascii="Arial" w:hAnsi="Arial" w:cs="Arial"/>
                <w:b/>
                <w:bCs/>
              </w:rPr>
              <w:t>(1,010)</w:t>
            </w:r>
          </w:p>
        </w:tc>
      </w:tr>
      <w:tr w:rsidR="00145A80" w:rsidRPr="00E26D69" w14:paraId="7F1208F7" w14:textId="77777777" w:rsidTr="004F768D">
        <w:trPr>
          <w:trHeight w:val="170"/>
        </w:trPr>
        <w:tc>
          <w:tcPr>
            <w:tcW w:w="5812" w:type="dxa"/>
            <w:vAlign w:val="bottom"/>
          </w:tcPr>
          <w:p w14:paraId="1107854B" w14:textId="77777777" w:rsidR="00145A80" w:rsidRPr="00E26D69" w:rsidRDefault="00145A80" w:rsidP="00E82ECA">
            <w:pPr>
              <w:ind w:left="34"/>
              <w:rPr>
                <w:rFonts w:ascii="Arial" w:hAnsi="Arial" w:cs="Arial"/>
                <w:b/>
                <w:bCs/>
              </w:rPr>
            </w:pPr>
          </w:p>
        </w:tc>
        <w:tc>
          <w:tcPr>
            <w:tcW w:w="988" w:type="dxa"/>
            <w:vAlign w:val="bottom"/>
          </w:tcPr>
          <w:p w14:paraId="68914085" w14:textId="77777777" w:rsidR="00145A80" w:rsidRPr="00161F10" w:rsidRDefault="00145A80" w:rsidP="00E82ECA">
            <w:pPr>
              <w:jc w:val="center"/>
              <w:rPr>
                <w:rFonts w:ascii="Arial" w:hAnsi="Arial" w:cs="Arial"/>
                <w:highlight w:val="magenta"/>
              </w:rPr>
            </w:pPr>
          </w:p>
        </w:tc>
        <w:tc>
          <w:tcPr>
            <w:tcW w:w="1559" w:type="dxa"/>
            <w:shd w:val="clear" w:color="auto" w:fill="EAF1DD" w:themeFill="accent3" w:themeFillTint="33"/>
            <w:vAlign w:val="bottom"/>
          </w:tcPr>
          <w:p w14:paraId="276529F3" w14:textId="77777777" w:rsidR="00145A80" w:rsidRPr="00E26D69" w:rsidRDefault="00145A80" w:rsidP="00E82ECA">
            <w:pPr>
              <w:tabs>
                <w:tab w:val="left" w:pos="1332"/>
              </w:tabs>
              <w:jc w:val="right"/>
              <w:rPr>
                <w:rFonts w:ascii="Arial" w:hAnsi="Arial" w:cs="Arial"/>
              </w:rPr>
            </w:pPr>
          </w:p>
        </w:tc>
        <w:tc>
          <w:tcPr>
            <w:tcW w:w="1701" w:type="dxa"/>
            <w:vAlign w:val="bottom"/>
          </w:tcPr>
          <w:p w14:paraId="6F071DE0" w14:textId="77777777" w:rsidR="00145A80" w:rsidRPr="00E26D69" w:rsidRDefault="00145A80" w:rsidP="00E82ECA">
            <w:pPr>
              <w:tabs>
                <w:tab w:val="left" w:pos="1332"/>
              </w:tabs>
              <w:jc w:val="right"/>
              <w:rPr>
                <w:rFonts w:ascii="Arial" w:hAnsi="Arial" w:cs="Arial"/>
              </w:rPr>
            </w:pPr>
          </w:p>
        </w:tc>
      </w:tr>
      <w:tr w:rsidR="00167866" w:rsidRPr="00E26D69" w14:paraId="77F5D716" w14:textId="77777777" w:rsidTr="004F768D">
        <w:trPr>
          <w:trHeight w:val="369"/>
        </w:trPr>
        <w:tc>
          <w:tcPr>
            <w:tcW w:w="5812" w:type="dxa"/>
            <w:vAlign w:val="bottom"/>
          </w:tcPr>
          <w:p w14:paraId="1229797C" w14:textId="77777777" w:rsidR="00E82ECA" w:rsidRPr="00E26D69" w:rsidRDefault="00E82ECA" w:rsidP="00E82ECA">
            <w:pPr>
              <w:ind w:left="34"/>
              <w:rPr>
                <w:rFonts w:ascii="Arial" w:hAnsi="Arial" w:cs="Arial"/>
              </w:rPr>
            </w:pPr>
            <w:r w:rsidRPr="00E26D69">
              <w:rPr>
                <w:rFonts w:ascii="Arial" w:hAnsi="Arial" w:cs="Arial"/>
                <w:b/>
                <w:bCs/>
              </w:rPr>
              <w:t>Cash flows from financing activities</w:t>
            </w:r>
          </w:p>
        </w:tc>
        <w:tc>
          <w:tcPr>
            <w:tcW w:w="988" w:type="dxa"/>
            <w:vAlign w:val="bottom"/>
          </w:tcPr>
          <w:p w14:paraId="5C26349B" w14:textId="77777777" w:rsidR="00E82ECA" w:rsidRPr="00161F10" w:rsidRDefault="00E82ECA" w:rsidP="00E82ECA">
            <w:pPr>
              <w:jc w:val="center"/>
              <w:rPr>
                <w:rFonts w:ascii="Arial" w:hAnsi="Arial" w:cs="Arial"/>
                <w:highlight w:val="magenta"/>
              </w:rPr>
            </w:pPr>
          </w:p>
        </w:tc>
        <w:tc>
          <w:tcPr>
            <w:tcW w:w="1559" w:type="dxa"/>
            <w:shd w:val="clear" w:color="auto" w:fill="EAF1DD" w:themeFill="accent3" w:themeFillTint="33"/>
            <w:vAlign w:val="bottom"/>
          </w:tcPr>
          <w:p w14:paraId="40BCFEBE" w14:textId="77777777" w:rsidR="00E82ECA" w:rsidRPr="00E26D69" w:rsidRDefault="00E82ECA" w:rsidP="00E82ECA">
            <w:pPr>
              <w:tabs>
                <w:tab w:val="left" w:pos="1332"/>
              </w:tabs>
              <w:jc w:val="right"/>
              <w:rPr>
                <w:rFonts w:ascii="Arial" w:hAnsi="Arial" w:cs="Arial"/>
              </w:rPr>
            </w:pPr>
          </w:p>
        </w:tc>
        <w:tc>
          <w:tcPr>
            <w:tcW w:w="1701" w:type="dxa"/>
            <w:vAlign w:val="bottom"/>
          </w:tcPr>
          <w:p w14:paraId="2D859019" w14:textId="77777777" w:rsidR="00E82ECA" w:rsidRPr="00E26D69" w:rsidRDefault="00E82ECA" w:rsidP="00E82ECA">
            <w:pPr>
              <w:tabs>
                <w:tab w:val="left" w:pos="1332"/>
              </w:tabs>
              <w:jc w:val="right"/>
              <w:rPr>
                <w:rFonts w:ascii="Arial" w:hAnsi="Arial" w:cs="Arial"/>
              </w:rPr>
            </w:pPr>
          </w:p>
        </w:tc>
      </w:tr>
      <w:tr w:rsidR="00167866" w:rsidRPr="00E26D69" w14:paraId="706D737F" w14:textId="77777777" w:rsidTr="004F768D">
        <w:trPr>
          <w:trHeight w:val="369"/>
        </w:trPr>
        <w:tc>
          <w:tcPr>
            <w:tcW w:w="5812" w:type="dxa"/>
            <w:vAlign w:val="bottom"/>
          </w:tcPr>
          <w:p w14:paraId="2D495630" w14:textId="77777777" w:rsidR="00E82ECA" w:rsidRPr="00E26D69" w:rsidRDefault="00E82ECA" w:rsidP="00E82ECA">
            <w:pPr>
              <w:ind w:left="34"/>
              <w:rPr>
                <w:rFonts w:ascii="Arial" w:hAnsi="Arial" w:cs="Arial"/>
              </w:rPr>
            </w:pPr>
            <w:r w:rsidRPr="00E26D69">
              <w:rPr>
                <w:rFonts w:ascii="Arial" w:hAnsi="Arial" w:cs="Arial"/>
              </w:rPr>
              <w:t>Bank interest received</w:t>
            </w:r>
          </w:p>
        </w:tc>
        <w:tc>
          <w:tcPr>
            <w:tcW w:w="988" w:type="dxa"/>
            <w:vAlign w:val="bottom"/>
          </w:tcPr>
          <w:p w14:paraId="717C3831" w14:textId="2B454CEC" w:rsidR="00E82ECA" w:rsidRPr="009C53A6" w:rsidRDefault="00E82ECA" w:rsidP="00E82ECA">
            <w:pPr>
              <w:jc w:val="center"/>
              <w:rPr>
                <w:rFonts w:ascii="Arial" w:hAnsi="Arial" w:cs="Arial"/>
              </w:rPr>
            </w:pPr>
            <w:hyperlink w:anchor="Note6interestreceivableandsimilarincome" w:history="1">
              <w:r w:rsidRPr="002D2C02">
                <w:rPr>
                  <w:rStyle w:val="Hyperlink"/>
                  <w:rFonts w:ascii="Arial" w:hAnsi="Arial" w:cs="Arial"/>
                </w:rPr>
                <w:t>6</w:t>
              </w:r>
            </w:hyperlink>
          </w:p>
        </w:tc>
        <w:tc>
          <w:tcPr>
            <w:tcW w:w="1559" w:type="dxa"/>
            <w:shd w:val="clear" w:color="auto" w:fill="EAF1DD" w:themeFill="accent3" w:themeFillTint="33"/>
            <w:vAlign w:val="bottom"/>
          </w:tcPr>
          <w:p w14:paraId="458497F3" w14:textId="09EBF03F" w:rsidR="00E82ECA" w:rsidRPr="00E26D69" w:rsidRDefault="002207AF" w:rsidP="00E82ECA">
            <w:pPr>
              <w:tabs>
                <w:tab w:val="left" w:pos="1332"/>
              </w:tabs>
              <w:jc w:val="right"/>
              <w:rPr>
                <w:rFonts w:ascii="Arial" w:hAnsi="Arial" w:cs="Arial"/>
              </w:rPr>
            </w:pPr>
            <w:r>
              <w:rPr>
                <w:rFonts w:ascii="Arial" w:hAnsi="Arial" w:cs="Arial"/>
              </w:rPr>
              <w:t>1</w:t>
            </w:r>
          </w:p>
        </w:tc>
        <w:tc>
          <w:tcPr>
            <w:tcW w:w="1701" w:type="dxa"/>
            <w:vAlign w:val="bottom"/>
          </w:tcPr>
          <w:p w14:paraId="0AC631B4" w14:textId="37EFFF62" w:rsidR="00E82ECA" w:rsidRPr="00E26D69" w:rsidRDefault="00E82ECA" w:rsidP="00E82ECA">
            <w:pPr>
              <w:tabs>
                <w:tab w:val="left" w:pos="1332"/>
              </w:tabs>
              <w:jc w:val="right"/>
              <w:rPr>
                <w:rFonts w:ascii="Arial" w:hAnsi="Arial" w:cs="Arial"/>
              </w:rPr>
            </w:pPr>
            <w:r>
              <w:rPr>
                <w:rFonts w:ascii="Arial" w:hAnsi="Arial" w:cs="Arial"/>
              </w:rPr>
              <w:t>3</w:t>
            </w:r>
          </w:p>
        </w:tc>
      </w:tr>
      <w:tr w:rsidR="00167866" w:rsidRPr="00E26D69" w14:paraId="0470E8B0" w14:textId="77777777" w:rsidTr="004F768D">
        <w:trPr>
          <w:trHeight w:val="369"/>
        </w:trPr>
        <w:tc>
          <w:tcPr>
            <w:tcW w:w="5812" w:type="dxa"/>
            <w:vAlign w:val="bottom"/>
          </w:tcPr>
          <w:p w14:paraId="31F4B650" w14:textId="799F59C6" w:rsidR="00E82ECA" w:rsidRPr="00E26D69" w:rsidRDefault="00E82ECA" w:rsidP="00E82ECA">
            <w:pPr>
              <w:ind w:left="34"/>
              <w:rPr>
                <w:rFonts w:ascii="Arial" w:hAnsi="Arial" w:cs="Arial"/>
              </w:rPr>
            </w:pPr>
            <w:proofErr w:type="spellStart"/>
            <w:r>
              <w:rPr>
                <w:rFonts w:ascii="Arial" w:hAnsi="Arial" w:cs="Arial"/>
              </w:rPr>
              <w:t>GiA</w:t>
            </w:r>
            <w:proofErr w:type="spellEnd"/>
            <w:r>
              <w:rPr>
                <w:rFonts w:ascii="Arial" w:hAnsi="Arial" w:cs="Arial"/>
              </w:rPr>
              <w:t xml:space="preserve"> </w:t>
            </w:r>
            <w:r w:rsidR="005A2105">
              <w:rPr>
                <w:rFonts w:ascii="Arial" w:hAnsi="Arial" w:cs="Arial"/>
              </w:rPr>
              <w:t>revenue</w:t>
            </w:r>
            <w:r w:rsidR="00C367F9">
              <w:rPr>
                <w:rFonts w:ascii="Arial" w:hAnsi="Arial" w:cs="Arial"/>
              </w:rPr>
              <w:t xml:space="preserve"> </w:t>
            </w:r>
            <w:r>
              <w:rPr>
                <w:rFonts w:ascii="Arial" w:hAnsi="Arial" w:cs="Arial"/>
              </w:rPr>
              <w:t>funding received in year</w:t>
            </w:r>
          </w:p>
        </w:tc>
        <w:tc>
          <w:tcPr>
            <w:tcW w:w="988" w:type="dxa"/>
            <w:vAlign w:val="bottom"/>
          </w:tcPr>
          <w:p w14:paraId="1402F98D" w14:textId="3C47466B" w:rsidR="00E82ECA" w:rsidRPr="009C53A6" w:rsidRDefault="00E82ECA" w:rsidP="00E82ECA">
            <w:pPr>
              <w:jc w:val="center"/>
              <w:rPr>
                <w:rFonts w:ascii="Arial" w:hAnsi="Arial" w:cs="Arial"/>
              </w:rPr>
            </w:pPr>
            <w:hyperlink w:anchor="Note20GrantinAidfunding" w:history="1">
              <w:r w:rsidRPr="002D2C02">
                <w:rPr>
                  <w:rStyle w:val="Hyperlink"/>
                  <w:rFonts w:ascii="Arial" w:hAnsi="Arial" w:cs="Arial"/>
                </w:rPr>
                <w:t>20</w:t>
              </w:r>
            </w:hyperlink>
          </w:p>
        </w:tc>
        <w:tc>
          <w:tcPr>
            <w:tcW w:w="1559" w:type="dxa"/>
            <w:shd w:val="clear" w:color="auto" w:fill="EAF1DD" w:themeFill="accent3" w:themeFillTint="33"/>
            <w:vAlign w:val="bottom"/>
          </w:tcPr>
          <w:p w14:paraId="512C4B92" w14:textId="3CE8C8EE" w:rsidR="00E82ECA" w:rsidRPr="00E26D69" w:rsidRDefault="00C367F9" w:rsidP="00E82ECA">
            <w:pPr>
              <w:jc w:val="right"/>
              <w:rPr>
                <w:rFonts w:ascii="Arial" w:hAnsi="Arial" w:cs="Arial"/>
              </w:rPr>
            </w:pPr>
            <w:r>
              <w:rPr>
                <w:rFonts w:ascii="Arial" w:hAnsi="Arial" w:cs="Arial"/>
              </w:rPr>
              <w:t>35,815</w:t>
            </w:r>
          </w:p>
        </w:tc>
        <w:tc>
          <w:tcPr>
            <w:tcW w:w="1701" w:type="dxa"/>
            <w:vAlign w:val="bottom"/>
          </w:tcPr>
          <w:p w14:paraId="2B5C0678" w14:textId="63245F61" w:rsidR="00E82ECA" w:rsidRPr="00E26D69" w:rsidRDefault="00E82ECA" w:rsidP="00E82ECA">
            <w:pPr>
              <w:jc w:val="right"/>
              <w:rPr>
                <w:rFonts w:ascii="Arial" w:hAnsi="Arial" w:cs="Arial"/>
              </w:rPr>
            </w:pPr>
            <w:r>
              <w:rPr>
                <w:rFonts w:ascii="Arial" w:hAnsi="Arial" w:cs="Arial"/>
              </w:rPr>
              <w:t>37,637</w:t>
            </w:r>
          </w:p>
        </w:tc>
      </w:tr>
      <w:tr w:rsidR="00EF6BF1" w:rsidRPr="00E26D69" w14:paraId="0338407C" w14:textId="77777777" w:rsidTr="004F768D">
        <w:trPr>
          <w:trHeight w:val="369"/>
        </w:trPr>
        <w:tc>
          <w:tcPr>
            <w:tcW w:w="5812" w:type="dxa"/>
            <w:vAlign w:val="bottom"/>
          </w:tcPr>
          <w:p w14:paraId="38EBE280" w14:textId="70AC7B9C" w:rsidR="005A2105" w:rsidRDefault="00C367F9" w:rsidP="00E82ECA">
            <w:pPr>
              <w:ind w:left="34"/>
              <w:rPr>
                <w:rFonts w:ascii="Arial" w:hAnsi="Arial" w:cs="Arial"/>
              </w:rPr>
            </w:pPr>
            <w:proofErr w:type="spellStart"/>
            <w:r>
              <w:rPr>
                <w:rFonts w:ascii="Arial" w:hAnsi="Arial" w:cs="Arial"/>
              </w:rPr>
              <w:t>GiA</w:t>
            </w:r>
            <w:proofErr w:type="spellEnd"/>
            <w:r>
              <w:rPr>
                <w:rFonts w:ascii="Arial" w:hAnsi="Arial" w:cs="Arial"/>
              </w:rPr>
              <w:t xml:space="preserve"> capital funding received in year</w:t>
            </w:r>
          </w:p>
        </w:tc>
        <w:tc>
          <w:tcPr>
            <w:tcW w:w="988" w:type="dxa"/>
            <w:vAlign w:val="bottom"/>
          </w:tcPr>
          <w:p w14:paraId="4C5D16F3" w14:textId="77777777" w:rsidR="005A2105" w:rsidRPr="009C53A6" w:rsidRDefault="005A2105" w:rsidP="00E82ECA">
            <w:pPr>
              <w:jc w:val="center"/>
              <w:rPr>
                <w:rFonts w:ascii="Arial" w:hAnsi="Arial" w:cs="Arial"/>
              </w:rPr>
            </w:pPr>
          </w:p>
        </w:tc>
        <w:tc>
          <w:tcPr>
            <w:tcW w:w="1559" w:type="dxa"/>
            <w:tcBorders>
              <w:bottom w:val="single" w:sz="4" w:space="0" w:color="auto"/>
            </w:tcBorders>
            <w:shd w:val="clear" w:color="auto" w:fill="EAF1DD" w:themeFill="accent3" w:themeFillTint="33"/>
            <w:vAlign w:val="bottom"/>
          </w:tcPr>
          <w:p w14:paraId="2A4648F0" w14:textId="7EDD3001" w:rsidR="005A2105" w:rsidRPr="00E26D69" w:rsidRDefault="00C367F9" w:rsidP="00E82ECA">
            <w:pPr>
              <w:jc w:val="right"/>
              <w:rPr>
                <w:rFonts w:ascii="Arial" w:hAnsi="Arial" w:cs="Arial"/>
              </w:rPr>
            </w:pPr>
            <w:r>
              <w:rPr>
                <w:rFonts w:ascii="Arial" w:hAnsi="Arial" w:cs="Arial"/>
              </w:rPr>
              <w:t>6,000</w:t>
            </w:r>
          </w:p>
        </w:tc>
        <w:tc>
          <w:tcPr>
            <w:tcW w:w="1701" w:type="dxa"/>
            <w:tcBorders>
              <w:bottom w:val="single" w:sz="4" w:space="0" w:color="auto"/>
            </w:tcBorders>
            <w:vAlign w:val="bottom"/>
          </w:tcPr>
          <w:p w14:paraId="6568DECD" w14:textId="77777777" w:rsidR="005A2105" w:rsidRDefault="005A2105" w:rsidP="00E82ECA">
            <w:pPr>
              <w:jc w:val="right"/>
              <w:rPr>
                <w:rFonts w:ascii="Arial" w:hAnsi="Arial" w:cs="Arial"/>
              </w:rPr>
            </w:pPr>
          </w:p>
        </w:tc>
      </w:tr>
      <w:tr w:rsidR="00EF6BF1" w:rsidRPr="00E26D69" w14:paraId="0658592C" w14:textId="77777777" w:rsidTr="004F768D">
        <w:trPr>
          <w:trHeight w:val="369"/>
        </w:trPr>
        <w:tc>
          <w:tcPr>
            <w:tcW w:w="5812" w:type="dxa"/>
            <w:vAlign w:val="bottom"/>
          </w:tcPr>
          <w:p w14:paraId="7A9B592A" w14:textId="77777777" w:rsidR="00E82ECA" w:rsidRPr="00E26D69" w:rsidRDefault="00E82ECA" w:rsidP="00E82ECA">
            <w:pPr>
              <w:ind w:left="34"/>
              <w:rPr>
                <w:rFonts w:ascii="Arial" w:hAnsi="Arial" w:cs="Arial"/>
                <w:b/>
                <w:bCs/>
              </w:rPr>
            </w:pPr>
            <w:r w:rsidRPr="00E26D69">
              <w:rPr>
                <w:rFonts w:ascii="Arial" w:hAnsi="Arial" w:cs="Arial"/>
                <w:b/>
                <w:bCs/>
              </w:rPr>
              <w:t>Net cash inflow from financing</w:t>
            </w:r>
          </w:p>
        </w:tc>
        <w:tc>
          <w:tcPr>
            <w:tcW w:w="988" w:type="dxa"/>
            <w:vAlign w:val="bottom"/>
          </w:tcPr>
          <w:p w14:paraId="34B8870F" w14:textId="77777777" w:rsidR="00E82ECA" w:rsidRPr="00E26D69" w:rsidRDefault="00E82ECA" w:rsidP="00E82ECA">
            <w:pPr>
              <w:jc w:val="center"/>
              <w:rPr>
                <w:rFonts w:ascii="Arial" w:hAnsi="Arial" w:cs="Arial"/>
              </w:rPr>
            </w:pPr>
          </w:p>
        </w:tc>
        <w:tc>
          <w:tcPr>
            <w:tcW w:w="1559" w:type="dxa"/>
            <w:tcBorders>
              <w:top w:val="single" w:sz="4" w:space="0" w:color="auto"/>
              <w:bottom w:val="double" w:sz="4" w:space="0" w:color="auto"/>
            </w:tcBorders>
            <w:shd w:val="clear" w:color="auto" w:fill="EAF1DD" w:themeFill="accent3" w:themeFillTint="33"/>
            <w:vAlign w:val="bottom"/>
          </w:tcPr>
          <w:p w14:paraId="26222C62" w14:textId="6F963F95" w:rsidR="00E82ECA" w:rsidRPr="00E26D69" w:rsidRDefault="008748A8" w:rsidP="00E82ECA">
            <w:pPr>
              <w:tabs>
                <w:tab w:val="left" w:pos="1512"/>
              </w:tabs>
              <w:jc w:val="right"/>
              <w:rPr>
                <w:rFonts w:ascii="Arial" w:hAnsi="Arial" w:cs="Arial"/>
                <w:b/>
              </w:rPr>
            </w:pPr>
            <w:r>
              <w:rPr>
                <w:rFonts w:ascii="Arial" w:hAnsi="Arial" w:cs="Arial"/>
                <w:b/>
              </w:rPr>
              <w:t>41,816</w:t>
            </w:r>
          </w:p>
        </w:tc>
        <w:tc>
          <w:tcPr>
            <w:tcW w:w="1701" w:type="dxa"/>
            <w:tcBorders>
              <w:top w:val="single" w:sz="4" w:space="0" w:color="auto"/>
              <w:bottom w:val="double" w:sz="4" w:space="0" w:color="auto"/>
            </w:tcBorders>
            <w:vAlign w:val="bottom"/>
          </w:tcPr>
          <w:p w14:paraId="080D6E97" w14:textId="1BDE6B78" w:rsidR="00E82ECA" w:rsidRPr="00E26D69" w:rsidRDefault="00E82ECA" w:rsidP="00E82ECA">
            <w:pPr>
              <w:tabs>
                <w:tab w:val="left" w:pos="1512"/>
              </w:tabs>
              <w:jc w:val="right"/>
              <w:rPr>
                <w:rFonts w:ascii="Arial" w:hAnsi="Arial" w:cs="Arial"/>
                <w:b/>
              </w:rPr>
            </w:pPr>
            <w:r>
              <w:rPr>
                <w:rFonts w:ascii="Arial" w:hAnsi="Arial" w:cs="Arial"/>
                <w:b/>
              </w:rPr>
              <w:t>37,640</w:t>
            </w:r>
          </w:p>
        </w:tc>
      </w:tr>
      <w:tr w:rsidR="00145A80" w:rsidRPr="00E26D69" w14:paraId="459574E9" w14:textId="77777777" w:rsidTr="004F768D">
        <w:trPr>
          <w:trHeight w:val="170"/>
        </w:trPr>
        <w:tc>
          <w:tcPr>
            <w:tcW w:w="6800" w:type="dxa"/>
            <w:gridSpan w:val="2"/>
            <w:vAlign w:val="bottom"/>
          </w:tcPr>
          <w:p w14:paraId="7BF123A5" w14:textId="77777777" w:rsidR="00145A80" w:rsidRPr="00E26D69" w:rsidRDefault="00145A80" w:rsidP="00E82ECA">
            <w:pPr>
              <w:ind w:left="34"/>
              <w:rPr>
                <w:rFonts w:ascii="Arial" w:hAnsi="Arial" w:cs="Arial"/>
                <w:b/>
                <w:bCs/>
              </w:rPr>
            </w:pPr>
          </w:p>
        </w:tc>
        <w:tc>
          <w:tcPr>
            <w:tcW w:w="1559" w:type="dxa"/>
            <w:tcBorders>
              <w:top w:val="double" w:sz="4" w:space="0" w:color="auto"/>
              <w:bottom w:val="single" w:sz="4" w:space="0" w:color="auto"/>
            </w:tcBorders>
            <w:shd w:val="clear" w:color="auto" w:fill="EAF1DD" w:themeFill="accent3" w:themeFillTint="33"/>
            <w:vAlign w:val="bottom"/>
          </w:tcPr>
          <w:p w14:paraId="6CF16EF8" w14:textId="77777777" w:rsidR="00145A80" w:rsidRDefault="00145A80" w:rsidP="00E82ECA">
            <w:pPr>
              <w:jc w:val="right"/>
              <w:rPr>
                <w:rFonts w:ascii="Arial" w:hAnsi="Arial" w:cs="Arial"/>
                <w:b/>
              </w:rPr>
            </w:pPr>
          </w:p>
        </w:tc>
        <w:tc>
          <w:tcPr>
            <w:tcW w:w="1701" w:type="dxa"/>
            <w:tcBorders>
              <w:top w:val="double" w:sz="4" w:space="0" w:color="auto"/>
              <w:bottom w:val="single" w:sz="4" w:space="0" w:color="auto"/>
            </w:tcBorders>
            <w:vAlign w:val="bottom"/>
          </w:tcPr>
          <w:p w14:paraId="053B0E04" w14:textId="77777777" w:rsidR="00145A80" w:rsidRDefault="00145A80" w:rsidP="00E82ECA">
            <w:pPr>
              <w:jc w:val="right"/>
              <w:rPr>
                <w:rFonts w:ascii="Arial" w:hAnsi="Arial" w:cs="Arial"/>
                <w:b/>
              </w:rPr>
            </w:pPr>
          </w:p>
        </w:tc>
      </w:tr>
      <w:tr w:rsidR="00EF6BF1" w:rsidRPr="00E26D69" w14:paraId="61D7C427" w14:textId="77777777" w:rsidTr="004F768D">
        <w:trPr>
          <w:trHeight w:val="369"/>
        </w:trPr>
        <w:tc>
          <w:tcPr>
            <w:tcW w:w="6800" w:type="dxa"/>
            <w:gridSpan w:val="2"/>
            <w:vAlign w:val="bottom"/>
          </w:tcPr>
          <w:p w14:paraId="066196F3" w14:textId="77777777" w:rsidR="00E82ECA" w:rsidRPr="00E26D69" w:rsidRDefault="00E82ECA" w:rsidP="00E82ECA">
            <w:pPr>
              <w:ind w:left="34"/>
              <w:rPr>
                <w:rFonts w:ascii="Arial" w:hAnsi="Arial" w:cs="Arial"/>
              </w:rPr>
            </w:pPr>
            <w:r w:rsidRPr="00E26D69">
              <w:rPr>
                <w:rFonts w:ascii="Arial" w:hAnsi="Arial" w:cs="Arial"/>
                <w:b/>
                <w:bCs/>
              </w:rPr>
              <w:t>Net (decrease)/increase in cash and cash equivalents</w:t>
            </w:r>
          </w:p>
        </w:tc>
        <w:tc>
          <w:tcPr>
            <w:tcW w:w="1559" w:type="dxa"/>
            <w:tcBorders>
              <w:top w:val="single" w:sz="4" w:space="0" w:color="auto"/>
              <w:bottom w:val="double" w:sz="4" w:space="0" w:color="auto"/>
            </w:tcBorders>
            <w:shd w:val="clear" w:color="auto" w:fill="EAF1DD" w:themeFill="accent3" w:themeFillTint="33"/>
            <w:vAlign w:val="bottom"/>
          </w:tcPr>
          <w:p w14:paraId="68E890F6" w14:textId="03CEB331" w:rsidR="00E82ECA" w:rsidRPr="00E26D69" w:rsidRDefault="008748A8" w:rsidP="00E82ECA">
            <w:pPr>
              <w:jc w:val="right"/>
              <w:rPr>
                <w:rFonts w:ascii="Arial" w:hAnsi="Arial" w:cs="Arial"/>
                <w:b/>
              </w:rPr>
            </w:pPr>
            <w:r>
              <w:rPr>
                <w:rFonts w:ascii="Arial" w:hAnsi="Arial" w:cs="Arial"/>
                <w:b/>
              </w:rPr>
              <w:t>(2,58</w:t>
            </w:r>
            <w:r w:rsidR="009F7C3C">
              <w:rPr>
                <w:rFonts w:ascii="Arial" w:hAnsi="Arial" w:cs="Arial"/>
                <w:b/>
              </w:rPr>
              <w:t>5</w:t>
            </w:r>
            <w:r>
              <w:rPr>
                <w:rFonts w:ascii="Arial" w:hAnsi="Arial" w:cs="Arial"/>
                <w:b/>
              </w:rPr>
              <w:t>)</w:t>
            </w:r>
          </w:p>
        </w:tc>
        <w:tc>
          <w:tcPr>
            <w:tcW w:w="1701" w:type="dxa"/>
            <w:tcBorders>
              <w:top w:val="single" w:sz="4" w:space="0" w:color="auto"/>
              <w:bottom w:val="double" w:sz="4" w:space="0" w:color="auto"/>
            </w:tcBorders>
            <w:vAlign w:val="bottom"/>
          </w:tcPr>
          <w:p w14:paraId="3D0E1F69" w14:textId="2D1A71E4" w:rsidR="00E82ECA" w:rsidRPr="00E26D69" w:rsidRDefault="00024D89" w:rsidP="00E82ECA">
            <w:pPr>
              <w:jc w:val="right"/>
              <w:rPr>
                <w:rFonts w:ascii="Arial" w:hAnsi="Arial" w:cs="Arial"/>
                <w:b/>
              </w:rPr>
            </w:pPr>
            <w:r>
              <w:rPr>
                <w:rFonts w:ascii="Arial" w:hAnsi="Arial" w:cs="Arial"/>
                <w:b/>
              </w:rPr>
              <w:t>3,809</w:t>
            </w:r>
          </w:p>
        </w:tc>
      </w:tr>
      <w:tr w:rsidR="00167866" w:rsidRPr="00E26D69" w14:paraId="7FAC8348" w14:textId="77777777" w:rsidTr="004F768D">
        <w:trPr>
          <w:trHeight w:val="369"/>
        </w:trPr>
        <w:tc>
          <w:tcPr>
            <w:tcW w:w="5812" w:type="dxa"/>
            <w:vAlign w:val="bottom"/>
          </w:tcPr>
          <w:p w14:paraId="7C9A2DC8" w14:textId="44843579" w:rsidR="00E82ECA" w:rsidRPr="00E26D69" w:rsidRDefault="00E82ECA" w:rsidP="00E82ECA">
            <w:pPr>
              <w:ind w:left="34"/>
              <w:rPr>
                <w:rFonts w:ascii="Arial" w:hAnsi="Arial" w:cs="Arial"/>
              </w:rPr>
            </w:pPr>
            <w:r>
              <w:rPr>
                <w:rFonts w:ascii="Arial" w:hAnsi="Arial" w:cs="Arial"/>
              </w:rPr>
              <w:t>Less c</w:t>
            </w:r>
            <w:r w:rsidRPr="00E26D69">
              <w:rPr>
                <w:rFonts w:ascii="Arial" w:hAnsi="Arial" w:cs="Arial"/>
              </w:rPr>
              <w:t>ash and cash equivalents at start of year</w:t>
            </w:r>
          </w:p>
        </w:tc>
        <w:tc>
          <w:tcPr>
            <w:tcW w:w="988" w:type="dxa"/>
            <w:vAlign w:val="bottom"/>
          </w:tcPr>
          <w:p w14:paraId="41DB5F59" w14:textId="38263CD0" w:rsidR="00E82ECA" w:rsidRPr="009C53A6" w:rsidRDefault="00E82ECA" w:rsidP="00E82ECA">
            <w:pPr>
              <w:jc w:val="center"/>
              <w:rPr>
                <w:rFonts w:ascii="Arial" w:hAnsi="Arial" w:cs="Arial"/>
              </w:rPr>
            </w:pPr>
            <w:hyperlink w:anchor="Note10cashandcashequivalents" w:history="1">
              <w:r w:rsidRPr="002D2C02">
                <w:rPr>
                  <w:rStyle w:val="Hyperlink"/>
                  <w:rFonts w:ascii="Arial" w:hAnsi="Arial" w:cs="Arial"/>
                </w:rPr>
                <w:t>10</w:t>
              </w:r>
            </w:hyperlink>
          </w:p>
        </w:tc>
        <w:tc>
          <w:tcPr>
            <w:tcW w:w="1559" w:type="dxa"/>
            <w:shd w:val="clear" w:color="auto" w:fill="EAF1DD" w:themeFill="accent3" w:themeFillTint="33"/>
            <w:vAlign w:val="bottom"/>
          </w:tcPr>
          <w:p w14:paraId="17E59F65" w14:textId="61CA7DE5" w:rsidR="00E82ECA" w:rsidRPr="00E26D69" w:rsidRDefault="008748A8" w:rsidP="00E82ECA">
            <w:pPr>
              <w:jc w:val="right"/>
              <w:rPr>
                <w:rFonts w:ascii="Arial" w:hAnsi="Arial" w:cs="Arial"/>
              </w:rPr>
            </w:pPr>
            <w:r>
              <w:rPr>
                <w:rFonts w:ascii="Arial" w:hAnsi="Arial" w:cs="Arial"/>
              </w:rPr>
              <w:t>4,731</w:t>
            </w:r>
          </w:p>
        </w:tc>
        <w:tc>
          <w:tcPr>
            <w:tcW w:w="1701" w:type="dxa"/>
            <w:vAlign w:val="bottom"/>
          </w:tcPr>
          <w:p w14:paraId="5F2092CC" w14:textId="332F4999" w:rsidR="00E82ECA" w:rsidRPr="00E26D69" w:rsidRDefault="00E82ECA" w:rsidP="00E82ECA">
            <w:pPr>
              <w:jc w:val="right"/>
              <w:rPr>
                <w:rFonts w:ascii="Arial" w:hAnsi="Arial" w:cs="Arial"/>
              </w:rPr>
            </w:pPr>
            <w:r>
              <w:rPr>
                <w:rFonts w:ascii="Arial" w:hAnsi="Arial" w:cs="Arial"/>
              </w:rPr>
              <w:t>922</w:t>
            </w:r>
          </w:p>
        </w:tc>
      </w:tr>
      <w:tr w:rsidR="00EF6BF1" w:rsidRPr="00E26D69" w14:paraId="0173B977" w14:textId="77777777" w:rsidTr="004F768D">
        <w:trPr>
          <w:trHeight w:val="369"/>
        </w:trPr>
        <w:tc>
          <w:tcPr>
            <w:tcW w:w="5812" w:type="dxa"/>
            <w:vAlign w:val="bottom"/>
          </w:tcPr>
          <w:p w14:paraId="5AE38319" w14:textId="77777777" w:rsidR="00E82ECA" w:rsidRPr="00E26D69" w:rsidRDefault="00E82ECA" w:rsidP="00E82ECA">
            <w:pPr>
              <w:ind w:left="34"/>
              <w:rPr>
                <w:rFonts w:ascii="Arial" w:hAnsi="Arial" w:cs="Arial"/>
              </w:rPr>
            </w:pPr>
            <w:r w:rsidRPr="00E26D69">
              <w:rPr>
                <w:rFonts w:ascii="Arial" w:hAnsi="Arial" w:cs="Arial"/>
              </w:rPr>
              <w:t>Cash and cash equivalents at end of year</w:t>
            </w:r>
          </w:p>
        </w:tc>
        <w:tc>
          <w:tcPr>
            <w:tcW w:w="988" w:type="dxa"/>
            <w:vAlign w:val="bottom"/>
          </w:tcPr>
          <w:p w14:paraId="652946EC" w14:textId="0471E57E" w:rsidR="00E82ECA" w:rsidRPr="009C53A6" w:rsidRDefault="00E82ECA" w:rsidP="00E82ECA">
            <w:pPr>
              <w:jc w:val="center"/>
              <w:rPr>
                <w:rFonts w:ascii="Arial" w:hAnsi="Arial" w:cs="Arial"/>
              </w:rPr>
            </w:pPr>
            <w:hyperlink w:anchor="Note10cashandcashequivalents" w:history="1">
              <w:r w:rsidRPr="002D2C02">
                <w:rPr>
                  <w:rStyle w:val="Hyperlink"/>
                  <w:rFonts w:ascii="Arial" w:hAnsi="Arial" w:cs="Arial"/>
                </w:rPr>
                <w:t>10</w:t>
              </w:r>
            </w:hyperlink>
          </w:p>
        </w:tc>
        <w:tc>
          <w:tcPr>
            <w:tcW w:w="1559" w:type="dxa"/>
            <w:tcBorders>
              <w:bottom w:val="single" w:sz="4" w:space="0" w:color="auto"/>
            </w:tcBorders>
            <w:shd w:val="clear" w:color="auto" w:fill="EAF1DD" w:themeFill="accent3" w:themeFillTint="33"/>
            <w:vAlign w:val="bottom"/>
          </w:tcPr>
          <w:p w14:paraId="7B92BAB3" w14:textId="0CC9BE1E" w:rsidR="00E82ECA" w:rsidRPr="00E26D69" w:rsidRDefault="00257E28" w:rsidP="00E82ECA">
            <w:pPr>
              <w:jc w:val="right"/>
              <w:rPr>
                <w:rFonts w:ascii="Arial" w:hAnsi="Arial" w:cs="Arial"/>
              </w:rPr>
            </w:pPr>
            <w:r>
              <w:rPr>
                <w:rFonts w:ascii="Arial" w:hAnsi="Arial" w:cs="Arial"/>
              </w:rPr>
              <w:t>2,14</w:t>
            </w:r>
            <w:r w:rsidR="009F7C3C">
              <w:rPr>
                <w:rFonts w:ascii="Arial" w:hAnsi="Arial" w:cs="Arial"/>
              </w:rPr>
              <w:t>6</w:t>
            </w:r>
          </w:p>
        </w:tc>
        <w:tc>
          <w:tcPr>
            <w:tcW w:w="1701" w:type="dxa"/>
            <w:tcBorders>
              <w:bottom w:val="single" w:sz="4" w:space="0" w:color="auto"/>
            </w:tcBorders>
            <w:vAlign w:val="bottom"/>
          </w:tcPr>
          <w:p w14:paraId="4711659B" w14:textId="13EA994E" w:rsidR="00E82ECA" w:rsidRPr="00E26D69" w:rsidRDefault="00E82ECA" w:rsidP="00E82ECA">
            <w:pPr>
              <w:jc w:val="right"/>
              <w:rPr>
                <w:rFonts w:ascii="Arial" w:hAnsi="Arial" w:cs="Arial"/>
              </w:rPr>
            </w:pPr>
            <w:r>
              <w:rPr>
                <w:rFonts w:ascii="Arial" w:hAnsi="Arial" w:cs="Arial"/>
              </w:rPr>
              <w:t>4,731</w:t>
            </w:r>
          </w:p>
        </w:tc>
      </w:tr>
      <w:tr w:rsidR="00EF6BF1" w:rsidRPr="00E26D69" w14:paraId="29E9E50D" w14:textId="77777777" w:rsidTr="004F768D">
        <w:trPr>
          <w:trHeight w:val="369"/>
        </w:trPr>
        <w:tc>
          <w:tcPr>
            <w:tcW w:w="5812" w:type="dxa"/>
            <w:vAlign w:val="bottom"/>
          </w:tcPr>
          <w:p w14:paraId="4F9EA8A7" w14:textId="77777777" w:rsidR="00E82ECA" w:rsidRPr="00E26D69" w:rsidRDefault="00E82ECA" w:rsidP="00E82ECA">
            <w:pPr>
              <w:ind w:left="34"/>
              <w:rPr>
                <w:rFonts w:ascii="Arial" w:hAnsi="Arial" w:cs="Arial"/>
                <w:b/>
                <w:bCs/>
              </w:rPr>
            </w:pPr>
            <w:r w:rsidRPr="00E26D69">
              <w:rPr>
                <w:rFonts w:ascii="Arial" w:hAnsi="Arial" w:cs="Arial"/>
                <w:b/>
                <w:bCs/>
              </w:rPr>
              <w:t>(Decrease)/Increase in cash for the year</w:t>
            </w:r>
          </w:p>
        </w:tc>
        <w:tc>
          <w:tcPr>
            <w:tcW w:w="988" w:type="dxa"/>
            <w:vAlign w:val="bottom"/>
          </w:tcPr>
          <w:p w14:paraId="14B8DEC5" w14:textId="77777777" w:rsidR="00E82ECA" w:rsidRPr="00E26D69" w:rsidRDefault="00E82ECA" w:rsidP="00E82ECA">
            <w:pPr>
              <w:jc w:val="center"/>
              <w:rPr>
                <w:rFonts w:ascii="Arial" w:hAnsi="Arial" w:cs="Arial"/>
                <w:b/>
                <w:bCs/>
              </w:rPr>
            </w:pPr>
          </w:p>
        </w:tc>
        <w:tc>
          <w:tcPr>
            <w:tcW w:w="1559" w:type="dxa"/>
            <w:tcBorders>
              <w:top w:val="single" w:sz="4" w:space="0" w:color="auto"/>
              <w:bottom w:val="double" w:sz="4" w:space="0" w:color="auto"/>
            </w:tcBorders>
            <w:shd w:val="clear" w:color="auto" w:fill="EAF1DD" w:themeFill="accent3" w:themeFillTint="33"/>
            <w:vAlign w:val="bottom"/>
          </w:tcPr>
          <w:p w14:paraId="1346F12E" w14:textId="1F263F3D" w:rsidR="00E82ECA" w:rsidRPr="00E26D69" w:rsidRDefault="00257E28" w:rsidP="00E82ECA">
            <w:pPr>
              <w:jc w:val="right"/>
              <w:rPr>
                <w:rFonts w:ascii="Arial" w:hAnsi="Arial" w:cs="Arial"/>
                <w:b/>
                <w:bCs/>
              </w:rPr>
            </w:pPr>
            <w:r>
              <w:rPr>
                <w:rFonts w:ascii="Arial" w:hAnsi="Arial" w:cs="Arial"/>
                <w:b/>
                <w:bCs/>
              </w:rPr>
              <w:t>(2,58</w:t>
            </w:r>
            <w:r w:rsidR="00574818">
              <w:rPr>
                <w:rFonts w:ascii="Arial" w:hAnsi="Arial" w:cs="Arial"/>
                <w:b/>
                <w:bCs/>
              </w:rPr>
              <w:t>5</w:t>
            </w:r>
            <w:r>
              <w:rPr>
                <w:rFonts w:ascii="Arial" w:hAnsi="Arial" w:cs="Arial"/>
                <w:b/>
                <w:bCs/>
              </w:rPr>
              <w:t>)</w:t>
            </w:r>
          </w:p>
        </w:tc>
        <w:tc>
          <w:tcPr>
            <w:tcW w:w="1701" w:type="dxa"/>
            <w:tcBorders>
              <w:top w:val="single" w:sz="4" w:space="0" w:color="auto"/>
              <w:bottom w:val="double" w:sz="4" w:space="0" w:color="auto"/>
            </w:tcBorders>
            <w:vAlign w:val="bottom"/>
          </w:tcPr>
          <w:p w14:paraId="239F1B60" w14:textId="0FE6A978" w:rsidR="00E82ECA" w:rsidRPr="00E26D69" w:rsidRDefault="00E82ECA" w:rsidP="00E82ECA">
            <w:pPr>
              <w:jc w:val="right"/>
              <w:rPr>
                <w:rFonts w:ascii="Arial" w:hAnsi="Arial" w:cs="Arial"/>
                <w:b/>
                <w:bCs/>
              </w:rPr>
            </w:pPr>
            <w:r>
              <w:rPr>
                <w:rFonts w:ascii="Arial" w:hAnsi="Arial" w:cs="Arial"/>
                <w:b/>
                <w:bCs/>
              </w:rPr>
              <w:t>3,809</w:t>
            </w:r>
          </w:p>
        </w:tc>
      </w:tr>
    </w:tbl>
    <w:p w14:paraId="252F42D5" w14:textId="77777777" w:rsidR="00DD6982" w:rsidRDefault="00DD6982" w:rsidP="00B70701">
      <w:pPr>
        <w:spacing w:line="360" w:lineRule="auto"/>
        <w:ind w:right="142"/>
        <w:rPr>
          <w:rFonts w:ascii="Arial" w:hAnsi="Arial" w:cs="Arial"/>
        </w:rPr>
      </w:pPr>
    </w:p>
    <w:p w14:paraId="387D2DE3" w14:textId="7DFC3321" w:rsidR="00471456" w:rsidRDefault="00E26D69" w:rsidP="00B70701">
      <w:pPr>
        <w:spacing w:line="360" w:lineRule="auto"/>
        <w:ind w:right="142"/>
        <w:rPr>
          <w:rFonts w:ascii="Arial" w:hAnsi="Arial" w:cs="Arial"/>
        </w:rPr>
      </w:pPr>
      <w:r w:rsidRPr="0048445C">
        <w:rPr>
          <w:rFonts w:ascii="Arial" w:hAnsi="Arial" w:cs="Arial"/>
        </w:rPr>
        <w:t xml:space="preserve">The note numbers referred to above are incorporated within the notes to the accounts. These annual accounts were approved by the Board on </w:t>
      </w:r>
      <w:r w:rsidR="006160E9" w:rsidRPr="0048445C">
        <w:rPr>
          <w:rFonts w:ascii="Arial" w:hAnsi="Arial" w:cs="Arial"/>
        </w:rPr>
        <w:t>29 November</w:t>
      </w:r>
      <w:r w:rsidR="00100A10" w:rsidRPr="0048445C">
        <w:rPr>
          <w:rFonts w:ascii="Arial" w:hAnsi="Arial" w:cs="Arial"/>
        </w:rPr>
        <w:t xml:space="preserve"> 2022</w:t>
      </w:r>
      <w:r w:rsidR="00812D05" w:rsidRPr="0048445C">
        <w:rPr>
          <w:rFonts w:ascii="Arial" w:hAnsi="Arial" w:cs="Arial"/>
        </w:rPr>
        <w:t xml:space="preserve"> and signed on behalf of the Board on</w:t>
      </w:r>
      <w:r w:rsidR="006160E9" w:rsidRPr="0048445C">
        <w:rPr>
          <w:rFonts w:ascii="Arial" w:hAnsi="Arial" w:cs="Arial"/>
        </w:rPr>
        <w:t xml:space="preserve"> 01 December 2022</w:t>
      </w:r>
      <w:r w:rsidR="00F07B80" w:rsidRPr="0048445C">
        <w:rPr>
          <w:rFonts w:ascii="Arial" w:hAnsi="Arial" w:cs="Arial"/>
        </w:rPr>
        <w:t>.</w:t>
      </w:r>
    </w:p>
    <w:p w14:paraId="32B95D98" w14:textId="77777777" w:rsidR="002D2C02" w:rsidRPr="00E03288" w:rsidRDefault="002D2C02" w:rsidP="00B70701">
      <w:pPr>
        <w:spacing w:line="360" w:lineRule="auto"/>
        <w:ind w:right="142"/>
        <w:rPr>
          <w:rFonts w:ascii="Arial" w:hAnsi="Arial" w:cs="Arial"/>
        </w:rPr>
      </w:pPr>
    </w:p>
    <w:p w14:paraId="214C65B3" w14:textId="2ADC68CE" w:rsidR="00E26D69" w:rsidRPr="004E4804" w:rsidRDefault="00E26D69" w:rsidP="00100A10">
      <w:pPr>
        <w:pStyle w:val="01cSubsubheader0"/>
        <w:ind w:left="709" w:hanging="709"/>
        <w:rPr>
          <w:sz w:val="28"/>
          <w:szCs w:val="28"/>
        </w:rPr>
      </w:pPr>
      <w:r w:rsidRPr="004E4804">
        <w:rPr>
          <w:sz w:val="28"/>
          <w:szCs w:val="28"/>
        </w:rPr>
        <w:lastRenderedPageBreak/>
        <w:t>Statement of changes in taxpayer</w:t>
      </w:r>
      <w:r w:rsidR="00EF319E" w:rsidRPr="004E4804">
        <w:rPr>
          <w:sz w:val="28"/>
          <w:szCs w:val="28"/>
        </w:rPr>
        <w:t>s’</w:t>
      </w:r>
      <w:r w:rsidRPr="004E4804">
        <w:rPr>
          <w:sz w:val="28"/>
          <w:szCs w:val="28"/>
        </w:rPr>
        <w:t xml:space="preserve"> equity for the year to 31 March 202</w:t>
      </w:r>
      <w:r w:rsidR="00171C22" w:rsidRPr="004E4804">
        <w:rPr>
          <w:sz w:val="28"/>
          <w:szCs w:val="28"/>
        </w:rPr>
        <w:t>2</w:t>
      </w:r>
    </w:p>
    <w:p w14:paraId="16BB5016" w14:textId="77777777" w:rsidR="00005E12" w:rsidRPr="00D80B40" w:rsidRDefault="00005E12" w:rsidP="00005E12">
      <w:pPr>
        <w:pStyle w:val="01cSubsubheader0"/>
        <w:numPr>
          <w:ilvl w:val="0"/>
          <w:numId w:val="0"/>
        </w:numPr>
        <w:ind w:left="709"/>
      </w:pPr>
    </w:p>
    <w:tbl>
      <w:tblPr>
        <w:tblW w:w="10632" w:type="dxa"/>
        <w:tblInd w:w="-142" w:type="dxa"/>
        <w:shd w:val="clear" w:color="auto" w:fill="DAEEF3" w:themeFill="accent5" w:themeFillTint="33"/>
        <w:tblLayout w:type="fixed"/>
        <w:tblLook w:val="0000" w:firstRow="0" w:lastRow="0" w:firstColumn="0" w:lastColumn="0" w:noHBand="0" w:noVBand="0"/>
      </w:tblPr>
      <w:tblGrid>
        <w:gridCol w:w="4111"/>
        <w:gridCol w:w="993"/>
        <w:gridCol w:w="2126"/>
        <w:gridCol w:w="1701"/>
        <w:gridCol w:w="1701"/>
      </w:tblGrid>
      <w:tr w:rsidR="00167866" w:rsidRPr="00E26D69" w14:paraId="78E966B9" w14:textId="77777777" w:rsidTr="008A1E15">
        <w:trPr>
          <w:trHeight w:val="943"/>
        </w:trPr>
        <w:tc>
          <w:tcPr>
            <w:tcW w:w="4111" w:type="dxa"/>
          </w:tcPr>
          <w:p w14:paraId="0AE655B4" w14:textId="77777777" w:rsidR="00E26D69" w:rsidRPr="00D80B40" w:rsidRDefault="00E26D69" w:rsidP="003F7EAF">
            <w:pPr>
              <w:rPr>
                <w:rFonts w:ascii="Arial" w:hAnsi="Arial" w:cs="Arial"/>
              </w:rPr>
            </w:pPr>
          </w:p>
        </w:tc>
        <w:tc>
          <w:tcPr>
            <w:tcW w:w="993" w:type="dxa"/>
            <w:noWrap/>
            <w:vAlign w:val="bottom"/>
          </w:tcPr>
          <w:p w14:paraId="41728D6B" w14:textId="26F81146" w:rsidR="00E26D69" w:rsidRPr="00D80B40" w:rsidRDefault="00E26D69" w:rsidP="00B66DF2">
            <w:pPr>
              <w:ind w:left="-416" w:firstLine="416"/>
              <w:jc w:val="center"/>
              <w:rPr>
                <w:rFonts w:ascii="Arial" w:hAnsi="Arial" w:cs="Arial"/>
                <w:b/>
                <w:bCs/>
              </w:rPr>
            </w:pPr>
          </w:p>
        </w:tc>
        <w:tc>
          <w:tcPr>
            <w:tcW w:w="2126" w:type="dxa"/>
            <w:shd w:val="clear" w:color="auto" w:fill="EAF1DD" w:themeFill="accent3" w:themeFillTint="33"/>
            <w:vAlign w:val="bottom"/>
          </w:tcPr>
          <w:p w14:paraId="183D3CE9" w14:textId="77777777" w:rsidR="00E26D69" w:rsidRDefault="00E26D69" w:rsidP="009A5B17">
            <w:pPr>
              <w:jc w:val="right"/>
              <w:rPr>
                <w:rFonts w:ascii="Arial" w:hAnsi="Arial" w:cs="Arial"/>
                <w:b/>
                <w:bCs/>
              </w:rPr>
            </w:pPr>
            <w:r w:rsidRPr="00D80B40">
              <w:rPr>
                <w:rFonts w:ascii="Arial" w:hAnsi="Arial" w:cs="Arial"/>
                <w:b/>
                <w:bCs/>
              </w:rPr>
              <w:t>Comprehensive net expenditure reserve</w:t>
            </w:r>
          </w:p>
          <w:p w14:paraId="62A81018" w14:textId="022D2050" w:rsidR="00E26D69" w:rsidRPr="00D80B40" w:rsidRDefault="00E26D69" w:rsidP="009A5B17">
            <w:pPr>
              <w:jc w:val="right"/>
              <w:rPr>
                <w:rFonts w:ascii="Arial" w:hAnsi="Arial" w:cs="Arial"/>
                <w:b/>
                <w:bCs/>
              </w:rPr>
            </w:pPr>
          </w:p>
        </w:tc>
        <w:tc>
          <w:tcPr>
            <w:tcW w:w="1701" w:type="dxa"/>
            <w:shd w:val="clear" w:color="auto" w:fill="EAF1DD" w:themeFill="accent3" w:themeFillTint="33"/>
            <w:vAlign w:val="bottom"/>
          </w:tcPr>
          <w:p w14:paraId="0F5462E1" w14:textId="77777777" w:rsidR="00E26D69" w:rsidRDefault="00E26D69" w:rsidP="009A5B17">
            <w:pPr>
              <w:jc w:val="right"/>
              <w:rPr>
                <w:rFonts w:ascii="Arial" w:hAnsi="Arial" w:cs="Arial"/>
                <w:b/>
                <w:bCs/>
              </w:rPr>
            </w:pPr>
            <w:r w:rsidRPr="00D80B40">
              <w:rPr>
                <w:rFonts w:ascii="Arial" w:hAnsi="Arial" w:cs="Arial"/>
                <w:b/>
                <w:bCs/>
              </w:rPr>
              <w:t>Revaluation reserve</w:t>
            </w:r>
          </w:p>
          <w:p w14:paraId="5B3AF41C" w14:textId="77777777" w:rsidR="00980A37" w:rsidRDefault="00980A37" w:rsidP="009A5B17">
            <w:pPr>
              <w:jc w:val="right"/>
              <w:rPr>
                <w:rFonts w:ascii="Arial" w:hAnsi="Arial" w:cs="Arial"/>
                <w:b/>
                <w:bCs/>
              </w:rPr>
            </w:pPr>
          </w:p>
          <w:p w14:paraId="647E5AD5" w14:textId="005671B2" w:rsidR="00E26D69" w:rsidRPr="00D80B40" w:rsidRDefault="00E26D69" w:rsidP="009A5B17">
            <w:pPr>
              <w:jc w:val="right"/>
              <w:rPr>
                <w:rFonts w:ascii="Arial" w:hAnsi="Arial" w:cs="Arial"/>
                <w:b/>
                <w:bCs/>
              </w:rPr>
            </w:pPr>
          </w:p>
        </w:tc>
        <w:tc>
          <w:tcPr>
            <w:tcW w:w="1701" w:type="dxa"/>
            <w:shd w:val="clear" w:color="auto" w:fill="EAF1DD" w:themeFill="accent3" w:themeFillTint="33"/>
            <w:vAlign w:val="bottom"/>
          </w:tcPr>
          <w:p w14:paraId="2C2F0C5B" w14:textId="787248F7" w:rsidR="00984509" w:rsidRDefault="00E26D69" w:rsidP="009A5B17">
            <w:pPr>
              <w:jc w:val="right"/>
              <w:rPr>
                <w:rFonts w:ascii="Arial" w:hAnsi="Arial" w:cs="Arial"/>
                <w:b/>
                <w:bCs/>
              </w:rPr>
            </w:pPr>
            <w:r w:rsidRPr="00D80B40">
              <w:rPr>
                <w:rFonts w:ascii="Arial" w:hAnsi="Arial" w:cs="Arial"/>
                <w:b/>
                <w:bCs/>
              </w:rPr>
              <w:t>Total year to 31 March 202</w:t>
            </w:r>
            <w:r w:rsidR="003921C6">
              <w:rPr>
                <w:rFonts w:ascii="Arial" w:hAnsi="Arial" w:cs="Arial"/>
                <w:b/>
                <w:bCs/>
              </w:rPr>
              <w:t>2</w:t>
            </w:r>
          </w:p>
          <w:p w14:paraId="5E6F8FB8" w14:textId="7FB3B4E1" w:rsidR="00984509" w:rsidRPr="00E26D69" w:rsidRDefault="00984509" w:rsidP="009A5B17">
            <w:pPr>
              <w:jc w:val="right"/>
              <w:rPr>
                <w:rFonts w:ascii="Arial" w:hAnsi="Arial" w:cs="Arial"/>
                <w:b/>
                <w:bCs/>
              </w:rPr>
            </w:pPr>
          </w:p>
        </w:tc>
      </w:tr>
      <w:tr w:rsidR="00167866" w:rsidRPr="00E26D69" w14:paraId="73E51EDA" w14:textId="77777777" w:rsidTr="008A1E15">
        <w:trPr>
          <w:trHeight w:val="454"/>
        </w:trPr>
        <w:tc>
          <w:tcPr>
            <w:tcW w:w="4111" w:type="dxa"/>
          </w:tcPr>
          <w:p w14:paraId="2D16C217" w14:textId="77777777" w:rsidR="00E26D69" w:rsidRPr="00E26D69" w:rsidRDefault="00E26D69" w:rsidP="003F7EAF">
            <w:pPr>
              <w:rPr>
                <w:rFonts w:ascii="Arial" w:hAnsi="Arial" w:cs="Arial"/>
              </w:rPr>
            </w:pPr>
          </w:p>
        </w:tc>
        <w:tc>
          <w:tcPr>
            <w:tcW w:w="993" w:type="dxa"/>
            <w:noWrap/>
            <w:vAlign w:val="bottom"/>
          </w:tcPr>
          <w:p w14:paraId="5D20C1FF" w14:textId="7B708700" w:rsidR="00E26D69" w:rsidRPr="004709A5" w:rsidRDefault="004709A5" w:rsidP="009A5B17">
            <w:pPr>
              <w:jc w:val="center"/>
              <w:rPr>
                <w:rFonts w:ascii="Arial" w:hAnsi="Arial" w:cs="Arial"/>
                <w:b/>
                <w:bCs/>
              </w:rPr>
            </w:pPr>
            <w:r w:rsidRPr="004709A5">
              <w:rPr>
                <w:rFonts w:ascii="Arial" w:hAnsi="Arial" w:cs="Arial"/>
                <w:b/>
                <w:bCs/>
              </w:rPr>
              <w:t>Notes</w:t>
            </w:r>
          </w:p>
        </w:tc>
        <w:tc>
          <w:tcPr>
            <w:tcW w:w="2126" w:type="dxa"/>
            <w:shd w:val="clear" w:color="auto" w:fill="EAF1DD" w:themeFill="accent3" w:themeFillTint="33"/>
            <w:vAlign w:val="bottom"/>
          </w:tcPr>
          <w:p w14:paraId="4CBF4514" w14:textId="77777777" w:rsidR="00E26D69" w:rsidRPr="00E26D69" w:rsidRDefault="00E26D69" w:rsidP="009A5B17">
            <w:pPr>
              <w:jc w:val="right"/>
              <w:rPr>
                <w:rFonts w:ascii="Arial" w:hAnsi="Arial" w:cs="Arial"/>
                <w:b/>
                <w:bCs/>
              </w:rPr>
            </w:pPr>
            <w:r w:rsidRPr="00E26D69">
              <w:rPr>
                <w:rFonts w:ascii="Arial" w:hAnsi="Arial" w:cs="Arial"/>
                <w:b/>
                <w:bCs/>
              </w:rPr>
              <w:t xml:space="preserve"> £’000</w:t>
            </w:r>
          </w:p>
        </w:tc>
        <w:tc>
          <w:tcPr>
            <w:tcW w:w="1701" w:type="dxa"/>
            <w:shd w:val="clear" w:color="auto" w:fill="EAF1DD" w:themeFill="accent3" w:themeFillTint="33"/>
            <w:vAlign w:val="bottom"/>
          </w:tcPr>
          <w:p w14:paraId="60C9EA41" w14:textId="77777777" w:rsidR="00E26D69" w:rsidRPr="00E26D69" w:rsidRDefault="00E26D69" w:rsidP="009A5B17">
            <w:pPr>
              <w:jc w:val="right"/>
              <w:rPr>
                <w:rFonts w:ascii="Arial" w:hAnsi="Arial" w:cs="Arial"/>
                <w:b/>
                <w:bCs/>
              </w:rPr>
            </w:pPr>
            <w:r w:rsidRPr="00E26D69">
              <w:rPr>
                <w:rFonts w:ascii="Arial" w:hAnsi="Arial" w:cs="Arial"/>
                <w:b/>
                <w:bCs/>
              </w:rPr>
              <w:t>£’000</w:t>
            </w:r>
          </w:p>
        </w:tc>
        <w:tc>
          <w:tcPr>
            <w:tcW w:w="1701" w:type="dxa"/>
            <w:shd w:val="clear" w:color="auto" w:fill="EAF1DD" w:themeFill="accent3" w:themeFillTint="33"/>
            <w:vAlign w:val="bottom"/>
          </w:tcPr>
          <w:p w14:paraId="3D2C9F39" w14:textId="77777777" w:rsidR="00E26D69" w:rsidRPr="00E26D69" w:rsidRDefault="00E26D69" w:rsidP="009A5B17">
            <w:pPr>
              <w:jc w:val="right"/>
              <w:rPr>
                <w:rFonts w:ascii="Arial" w:hAnsi="Arial" w:cs="Arial"/>
                <w:b/>
                <w:bCs/>
              </w:rPr>
            </w:pPr>
            <w:r w:rsidRPr="00E26D69">
              <w:rPr>
                <w:rFonts w:ascii="Arial" w:hAnsi="Arial" w:cs="Arial"/>
                <w:b/>
                <w:bCs/>
              </w:rPr>
              <w:t>£’000</w:t>
            </w:r>
          </w:p>
        </w:tc>
      </w:tr>
      <w:tr w:rsidR="00167866" w:rsidRPr="00E26D69" w14:paraId="10EC41BE" w14:textId="77777777" w:rsidTr="008A1E15">
        <w:trPr>
          <w:trHeight w:val="454"/>
        </w:trPr>
        <w:tc>
          <w:tcPr>
            <w:tcW w:w="4111" w:type="dxa"/>
            <w:vAlign w:val="bottom"/>
          </w:tcPr>
          <w:p w14:paraId="37DD8689" w14:textId="03AC0928" w:rsidR="00E26D69" w:rsidRPr="00E26D69" w:rsidRDefault="00E26D69" w:rsidP="009A5B17">
            <w:pPr>
              <w:ind w:left="34"/>
              <w:rPr>
                <w:rFonts w:ascii="Arial" w:hAnsi="Arial" w:cs="Arial"/>
              </w:rPr>
            </w:pPr>
            <w:r w:rsidRPr="00E26D69">
              <w:rPr>
                <w:rFonts w:ascii="Arial" w:hAnsi="Arial" w:cs="Arial"/>
              </w:rPr>
              <w:t>Balance at 1 April 20</w:t>
            </w:r>
            <w:r w:rsidR="00E37534">
              <w:rPr>
                <w:rFonts w:ascii="Arial" w:hAnsi="Arial" w:cs="Arial"/>
              </w:rPr>
              <w:t>20</w:t>
            </w:r>
          </w:p>
        </w:tc>
        <w:tc>
          <w:tcPr>
            <w:tcW w:w="993" w:type="dxa"/>
            <w:noWrap/>
            <w:vAlign w:val="bottom"/>
          </w:tcPr>
          <w:p w14:paraId="487EFAA1" w14:textId="5C29B29F" w:rsidR="00E26D69" w:rsidRPr="00E26D69" w:rsidRDefault="00A52962" w:rsidP="009A5B17">
            <w:pPr>
              <w:jc w:val="center"/>
              <w:rPr>
                <w:rFonts w:ascii="Arial" w:hAnsi="Arial" w:cs="Arial"/>
              </w:rPr>
            </w:pPr>
            <w:r>
              <w:rPr>
                <w:rFonts w:ascii="Arial" w:hAnsi="Arial" w:cs="Arial"/>
              </w:rPr>
              <w:t>-</w:t>
            </w:r>
          </w:p>
        </w:tc>
        <w:tc>
          <w:tcPr>
            <w:tcW w:w="2126" w:type="dxa"/>
            <w:shd w:val="clear" w:color="auto" w:fill="EAF1DD" w:themeFill="accent3" w:themeFillTint="33"/>
            <w:vAlign w:val="bottom"/>
          </w:tcPr>
          <w:p w14:paraId="4A61C98E" w14:textId="0DCDE3E1" w:rsidR="00E26D69" w:rsidRPr="00E26D69" w:rsidRDefault="00257E28" w:rsidP="00C63492">
            <w:pPr>
              <w:ind w:right="8"/>
              <w:jc w:val="right"/>
              <w:rPr>
                <w:rFonts w:ascii="Arial" w:hAnsi="Arial" w:cs="Arial"/>
              </w:rPr>
            </w:pPr>
            <w:r>
              <w:rPr>
                <w:rFonts w:ascii="Arial" w:hAnsi="Arial" w:cs="Arial"/>
              </w:rPr>
              <w:t>(178,036)</w:t>
            </w:r>
          </w:p>
        </w:tc>
        <w:tc>
          <w:tcPr>
            <w:tcW w:w="1701" w:type="dxa"/>
            <w:shd w:val="clear" w:color="auto" w:fill="EAF1DD" w:themeFill="accent3" w:themeFillTint="33"/>
            <w:vAlign w:val="bottom"/>
          </w:tcPr>
          <w:p w14:paraId="247E28F9" w14:textId="2B57DCF1" w:rsidR="00E26D69" w:rsidRPr="00E26D69" w:rsidRDefault="00257E28" w:rsidP="00C63492">
            <w:pPr>
              <w:jc w:val="right"/>
              <w:rPr>
                <w:rFonts w:ascii="Arial" w:hAnsi="Arial" w:cs="Arial"/>
              </w:rPr>
            </w:pPr>
            <w:r>
              <w:rPr>
                <w:rFonts w:ascii="Arial" w:hAnsi="Arial" w:cs="Arial"/>
              </w:rPr>
              <w:t>16,488</w:t>
            </w:r>
          </w:p>
        </w:tc>
        <w:tc>
          <w:tcPr>
            <w:tcW w:w="1701" w:type="dxa"/>
            <w:shd w:val="clear" w:color="auto" w:fill="EAF1DD" w:themeFill="accent3" w:themeFillTint="33"/>
            <w:vAlign w:val="bottom"/>
          </w:tcPr>
          <w:p w14:paraId="16F6B0E0" w14:textId="76E9E7A8" w:rsidR="00E26D69" w:rsidRPr="00E26D69" w:rsidRDefault="00257E28" w:rsidP="00C63492">
            <w:pPr>
              <w:ind w:right="8"/>
              <w:jc w:val="right"/>
              <w:rPr>
                <w:rFonts w:ascii="Arial" w:hAnsi="Arial" w:cs="Arial"/>
              </w:rPr>
            </w:pPr>
            <w:r>
              <w:rPr>
                <w:rFonts w:ascii="Arial" w:hAnsi="Arial" w:cs="Arial"/>
              </w:rPr>
              <w:t>(161,548)</w:t>
            </w:r>
          </w:p>
        </w:tc>
      </w:tr>
      <w:tr w:rsidR="00167866" w:rsidRPr="00E26D69" w14:paraId="1D086C1B" w14:textId="77777777" w:rsidTr="008A1E15">
        <w:trPr>
          <w:trHeight w:val="454"/>
        </w:trPr>
        <w:tc>
          <w:tcPr>
            <w:tcW w:w="4111" w:type="dxa"/>
            <w:vAlign w:val="bottom"/>
          </w:tcPr>
          <w:p w14:paraId="52A2CA9F" w14:textId="77777777" w:rsidR="00E26D69" w:rsidRPr="00E26D69" w:rsidRDefault="00E26D69" w:rsidP="009A5B17">
            <w:pPr>
              <w:ind w:left="34"/>
              <w:rPr>
                <w:rFonts w:ascii="Arial" w:hAnsi="Arial" w:cs="Arial"/>
              </w:rPr>
            </w:pPr>
            <w:r w:rsidRPr="00E26D69">
              <w:rPr>
                <w:rFonts w:ascii="Arial" w:hAnsi="Arial" w:cs="Arial"/>
              </w:rPr>
              <w:t>Grant from sponsoring department</w:t>
            </w:r>
          </w:p>
        </w:tc>
        <w:tc>
          <w:tcPr>
            <w:tcW w:w="993" w:type="dxa"/>
            <w:noWrap/>
            <w:vAlign w:val="bottom"/>
          </w:tcPr>
          <w:p w14:paraId="4A44233B" w14:textId="14F609BD" w:rsidR="00E26D69" w:rsidRPr="009C53A6" w:rsidRDefault="00455CC3" w:rsidP="009A5B17">
            <w:pPr>
              <w:jc w:val="center"/>
              <w:rPr>
                <w:rFonts w:ascii="Arial" w:hAnsi="Arial" w:cs="Arial"/>
              </w:rPr>
            </w:pPr>
            <w:hyperlink w:anchor="Note20GrantinAidfunding" w:history="1">
              <w:r w:rsidRPr="006714FF">
                <w:rPr>
                  <w:rStyle w:val="Hyperlink"/>
                  <w:rFonts w:ascii="Arial" w:hAnsi="Arial" w:cs="Arial"/>
                </w:rPr>
                <w:t>20</w:t>
              </w:r>
            </w:hyperlink>
          </w:p>
        </w:tc>
        <w:tc>
          <w:tcPr>
            <w:tcW w:w="2126" w:type="dxa"/>
            <w:shd w:val="clear" w:color="auto" w:fill="EAF1DD" w:themeFill="accent3" w:themeFillTint="33"/>
            <w:vAlign w:val="bottom"/>
          </w:tcPr>
          <w:p w14:paraId="330876BC" w14:textId="396148EC" w:rsidR="00E26D69" w:rsidRPr="00E26D69" w:rsidRDefault="005524B9" w:rsidP="00C63492">
            <w:pPr>
              <w:ind w:right="8"/>
              <w:jc w:val="right"/>
              <w:rPr>
                <w:rFonts w:ascii="Arial" w:hAnsi="Arial" w:cs="Arial"/>
              </w:rPr>
            </w:pPr>
            <w:r>
              <w:rPr>
                <w:rFonts w:ascii="Arial" w:hAnsi="Arial" w:cs="Arial"/>
              </w:rPr>
              <w:t>41,815</w:t>
            </w:r>
          </w:p>
        </w:tc>
        <w:tc>
          <w:tcPr>
            <w:tcW w:w="1701" w:type="dxa"/>
            <w:shd w:val="clear" w:color="auto" w:fill="EAF1DD" w:themeFill="accent3" w:themeFillTint="33"/>
            <w:vAlign w:val="bottom"/>
          </w:tcPr>
          <w:p w14:paraId="66BFDE24" w14:textId="076181CF" w:rsidR="00E26D69" w:rsidRPr="00E26D69" w:rsidRDefault="002D79A4" w:rsidP="00C63492">
            <w:pPr>
              <w:jc w:val="right"/>
              <w:rPr>
                <w:rFonts w:ascii="Arial" w:hAnsi="Arial" w:cs="Arial"/>
              </w:rPr>
            </w:pPr>
            <w:r>
              <w:rPr>
                <w:rFonts w:ascii="Arial" w:hAnsi="Arial" w:cs="Arial"/>
              </w:rPr>
              <w:t>-</w:t>
            </w:r>
          </w:p>
        </w:tc>
        <w:tc>
          <w:tcPr>
            <w:tcW w:w="1701" w:type="dxa"/>
            <w:shd w:val="clear" w:color="auto" w:fill="EAF1DD" w:themeFill="accent3" w:themeFillTint="33"/>
            <w:vAlign w:val="bottom"/>
          </w:tcPr>
          <w:p w14:paraId="69B9EEBB" w14:textId="0EF52FF9" w:rsidR="00E26D69" w:rsidRPr="00E26D69" w:rsidRDefault="005524B9" w:rsidP="00C63492">
            <w:pPr>
              <w:ind w:right="8"/>
              <w:jc w:val="right"/>
              <w:rPr>
                <w:rFonts w:ascii="Arial" w:hAnsi="Arial" w:cs="Arial"/>
              </w:rPr>
            </w:pPr>
            <w:r>
              <w:rPr>
                <w:rFonts w:ascii="Arial" w:hAnsi="Arial" w:cs="Arial"/>
              </w:rPr>
              <w:t>41,815</w:t>
            </w:r>
          </w:p>
        </w:tc>
      </w:tr>
      <w:tr w:rsidR="00167866" w:rsidRPr="00E26D69" w14:paraId="6559F69C" w14:textId="77777777" w:rsidTr="008A1E15">
        <w:trPr>
          <w:trHeight w:val="454"/>
        </w:trPr>
        <w:tc>
          <w:tcPr>
            <w:tcW w:w="4111" w:type="dxa"/>
            <w:vAlign w:val="bottom"/>
          </w:tcPr>
          <w:p w14:paraId="6727F80F" w14:textId="77777777" w:rsidR="00E26D69" w:rsidRPr="00E26D69" w:rsidRDefault="00E26D69" w:rsidP="009A5B17">
            <w:pPr>
              <w:ind w:left="34"/>
              <w:rPr>
                <w:rFonts w:ascii="Arial" w:hAnsi="Arial" w:cs="Arial"/>
              </w:rPr>
            </w:pPr>
            <w:r w:rsidRPr="00E26D69">
              <w:rPr>
                <w:rFonts w:ascii="Arial" w:hAnsi="Arial" w:cs="Arial"/>
              </w:rPr>
              <w:t>Net expenditure for the year</w:t>
            </w:r>
          </w:p>
        </w:tc>
        <w:tc>
          <w:tcPr>
            <w:tcW w:w="993" w:type="dxa"/>
            <w:noWrap/>
            <w:vAlign w:val="bottom"/>
          </w:tcPr>
          <w:p w14:paraId="036456C2" w14:textId="5C627F95" w:rsidR="00E26D69" w:rsidRPr="009C53A6" w:rsidRDefault="00A52962" w:rsidP="009A5B17">
            <w:pPr>
              <w:jc w:val="center"/>
              <w:rPr>
                <w:rFonts w:ascii="Arial" w:hAnsi="Arial" w:cs="Arial"/>
              </w:rPr>
            </w:pPr>
            <w:r w:rsidRPr="009C53A6">
              <w:rPr>
                <w:rFonts w:ascii="Arial" w:hAnsi="Arial" w:cs="Arial"/>
              </w:rPr>
              <w:t>-</w:t>
            </w:r>
          </w:p>
        </w:tc>
        <w:tc>
          <w:tcPr>
            <w:tcW w:w="2126" w:type="dxa"/>
            <w:shd w:val="clear" w:color="auto" w:fill="EAF1DD" w:themeFill="accent3" w:themeFillTint="33"/>
            <w:vAlign w:val="bottom"/>
          </w:tcPr>
          <w:p w14:paraId="3B60F4E4" w14:textId="093D255A" w:rsidR="00E26D69" w:rsidRPr="00E26D69" w:rsidRDefault="00204593" w:rsidP="00C63492">
            <w:pPr>
              <w:ind w:right="8"/>
              <w:jc w:val="right"/>
              <w:rPr>
                <w:rFonts w:ascii="Arial" w:hAnsi="Arial" w:cs="Arial"/>
              </w:rPr>
            </w:pPr>
            <w:r>
              <w:rPr>
                <w:rFonts w:ascii="Arial" w:hAnsi="Arial" w:cs="Arial"/>
              </w:rPr>
              <w:t>(57,22</w:t>
            </w:r>
            <w:r w:rsidR="004B292B">
              <w:rPr>
                <w:rFonts w:ascii="Arial" w:hAnsi="Arial" w:cs="Arial"/>
              </w:rPr>
              <w:t>2</w:t>
            </w:r>
            <w:r>
              <w:rPr>
                <w:rFonts w:ascii="Arial" w:hAnsi="Arial" w:cs="Arial"/>
              </w:rPr>
              <w:t>)</w:t>
            </w:r>
          </w:p>
        </w:tc>
        <w:tc>
          <w:tcPr>
            <w:tcW w:w="1701" w:type="dxa"/>
            <w:shd w:val="clear" w:color="auto" w:fill="EAF1DD" w:themeFill="accent3" w:themeFillTint="33"/>
            <w:vAlign w:val="bottom"/>
          </w:tcPr>
          <w:p w14:paraId="119FB34F" w14:textId="42BD8950" w:rsidR="00E26D69" w:rsidRPr="00E26D69" w:rsidRDefault="002D79A4" w:rsidP="00C63492">
            <w:pPr>
              <w:jc w:val="right"/>
              <w:rPr>
                <w:rFonts w:ascii="Arial" w:hAnsi="Arial" w:cs="Arial"/>
              </w:rPr>
            </w:pPr>
            <w:r>
              <w:rPr>
                <w:rFonts w:ascii="Arial" w:hAnsi="Arial" w:cs="Arial"/>
              </w:rPr>
              <w:t>-</w:t>
            </w:r>
          </w:p>
        </w:tc>
        <w:tc>
          <w:tcPr>
            <w:tcW w:w="1701" w:type="dxa"/>
            <w:shd w:val="clear" w:color="auto" w:fill="EAF1DD" w:themeFill="accent3" w:themeFillTint="33"/>
            <w:vAlign w:val="bottom"/>
          </w:tcPr>
          <w:p w14:paraId="36AEA76E" w14:textId="5A0F23DE" w:rsidR="00E26D69" w:rsidRPr="00E26D69" w:rsidRDefault="00204593" w:rsidP="00C63492">
            <w:pPr>
              <w:ind w:right="8"/>
              <w:jc w:val="right"/>
              <w:rPr>
                <w:rFonts w:ascii="Arial" w:hAnsi="Arial" w:cs="Arial"/>
              </w:rPr>
            </w:pPr>
            <w:r>
              <w:rPr>
                <w:rFonts w:ascii="Arial" w:hAnsi="Arial" w:cs="Arial"/>
              </w:rPr>
              <w:t>(57,22</w:t>
            </w:r>
            <w:r w:rsidR="004B292B">
              <w:rPr>
                <w:rFonts w:ascii="Arial" w:hAnsi="Arial" w:cs="Arial"/>
              </w:rPr>
              <w:t>2</w:t>
            </w:r>
            <w:r>
              <w:rPr>
                <w:rFonts w:ascii="Arial" w:hAnsi="Arial" w:cs="Arial"/>
              </w:rPr>
              <w:t>)</w:t>
            </w:r>
          </w:p>
        </w:tc>
      </w:tr>
      <w:tr w:rsidR="00167866" w:rsidRPr="00E26D69" w14:paraId="717C12D5" w14:textId="77777777" w:rsidTr="008A1E15">
        <w:trPr>
          <w:trHeight w:val="454"/>
        </w:trPr>
        <w:tc>
          <w:tcPr>
            <w:tcW w:w="4111" w:type="dxa"/>
            <w:vAlign w:val="bottom"/>
          </w:tcPr>
          <w:p w14:paraId="4BBDA3C1" w14:textId="77777777" w:rsidR="00E26D69" w:rsidRPr="00E26D69" w:rsidRDefault="00E26D69" w:rsidP="009A5B17">
            <w:pPr>
              <w:ind w:left="34"/>
              <w:rPr>
                <w:rFonts w:ascii="Arial" w:hAnsi="Arial" w:cs="Arial"/>
              </w:rPr>
            </w:pPr>
            <w:r w:rsidRPr="00E26D69">
              <w:rPr>
                <w:rFonts w:ascii="Arial" w:hAnsi="Arial" w:cs="Arial"/>
              </w:rPr>
              <w:t>Total of pension re-measurements</w:t>
            </w:r>
          </w:p>
        </w:tc>
        <w:tc>
          <w:tcPr>
            <w:tcW w:w="993" w:type="dxa"/>
            <w:noWrap/>
            <w:vAlign w:val="bottom"/>
          </w:tcPr>
          <w:p w14:paraId="454008B7" w14:textId="4646A19A" w:rsidR="00E26D69" w:rsidRPr="009C53A6" w:rsidRDefault="00734224" w:rsidP="009A5B17">
            <w:pPr>
              <w:jc w:val="center"/>
              <w:rPr>
                <w:rFonts w:ascii="Arial" w:hAnsi="Arial" w:cs="Arial"/>
              </w:rPr>
            </w:pPr>
            <w:hyperlink w:anchor="Note15IAS19Pensionassetandliabilities" w:history="1">
              <w:r w:rsidRPr="006714FF">
                <w:rPr>
                  <w:rStyle w:val="Hyperlink"/>
                  <w:rFonts w:ascii="Arial" w:hAnsi="Arial" w:cs="Arial"/>
                </w:rPr>
                <w:t>1</w:t>
              </w:r>
              <w:r w:rsidR="00D335DD" w:rsidRPr="006714FF">
                <w:rPr>
                  <w:rStyle w:val="Hyperlink"/>
                  <w:rFonts w:ascii="Arial" w:hAnsi="Arial" w:cs="Arial"/>
                </w:rPr>
                <w:t>5</w:t>
              </w:r>
            </w:hyperlink>
          </w:p>
        </w:tc>
        <w:tc>
          <w:tcPr>
            <w:tcW w:w="2126" w:type="dxa"/>
            <w:shd w:val="clear" w:color="auto" w:fill="EAF1DD" w:themeFill="accent3" w:themeFillTint="33"/>
            <w:vAlign w:val="bottom"/>
          </w:tcPr>
          <w:p w14:paraId="449B3A02" w14:textId="344A02B9" w:rsidR="00E26D69" w:rsidRPr="00E26D69" w:rsidRDefault="006F2542" w:rsidP="00C63492">
            <w:pPr>
              <w:ind w:right="8"/>
              <w:jc w:val="right"/>
              <w:rPr>
                <w:rFonts w:ascii="Arial" w:hAnsi="Arial" w:cs="Arial"/>
              </w:rPr>
            </w:pPr>
            <w:r>
              <w:rPr>
                <w:rFonts w:ascii="Arial" w:hAnsi="Arial" w:cs="Arial"/>
              </w:rPr>
              <w:t>88,659</w:t>
            </w:r>
          </w:p>
        </w:tc>
        <w:tc>
          <w:tcPr>
            <w:tcW w:w="1701" w:type="dxa"/>
            <w:shd w:val="clear" w:color="auto" w:fill="EAF1DD" w:themeFill="accent3" w:themeFillTint="33"/>
            <w:vAlign w:val="bottom"/>
          </w:tcPr>
          <w:p w14:paraId="120D3D4A" w14:textId="7C4994DB" w:rsidR="00E26D69" w:rsidRPr="00E26D69" w:rsidRDefault="002D79A4" w:rsidP="00C63492">
            <w:pPr>
              <w:jc w:val="right"/>
              <w:rPr>
                <w:rFonts w:ascii="Arial" w:hAnsi="Arial" w:cs="Arial"/>
              </w:rPr>
            </w:pPr>
            <w:r>
              <w:rPr>
                <w:rFonts w:ascii="Arial" w:hAnsi="Arial" w:cs="Arial"/>
              </w:rPr>
              <w:t>-</w:t>
            </w:r>
          </w:p>
        </w:tc>
        <w:tc>
          <w:tcPr>
            <w:tcW w:w="1701" w:type="dxa"/>
            <w:shd w:val="clear" w:color="auto" w:fill="EAF1DD" w:themeFill="accent3" w:themeFillTint="33"/>
            <w:vAlign w:val="bottom"/>
          </w:tcPr>
          <w:p w14:paraId="20F4FC34" w14:textId="18A4152B" w:rsidR="00E26D69" w:rsidRPr="00E26D69" w:rsidRDefault="008F03C3" w:rsidP="00C63492">
            <w:pPr>
              <w:ind w:right="8"/>
              <w:jc w:val="right"/>
              <w:rPr>
                <w:rFonts w:ascii="Arial" w:hAnsi="Arial" w:cs="Arial"/>
              </w:rPr>
            </w:pPr>
            <w:r>
              <w:rPr>
                <w:rFonts w:ascii="Arial" w:hAnsi="Arial" w:cs="Arial"/>
              </w:rPr>
              <w:t>88,659</w:t>
            </w:r>
          </w:p>
        </w:tc>
      </w:tr>
      <w:tr w:rsidR="00167866" w:rsidRPr="00E26D69" w14:paraId="79D79BB9" w14:textId="77777777" w:rsidTr="008A1E15">
        <w:trPr>
          <w:trHeight w:val="454"/>
        </w:trPr>
        <w:tc>
          <w:tcPr>
            <w:tcW w:w="4111" w:type="dxa"/>
            <w:vAlign w:val="bottom"/>
          </w:tcPr>
          <w:p w14:paraId="28883B49" w14:textId="1233D6A6" w:rsidR="005524B9" w:rsidRPr="00E26D69" w:rsidRDefault="006F2542" w:rsidP="009A5B17">
            <w:pPr>
              <w:ind w:left="34"/>
              <w:rPr>
                <w:rFonts w:ascii="Arial" w:hAnsi="Arial" w:cs="Arial"/>
              </w:rPr>
            </w:pPr>
            <w:r>
              <w:rPr>
                <w:rFonts w:ascii="Arial" w:hAnsi="Arial" w:cs="Arial"/>
              </w:rPr>
              <w:t xml:space="preserve">Disposal of </w:t>
            </w:r>
            <w:r w:rsidR="00A35828">
              <w:rPr>
                <w:rFonts w:ascii="Arial" w:hAnsi="Arial" w:cs="Arial"/>
              </w:rPr>
              <w:t>a</w:t>
            </w:r>
            <w:r>
              <w:rPr>
                <w:rFonts w:ascii="Arial" w:hAnsi="Arial" w:cs="Arial"/>
              </w:rPr>
              <w:t>ssets</w:t>
            </w:r>
          </w:p>
        </w:tc>
        <w:tc>
          <w:tcPr>
            <w:tcW w:w="993" w:type="dxa"/>
            <w:noWrap/>
            <w:vAlign w:val="bottom"/>
          </w:tcPr>
          <w:p w14:paraId="0D5727AE" w14:textId="2B2EB1EA" w:rsidR="005524B9" w:rsidRPr="009C53A6" w:rsidRDefault="006F2542" w:rsidP="009A5B17">
            <w:pPr>
              <w:jc w:val="center"/>
              <w:rPr>
                <w:rFonts w:ascii="Arial" w:hAnsi="Arial" w:cs="Arial"/>
              </w:rPr>
            </w:pPr>
            <w:hyperlink w:anchor="Note9noncurrentassets" w:history="1">
              <w:r w:rsidRPr="006714FF">
                <w:rPr>
                  <w:rStyle w:val="Hyperlink"/>
                  <w:rFonts w:ascii="Arial" w:hAnsi="Arial" w:cs="Arial"/>
                </w:rPr>
                <w:t>9</w:t>
              </w:r>
            </w:hyperlink>
          </w:p>
        </w:tc>
        <w:tc>
          <w:tcPr>
            <w:tcW w:w="2126" w:type="dxa"/>
            <w:shd w:val="clear" w:color="auto" w:fill="EAF1DD" w:themeFill="accent3" w:themeFillTint="33"/>
            <w:vAlign w:val="bottom"/>
          </w:tcPr>
          <w:p w14:paraId="6399EE9D" w14:textId="67455E0C" w:rsidR="005524B9" w:rsidRPr="00E26D69" w:rsidRDefault="006F2542" w:rsidP="00C63492">
            <w:pPr>
              <w:ind w:right="8"/>
              <w:jc w:val="right"/>
              <w:rPr>
                <w:rFonts w:ascii="Arial" w:hAnsi="Arial" w:cs="Arial"/>
              </w:rPr>
            </w:pPr>
            <w:r>
              <w:rPr>
                <w:rFonts w:ascii="Arial" w:hAnsi="Arial" w:cs="Arial"/>
              </w:rPr>
              <w:t>21</w:t>
            </w:r>
          </w:p>
        </w:tc>
        <w:tc>
          <w:tcPr>
            <w:tcW w:w="1701" w:type="dxa"/>
            <w:shd w:val="clear" w:color="auto" w:fill="EAF1DD" w:themeFill="accent3" w:themeFillTint="33"/>
            <w:vAlign w:val="bottom"/>
          </w:tcPr>
          <w:p w14:paraId="2363E3EA" w14:textId="5D332B9E" w:rsidR="005524B9" w:rsidRPr="00E26D69" w:rsidRDefault="006F2542" w:rsidP="00C63492">
            <w:pPr>
              <w:jc w:val="right"/>
              <w:rPr>
                <w:rFonts w:ascii="Arial" w:hAnsi="Arial" w:cs="Arial"/>
              </w:rPr>
            </w:pPr>
            <w:r>
              <w:rPr>
                <w:rFonts w:ascii="Arial" w:hAnsi="Arial" w:cs="Arial"/>
              </w:rPr>
              <w:t>(21)</w:t>
            </w:r>
          </w:p>
        </w:tc>
        <w:tc>
          <w:tcPr>
            <w:tcW w:w="1701" w:type="dxa"/>
            <w:shd w:val="clear" w:color="auto" w:fill="EAF1DD" w:themeFill="accent3" w:themeFillTint="33"/>
            <w:vAlign w:val="bottom"/>
          </w:tcPr>
          <w:p w14:paraId="4A2B4A8B" w14:textId="69CCD801" w:rsidR="005524B9" w:rsidRPr="00E26D69" w:rsidRDefault="008F03C3" w:rsidP="00C63492">
            <w:pPr>
              <w:ind w:right="8"/>
              <w:jc w:val="right"/>
              <w:rPr>
                <w:rFonts w:ascii="Arial" w:hAnsi="Arial" w:cs="Arial"/>
              </w:rPr>
            </w:pPr>
            <w:r>
              <w:rPr>
                <w:rFonts w:ascii="Arial" w:hAnsi="Arial" w:cs="Arial"/>
              </w:rPr>
              <w:t>0</w:t>
            </w:r>
          </w:p>
        </w:tc>
      </w:tr>
      <w:tr w:rsidR="00167866" w:rsidRPr="00E26D69" w14:paraId="4A25DB2D" w14:textId="77777777" w:rsidTr="008A1E15">
        <w:trPr>
          <w:trHeight w:val="454"/>
        </w:trPr>
        <w:tc>
          <w:tcPr>
            <w:tcW w:w="4111" w:type="dxa"/>
            <w:vAlign w:val="bottom"/>
          </w:tcPr>
          <w:p w14:paraId="39F49AA4" w14:textId="2D6AD335" w:rsidR="005524B9" w:rsidRPr="00E26D69" w:rsidRDefault="008F03C3" w:rsidP="009A5B17">
            <w:pPr>
              <w:ind w:left="34"/>
              <w:rPr>
                <w:rFonts w:ascii="Arial" w:hAnsi="Arial" w:cs="Arial"/>
              </w:rPr>
            </w:pPr>
            <w:r>
              <w:rPr>
                <w:rFonts w:ascii="Arial" w:hAnsi="Arial" w:cs="Arial"/>
              </w:rPr>
              <w:t>Assets opening balance adjustment</w:t>
            </w:r>
          </w:p>
        </w:tc>
        <w:tc>
          <w:tcPr>
            <w:tcW w:w="993" w:type="dxa"/>
            <w:noWrap/>
            <w:vAlign w:val="bottom"/>
          </w:tcPr>
          <w:p w14:paraId="77DD6110" w14:textId="77777777" w:rsidR="005524B9" w:rsidRPr="009C53A6" w:rsidRDefault="005524B9" w:rsidP="009A5B17">
            <w:pPr>
              <w:jc w:val="center"/>
              <w:rPr>
                <w:rFonts w:ascii="Arial" w:hAnsi="Arial" w:cs="Arial"/>
              </w:rPr>
            </w:pPr>
          </w:p>
        </w:tc>
        <w:tc>
          <w:tcPr>
            <w:tcW w:w="2126" w:type="dxa"/>
            <w:shd w:val="clear" w:color="auto" w:fill="EAF1DD" w:themeFill="accent3" w:themeFillTint="33"/>
            <w:vAlign w:val="bottom"/>
          </w:tcPr>
          <w:p w14:paraId="02E19AB4" w14:textId="763565CD" w:rsidR="005524B9" w:rsidRPr="00E26D69" w:rsidRDefault="008F03C3" w:rsidP="00C63492">
            <w:pPr>
              <w:ind w:right="8"/>
              <w:jc w:val="right"/>
              <w:rPr>
                <w:rFonts w:ascii="Arial" w:hAnsi="Arial" w:cs="Arial"/>
              </w:rPr>
            </w:pPr>
            <w:r>
              <w:rPr>
                <w:rFonts w:ascii="Arial" w:hAnsi="Arial" w:cs="Arial"/>
              </w:rPr>
              <w:t>7</w:t>
            </w:r>
          </w:p>
        </w:tc>
        <w:tc>
          <w:tcPr>
            <w:tcW w:w="1701" w:type="dxa"/>
            <w:shd w:val="clear" w:color="auto" w:fill="EAF1DD" w:themeFill="accent3" w:themeFillTint="33"/>
            <w:vAlign w:val="bottom"/>
          </w:tcPr>
          <w:p w14:paraId="23F8907B" w14:textId="734594A1" w:rsidR="005524B9" w:rsidRPr="00E26D69" w:rsidRDefault="008F03C3" w:rsidP="00C63492">
            <w:pPr>
              <w:jc w:val="right"/>
              <w:rPr>
                <w:rFonts w:ascii="Arial" w:hAnsi="Arial" w:cs="Arial"/>
              </w:rPr>
            </w:pPr>
            <w:r>
              <w:rPr>
                <w:rFonts w:ascii="Arial" w:hAnsi="Arial" w:cs="Arial"/>
              </w:rPr>
              <w:t>(7)</w:t>
            </w:r>
          </w:p>
        </w:tc>
        <w:tc>
          <w:tcPr>
            <w:tcW w:w="1701" w:type="dxa"/>
            <w:shd w:val="clear" w:color="auto" w:fill="EAF1DD" w:themeFill="accent3" w:themeFillTint="33"/>
            <w:vAlign w:val="bottom"/>
          </w:tcPr>
          <w:p w14:paraId="11CB9528" w14:textId="68CA828C" w:rsidR="005524B9" w:rsidRPr="00E26D69" w:rsidRDefault="008F03C3" w:rsidP="00C63492">
            <w:pPr>
              <w:ind w:right="8"/>
              <w:jc w:val="right"/>
              <w:rPr>
                <w:rFonts w:ascii="Arial" w:hAnsi="Arial" w:cs="Arial"/>
              </w:rPr>
            </w:pPr>
            <w:r>
              <w:rPr>
                <w:rFonts w:ascii="Arial" w:hAnsi="Arial" w:cs="Arial"/>
              </w:rPr>
              <w:t>0</w:t>
            </w:r>
          </w:p>
        </w:tc>
      </w:tr>
      <w:tr w:rsidR="00863090" w:rsidRPr="00E26D69" w14:paraId="2EFC1440" w14:textId="77777777" w:rsidTr="008A1E15">
        <w:trPr>
          <w:trHeight w:val="454"/>
        </w:trPr>
        <w:tc>
          <w:tcPr>
            <w:tcW w:w="4111" w:type="dxa"/>
            <w:vAlign w:val="bottom"/>
          </w:tcPr>
          <w:p w14:paraId="3FEB5B35" w14:textId="77777777" w:rsidR="00E26D69" w:rsidRPr="00E26D69" w:rsidRDefault="00E26D69" w:rsidP="009A5B17">
            <w:pPr>
              <w:ind w:left="34"/>
              <w:rPr>
                <w:rFonts w:ascii="Arial" w:hAnsi="Arial" w:cs="Arial"/>
              </w:rPr>
            </w:pPr>
            <w:r w:rsidRPr="00E26D69">
              <w:rPr>
                <w:rFonts w:ascii="Arial" w:hAnsi="Arial" w:cs="Arial"/>
              </w:rPr>
              <w:t>Revaluation of non-current assets</w:t>
            </w:r>
          </w:p>
        </w:tc>
        <w:tc>
          <w:tcPr>
            <w:tcW w:w="993" w:type="dxa"/>
            <w:noWrap/>
            <w:vAlign w:val="bottom"/>
          </w:tcPr>
          <w:p w14:paraId="4316D466" w14:textId="77B24A68" w:rsidR="00E26D69" w:rsidRPr="009C53A6" w:rsidRDefault="00734224" w:rsidP="009A5B17">
            <w:pPr>
              <w:jc w:val="center"/>
              <w:rPr>
                <w:rFonts w:ascii="Arial" w:hAnsi="Arial" w:cs="Arial"/>
              </w:rPr>
            </w:pPr>
            <w:hyperlink w:anchor="Note9noncurrentassets" w:history="1">
              <w:r w:rsidRPr="006714FF">
                <w:rPr>
                  <w:rStyle w:val="Hyperlink"/>
                  <w:rFonts w:ascii="Arial" w:hAnsi="Arial" w:cs="Arial"/>
                </w:rPr>
                <w:t>9</w:t>
              </w:r>
            </w:hyperlink>
          </w:p>
        </w:tc>
        <w:tc>
          <w:tcPr>
            <w:tcW w:w="2126" w:type="dxa"/>
            <w:tcBorders>
              <w:bottom w:val="single" w:sz="4" w:space="0" w:color="auto"/>
            </w:tcBorders>
            <w:shd w:val="clear" w:color="auto" w:fill="EAF1DD" w:themeFill="accent3" w:themeFillTint="33"/>
            <w:vAlign w:val="bottom"/>
          </w:tcPr>
          <w:p w14:paraId="5DDF2638" w14:textId="10EE40BB" w:rsidR="00E26D69" w:rsidRPr="00E26D69" w:rsidRDefault="00DD5778" w:rsidP="00C63492">
            <w:pPr>
              <w:jc w:val="right"/>
              <w:rPr>
                <w:rFonts w:ascii="Arial" w:hAnsi="Arial" w:cs="Arial"/>
              </w:rPr>
            </w:pPr>
            <w:r>
              <w:rPr>
                <w:rFonts w:ascii="Arial" w:hAnsi="Arial" w:cs="Arial"/>
              </w:rPr>
              <w:t>2</w:t>
            </w:r>
            <w:r w:rsidR="00AA670B">
              <w:rPr>
                <w:rFonts w:ascii="Arial" w:hAnsi="Arial" w:cs="Arial"/>
              </w:rPr>
              <w:t>83</w:t>
            </w:r>
          </w:p>
        </w:tc>
        <w:tc>
          <w:tcPr>
            <w:tcW w:w="1701" w:type="dxa"/>
            <w:tcBorders>
              <w:bottom w:val="single" w:sz="4" w:space="0" w:color="auto"/>
            </w:tcBorders>
            <w:shd w:val="clear" w:color="auto" w:fill="EAF1DD" w:themeFill="accent3" w:themeFillTint="33"/>
            <w:noWrap/>
            <w:vAlign w:val="bottom"/>
          </w:tcPr>
          <w:p w14:paraId="54CA1207" w14:textId="4BDC0807" w:rsidR="00E26D69" w:rsidRPr="00E26D69" w:rsidRDefault="00AA670B" w:rsidP="00C63492">
            <w:pPr>
              <w:jc w:val="right"/>
              <w:rPr>
                <w:rFonts w:ascii="Arial" w:hAnsi="Arial" w:cs="Arial"/>
              </w:rPr>
            </w:pPr>
            <w:r>
              <w:rPr>
                <w:rFonts w:ascii="Arial" w:hAnsi="Arial" w:cs="Arial"/>
              </w:rPr>
              <w:t>4,164</w:t>
            </w:r>
          </w:p>
        </w:tc>
        <w:tc>
          <w:tcPr>
            <w:tcW w:w="1701" w:type="dxa"/>
            <w:tcBorders>
              <w:bottom w:val="single" w:sz="4" w:space="0" w:color="auto"/>
            </w:tcBorders>
            <w:shd w:val="clear" w:color="auto" w:fill="EAF1DD" w:themeFill="accent3" w:themeFillTint="33"/>
            <w:vAlign w:val="bottom"/>
          </w:tcPr>
          <w:p w14:paraId="67226EA8" w14:textId="2F7B2BE4" w:rsidR="00E26D69" w:rsidRPr="00E26D69" w:rsidRDefault="00AA670B" w:rsidP="00C63492">
            <w:pPr>
              <w:jc w:val="right"/>
              <w:rPr>
                <w:rFonts w:ascii="Arial" w:hAnsi="Arial" w:cs="Arial"/>
              </w:rPr>
            </w:pPr>
            <w:r>
              <w:rPr>
                <w:rFonts w:ascii="Arial" w:hAnsi="Arial" w:cs="Arial"/>
              </w:rPr>
              <w:t>4,447</w:t>
            </w:r>
          </w:p>
        </w:tc>
      </w:tr>
      <w:tr w:rsidR="00863090" w:rsidRPr="001459A0" w14:paraId="15091A37" w14:textId="77777777" w:rsidTr="008A1E15">
        <w:trPr>
          <w:trHeight w:val="454"/>
        </w:trPr>
        <w:tc>
          <w:tcPr>
            <w:tcW w:w="4111" w:type="dxa"/>
            <w:vAlign w:val="bottom"/>
          </w:tcPr>
          <w:p w14:paraId="17A1A056" w14:textId="200F5ABB" w:rsidR="00E26D69" w:rsidRPr="00E26D69" w:rsidRDefault="00C90814" w:rsidP="009A5B17">
            <w:pPr>
              <w:ind w:left="34"/>
              <w:rPr>
                <w:rFonts w:ascii="Arial" w:hAnsi="Arial" w:cs="Arial"/>
                <w:b/>
              </w:rPr>
            </w:pPr>
            <w:r>
              <w:rPr>
                <w:rFonts w:ascii="Arial" w:hAnsi="Arial" w:cs="Arial"/>
                <w:b/>
              </w:rPr>
              <w:t>At</w:t>
            </w:r>
            <w:r w:rsidR="00E26D69" w:rsidRPr="00E26D69">
              <w:rPr>
                <w:rFonts w:ascii="Arial" w:hAnsi="Arial" w:cs="Arial"/>
                <w:b/>
              </w:rPr>
              <w:t xml:space="preserve"> 31 March 202</w:t>
            </w:r>
            <w:r w:rsidR="00DE44C0">
              <w:rPr>
                <w:rFonts w:ascii="Arial" w:hAnsi="Arial" w:cs="Arial"/>
                <w:b/>
              </w:rPr>
              <w:t>2</w:t>
            </w:r>
          </w:p>
        </w:tc>
        <w:tc>
          <w:tcPr>
            <w:tcW w:w="993" w:type="dxa"/>
            <w:noWrap/>
            <w:vAlign w:val="bottom"/>
          </w:tcPr>
          <w:p w14:paraId="2E90C8DA" w14:textId="77777777" w:rsidR="00E26D69" w:rsidRPr="00E26D69" w:rsidRDefault="00E26D69" w:rsidP="009A5B17">
            <w:pPr>
              <w:jc w:val="center"/>
              <w:rPr>
                <w:rFonts w:ascii="Arial" w:hAnsi="Arial" w:cs="Arial"/>
              </w:rPr>
            </w:pPr>
          </w:p>
        </w:tc>
        <w:tc>
          <w:tcPr>
            <w:tcW w:w="2126" w:type="dxa"/>
            <w:tcBorders>
              <w:top w:val="single" w:sz="4" w:space="0" w:color="auto"/>
              <w:bottom w:val="double" w:sz="4" w:space="0" w:color="auto"/>
            </w:tcBorders>
            <w:shd w:val="clear" w:color="auto" w:fill="EAF1DD" w:themeFill="accent3" w:themeFillTint="33"/>
            <w:vAlign w:val="bottom"/>
          </w:tcPr>
          <w:p w14:paraId="03762339" w14:textId="0C8B41F6" w:rsidR="00E26D69" w:rsidRPr="00E26D69" w:rsidRDefault="00DD5778" w:rsidP="00C63492">
            <w:pPr>
              <w:jc w:val="right"/>
              <w:rPr>
                <w:rFonts w:ascii="Arial" w:hAnsi="Arial" w:cs="Arial"/>
                <w:b/>
              </w:rPr>
            </w:pPr>
            <w:r>
              <w:rPr>
                <w:rFonts w:ascii="Arial" w:hAnsi="Arial" w:cs="Arial"/>
                <w:b/>
              </w:rPr>
              <w:t>(104,</w:t>
            </w:r>
            <w:r w:rsidR="00AA670B">
              <w:rPr>
                <w:rFonts w:ascii="Arial" w:hAnsi="Arial" w:cs="Arial"/>
                <w:b/>
              </w:rPr>
              <w:t>47</w:t>
            </w:r>
            <w:r w:rsidR="00835808">
              <w:rPr>
                <w:rFonts w:ascii="Arial" w:hAnsi="Arial" w:cs="Arial"/>
                <w:b/>
              </w:rPr>
              <w:t>3</w:t>
            </w:r>
            <w:r>
              <w:rPr>
                <w:rFonts w:ascii="Arial" w:hAnsi="Arial" w:cs="Arial"/>
                <w:b/>
              </w:rPr>
              <w:t>)</w:t>
            </w:r>
          </w:p>
        </w:tc>
        <w:tc>
          <w:tcPr>
            <w:tcW w:w="1701" w:type="dxa"/>
            <w:tcBorders>
              <w:top w:val="single" w:sz="4" w:space="0" w:color="auto"/>
              <w:bottom w:val="double" w:sz="4" w:space="0" w:color="auto"/>
            </w:tcBorders>
            <w:shd w:val="clear" w:color="auto" w:fill="EAF1DD" w:themeFill="accent3" w:themeFillTint="33"/>
            <w:noWrap/>
            <w:vAlign w:val="bottom"/>
          </w:tcPr>
          <w:p w14:paraId="6631F4E2" w14:textId="62BD00A8" w:rsidR="00E26D69" w:rsidRPr="00E26D69" w:rsidRDefault="00AA670B" w:rsidP="00C63492">
            <w:pPr>
              <w:jc w:val="right"/>
              <w:rPr>
                <w:rFonts w:ascii="Arial" w:hAnsi="Arial" w:cs="Arial"/>
                <w:b/>
              </w:rPr>
            </w:pPr>
            <w:r>
              <w:rPr>
                <w:rFonts w:ascii="Arial" w:hAnsi="Arial" w:cs="Arial"/>
                <w:b/>
              </w:rPr>
              <w:t>20</w:t>
            </w:r>
            <w:r w:rsidR="00DD5778">
              <w:rPr>
                <w:rFonts w:ascii="Arial" w:hAnsi="Arial" w:cs="Arial"/>
                <w:b/>
              </w:rPr>
              <w:t>,</w:t>
            </w:r>
            <w:r>
              <w:rPr>
                <w:rFonts w:ascii="Arial" w:hAnsi="Arial" w:cs="Arial"/>
                <w:b/>
              </w:rPr>
              <w:t>624</w:t>
            </w:r>
          </w:p>
        </w:tc>
        <w:tc>
          <w:tcPr>
            <w:tcW w:w="1701" w:type="dxa"/>
            <w:tcBorders>
              <w:top w:val="single" w:sz="4" w:space="0" w:color="auto"/>
              <w:bottom w:val="double" w:sz="4" w:space="0" w:color="auto"/>
            </w:tcBorders>
            <w:shd w:val="clear" w:color="auto" w:fill="EAF1DD" w:themeFill="accent3" w:themeFillTint="33"/>
            <w:vAlign w:val="bottom"/>
          </w:tcPr>
          <w:p w14:paraId="258C5E44" w14:textId="7267488F" w:rsidR="00E26D69" w:rsidRPr="00E26D69" w:rsidRDefault="00DD5778" w:rsidP="00C63492">
            <w:pPr>
              <w:jc w:val="right"/>
              <w:rPr>
                <w:rFonts w:ascii="Arial" w:hAnsi="Arial" w:cs="Arial"/>
                <w:b/>
              </w:rPr>
            </w:pPr>
            <w:r>
              <w:rPr>
                <w:rFonts w:ascii="Arial" w:hAnsi="Arial" w:cs="Arial"/>
                <w:b/>
              </w:rPr>
              <w:t>(8</w:t>
            </w:r>
            <w:r w:rsidR="00AA670B">
              <w:rPr>
                <w:rFonts w:ascii="Arial" w:hAnsi="Arial" w:cs="Arial"/>
                <w:b/>
              </w:rPr>
              <w:t>3</w:t>
            </w:r>
            <w:r>
              <w:rPr>
                <w:rFonts w:ascii="Arial" w:hAnsi="Arial" w:cs="Arial"/>
                <w:b/>
              </w:rPr>
              <w:t>,</w:t>
            </w:r>
            <w:r w:rsidR="00AA670B">
              <w:rPr>
                <w:rFonts w:ascii="Arial" w:hAnsi="Arial" w:cs="Arial"/>
                <w:b/>
              </w:rPr>
              <w:t>8</w:t>
            </w:r>
            <w:r w:rsidR="00835808">
              <w:rPr>
                <w:rFonts w:ascii="Arial" w:hAnsi="Arial" w:cs="Arial"/>
                <w:b/>
              </w:rPr>
              <w:t>49</w:t>
            </w:r>
            <w:r>
              <w:rPr>
                <w:rFonts w:ascii="Arial" w:hAnsi="Arial" w:cs="Arial"/>
                <w:b/>
              </w:rPr>
              <w:t>)</w:t>
            </w:r>
          </w:p>
        </w:tc>
      </w:tr>
    </w:tbl>
    <w:p w14:paraId="3FACD4EB" w14:textId="77777777" w:rsidR="00C23942" w:rsidRPr="0014712A" w:rsidRDefault="00C23942" w:rsidP="003F7EAF">
      <w:pPr>
        <w:rPr>
          <w:rFonts w:ascii="Arial" w:hAnsi="Arial" w:cs="Arial"/>
          <w:sz w:val="22"/>
          <w:szCs w:val="22"/>
        </w:rPr>
      </w:pPr>
    </w:p>
    <w:tbl>
      <w:tblPr>
        <w:tblW w:w="7224" w:type="dxa"/>
        <w:tblInd w:w="-142" w:type="dxa"/>
        <w:shd w:val="clear" w:color="auto" w:fill="EAF1DD" w:themeFill="accent3" w:themeFillTint="33"/>
        <w:tblLook w:val="0000" w:firstRow="0" w:lastRow="0" w:firstColumn="0" w:lastColumn="0" w:noHBand="0" w:noVBand="0"/>
      </w:tblPr>
      <w:tblGrid>
        <w:gridCol w:w="4111"/>
        <w:gridCol w:w="993"/>
        <w:gridCol w:w="2120"/>
      </w:tblGrid>
      <w:tr w:rsidR="00722172" w:rsidRPr="00722172" w14:paraId="33722F78" w14:textId="77777777" w:rsidTr="00DA1DC3">
        <w:trPr>
          <w:trHeight w:val="397"/>
        </w:trPr>
        <w:tc>
          <w:tcPr>
            <w:tcW w:w="7224" w:type="dxa"/>
            <w:gridSpan w:val="3"/>
            <w:noWrap/>
            <w:vAlign w:val="bottom"/>
          </w:tcPr>
          <w:p w14:paraId="6ECA2F72" w14:textId="77777777" w:rsidR="00005E12" w:rsidRDefault="00005E12" w:rsidP="00722172">
            <w:pPr>
              <w:rPr>
                <w:rFonts w:ascii="Arial" w:hAnsi="Arial" w:cs="Arial"/>
                <w:b/>
                <w:bCs/>
              </w:rPr>
            </w:pPr>
          </w:p>
          <w:p w14:paraId="0A211D6A" w14:textId="59AA213E" w:rsidR="00722172" w:rsidRPr="00722172" w:rsidRDefault="00722172" w:rsidP="00722172">
            <w:pPr>
              <w:rPr>
                <w:rFonts w:ascii="Arial" w:hAnsi="Arial" w:cs="Arial"/>
                <w:b/>
                <w:bCs/>
              </w:rPr>
            </w:pPr>
            <w:r w:rsidRPr="00722172">
              <w:rPr>
                <w:rFonts w:ascii="Arial" w:hAnsi="Arial" w:cs="Arial"/>
                <w:b/>
                <w:bCs/>
              </w:rPr>
              <w:t xml:space="preserve">Comprehensive net expenditure reserve consists of: </w:t>
            </w:r>
          </w:p>
        </w:tc>
      </w:tr>
      <w:tr w:rsidR="00167866" w:rsidRPr="00E26D69" w14:paraId="443E8905" w14:textId="77777777" w:rsidTr="006714FF">
        <w:trPr>
          <w:trHeight w:val="454"/>
        </w:trPr>
        <w:tc>
          <w:tcPr>
            <w:tcW w:w="4111" w:type="dxa"/>
            <w:noWrap/>
            <w:vAlign w:val="bottom"/>
          </w:tcPr>
          <w:p w14:paraId="18F41792" w14:textId="77777777" w:rsidR="00593370" w:rsidRPr="00E26D69" w:rsidRDefault="00593370" w:rsidP="003F7EAF">
            <w:pPr>
              <w:rPr>
                <w:rFonts w:ascii="Arial" w:hAnsi="Arial" w:cs="Arial"/>
              </w:rPr>
            </w:pPr>
            <w:r w:rsidRPr="006C25C0">
              <w:rPr>
                <w:rFonts w:ascii="Arial" w:hAnsi="Arial" w:cs="Arial"/>
              </w:rPr>
              <w:t>Pensions</w:t>
            </w:r>
            <w:r w:rsidRPr="00E26D69">
              <w:rPr>
                <w:rFonts w:ascii="Arial" w:hAnsi="Arial" w:cs="Arial"/>
              </w:rPr>
              <w:t xml:space="preserve"> deficit </w:t>
            </w:r>
          </w:p>
        </w:tc>
        <w:tc>
          <w:tcPr>
            <w:tcW w:w="993" w:type="dxa"/>
            <w:vAlign w:val="bottom"/>
          </w:tcPr>
          <w:p w14:paraId="673907CA" w14:textId="3B0C7C2E" w:rsidR="00593370" w:rsidRPr="00E26D69" w:rsidRDefault="00B358DE" w:rsidP="003F7EAF">
            <w:pPr>
              <w:jc w:val="center"/>
              <w:rPr>
                <w:rFonts w:ascii="Arial" w:hAnsi="Arial" w:cs="Arial"/>
              </w:rPr>
            </w:pPr>
            <w:hyperlink w:anchor="Note15IAS19Pensionassetandliabilities" w:history="1">
              <w:r w:rsidRPr="006714FF">
                <w:rPr>
                  <w:rStyle w:val="Hyperlink"/>
                  <w:rFonts w:ascii="Arial" w:hAnsi="Arial" w:cs="Arial"/>
                </w:rPr>
                <w:t>15</w:t>
              </w:r>
            </w:hyperlink>
          </w:p>
        </w:tc>
        <w:tc>
          <w:tcPr>
            <w:tcW w:w="2120" w:type="dxa"/>
            <w:shd w:val="clear" w:color="auto" w:fill="EAF1DD" w:themeFill="accent3" w:themeFillTint="33"/>
            <w:vAlign w:val="bottom"/>
          </w:tcPr>
          <w:p w14:paraId="11ECC2BA" w14:textId="19103FAA" w:rsidR="00593370" w:rsidRPr="00E26D69" w:rsidRDefault="00DD5778" w:rsidP="003F7EAF">
            <w:pPr>
              <w:jc w:val="right"/>
              <w:rPr>
                <w:rFonts w:ascii="Arial" w:hAnsi="Arial" w:cs="Arial"/>
              </w:rPr>
            </w:pPr>
            <w:r>
              <w:rPr>
                <w:rFonts w:ascii="Arial" w:hAnsi="Arial" w:cs="Arial"/>
              </w:rPr>
              <w:t>(120,</w:t>
            </w:r>
            <w:r w:rsidR="00A22767">
              <w:rPr>
                <w:rFonts w:ascii="Arial" w:hAnsi="Arial" w:cs="Arial"/>
              </w:rPr>
              <w:t>967)</w:t>
            </w:r>
          </w:p>
        </w:tc>
      </w:tr>
      <w:tr w:rsidR="00863090" w:rsidRPr="00E26D69" w14:paraId="6DB47A1D" w14:textId="77777777" w:rsidTr="006714FF">
        <w:trPr>
          <w:trHeight w:val="724"/>
        </w:trPr>
        <w:tc>
          <w:tcPr>
            <w:tcW w:w="4111" w:type="dxa"/>
            <w:noWrap/>
            <w:vAlign w:val="bottom"/>
          </w:tcPr>
          <w:p w14:paraId="2E1B4FE5" w14:textId="77777777" w:rsidR="00593370" w:rsidRPr="00E26D69" w:rsidRDefault="00593370" w:rsidP="003F7EAF">
            <w:pPr>
              <w:rPr>
                <w:rFonts w:ascii="Arial" w:hAnsi="Arial" w:cs="Arial"/>
              </w:rPr>
            </w:pPr>
            <w:r w:rsidRPr="00E26D69">
              <w:rPr>
                <w:rFonts w:ascii="Arial" w:hAnsi="Arial" w:cs="Arial"/>
              </w:rPr>
              <w:t>Surplus arising from operating activities</w:t>
            </w:r>
          </w:p>
        </w:tc>
        <w:tc>
          <w:tcPr>
            <w:tcW w:w="993" w:type="dxa"/>
          </w:tcPr>
          <w:p w14:paraId="4E76B785" w14:textId="77777777" w:rsidR="00593370" w:rsidRDefault="00593370" w:rsidP="003F7EAF">
            <w:pPr>
              <w:jc w:val="center"/>
              <w:rPr>
                <w:rFonts w:ascii="Arial" w:hAnsi="Arial" w:cs="Arial"/>
              </w:rPr>
            </w:pPr>
          </w:p>
          <w:p w14:paraId="68D4DE2E" w14:textId="3B6B4A6D" w:rsidR="00A52962" w:rsidRPr="00E26D69" w:rsidRDefault="00A52962" w:rsidP="003F7EAF">
            <w:pPr>
              <w:jc w:val="center"/>
              <w:rPr>
                <w:rFonts w:ascii="Arial" w:hAnsi="Arial" w:cs="Arial"/>
              </w:rPr>
            </w:pPr>
            <w:r>
              <w:rPr>
                <w:rFonts w:ascii="Arial" w:hAnsi="Arial" w:cs="Arial"/>
              </w:rPr>
              <w:t>-</w:t>
            </w:r>
          </w:p>
        </w:tc>
        <w:tc>
          <w:tcPr>
            <w:tcW w:w="2120" w:type="dxa"/>
            <w:tcBorders>
              <w:bottom w:val="single" w:sz="4" w:space="0" w:color="auto"/>
            </w:tcBorders>
            <w:shd w:val="clear" w:color="auto" w:fill="EAF1DD" w:themeFill="accent3" w:themeFillTint="33"/>
            <w:vAlign w:val="bottom"/>
          </w:tcPr>
          <w:p w14:paraId="495C6A52" w14:textId="5D30F309" w:rsidR="00593370" w:rsidRPr="00E26D69" w:rsidRDefault="00A22767" w:rsidP="003F7EAF">
            <w:pPr>
              <w:jc w:val="right"/>
              <w:rPr>
                <w:rFonts w:ascii="Arial" w:hAnsi="Arial" w:cs="Arial"/>
              </w:rPr>
            </w:pPr>
            <w:r>
              <w:rPr>
                <w:rFonts w:ascii="Arial" w:hAnsi="Arial" w:cs="Arial"/>
              </w:rPr>
              <w:t>16,4</w:t>
            </w:r>
            <w:r w:rsidR="00AA670B">
              <w:rPr>
                <w:rFonts w:ascii="Arial" w:hAnsi="Arial" w:cs="Arial"/>
              </w:rPr>
              <w:t>9</w:t>
            </w:r>
            <w:r w:rsidR="00835808">
              <w:rPr>
                <w:rFonts w:ascii="Arial" w:hAnsi="Arial" w:cs="Arial"/>
              </w:rPr>
              <w:t>4</w:t>
            </w:r>
          </w:p>
        </w:tc>
      </w:tr>
      <w:tr w:rsidR="005A4491" w:rsidRPr="00E26D69" w14:paraId="4945D52D" w14:textId="77777777" w:rsidTr="006714FF">
        <w:trPr>
          <w:trHeight w:val="454"/>
        </w:trPr>
        <w:tc>
          <w:tcPr>
            <w:tcW w:w="4111" w:type="dxa"/>
            <w:noWrap/>
            <w:vAlign w:val="bottom"/>
          </w:tcPr>
          <w:p w14:paraId="3FBDA7F7" w14:textId="115FC532" w:rsidR="00593370" w:rsidRPr="00E26D69" w:rsidRDefault="00593370" w:rsidP="003F7EAF">
            <w:pPr>
              <w:rPr>
                <w:rFonts w:ascii="Arial" w:hAnsi="Arial" w:cs="Arial"/>
                <w:b/>
              </w:rPr>
            </w:pPr>
            <w:r w:rsidRPr="00E26D69">
              <w:rPr>
                <w:rFonts w:ascii="Arial" w:hAnsi="Arial" w:cs="Arial"/>
                <w:b/>
              </w:rPr>
              <w:t xml:space="preserve">Balance </w:t>
            </w:r>
            <w:r w:rsidR="00C90814">
              <w:rPr>
                <w:rFonts w:ascii="Arial" w:hAnsi="Arial" w:cs="Arial"/>
                <w:b/>
              </w:rPr>
              <w:t>at</w:t>
            </w:r>
            <w:r w:rsidRPr="00E26D69">
              <w:rPr>
                <w:rFonts w:ascii="Arial" w:hAnsi="Arial" w:cs="Arial"/>
                <w:b/>
              </w:rPr>
              <w:t xml:space="preserve"> 31 March 202</w:t>
            </w:r>
            <w:r w:rsidR="003921C6">
              <w:rPr>
                <w:rFonts w:ascii="Arial" w:hAnsi="Arial" w:cs="Arial"/>
                <w:b/>
              </w:rPr>
              <w:t>2</w:t>
            </w:r>
          </w:p>
        </w:tc>
        <w:tc>
          <w:tcPr>
            <w:tcW w:w="993" w:type="dxa"/>
            <w:vAlign w:val="bottom"/>
          </w:tcPr>
          <w:p w14:paraId="69E18B44" w14:textId="1DB78461" w:rsidR="00593370" w:rsidRPr="00E26D69" w:rsidRDefault="00A52962" w:rsidP="003F7EAF">
            <w:pPr>
              <w:jc w:val="center"/>
              <w:rPr>
                <w:rFonts w:ascii="Arial" w:hAnsi="Arial" w:cs="Arial"/>
                <w:b/>
              </w:rPr>
            </w:pPr>
            <w:r>
              <w:rPr>
                <w:rFonts w:ascii="Arial" w:hAnsi="Arial" w:cs="Arial"/>
                <w:b/>
              </w:rPr>
              <w:t>-</w:t>
            </w:r>
          </w:p>
        </w:tc>
        <w:tc>
          <w:tcPr>
            <w:tcW w:w="2120" w:type="dxa"/>
            <w:tcBorders>
              <w:top w:val="single" w:sz="4" w:space="0" w:color="auto"/>
              <w:bottom w:val="double" w:sz="4" w:space="0" w:color="auto"/>
            </w:tcBorders>
            <w:shd w:val="clear" w:color="auto" w:fill="EAF1DD" w:themeFill="accent3" w:themeFillTint="33"/>
            <w:vAlign w:val="bottom"/>
          </w:tcPr>
          <w:p w14:paraId="0CA8960F" w14:textId="1C95A951" w:rsidR="00593370" w:rsidRPr="00E26D69" w:rsidRDefault="00A22767" w:rsidP="003F7EAF">
            <w:pPr>
              <w:jc w:val="right"/>
              <w:rPr>
                <w:rFonts w:ascii="Arial" w:hAnsi="Arial" w:cs="Arial"/>
                <w:b/>
              </w:rPr>
            </w:pPr>
            <w:r>
              <w:rPr>
                <w:rFonts w:ascii="Arial" w:hAnsi="Arial" w:cs="Arial"/>
                <w:b/>
              </w:rPr>
              <w:t>(104,</w:t>
            </w:r>
            <w:r w:rsidR="00856138">
              <w:rPr>
                <w:rFonts w:ascii="Arial" w:hAnsi="Arial" w:cs="Arial"/>
                <w:b/>
              </w:rPr>
              <w:t>47</w:t>
            </w:r>
            <w:r w:rsidR="00506579">
              <w:rPr>
                <w:rFonts w:ascii="Arial" w:hAnsi="Arial" w:cs="Arial"/>
                <w:b/>
              </w:rPr>
              <w:t>3</w:t>
            </w:r>
            <w:r>
              <w:rPr>
                <w:rFonts w:ascii="Arial" w:hAnsi="Arial" w:cs="Arial"/>
                <w:b/>
              </w:rPr>
              <w:t>)</w:t>
            </w:r>
          </w:p>
        </w:tc>
      </w:tr>
    </w:tbl>
    <w:p w14:paraId="551D44EC" w14:textId="77777777" w:rsidR="00D8617D" w:rsidRPr="00C90BC1" w:rsidRDefault="00D8617D" w:rsidP="00D8617D">
      <w:pPr>
        <w:keepNext/>
        <w:overflowPunct w:val="0"/>
        <w:autoSpaceDE w:val="0"/>
        <w:autoSpaceDN w:val="0"/>
        <w:adjustRightInd w:val="0"/>
        <w:spacing w:line="360" w:lineRule="auto"/>
        <w:jc w:val="both"/>
        <w:textAlignment w:val="baseline"/>
        <w:outlineLvl w:val="0"/>
        <w:rPr>
          <w:rFonts w:ascii="Arial" w:hAnsi="Arial" w:cs="Arial"/>
          <w:b/>
          <w:bCs/>
          <w:color w:val="000000"/>
          <w:kern w:val="32"/>
          <w:sz w:val="18"/>
          <w:szCs w:val="18"/>
          <w:lang w:eastAsia="en-US"/>
        </w:rPr>
      </w:pPr>
    </w:p>
    <w:p w14:paraId="14507A98" w14:textId="77777777" w:rsidR="00B34829" w:rsidRDefault="00B34829" w:rsidP="00D8617D">
      <w:pPr>
        <w:keepNext/>
        <w:overflowPunct w:val="0"/>
        <w:autoSpaceDE w:val="0"/>
        <w:autoSpaceDN w:val="0"/>
        <w:adjustRightInd w:val="0"/>
        <w:spacing w:line="360" w:lineRule="auto"/>
        <w:jc w:val="both"/>
        <w:textAlignment w:val="baseline"/>
        <w:outlineLvl w:val="0"/>
        <w:rPr>
          <w:rFonts w:ascii="Arial" w:hAnsi="Arial" w:cs="Arial"/>
          <w:b/>
          <w:bCs/>
          <w:color w:val="000000"/>
          <w:kern w:val="32"/>
          <w:lang w:eastAsia="en-US"/>
        </w:rPr>
      </w:pPr>
      <w:r>
        <w:rPr>
          <w:rFonts w:ascii="Arial" w:hAnsi="Arial" w:cs="Arial"/>
          <w:b/>
          <w:bCs/>
          <w:color w:val="000000"/>
          <w:kern w:val="32"/>
          <w:lang w:eastAsia="en-US"/>
        </w:rPr>
        <w:br w:type="page"/>
      </w:r>
    </w:p>
    <w:p w14:paraId="1AD7EA19" w14:textId="75A6B3AB" w:rsidR="003336EF" w:rsidRDefault="00E26D69" w:rsidP="00D8617D">
      <w:pPr>
        <w:keepNext/>
        <w:overflowPunct w:val="0"/>
        <w:autoSpaceDE w:val="0"/>
        <w:autoSpaceDN w:val="0"/>
        <w:adjustRightInd w:val="0"/>
        <w:spacing w:line="360" w:lineRule="auto"/>
        <w:jc w:val="both"/>
        <w:textAlignment w:val="baseline"/>
        <w:outlineLvl w:val="0"/>
        <w:rPr>
          <w:rFonts w:ascii="Arial" w:hAnsi="Arial" w:cs="Arial"/>
          <w:b/>
          <w:bCs/>
          <w:color w:val="000000"/>
          <w:kern w:val="32"/>
          <w:lang w:eastAsia="en-US"/>
        </w:rPr>
      </w:pPr>
      <w:r w:rsidRPr="00E26D69">
        <w:rPr>
          <w:rFonts w:ascii="Arial" w:hAnsi="Arial" w:cs="Arial"/>
          <w:b/>
          <w:bCs/>
          <w:color w:val="000000"/>
          <w:kern w:val="32"/>
          <w:lang w:eastAsia="en-US"/>
        </w:rPr>
        <w:lastRenderedPageBreak/>
        <w:t>Statement of changes in taxpayers</w:t>
      </w:r>
      <w:r w:rsidR="000016F4">
        <w:rPr>
          <w:rFonts w:ascii="Arial" w:hAnsi="Arial" w:cs="Arial"/>
          <w:b/>
          <w:bCs/>
          <w:color w:val="000000"/>
          <w:kern w:val="32"/>
          <w:lang w:eastAsia="en-US"/>
        </w:rPr>
        <w:t>’</w:t>
      </w:r>
      <w:r w:rsidRPr="00E26D69">
        <w:rPr>
          <w:rFonts w:ascii="Arial" w:hAnsi="Arial" w:cs="Arial"/>
          <w:b/>
          <w:bCs/>
          <w:color w:val="000000"/>
          <w:kern w:val="32"/>
          <w:lang w:eastAsia="en-US"/>
        </w:rPr>
        <w:t xml:space="preserve"> equity for the year to 31 March 20</w:t>
      </w:r>
      <w:r w:rsidR="0068365E">
        <w:rPr>
          <w:rFonts w:ascii="Arial" w:hAnsi="Arial" w:cs="Arial"/>
          <w:b/>
          <w:bCs/>
          <w:color w:val="000000"/>
          <w:kern w:val="32"/>
          <w:lang w:eastAsia="en-US"/>
        </w:rPr>
        <w:t>2</w:t>
      </w:r>
      <w:r w:rsidR="00171C22">
        <w:rPr>
          <w:rFonts w:ascii="Arial" w:hAnsi="Arial" w:cs="Arial"/>
          <w:b/>
          <w:bCs/>
          <w:color w:val="000000"/>
          <w:kern w:val="32"/>
          <w:lang w:eastAsia="en-US"/>
        </w:rPr>
        <w:t>1</w:t>
      </w:r>
    </w:p>
    <w:p w14:paraId="1747AAB3" w14:textId="77777777" w:rsidR="005821E2" w:rsidRDefault="005821E2" w:rsidP="00D8617D">
      <w:pPr>
        <w:keepNext/>
        <w:overflowPunct w:val="0"/>
        <w:autoSpaceDE w:val="0"/>
        <w:autoSpaceDN w:val="0"/>
        <w:adjustRightInd w:val="0"/>
        <w:spacing w:line="360" w:lineRule="auto"/>
        <w:jc w:val="both"/>
        <w:textAlignment w:val="baseline"/>
        <w:outlineLvl w:val="0"/>
        <w:rPr>
          <w:rFonts w:ascii="Arial" w:hAnsi="Arial" w:cs="Arial"/>
          <w:b/>
          <w:bCs/>
          <w:color w:val="000000"/>
          <w:kern w:val="32"/>
          <w:lang w:eastAsia="en-US"/>
        </w:rPr>
      </w:pPr>
    </w:p>
    <w:tbl>
      <w:tblPr>
        <w:tblW w:w="10632" w:type="dxa"/>
        <w:tblInd w:w="-142" w:type="dxa"/>
        <w:shd w:val="clear" w:color="auto" w:fill="DAEEF3" w:themeFill="accent5" w:themeFillTint="33"/>
        <w:tblLayout w:type="fixed"/>
        <w:tblLook w:val="0000" w:firstRow="0" w:lastRow="0" w:firstColumn="0" w:lastColumn="0" w:noHBand="0" w:noVBand="0"/>
      </w:tblPr>
      <w:tblGrid>
        <w:gridCol w:w="4111"/>
        <w:gridCol w:w="993"/>
        <w:gridCol w:w="2126"/>
        <w:gridCol w:w="1701"/>
        <w:gridCol w:w="1701"/>
      </w:tblGrid>
      <w:tr w:rsidR="00171C22" w:rsidRPr="00CD614D" w14:paraId="028F720A" w14:textId="77777777" w:rsidTr="008A1E15">
        <w:trPr>
          <w:trHeight w:val="943"/>
        </w:trPr>
        <w:tc>
          <w:tcPr>
            <w:tcW w:w="4111" w:type="dxa"/>
          </w:tcPr>
          <w:p w14:paraId="30C9410C" w14:textId="77777777" w:rsidR="00171C22" w:rsidRPr="00D80B40" w:rsidRDefault="00171C22" w:rsidP="00CD614D">
            <w:pPr>
              <w:rPr>
                <w:rFonts w:ascii="Arial" w:hAnsi="Arial" w:cs="Arial"/>
              </w:rPr>
            </w:pPr>
          </w:p>
        </w:tc>
        <w:tc>
          <w:tcPr>
            <w:tcW w:w="993" w:type="dxa"/>
            <w:noWrap/>
            <w:vAlign w:val="bottom"/>
          </w:tcPr>
          <w:p w14:paraId="33D13A35" w14:textId="77777777" w:rsidR="00171C22" w:rsidRPr="00D80B40" w:rsidRDefault="00171C22" w:rsidP="00CD614D">
            <w:pPr>
              <w:ind w:left="-416" w:firstLine="416"/>
              <w:jc w:val="center"/>
              <w:rPr>
                <w:rFonts w:ascii="Arial" w:hAnsi="Arial" w:cs="Arial"/>
                <w:b/>
                <w:bCs/>
              </w:rPr>
            </w:pPr>
          </w:p>
        </w:tc>
        <w:tc>
          <w:tcPr>
            <w:tcW w:w="2126" w:type="dxa"/>
            <w:vAlign w:val="bottom"/>
          </w:tcPr>
          <w:p w14:paraId="7CB2DCB7" w14:textId="77777777" w:rsidR="00171C22" w:rsidRPr="00CD614D" w:rsidRDefault="00171C22" w:rsidP="00CD614D">
            <w:pPr>
              <w:jc w:val="right"/>
              <w:rPr>
                <w:rFonts w:ascii="Arial" w:hAnsi="Arial" w:cs="Arial"/>
                <w:b/>
                <w:bCs/>
              </w:rPr>
            </w:pPr>
            <w:r w:rsidRPr="00CD614D">
              <w:rPr>
                <w:rFonts w:ascii="Arial" w:hAnsi="Arial" w:cs="Arial"/>
                <w:b/>
                <w:bCs/>
              </w:rPr>
              <w:t>Comprehensive net expenditure reserve</w:t>
            </w:r>
          </w:p>
          <w:p w14:paraId="74CA5409" w14:textId="77777777" w:rsidR="00171C22" w:rsidRPr="00CD614D" w:rsidRDefault="00171C22" w:rsidP="00CD614D">
            <w:pPr>
              <w:jc w:val="right"/>
              <w:rPr>
                <w:rFonts w:ascii="Arial" w:hAnsi="Arial" w:cs="Arial"/>
                <w:b/>
                <w:bCs/>
              </w:rPr>
            </w:pPr>
          </w:p>
        </w:tc>
        <w:tc>
          <w:tcPr>
            <w:tcW w:w="1701" w:type="dxa"/>
            <w:vAlign w:val="bottom"/>
          </w:tcPr>
          <w:p w14:paraId="1106CB58" w14:textId="77777777" w:rsidR="00171C22" w:rsidRPr="00CD614D" w:rsidRDefault="00171C22" w:rsidP="00CD614D">
            <w:pPr>
              <w:jc w:val="right"/>
              <w:rPr>
                <w:rFonts w:ascii="Arial" w:hAnsi="Arial" w:cs="Arial"/>
                <w:b/>
                <w:bCs/>
              </w:rPr>
            </w:pPr>
            <w:r w:rsidRPr="00CD614D">
              <w:rPr>
                <w:rFonts w:ascii="Arial" w:hAnsi="Arial" w:cs="Arial"/>
                <w:b/>
                <w:bCs/>
              </w:rPr>
              <w:t>Revaluation reserve</w:t>
            </w:r>
          </w:p>
          <w:p w14:paraId="4CB39C00" w14:textId="77777777" w:rsidR="00171C22" w:rsidRPr="00CD614D" w:rsidRDefault="00171C22" w:rsidP="00CD614D">
            <w:pPr>
              <w:jc w:val="right"/>
              <w:rPr>
                <w:rFonts w:ascii="Arial" w:hAnsi="Arial" w:cs="Arial"/>
                <w:b/>
                <w:bCs/>
              </w:rPr>
            </w:pPr>
          </w:p>
          <w:p w14:paraId="21748C36" w14:textId="77777777" w:rsidR="00171C22" w:rsidRPr="00CD614D" w:rsidRDefault="00171C22" w:rsidP="00CD614D">
            <w:pPr>
              <w:jc w:val="right"/>
              <w:rPr>
                <w:rFonts w:ascii="Arial" w:hAnsi="Arial" w:cs="Arial"/>
                <w:b/>
                <w:bCs/>
              </w:rPr>
            </w:pPr>
          </w:p>
        </w:tc>
        <w:tc>
          <w:tcPr>
            <w:tcW w:w="1701" w:type="dxa"/>
            <w:vAlign w:val="bottom"/>
          </w:tcPr>
          <w:p w14:paraId="0F33AFCA" w14:textId="77777777" w:rsidR="00171C22" w:rsidRPr="00CD614D" w:rsidRDefault="00171C22" w:rsidP="00CD614D">
            <w:pPr>
              <w:jc w:val="right"/>
              <w:rPr>
                <w:rFonts w:ascii="Arial" w:hAnsi="Arial" w:cs="Arial"/>
                <w:b/>
                <w:bCs/>
              </w:rPr>
            </w:pPr>
            <w:r w:rsidRPr="00CD614D">
              <w:rPr>
                <w:rFonts w:ascii="Arial" w:hAnsi="Arial" w:cs="Arial"/>
                <w:b/>
                <w:bCs/>
              </w:rPr>
              <w:t>Total year to 31 March 2021</w:t>
            </w:r>
          </w:p>
          <w:p w14:paraId="4CEB8663" w14:textId="77777777" w:rsidR="00171C22" w:rsidRPr="00CD614D" w:rsidRDefault="00171C22" w:rsidP="00CD614D">
            <w:pPr>
              <w:jc w:val="right"/>
              <w:rPr>
                <w:rFonts w:ascii="Arial" w:hAnsi="Arial" w:cs="Arial"/>
                <w:b/>
                <w:bCs/>
              </w:rPr>
            </w:pPr>
          </w:p>
        </w:tc>
      </w:tr>
      <w:tr w:rsidR="00171C22" w:rsidRPr="00CD614D" w14:paraId="122F3588" w14:textId="77777777" w:rsidTr="008A1E15">
        <w:trPr>
          <w:trHeight w:val="454"/>
        </w:trPr>
        <w:tc>
          <w:tcPr>
            <w:tcW w:w="4111" w:type="dxa"/>
          </w:tcPr>
          <w:p w14:paraId="54169697" w14:textId="77777777" w:rsidR="00171C22" w:rsidRPr="00CD614D" w:rsidRDefault="00171C22" w:rsidP="00CD614D">
            <w:pPr>
              <w:rPr>
                <w:rFonts w:ascii="Arial" w:hAnsi="Arial" w:cs="Arial"/>
              </w:rPr>
            </w:pPr>
          </w:p>
        </w:tc>
        <w:tc>
          <w:tcPr>
            <w:tcW w:w="993" w:type="dxa"/>
            <w:noWrap/>
            <w:vAlign w:val="bottom"/>
          </w:tcPr>
          <w:p w14:paraId="019BF81A" w14:textId="77777777" w:rsidR="00171C22" w:rsidRPr="00CD614D" w:rsidRDefault="00171C22" w:rsidP="00CD614D">
            <w:pPr>
              <w:jc w:val="center"/>
              <w:rPr>
                <w:rFonts w:ascii="Arial" w:hAnsi="Arial" w:cs="Arial"/>
                <w:b/>
                <w:bCs/>
              </w:rPr>
            </w:pPr>
            <w:r w:rsidRPr="00CD614D">
              <w:rPr>
                <w:rFonts w:ascii="Arial" w:hAnsi="Arial" w:cs="Arial"/>
                <w:b/>
                <w:bCs/>
              </w:rPr>
              <w:t>Notes</w:t>
            </w:r>
          </w:p>
        </w:tc>
        <w:tc>
          <w:tcPr>
            <w:tcW w:w="2126" w:type="dxa"/>
            <w:vAlign w:val="bottom"/>
          </w:tcPr>
          <w:p w14:paraId="5789AE5F" w14:textId="77777777" w:rsidR="00171C22" w:rsidRPr="00CD614D" w:rsidRDefault="00171C22" w:rsidP="00CD614D">
            <w:pPr>
              <w:jc w:val="right"/>
              <w:rPr>
                <w:rFonts w:ascii="Arial" w:hAnsi="Arial" w:cs="Arial"/>
                <w:b/>
                <w:bCs/>
              </w:rPr>
            </w:pPr>
            <w:r w:rsidRPr="00CD614D">
              <w:rPr>
                <w:rFonts w:ascii="Arial" w:hAnsi="Arial" w:cs="Arial"/>
                <w:b/>
                <w:bCs/>
              </w:rPr>
              <w:t xml:space="preserve"> £’000</w:t>
            </w:r>
          </w:p>
        </w:tc>
        <w:tc>
          <w:tcPr>
            <w:tcW w:w="1701" w:type="dxa"/>
            <w:vAlign w:val="bottom"/>
          </w:tcPr>
          <w:p w14:paraId="57F363CE" w14:textId="77777777" w:rsidR="00171C22" w:rsidRPr="00CD614D" w:rsidRDefault="00171C22" w:rsidP="00CD614D">
            <w:pPr>
              <w:jc w:val="right"/>
              <w:rPr>
                <w:rFonts w:ascii="Arial" w:hAnsi="Arial" w:cs="Arial"/>
                <w:b/>
                <w:bCs/>
              </w:rPr>
            </w:pPr>
            <w:r w:rsidRPr="00CD614D">
              <w:rPr>
                <w:rFonts w:ascii="Arial" w:hAnsi="Arial" w:cs="Arial"/>
                <w:b/>
                <w:bCs/>
              </w:rPr>
              <w:t>£’000</w:t>
            </w:r>
          </w:p>
        </w:tc>
        <w:tc>
          <w:tcPr>
            <w:tcW w:w="1701" w:type="dxa"/>
            <w:vAlign w:val="bottom"/>
          </w:tcPr>
          <w:p w14:paraId="2F48AD5B" w14:textId="77777777" w:rsidR="00171C22" w:rsidRPr="00CD614D" w:rsidRDefault="00171C22" w:rsidP="00CD614D">
            <w:pPr>
              <w:jc w:val="right"/>
              <w:rPr>
                <w:rFonts w:ascii="Arial" w:hAnsi="Arial" w:cs="Arial"/>
                <w:b/>
                <w:bCs/>
              </w:rPr>
            </w:pPr>
            <w:r w:rsidRPr="00CD614D">
              <w:rPr>
                <w:rFonts w:ascii="Arial" w:hAnsi="Arial" w:cs="Arial"/>
                <w:b/>
                <w:bCs/>
              </w:rPr>
              <w:t>£’000</w:t>
            </w:r>
          </w:p>
        </w:tc>
      </w:tr>
      <w:tr w:rsidR="00171C22" w:rsidRPr="00CD614D" w14:paraId="1DB708FC" w14:textId="77777777" w:rsidTr="008A1E15">
        <w:trPr>
          <w:trHeight w:val="454"/>
        </w:trPr>
        <w:tc>
          <w:tcPr>
            <w:tcW w:w="4111" w:type="dxa"/>
            <w:vAlign w:val="bottom"/>
          </w:tcPr>
          <w:p w14:paraId="38256219" w14:textId="77777777" w:rsidR="00171C22" w:rsidRPr="00CD614D" w:rsidRDefault="00171C22" w:rsidP="00CD614D">
            <w:pPr>
              <w:ind w:left="34"/>
              <w:rPr>
                <w:rFonts w:ascii="Arial" w:hAnsi="Arial" w:cs="Arial"/>
              </w:rPr>
            </w:pPr>
            <w:r w:rsidRPr="00CD614D">
              <w:rPr>
                <w:rFonts w:ascii="Arial" w:hAnsi="Arial" w:cs="Arial"/>
              </w:rPr>
              <w:t>Balance at 1 April 2020</w:t>
            </w:r>
          </w:p>
        </w:tc>
        <w:tc>
          <w:tcPr>
            <w:tcW w:w="993" w:type="dxa"/>
            <w:noWrap/>
            <w:vAlign w:val="bottom"/>
          </w:tcPr>
          <w:p w14:paraId="0D311BB2" w14:textId="77777777" w:rsidR="00171C22" w:rsidRPr="00CD614D" w:rsidRDefault="00171C22" w:rsidP="00CD614D">
            <w:pPr>
              <w:jc w:val="center"/>
              <w:rPr>
                <w:rFonts w:ascii="Arial" w:hAnsi="Arial" w:cs="Arial"/>
              </w:rPr>
            </w:pPr>
            <w:r w:rsidRPr="00CD614D">
              <w:rPr>
                <w:rFonts w:ascii="Arial" w:hAnsi="Arial" w:cs="Arial"/>
              </w:rPr>
              <w:t>-</w:t>
            </w:r>
          </w:p>
        </w:tc>
        <w:tc>
          <w:tcPr>
            <w:tcW w:w="2126" w:type="dxa"/>
            <w:vAlign w:val="bottom"/>
          </w:tcPr>
          <w:p w14:paraId="30004180" w14:textId="77777777" w:rsidR="00171C22" w:rsidRPr="00CD614D" w:rsidRDefault="00171C22" w:rsidP="00CD614D">
            <w:pPr>
              <w:ind w:right="8"/>
              <w:jc w:val="right"/>
              <w:rPr>
                <w:rFonts w:ascii="Arial" w:hAnsi="Arial" w:cs="Arial"/>
              </w:rPr>
            </w:pPr>
            <w:r w:rsidRPr="00CD614D">
              <w:rPr>
                <w:rFonts w:ascii="Arial" w:hAnsi="Arial" w:cs="Arial"/>
              </w:rPr>
              <w:t>(103,842)</w:t>
            </w:r>
          </w:p>
        </w:tc>
        <w:tc>
          <w:tcPr>
            <w:tcW w:w="1701" w:type="dxa"/>
            <w:vAlign w:val="bottom"/>
          </w:tcPr>
          <w:p w14:paraId="14DD8A11" w14:textId="77777777" w:rsidR="00171C22" w:rsidRPr="00CD614D" w:rsidRDefault="00171C22" w:rsidP="00CD614D">
            <w:pPr>
              <w:jc w:val="right"/>
              <w:rPr>
                <w:rFonts w:ascii="Arial" w:hAnsi="Arial" w:cs="Arial"/>
              </w:rPr>
            </w:pPr>
            <w:r w:rsidRPr="00CD614D">
              <w:rPr>
                <w:rFonts w:ascii="Arial" w:hAnsi="Arial" w:cs="Arial"/>
              </w:rPr>
              <w:t>15,228</w:t>
            </w:r>
          </w:p>
        </w:tc>
        <w:tc>
          <w:tcPr>
            <w:tcW w:w="1701" w:type="dxa"/>
            <w:vAlign w:val="bottom"/>
          </w:tcPr>
          <w:p w14:paraId="12067B5B" w14:textId="77777777" w:rsidR="00171C22" w:rsidRPr="00CD614D" w:rsidRDefault="00171C22" w:rsidP="00CD614D">
            <w:pPr>
              <w:ind w:right="8"/>
              <w:jc w:val="right"/>
              <w:rPr>
                <w:rFonts w:ascii="Arial" w:hAnsi="Arial" w:cs="Arial"/>
              </w:rPr>
            </w:pPr>
            <w:r w:rsidRPr="00CD614D">
              <w:rPr>
                <w:rFonts w:ascii="Arial" w:hAnsi="Arial" w:cs="Arial"/>
              </w:rPr>
              <w:t>(88,614)</w:t>
            </w:r>
          </w:p>
        </w:tc>
      </w:tr>
      <w:tr w:rsidR="00171C22" w:rsidRPr="00CD614D" w14:paraId="711C4999" w14:textId="77777777" w:rsidTr="008A1E15">
        <w:trPr>
          <w:trHeight w:val="454"/>
        </w:trPr>
        <w:tc>
          <w:tcPr>
            <w:tcW w:w="4111" w:type="dxa"/>
            <w:vAlign w:val="bottom"/>
          </w:tcPr>
          <w:p w14:paraId="11E0647F" w14:textId="77777777" w:rsidR="00171C22" w:rsidRPr="00CD614D" w:rsidRDefault="00171C22" w:rsidP="00CD614D">
            <w:pPr>
              <w:ind w:left="34"/>
              <w:rPr>
                <w:rFonts w:ascii="Arial" w:hAnsi="Arial" w:cs="Arial"/>
              </w:rPr>
            </w:pPr>
            <w:r w:rsidRPr="00CD614D">
              <w:rPr>
                <w:rFonts w:ascii="Arial" w:hAnsi="Arial" w:cs="Arial"/>
              </w:rPr>
              <w:t>Grant from sponsoring department</w:t>
            </w:r>
          </w:p>
        </w:tc>
        <w:tc>
          <w:tcPr>
            <w:tcW w:w="993" w:type="dxa"/>
            <w:noWrap/>
            <w:vAlign w:val="bottom"/>
          </w:tcPr>
          <w:p w14:paraId="687C1169" w14:textId="77777777" w:rsidR="00171C22" w:rsidRPr="00CD614D" w:rsidRDefault="00171C22" w:rsidP="00CD614D">
            <w:pPr>
              <w:jc w:val="center"/>
              <w:rPr>
                <w:rFonts w:ascii="Arial" w:hAnsi="Arial" w:cs="Arial"/>
              </w:rPr>
            </w:pPr>
            <w:r w:rsidRPr="00CD614D">
              <w:rPr>
                <w:rFonts w:ascii="Arial" w:hAnsi="Arial" w:cs="Arial"/>
              </w:rPr>
              <w:t>20</w:t>
            </w:r>
          </w:p>
        </w:tc>
        <w:tc>
          <w:tcPr>
            <w:tcW w:w="2126" w:type="dxa"/>
            <w:vAlign w:val="bottom"/>
          </w:tcPr>
          <w:p w14:paraId="7AB4C89A" w14:textId="77777777" w:rsidR="00171C22" w:rsidRPr="00CD614D" w:rsidRDefault="00171C22" w:rsidP="00CD614D">
            <w:pPr>
              <w:ind w:right="8"/>
              <w:jc w:val="right"/>
              <w:rPr>
                <w:rFonts w:ascii="Arial" w:hAnsi="Arial" w:cs="Arial"/>
              </w:rPr>
            </w:pPr>
            <w:r w:rsidRPr="00CD614D">
              <w:rPr>
                <w:rFonts w:ascii="Arial" w:hAnsi="Arial" w:cs="Arial"/>
              </w:rPr>
              <w:t>37,637</w:t>
            </w:r>
          </w:p>
        </w:tc>
        <w:tc>
          <w:tcPr>
            <w:tcW w:w="1701" w:type="dxa"/>
            <w:vAlign w:val="bottom"/>
          </w:tcPr>
          <w:p w14:paraId="0480A586" w14:textId="77777777" w:rsidR="00171C22" w:rsidRPr="00CD614D" w:rsidRDefault="00171C22" w:rsidP="00CD614D">
            <w:pPr>
              <w:jc w:val="right"/>
              <w:rPr>
                <w:rFonts w:ascii="Arial" w:hAnsi="Arial" w:cs="Arial"/>
              </w:rPr>
            </w:pPr>
            <w:r w:rsidRPr="00CD614D">
              <w:rPr>
                <w:rFonts w:ascii="Arial" w:hAnsi="Arial" w:cs="Arial"/>
              </w:rPr>
              <w:t>-</w:t>
            </w:r>
          </w:p>
        </w:tc>
        <w:tc>
          <w:tcPr>
            <w:tcW w:w="1701" w:type="dxa"/>
            <w:vAlign w:val="bottom"/>
          </w:tcPr>
          <w:p w14:paraId="565AB69B" w14:textId="77777777" w:rsidR="00171C22" w:rsidRPr="00CD614D" w:rsidRDefault="00171C22" w:rsidP="00CD614D">
            <w:pPr>
              <w:ind w:right="8"/>
              <w:jc w:val="right"/>
              <w:rPr>
                <w:rFonts w:ascii="Arial" w:hAnsi="Arial" w:cs="Arial"/>
              </w:rPr>
            </w:pPr>
            <w:r w:rsidRPr="00CD614D">
              <w:rPr>
                <w:rFonts w:ascii="Arial" w:hAnsi="Arial" w:cs="Arial"/>
              </w:rPr>
              <w:t>37,637</w:t>
            </w:r>
          </w:p>
        </w:tc>
      </w:tr>
      <w:tr w:rsidR="00171C22" w:rsidRPr="00CD614D" w14:paraId="559D6973" w14:textId="77777777" w:rsidTr="008A1E15">
        <w:trPr>
          <w:trHeight w:val="454"/>
        </w:trPr>
        <w:tc>
          <w:tcPr>
            <w:tcW w:w="4111" w:type="dxa"/>
            <w:vAlign w:val="bottom"/>
          </w:tcPr>
          <w:p w14:paraId="654064FF" w14:textId="77777777" w:rsidR="00171C22" w:rsidRPr="00CD614D" w:rsidRDefault="00171C22" w:rsidP="00CD614D">
            <w:pPr>
              <w:ind w:left="34"/>
              <w:rPr>
                <w:rFonts w:ascii="Arial" w:hAnsi="Arial" w:cs="Arial"/>
              </w:rPr>
            </w:pPr>
            <w:r w:rsidRPr="00CD614D">
              <w:rPr>
                <w:rFonts w:ascii="Arial" w:hAnsi="Arial" w:cs="Arial"/>
              </w:rPr>
              <w:t>Net expenditure for the year</w:t>
            </w:r>
          </w:p>
        </w:tc>
        <w:tc>
          <w:tcPr>
            <w:tcW w:w="993" w:type="dxa"/>
            <w:noWrap/>
            <w:vAlign w:val="bottom"/>
          </w:tcPr>
          <w:p w14:paraId="726F728F" w14:textId="77777777" w:rsidR="00171C22" w:rsidRPr="00CD614D" w:rsidRDefault="00171C22" w:rsidP="00CD614D">
            <w:pPr>
              <w:jc w:val="center"/>
              <w:rPr>
                <w:rFonts w:ascii="Arial" w:hAnsi="Arial" w:cs="Arial"/>
              </w:rPr>
            </w:pPr>
            <w:r w:rsidRPr="00CD614D">
              <w:rPr>
                <w:rFonts w:ascii="Arial" w:hAnsi="Arial" w:cs="Arial"/>
              </w:rPr>
              <w:t>-</w:t>
            </w:r>
          </w:p>
        </w:tc>
        <w:tc>
          <w:tcPr>
            <w:tcW w:w="2126" w:type="dxa"/>
            <w:vAlign w:val="bottom"/>
          </w:tcPr>
          <w:p w14:paraId="388AD5AE" w14:textId="77777777" w:rsidR="00171C22" w:rsidRPr="00CD614D" w:rsidRDefault="00171C22" w:rsidP="00CD614D">
            <w:pPr>
              <w:ind w:right="8"/>
              <w:jc w:val="right"/>
              <w:rPr>
                <w:rFonts w:ascii="Arial" w:hAnsi="Arial" w:cs="Arial"/>
              </w:rPr>
            </w:pPr>
            <w:r w:rsidRPr="00CD614D">
              <w:rPr>
                <w:rFonts w:ascii="Arial" w:hAnsi="Arial" w:cs="Arial"/>
              </w:rPr>
              <w:t>(48,404)</w:t>
            </w:r>
          </w:p>
        </w:tc>
        <w:tc>
          <w:tcPr>
            <w:tcW w:w="1701" w:type="dxa"/>
            <w:vAlign w:val="bottom"/>
          </w:tcPr>
          <w:p w14:paraId="41344642" w14:textId="77777777" w:rsidR="00171C22" w:rsidRPr="00CD614D" w:rsidRDefault="00171C22" w:rsidP="00CD614D">
            <w:pPr>
              <w:jc w:val="right"/>
              <w:rPr>
                <w:rFonts w:ascii="Arial" w:hAnsi="Arial" w:cs="Arial"/>
              </w:rPr>
            </w:pPr>
            <w:r w:rsidRPr="00CD614D">
              <w:rPr>
                <w:rFonts w:ascii="Arial" w:hAnsi="Arial" w:cs="Arial"/>
              </w:rPr>
              <w:t>-</w:t>
            </w:r>
          </w:p>
        </w:tc>
        <w:tc>
          <w:tcPr>
            <w:tcW w:w="1701" w:type="dxa"/>
            <w:vAlign w:val="bottom"/>
          </w:tcPr>
          <w:p w14:paraId="0D7827D9" w14:textId="77777777" w:rsidR="00171C22" w:rsidRPr="00CD614D" w:rsidRDefault="00171C22" w:rsidP="00CD614D">
            <w:pPr>
              <w:ind w:right="8"/>
              <w:jc w:val="right"/>
              <w:rPr>
                <w:rFonts w:ascii="Arial" w:hAnsi="Arial" w:cs="Arial"/>
              </w:rPr>
            </w:pPr>
            <w:r w:rsidRPr="00CD614D">
              <w:rPr>
                <w:rFonts w:ascii="Arial" w:hAnsi="Arial" w:cs="Arial"/>
              </w:rPr>
              <w:t>(48,404)</w:t>
            </w:r>
          </w:p>
        </w:tc>
      </w:tr>
      <w:tr w:rsidR="00171C22" w:rsidRPr="00CD614D" w14:paraId="619277A0" w14:textId="77777777" w:rsidTr="008A1E15">
        <w:trPr>
          <w:trHeight w:val="454"/>
        </w:trPr>
        <w:tc>
          <w:tcPr>
            <w:tcW w:w="4111" w:type="dxa"/>
            <w:vAlign w:val="bottom"/>
          </w:tcPr>
          <w:p w14:paraId="12E354C5" w14:textId="77777777" w:rsidR="00171C22" w:rsidRPr="00CD614D" w:rsidRDefault="00171C22" w:rsidP="00CD614D">
            <w:pPr>
              <w:ind w:left="34"/>
              <w:rPr>
                <w:rFonts w:ascii="Arial" w:hAnsi="Arial" w:cs="Arial"/>
              </w:rPr>
            </w:pPr>
            <w:r w:rsidRPr="00CD614D">
              <w:rPr>
                <w:rFonts w:ascii="Arial" w:hAnsi="Arial" w:cs="Arial"/>
              </w:rPr>
              <w:t>Total of pension re-measurements</w:t>
            </w:r>
          </w:p>
        </w:tc>
        <w:tc>
          <w:tcPr>
            <w:tcW w:w="993" w:type="dxa"/>
            <w:noWrap/>
            <w:vAlign w:val="bottom"/>
          </w:tcPr>
          <w:p w14:paraId="3637C3F0" w14:textId="77777777" w:rsidR="00171C22" w:rsidRPr="00CD614D" w:rsidRDefault="00171C22" w:rsidP="00CD614D">
            <w:pPr>
              <w:jc w:val="center"/>
              <w:rPr>
                <w:rFonts w:ascii="Arial" w:hAnsi="Arial" w:cs="Arial"/>
              </w:rPr>
            </w:pPr>
            <w:r w:rsidRPr="00CD614D">
              <w:rPr>
                <w:rFonts w:ascii="Arial" w:hAnsi="Arial" w:cs="Arial"/>
              </w:rPr>
              <w:t>15</w:t>
            </w:r>
          </w:p>
        </w:tc>
        <w:tc>
          <w:tcPr>
            <w:tcW w:w="2126" w:type="dxa"/>
            <w:vAlign w:val="bottom"/>
          </w:tcPr>
          <w:p w14:paraId="146494C6" w14:textId="77777777" w:rsidR="00171C22" w:rsidRPr="00CD614D" w:rsidRDefault="00171C22" w:rsidP="00CD614D">
            <w:pPr>
              <w:ind w:right="8"/>
              <w:jc w:val="right"/>
              <w:rPr>
                <w:rFonts w:ascii="Arial" w:hAnsi="Arial" w:cs="Arial"/>
              </w:rPr>
            </w:pPr>
            <w:r w:rsidRPr="00CD614D">
              <w:rPr>
                <w:rFonts w:ascii="Arial" w:hAnsi="Arial" w:cs="Arial"/>
              </w:rPr>
              <w:t>(63,436)</w:t>
            </w:r>
          </w:p>
        </w:tc>
        <w:tc>
          <w:tcPr>
            <w:tcW w:w="1701" w:type="dxa"/>
            <w:vAlign w:val="bottom"/>
          </w:tcPr>
          <w:p w14:paraId="71AC2773" w14:textId="77777777" w:rsidR="00171C22" w:rsidRPr="00CD614D" w:rsidRDefault="00171C22" w:rsidP="00CD614D">
            <w:pPr>
              <w:jc w:val="right"/>
              <w:rPr>
                <w:rFonts w:ascii="Arial" w:hAnsi="Arial" w:cs="Arial"/>
              </w:rPr>
            </w:pPr>
            <w:r w:rsidRPr="00CD614D">
              <w:rPr>
                <w:rFonts w:ascii="Arial" w:hAnsi="Arial" w:cs="Arial"/>
              </w:rPr>
              <w:t>-</w:t>
            </w:r>
          </w:p>
        </w:tc>
        <w:tc>
          <w:tcPr>
            <w:tcW w:w="1701" w:type="dxa"/>
            <w:vAlign w:val="bottom"/>
          </w:tcPr>
          <w:p w14:paraId="74725777" w14:textId="77777777" w:rsidR="00171C22" w:rsidRPr="00CD614D" w:rsidRDefault="00171C22" w:rsidP="00CD614D">
            <w:pPr>
              <w:ind w:right="8"/>
              <w:jc w:val="right"/>
              <w:rPr>
                <w:rFonts w:ascii="Arial" w:hAnsi="Arial" w:cs="Arial"/>
              </w:rPr>
            </w:pPr>
            <w:r w:rsidRPr="00CD614D">
              <w:rPr>
                <w:rFonts w:ascii="Arial" w:hAnsi="Arial" w:cs="Arial"/>
              </w:rPr>
              <w:t>(63,436)</w:t>
            </w:r>
          </w:p>
        </w:tc>
      </w:tr>
      <w:tr w:rsidR="00171C22" w:rsidRPr="00CD614D" w14:paraId="6A99EEB5" w14:textId="77777777" w:rsidTr="008A1E15">
        <w:trPr>
          <w:trHeight w:val="454"/>
        </w:trPr>
        <w:tc>
          <w:tcPr>
            <w:tcW w:w="4111" w:type="dxa"/>
            <w:vAlign w:val="bottom"/>
          </w:tcPr>
          <w:p w14:paraId="4B0417A8" w14:textId="77777777" w:rsidR="00171C22" w:rsidRPr="00CD614D" w:rsidRDefault="00171C22" w:rsidP="00CD614D">
            <w:pPr>
              <w:ind w:left="34"/>
              <w:rPr>
                <w:rFonts w:ascii="Arial" w:hAnsi="Arial" w:cs="Arial"/>
              </w:rPr>
            </w:pPr>
            <w:r w:rsidRPr="00CD614D">
              <w:rPr>
                <w:rFonts w:ascii="Arial" w:hAnsi="Arial" w:cs="Arial"/>
              </w:rPr>
              <w:t>Revaluation of non-current assets</w:t>
            </w:r>
          </w:p>
        </w:tc>
        <w:tc>
          <w:tcPr>
            <w:tcW w:w="993" w:type="dxa"/>
            <w:noWrap/>
            <w:vAlign w:val="bottom"/>
          </w:tcPr>
          <w:p w14:paraId="770C5C66" w14:textId="77777777" w:rsidR="00171C22" w:rsidRPr="00CD614D" w:rsidRDefault="00171C22" w:rsidP="00CD614D">
            <w:pPr>
              <w:jc w:val="center"/>
              <w:rPr>
                <w:rFonts w:ascii="Arial" w:hAnsi="Arial" w:cs="Arial"/>
              </w:rPr>
            </w:pPr>
            <w:r w:rsidRPr="00CD614D">
              <w:rPr>
                <w:rFonts w:ascii="Arial" w:hAnsi="Arial" w:cs="Arial"/>
              </w:rPr>
              <w:t>9</w:t>
            </w:r>
          </w:p>
        </w:tc>
        <w:tc>
          <w:tcPr>
            <w:tcW w:w="2126" w:type="dxa"/>
            <w:tcBorders>
              <w:bottom w:val="single" w:sz="4" w:space="0" w:color="auto"/>
            </w:tcBorders>
            <w:vAlign w:val="bottom"/>
          </w:tcPr>
          <w:p w14:paraId="3041A320" w14:textId="77777777" w:rsidR="00171C22" w:rsidRPr="00CD614D" w:rsidRDefault="00171C22" w:rsidP="00CD614D">
            <w:pPr>
              <w:jc w:val="right"/>
              <w:rPr>
                <w:rFonts w:ascii="Arial" w:hAnsi="Arial" w:cs="Arial"/>
              </w:rPr>
            </w:pPr>
            <w:r w:rsidRPr="00CD614D">
              <w:rPr>
                <w:rFonts w:ascii="Arial" w:hAnsi="Arial" w:cs="Arial"/>
              </w:rPr>
              <w:t>9</w:t>
            </w:r>
          </w:p>
        </w:tc>
        <w:tc>
          <w:tcPr>
            <w:tcW w:w="1701" w:type="dxa"/>
            <w:tcBorders>
              <w:bottom w:val="single" w:sz="4" w:space="0" w:color="auto"/>
            </w:tcBorders>
            <w:noWrap/>
            <w:vAlign w:val="bottom"/>
          </w:tcPr>
          <w:p w14:paraId="611BD605" w14:textId="77777777" w:rsidR="00171C22" w:rsidRPr="00CD614D" w:rsidRDefault="00171C22" w:rsidP="00CD614D">
            <w:pPr>
              <w:jc w:val="right"/>
              <w:rPr>
                <w:rFonts w:ascii="Arial" w:hAnsi="Arial" w:cs="Arial"/>
              </w:rPr>
            </w:pPr>
            <w:r w:rsidRPr="00CD614D">
              <w:rPr>
                <w:rFonts w:ascii="Arial" w:hAnsi="Arial" w:cs="Arial"/>
              </w:rPr>
              <w:t>1,260</w:t>
            </w:r>
          </w:p>
        </w:tc>
        <w:tc>
          <w:tcPr>
            <w:tcW w:w="1701" w:type="dxa"/>
            <w:tcBorders>
              <w:bottom w:val="single" w:sz="4" w:space="0" w:color="auto"/>
            </w:tcBorders>
            <w:vAlign w:val="bottom"/>
          </w:tcPr>
          <w:p w14:paraId="03EE5E07" w14:textId="77777777" w:rsidR="00171C22" w:rsidRPr="00CD614D" w:rsidRDefault="00171C22" w:rsidP="00CD614D">
            <w:pPr>
              <w:jc w:val="right"/>
              <w:rPr>
                <w:rFonts w:ascii="Arial" w:hAnsi="Arial" w:cs="Arial"/>
              </w:rPr>
            </w:pPr>
            <w:r w:rsidRPr="00CD614D">
              <w:rPr>
                <w:rFonts w:ascii="Arial" w:hAnsi="Arial" w:cs="Arial"/>
              </w:rPr>
              <w:t>1,269</w:t>
            </w:r>
          </w:p>
        </w:tc>
      </w:tr>
      <w:tr w:rsidR="00863090" w:rsidRPr="00CD614D" w14:paraId="61C18085" w14:textId="77777777" w:rsidTr="008A1E15">
        <w:trPr>
          <w:trHeight w:val="454"/>
        </w:trPr>
        <w:tc>
          <w:tcPr>
            <w:tcW w:w="4111" w:type="dxa"/>
            <w:vAlign w:val="bottom"/>
          </w:tcPr>
          <w:p w14:paraId="2E67907D" w14:textId="77777777" w:rsidR="00171C22" w:rsidRPr="00CD614D" w:rsidRDefault="00171C22" w:rsidP="00CD614D">
            <w:pPr>
              <w:ind w:left="34"/>
              <w:rPr>
                <w:rFonts w:ascii="Arial" w:hAnsi="Arial" w:cs="Arial"/>
                <w:b/>
              </w:rPr>
            </w:pPr>
            <w:r w:rsidRPr="00CD614D">
              <w:rPr>
                <w:rFonts w:ascii="Arial" w:hAnsi="Arial" w:cs="Arial"/>
                <w:b/>
              </w:rPr>
              <w:t>At 31 March 2021</w:t>
            </w:r>
          </w:p>
        </w:tc>
        <w:tc>
          <w:tcPr>
            <w:tcW w:w="993" w:type="dxa"/>
            <w:noWrap/>
            <w:vAlign w:val="bottom"/>
          </w:tcPr>
          <w:p w14:paraId="561ED31E" w14:textId="77777777" w:rsidR="00171C22" w:rsidRPr="00CD614D" w:rsidRDefault="00171C22" w:rsidP="00CD614D">
            <w:pPr>
              <w:jc w:val="center"/>
              <w:rPr>
                <w:rFonts w:ascii="Arial" w:hAnsi="Arial" w:cs="Arial"/>
              </w:rPr>
            </w:pPr>
          </w:p>
        </w:tc>
        <w:tc>
          <w:tcPr>
            <w:tcW w:w="2126" w:type="dxa"/>
            <w:tcBorders>
              <w:top w:val="single" w:sz="4" w:space="0" w:color="auto"/>
              <w:bottom w:val="double" w:sz="4" w:space="0" w:color="auto"/>
            </w:tcBorders>
            <w:vAlign w:val="bottom"/>
          </w:tcPr>
          <w:p w14:paraId="7795F937" w14:textId="77777777" w:rsidR="00171C22" w:rsidRPr="00CD614D" w:rsidRDefault="00171C22" w:rsidP="00CD614D">
            <w:pPr>
              <w:jc w:val="right"/>
              <w:rPr>
                <w:rFonts w:ascii="Arial" w:hAnsi="Arial" w:cs="Arial"/>
                <w:b/>
              </w:rPr>
            </w:pPr>
            <w:r w:rsidRPr="00CD614D">
              <w:rPr>
                <w:rFonts w:ascii="Arial" w:hAnsi="Arial" w:cs="Arial"/>
                <w:b/>
              </w:rPr>
              <w:t>(178,036)</w:t>
            </w:r>
          </w:p>
        </w:tc>
        <w:tc>
          <w:tcPr>
            <w:tcW w:w="1701" w:type="dxa"/>
            <w:tcBorders>
              <w:top w:val="single" w:sz="4" w:space="0" w:color="auto"/>
              <w:bottom w:val="double" w:sz="4" w:space="0" w:color="auto"/>
            </w:tcBorders>
            <w:noWrap/>
            <w:vAlign w:val="bottom"/>
          </w:tcPr>
          <w:p w14:paraId="4F86B295" w14:textId="77777777" w:rsidR="00171C22" w:rsidRPr="00CD614D" w:rsidRDefault="00171C22" w:rsidP="00CD614D">
            <w:pPr>
              <w:jc w:val="right"/>
              <w:rPr>
                <w:rFonts w:ascii="Arial" w:hAnsi="Arial" w:cs="Arial"/>
                <w:b/>
              </w:rPr>
            </w:pPr>
            <w:r w:rsidRPr="00CD614D">
              <w:rPr>
                <w:rFonts w:ascii="Arial" w:hAnsi="Arial" w:cs="Arial"/>
                <w:b/>
              </w:rPr>
              <w:t>16,488</w:t>
            </w:r>
          </w:p>
        </w:tc>
        <w:tc>
          <w:tcPr>
            <w:tcW w:w="1701" w:type="dxa"/>
            <w:tcBorders>
              <w:top w:val="single" w:sz="4" w:space="0" w:color="auto"/>
              <w:bottom w:val="double" w:sz="4" w:space="0" w:color="auto"/>
            </w:tcBorders>
            <w:vAlign w:val="bottom"/>
          </w:tcPr>
          <w:p w14:paraId="7D7DE4DA" w14:textId="77777777" w:rsidR="00171C22" w:rsidRPr="00CD614D" w:rsidRDefault="00171C22" w:rsidP="00CD614D">
            <w:pPr>
              <w:jc w:val="right"/>
              <w:rPr>
                <w:rFonts w:ascii="Arial" w:hAnsi="Arial" w:cs="Arial"/>
                <w:b/>
              </w:rPr>
            </w:pPr>
            <w:r w:rsidRPr="00CD614D">
              <w:rPr>
                <w:rFonts w:ascii="Arial" w:hAnsi="Arial" w:cs="Arial"/>
                <w:b/>
              </w:rPr>
              <w:t>(161,548)</w:t>
            </w:r>
          </w:p>
        </w:tc>
      </w:tr>
    </w:tbl>
    <w:p w14:paraId="576C5BEF" w14:textId="77777777" w:rsidR="00171C22" w:rsidRPr="00CD614D" w:rsidRDefault="00171C22" w:rsidP="00CD614D">
      <w:pPr>
        <w:rPr>
          <w:rFonts w:ascii="Arial" w:hAnsi="Arial" w:cs="Arial"/>
          <w:sz w:val="22"/>
          <w:szCs w:val="22"/>
        </w:rPr>
      </w:pPr>
    </w:p>
    <w:p w14:paraId="730FD60F" w14:textId="77777777" w:rsidR="00171C22" w:rsidRPr="00CD614D" w:rsidRDefault="00171C22" w:rsidP="00CD614D">
      <w:pPr>
        <w:rPr>
          <w:rFonts w:ascii="Arial" w:hAnsi="Arial" w:cs="Arial"/>
          <w:sz w:val="22"/>
          <w:szCs w:val="22"/>
        </w:rPr>
      </w:pPr>
    </w:p>
    <w:tbl>
      <w:tblPr>
        <w:tblW w:w="7224" w:type="dxa"/>
        <w:tblInd w:w="-142" w:type="dxa"/>
        <w:shd w:val="clear" w:color="auto" w:fill="EAF1DD" w:themeFill="accent3" w:themeFillTint="33"/>
        <w:tblLook w:val="0000" w:firstRow="0" w:lastRow="0" w:firstColumn="0" w:lastColumn="0" w:noHBand="0" w:noVBand="0"/>
      </w:tblPr>
      <w:tblGrid>
        <w:gridCol w:w="4111"/>
        <w:gridCol w:w="993"/>
        <w:gridCol w:w="2120"/>
      </w:tblGrid>
      <w:tr w:rsidR="00171C22" w:rsidRPr="00CD614D" w14:paraId="3FA448A4" w14:textId="77777777" w:rsidTr="00F3133D">
        <w:trPr>
          <w:trHeight w:val="397"/>
        </w:trPr>
        <w:tc>
          <w:tcPr>
            <w:tcW w:w="7224" w:type="dxa"/>
            <w:gridSpan w:val="3"/>
            <w:noWrap/>
            <w:vAlign w:val="bottom"/>
          </w:tcPr>
          <w:p w14:paraId="4193EF6A" w14:textId="77777777" w:rsidR="00171C22" w:rsidRPr="00CD614D" w:rsidRDefault="00171C22" w:rsidP="00CD614D">
            <w:pPr>
              <w:rPr>
                <w:rFonts w:ascii="Arial" w:hAnsi="Arial" w:cs="Arial"/>
                <w:b/>
                <w:bCs/>
              </w:rPr>
            </w:pPr>
          </w:p>
          <w:p w14:paraId="635499FC" w14:textId="77777777" w:rsidR="00171C22" w:rsidRPr="00CD614D" w:rsidRDefault="00171C22" w:rsidP="00CD614D">
            <w:pPr>
              <w:rPr>
                <w:rFonts w:ascii="Arial" w:hAnsi="Arial" w:cs="Arial"/>
                <w:b/>
                <w:bCs/>
              </w:rPr>
            </w:pPr>
            <w:r w:rsidRPr="00CD614D">
              <w:rPr>
                <w:rFonts w:ascii="Arial" w:hAnsi="Arial" w:cs="Arial"/>
                <w:b/>
                <w:bCs/>
              </w:rPr>
              <w:t xml:space="preserve">Comprehensive net expenditure reserve consists of: </w:t>
            </w:r>
          </w:p>
        </w:tc>
      </w:tr>
      <w:tr w:rsidR="00171C22" w:rsidRPr="00CD614D" w14:paraId="1C212331" w14:textId="77777777" w:rsidTr="005821E2">
        <w:trPr>
          <w:trHeight w:val="454"/>
        </w:trPr>
        <w:tc>
          <w:tcPr>
            <w:tcW w:w="4111" w:type="dxa"/>
            <w:noWrap/>
            <w:vAlign w:val="bottom"/>
          </w:tcPr>
          <w:p w14:paraId="1C838B3B" w14:textId="77777777" w:rsidR="00171C22" w:rsidRPr="00CD614D" w:rsidRDefault="00171C22" w:rsidP="00CD614D">
            <w:pPr>
              <w:rPr>
                <w:rFonts w:ascii="Arial" w:hAnsi="Arial" w:cs="Arial"/>
              </w:rPr>
            </w:pPr>
            <w:r w:rsidRPr="00CD614D">
              <w:rPr>
                <w:rFonts w:ascii="Arial" w:hAnsi="Arial" w:cs="Arial"/>
              </w:rPr>
              <w:t xml:space="preserve">Pensions deficit </w:t>
            </w:r>
          </w:p>
        </w:tc>
        <w:tc>
          <w:tcPr>
            <w:tcW w:w="993" w:type="dxa"/>
            <w:vAlign w:val="bottom"/>
          </w:tcPr>
          <w:p w14:paraId="7D810D21" w14:textId="77777777" w:rsidR="00171C22" w:rsidRPr="00CD614D" w:rsidRDefault="00171C22" w:rsidP="00CD614D">
            <w:pPr>
              <w:jc w:val="center"/>
              <w:rPr>
                <w:rFonts w:ascii="Arial" w:hAnsi="Arial" w:cs="Arial"/>
              </w:rPr>
            </w:pPr>
            <w:r w:rsidRPr="00CD614D">
              <w:rPr>
                <w:rFonts w:ascii="Arial" w:hAnsi="Arial" w:cs="Arial"/>
              </w:rPr>
              <w:t>15</w:t>
            </w:r>
          </w:p>
        </w:tc>
        <w:tc>
          <w:tcPr>
            <w:tcW w:w="2120" w:type="dxa"/>
            <w:vAlign w:val="bottom"/>
          </w:tcPr>
          <w:p w14:paraId="5AE19BC1" w14:textId="77777777" w:rsidR="00171C22" w:rsidRPr="00CD614D" w:rsidRDefault="00171C22" w:rsidP="00CD614D">
            <w:pPr>
              <w:jc w:val="right"/>
              <w:rPr>
                <w:rFonts w:ascii="Arial" w:hAnsi="Arial" w:cs="Arial"/>
              </w:rPr>
            </w:pPr>
            <w:r w:rsidRPr="00CD614D">
              <w:rPr>
                <w:rFonts w:ascii="Arial" w:hAnsi="Arial" w:cs="Arial"/>
              </w:rPr>
              <w:t>(189,654)</w:t>
            </w:r>
          </w:p>
        </w:tc>
      </w:tr>
      <w:tr w:rsidR="00171C22" w:rsidRPr="00CD614D" w14:paraId="211D331F" w14:textId="77777777" w:rsidTr="005821E2">
        <w:trPr>
          <w:trHeight w:val="724"/>
        </w:trPr>
        <w:tc>
          <w:tcPr>
            <w:tcW w:w="4111" w:type="dxa"/>
            <w:noWrap/>
            <w:vAlign w:val="bottom"/>
          </w:tcPr>
          <w:p w14:paraId="3E4FCDBE" w14:textId="77777777" w:rsidR="00171C22" w:rsidRPr="00CD614D" w:rsidRDefault="00171C22" w:rsidP="00CD614D">
            <w:pPr>
              <w:rPr>
                <w:rFonts w:ascii="Arial" w:hAnsi="Arial" w:cs="Arial"/>
              </w:rPr>
            </w:pPr>
            <w:r w:rsidRPr="00CD614D">
              <w:rPr>
                <w:rFonts w:ascii="Arial" w:hAnsi="Arial" w:cs="Arial"/>
              </w:rPr>
              <w:t>Surplus arising from operating activities</w:t>
            </w:r>
          </w:p>
        </w:tc>
        <w:tc>
          <w:tcPr>
            <w:tcW w:w="993" w:type="dxa"/>
          </w:tcPr>
          <w:p w14:paraId="1694BBAE" w14:textId="77777777" w:rsidR="00171C22" w:rsidRPr="00CD614D" w:rsidRDefault="00171C22" w:rsidP="00CD614D">
            <w:pPr>
              <w:jc w:val="center"/>
              <w:rPr>
                <w:rFonts w:ascii="Arial" w:hAnsi="Arial" w:cs="Arial"/>
              </w:rPr>
            </w:pPr>
          </w:p>
          <w:p w14:paraId="62F0CAE4" w14:textId="77777777" w:rsidR="00171C22" w:rsidRPr="00CD614D" w:rsidRDefault="00171C22" w:rsidP="00CD614D">
            <w:pPr>
              <w:jc w:val="center"/>
              <w:rPr>
                <w:rFonts w:ascii="Arial" w:hAnsi="Arial" w:cs="Arial"/>
              </w:rPr>
            </w:pPr>
            <w:r w:rsidRPr="00CD614D">
              <w:rPr>
                <w:rFonts w:ascii="Arial" w:hAnsi="Arial" w:cs="Arial"/>
              </w:rPr>
              <w:t>-</w:t>
            </w:r>
          </w:p>
        </w:tc>
        <w:tc>
          <w:tcPr>
            <w:tcW w:w="2120" w:type="dxa"/>
            <w:tcBorders>
              <w:bottom w:val="single" w:sz="4" w:space="0" w:color="auto"/>
            </w:tcBorders>
            <w:vAlign w:val="bottom"/>
          </w:tcPr>
          <w:p w14:paraId="4AA46E03" w14:textId="77777777" w:rsidR="00171C22" w:rsidRPr="00CD614D" w:rsidRDefault="00171C22" w:rsidP="00CD614D">
            <w:pPr>
              <w:jc w:val="right"/>
              <w:rPr>
                <w:rFonts w:ascii="Arial" w:hAnsi="Arial" w:cs="Arial"/>
              </w:rPr>
            </w:pPr>
            <w:r w:rsidRPr="00CD614D">
              <w:rPr>
                <w:rFonts w:ascii="Arial" w:hAnsi="Arial" w:cs="Arial"/>
              </w:rPr>
              <w:t>11,618</w:t>
            </w:r>
          </w:p>
        </w:tc>
      </w:tr>
      <w:tr w:rsidR="00863090" w:rsidRPr="00E26D69" w14:paraId="1D59F1E3" w14:textId="77777777" w:rsidTr="005821E2">
        <w:trPr>
          <w:trHeight w:val="454"/>
        </w:trPr>
        <w:tc>
          <w:tcPr>
            <w:tcW w:w="4111" w:type="dxa"/>
            <w:noWrap/>
            <w:vAlign w:val="bottom"/>
          </w:tcPr>
          <w:p w14:paraId="783EF16B" w14:textId="77777777" w:rsidR="00171C22" w:rsidRPr="00CD614D" w:rsidRDefault="00171C22" w:rsidP="00CD614D">
            <w:pPr>
              <w:rPr>
                <w:rFonts w:ascii="Arial" w:hAnsi="Arial" w:cs="Arial"/>
                <w:b/>
              </w:rPr>
            </w:pPr>
            <w:r w:rsidRPr="00CD614D">
              <w:rPr>
                <w:rFonts w:ascii="Arial" w:hAnsi="Arial" w:cs="Arial"/>
                <w:b/>
              </w:rPr>
              <w:t>Balance at 31 March 2021</w:t>
            </w:r>
          </w:p>
        </w:tc>
        <w:tc>
          <w:tcPr>
            <w:tcW w:w="993" w:type="dxa"/>
            <w:vAlign w:val="bottom"/>
          </w:tcPr>
          <w:p w14:paraId="21C088D0" w14:textId="77777777" w:rsidR="00171C22" w:rsidRPr="00CD614D" w:rsidRDefault="00171C22" w:rsidP="00CD614D">
            <w:pPr>
              <w:jc w:val="center"/>
              <w:rPr>
                <w:rFonts w:ascii="Arial" w:hAnsi="Arial" w:cs="Arial"/>
                <w:b/>
              </w:rPr>
            </w:pPr>
            <w:r w:rsidRPr="00CD614D">
              <w:rPr>
                <w:rFonts w:ascii="Arial" w:hAnsi="Arial" w:cs="Arial"/>
                <w:b/>
              </w:rPr>
              <w:t>-</w:t>
            </w:r>
          </w:p>
        </w:tc>
        <w:tc>
          <w:tcPr>
            <w:tcW w:w="2120" w:type="dxa"/>
            <w:tcBorders>
              <w:top w:val="single" w:sz="4" w:space="0" w:color="auto"/>
              <w:bottom w:val="double" w:sz="4" w:space="0" w:color="auto"/>
            </w:tcBorders>
            <w:vAlign w:val="bottom"/>
          </w:tcPr>
          <w:p w14:paraId="724D5F9D" w14:textId="77777777" w:rsidR="00171C22" w:rsidRPr="00E26D69" w:rsidRDefault="00171C22" w:rsidP="00CD614D">
            <w:pPr>
              <w:jc w:val="right"/>
              <w:rPr>
                <w:rFonts w:ascii="Arial" w:hAnsi="Arial" w:cs="Arial"/>
                <w:b/>
              </w:rPr>
            </w:pPr>
            <w:r w:rsidRPr="00CD614D">
              <w:rPr>
                <w:rFonts w:ascii="Arial" w:hAnsi="Arial" w:cs="Arial"/>
                <w:b/>
              </w:rPr>
              <w:t>(178,036)</w:t>
            </w:r>
          </w:p>
        </w:tc>
      </w:tr>
    </w:tbl>
    <w:p w14:paraId="7EFC668A" w14:textId="77777777" w:rsidR="003336EF" w:rsidRDefault="003336EF" w:rsidP="00B70701">
      <w:pPr>
        <w:keepNext/>
        <w:overflowPunct w:val="0"/>
        <w:autoSpaceDE w:val="0"/>
        <w:autoSpaceDN w:val="0"/>
        <w:adjustRightInd w:val="0"/>
        <w:spacing w:line="360" w:lineRule="auto"/>
        <w:textAlignment w:val="baseline"/>
        <w:outlineLvl w:val="0"/>
        <w:rPr>
          <w:rFonts w:ascii="Arial" w:hAnsi="Arial" w:cs="Arial"/>
        </w:rPr>
      </w:pPr>
    </w:p>
    <w:p w14:paraId="3E0C3D97" w14:textId="364D3BE7" w:rsidR="00E26D69" w:rsidRPr="0014712A" w:rsidRDefault="00E26D69" w:rsidP="00B70701">
      <w:pPr>
        <w:keepNext/>
        <w:overflowPunct w:val="0"/>
        <w:autoSpaceDE w:val="0"/>
        <w:autoSpaceDN w:val="0"/>
        <w:adjustRightInd w:val="0"/>
        <w:spacing w:line="360" w:lineRule="auto"/>
        <w:textAlignment w:val="baseline"/>
        <w:outlineLvl w:val="0"/>
        <w:rPr>
          <w:rFonts w:ascii="Arial" w:hAnsi="Arial" w:cs="Arial"/>
          <w:b/>
          <w:bCs/>
          <w:color w:val="000000"/>
          <w:kern w:val="28"/>
          <w:lang w:val="x-none" w:eastAsia="en-US"/>
        </w:rPr>
      </w:pPr>
      <w:r w:rsidRPr="007B2669">
        <w:rPr>
          <w:rFonts w:ascii="Arial" w:hAnsi="Arial" w:cs="Arial"/>
        </w:rPr>
        <w:t xml:space="preserve">The note numbers referred to above are incorporated within the notes to the accounts. These annual accounts were approved by the Board on </w:t>
      </w:r>
      <w:r w:rsidR="00BB31C3" w:rsidRPr="007B2669">
        <w:rPr>
          <w:rFonts w:ascii="Arial" w:hAnsi="Arial" w:cs="Arial"/>
        </w:rPr>
        <w:t>29 November</w:t>
      </w:r>
      <w:r w:rsidR="00CD614D" w:rsidRPr="007B2669">
        <w:rPr>
          <w:rFonts w:ascii="Arial" w:hAnsi="Arial" w:cs="Arial"/>
        </w:rPr>
        <w:t xml:space="preserve"> 2022</w:t>
      </w:r>
      <w:r w:rsidRPr="007B2669">
        <w:rPr>
          <w:rFonts w:ascii="Arial" w:hAnsi="Arial" w:cs="Arial"/>
        </w:rPr>
        <w:t>.</w:t>
      </w:r>
    </w:p>
    <w:p w14:paraId="76A39B73" w14:textId="77777777" w:rsidR="00E26D69" w:rsidRPr="00E26D69" w:rsidRDefault="00E26D69" w:rsidP="00E26D69">
      <w:pPr>
        <w:spacing w:line="360" w:lineRule="auto"/>
        <w:rPr>
          <w:rFonts w:ascii="Arial" w:hAnsi="Arial" w:cs="Arial"/>
          <w:highlight w:val="cyan"/>
        </w:rPr>
      </w:pPr>
      <w:r w:rsidRPr="00E26D69">
        <w:rPr>
          <w:rFonts w:ascii="Arial" w:hAnsi="Arial" w:cs="Arial"/>
          <w:highlight w:val="cyan"/>
        </w:rPr>
        <w:br w:type="page"/>
      </w:r>
    </w:p>
    <w:p w14:paraId="05B6FDAA" w14:textId="6A576F7E" w:rsidR="00E26D69" w:rsidRPr="004E4804" w:rsidRDefault="00E26D69" w:rsidP="003D0AC0">
      <w:pPr>
        <w:pStyle w:val="01cSubsubheader0"/>
        <w:ind w:left="426" w:hanging="568"/>
        <w:rPr>
          <w:sz w:val="28"/>
          <w:szCs w:val="28"/>
        </w:rPr>
      </w:pPr>
      <w:r w:rsidRPr="004E4804">
        <w:rPr>
          <w:sz w:val="28"/>
          <w:szCs w:val="28"/>
        </w:rPr>
        <w:lastRenderedPageBreak/>
        <w:t>Notes to the accounts</w:t>
      </w:r>
    </w:p>
    <w:p w14:paraId="55CD037C" w14:textId="77777777" w:rsidR="004441E6" w:rsidRPr="00320BA0" w:rsidRDefault="004441E6" w:rsidP="004441E6">
      <w:pPr>
        <w:pStyle w:val="01cSubsubheader0"/>
        <w:numPr>
          <w:ilvl w:val="0"/>
          <w:numId w:val="0"/>
        </w:numPr>
        <w:ind w:left="709"/>
      </w:pPr>
    </w:p>
    <w:p w14:paraId="3EB05AAA" w14:textId="77777777" w:rsidR="00E45BCE" w:rsidRPr="00320BA0" w:rsidRDefault="00E26D69" w:rsidP="000A1D9E">
      <w:pPr>
        <w:numPr>
          <w:ilvl w:val="0"/>
          <w:numId w:val="19"/>
        </w:numPr>
        <w:spacing w:line="360" w:lineRule="auto"/>
        <w:ind w:left="113" w:firstLine="567"/>
        <w:contextualSpacing/>
        <w:rPr>
          <w:rFonts w:ascii="Arial" w:hAnsi="Arial" w:cs="Arial"/>
          <w:b/>
        </w:rPr>
      </w:pPr>
      <w:bookmarkStart w:id="34" w:name="Note1"/>
      <w:r w:rsidRPr="00320BA0">
        <w:rPr>
          <w:rFonts w:ascii="Arial" w:hAnsi="Arial" w:cs="Arial"/>
          <w:b/>
        </w:rPr>
        <w:t>Accounting policies</w:t>
      </w:r>
    </w:p>
    <w:bookmarkEnd w:id="34"/>
    <w:p w14:paraId="13D87B2F" w14:textId="10F693A3" w:rsidR="00146383" w:rsidRDefault="00E26D69" w:rsidP="00A617F2">
      <w:pPr>
        <w:spacing w:line="360" w:lineRule="auto"/>
        <w:ind w:left="-142"/>
        <w:contextualSpacing/>
        <w:rPr>
          <w:rFonts w:ascii="Arial" w:hAnsi="Arial" w:cs="Arial"/>
        </w:rPr>
      </w:pPr>
      <w:r w:rsidRPr="00E45BCE">
        <w:rPr>
          <w:rFonts w:ascii="Arial" w:hAnsi="Arial" w:cs="Arial"/>
        </w:rPr>
        <w:t xml:space="preserve">The annual accounts are prepared in accordance with the Accounts Direction issued by Scottish Ministers. This Accounts Direction requires compliance with HM Treasury’s Financial Reporting Manual (FReM). The annual accounts have been prepared in accordance with International Financial Reporting Standards (IFRS) and interpretations issued by the International Financial Reporting Standards Interpretations Committee (IFRSIC). Where FReM permits a choice of accounting policy, SEPA has adopted the option that it judges to be most appropriate for the purpose of giving a true and fair view of its financial position. </w:t>
      </w:r>
      <w:r w:rsidR="003D4B89">
        <w:rPr>
          <w:rFonts w:ascii="Arial" w:hAnsi="Arial" w:cs="Arial"/>
        </w:rPr>
        <w:t>The accounting policies adopted have been set out below</w:t>
      </w:r>
      <w:r w:rsidR="000E3353">
        <w:rPr>
          <w:rFonts w:ascii="Arial" w:hAnsi="Arial" w:cs="Arial"/>
        </w:rPr>
        <w:t xml:space="preserve"> and they have been applied consistently in dealing with items that are considered material to the accounts.</w:t>
      </w:r>
    </w:p>
    <w:p w14:paraId="5C268FAB" w14:textId="77777777" w:rsidR="00A617F2" w:rsidRPr="00BF7B57" w:rsidRDefault="00A617F2" w:rsidP="00A617F2">
      <w:pPr>
        <w:spacing w:line="360" w:lineRule="auto"/>
        <w:ind w:left="-142"/>
        <w:contextualSpacing/>
        <w:rPr>
          <w:rFonts w:ascii="Arial" w:hAnsi="Arial" w:cs="Arial"/>
          <w:b/>
        </w:rPr>
      </w:pPr>
    </w:p>
    <w:p w14:paraId="07540E5B" w14:textId="77777777" w:rsidR="00D901CE" w:rsidRDefault="00E26D69" w:rsidP="00D901CE">
      <w:pPr>
        <w:spacing w:line="360" w:lineRule="auto"/>
        <w:ind w:left="-142"/>
        <w:contextualSpacing/>
        <w:rPr>
          <w:rFonts w:ascii="Arial" w:hAnsi="Arial" w:cs="Arial"/>
          <w:b/>
        </w:rPr>
      </w:pPr>
      <w:r w:rsidRPr="000E3353">
        <w:rPr>
          <w:rFonts w:ascii="Arial" w:hAnsi="Arial" w:cs="Arial"/>
          <w:b/>
        </w:rPr>
        <w:t>Accounting convention</w:t>
      </w:r>
    </w:p>
    <w:p w14:paraId="06D90742" w14:textId="59F63900" w:rsidR="00D901CE" w:rsidRDefault="00E26D69" w:rsidP="00D901CE">
      <w:pPr>
        <w:spacing w:line="360" w:lineRule="auto"/>
        <w:ind w:left="-142"/>
        <w:contextualSpacing/>
        <w:rPr>
          <w:rFonts w:ascii="Arial" w:hAnsi="Arial" w:cs="Arial"/>
          <w:b/>
        </w:rPr>
      </w:pPr>
      <w:r w:rsidRPr="00E26D69">
        <w:rPr>
          <w:rFonts w:ascii="Arial" w:hAnsi="Arial" w:cs="Arial"/>
        </w:rPr>
        <w:t xml:space="preserve">The accounts are prepared under the historical cost convention, modified to account for the revaluation of property, plant, and equipment to </w:t>
      </w:r>
      <w:r w:rsidR="004F6A2E">
        <w:rPr>
          <w:rFonts w:ascii="Arial" w:hAnsi="Arial" w:cs="Arial"/>
        </w:rPr>
        <w:t>current</w:t>
      </w:r>
      <w:r w:rsidRPr="00E26D69">
        <w:rPr>
          <w:rFonts w:ascii="Arial" w:hAnsi="Arial" w:cs="Arial"/>
        </w:rPr>
        <w:t xml:space="preserve"> value as determined by the relevant accounting standard.</w:t>
      </w:r>
    </w:p>
    <w:p w14:paraId="3533BA6A" w14:textId="77777777" w:rsidR="00A617F2" w:rsidRDefault="00A617F2" w:rsidP="00D901CE">
      <w:pPr>
        <w:spacing w:line="360" w:lineRule="auto"/>
        <w:ind w:left="-142"/>
        <w:contextualSpacing/>
        <w:rPr>
          <w:rFonts w:ascii="Arial" w:hAnsi="Arial" w:cs="Arial"/>
          <w:b/>
        </w:rPr>
      </w:pPr>
    </w:p>
    <w:p w14:paraId="5616AE37" w14:textId="4E628922" w:rsidR="00D901CE" w:rsidRDefault="00E26D69" w:rsidP="00D901CE">
      <w:pPr>
        <w:spacing w:line="360" w:lineRule="auto"/>
        <w:ind w:left="-142"/>
        <w:contextualSpacing/>
        <w:rPr>
          <w:rFonts w:ascii="Arial" w:hAnsi="Arial" w:cs="Arial"/>
          <w:b/>
        </w:rPr>
      </w:pPr>
      <w:r w:rsidRPr="000E3353">
        <w:rPr>
          <w:rFonts w:ascii="Arial" w:hAnsi="Arial" w:cs="Arial"/>
          <w:b/>
        </w:rPr>
        <w:t>Accounting period</w:t>
      </w:r>
    </w:p>
    <w:p w14:paraId="773ECBF2" w14:textId="5AFAD051" w:rsidR="00D901CE" w:rsidRDefault="00E26D69" w:rsidP="00D901CE">
      <w:pPr>
        <w:spacing w:line="360" w:lineRule="auto"/>
        <w:ind w:left="-142"/>
        <w:contextualSpacing/>
        <w:rPr>
          <w:rFonts w:ascii="Arial" w:hAnsi="Arial" w:cs="Arial"/>
          <w:b/>
        </w:rPr>
      </w:pPr>
      <w:r w:rsidRPr="00E26D69">
        <w:rPr>
          <w:rFonts w:ascii="Arial" w:hAnsi="Arial" w:cs="Arial"/>
        </w:rPr>
        <w:t>The accounting period commenced on 1 April 20</w:t>
      </w:r>
      <w:r w:rsidR="004849E2">
        <w:rPr>
          <w:rFonts w:ascii="Arial" w:hAnsi="Arial" w:cs="Arial"/>
        </w:rPr>
        <w:t>2</w:t>
      </w:r>
      <w:r w:rsidR="000E3353">
        <w:rPr>
          <w:rFonts w:ascii="Arial" w:hAnsi="Arial" w:cs="Arial"/>
        </w:rPr>
        <w:t>1</w:t>
      </w:r>
      <w:r w:rsidRPr="00E26D69">
        <w:rPr>
          <w:rFonts w:ascii="Arial" w:hAnsi="Arial" w:cs="Arial"/>
        </w:rPr>
        <w:t xml:space="preserve"> and ended on 31 March 202</w:t>
      </w:r>
      <w:r w:rsidR="000E3353">
        <w:rPr>
          <w:rFonts w:ascii="Arial" w:hAnsi="Arial" w:cs="Arial"/>
        </w:rPr>
        <w:t>2</w:t>
      </w:r>
      <w:r w:rsidRPr="00E26D69">
        <w:rPr>
          <w:rFonts w:ascii="Arial" w:hAnsi="Arial" w:cs="Arial"/>
        </w:rPr>
        <w:t>.</w:t>
      </w:r>
      <w:r w:rsidR="00BA6A9B">
        <w:rPr>
          <w:rFonts w:ascii="Arial" w:hAnsi="Arial" w:cs="Arial"/>
        </w:rPr>
        <w:t xml:space="preserve"> </w:t>
      </w:r>
    </w:p>
    <w:p w14:paraId="3AC0244D" w14:textId="77777777" w:rsidR="00D901CE" w:rsidRDefault="00D901CE" w:rsidP="00D901CE">
      <w:pPr>
        <w:spacing w:line="360" w:lineRule="auto"/>
        <w:ind w:left="-142"/>
        <w:contextualSpacing/>
        <w:rPr>
          <w:rFonts w:ascii="Arial" w:hAnsi="Arial" w:cs="Arial"/>
          <w:b/>
        </w:rPr>
      </w:pPr>
    </w:p>
    <w:p w14:paraId="0D85C3BF" w14:textId="77777777" w:rsidR="00D901CE" w:rsidRDefault="00E26D69" w:rsidP="00D901CE">
      <w:pPr>
        <w:spacing w:line="360" w:lineRule="auto"/>
        <w:ind w:left="-142"/>
        <w:contextualSpacing/>
        <w:rPr>
          <w:rFonts w:ascii="Arial" w:hAnsi="Arial" w:cs="Arial"/>
          <w:b/>
        </w:rPr>
      </w:pPr>
      <w:r w:rsidRPr="000E3353">
        <w:rPr>
          <w:rFonts w:ascii="Arial" w:hAnsi="Arial" w:cs="Arial"/>
          <w:b/>
        </w:rPr>
        <w:t>Going concern</w:t>
      </w:r>
    </w:p>
    <w:p w14:paraId="3AA2BB1A" w14:textId="3DAA1AA3" w:rsidR="00E26D69" w:rsidRDefault="00E26D69" w:rsidP="005E7F6D">
      <w:pPr>
        <w:spacing w:line="360" w:lineRule="auto"/>
        <w:ind w:left="-142"/>
        <w:contextualSpacing/>
        <w:rPr>
          <w:rFonts w:ascii="Arial" w:hAnsi="Arial" w:cs="Arial"/>
        </w:rPr>
      </w:pPr>
      <w:r w:rsidRPr="00E26D69">
        <w:rPr>
          <w:rFonts w:ascii="Arial" w:hAnsi="Arial" w:cs="Arial"/>
        </w:rPr>
        <w:t>The accounts have been prepared incorporating the requirements of international accounting standards and include an actuarial valuation of the pension scheme liability a</w:t>
      </w:r>
      <w:r w:rsidR="00637049">
        <w:rPr>
          <w:rFonts w:ascii="Arial" w:hAnsi="Arial" w:cs="Arial"/>
        </w:rPr>
        <w:t>t 31 March 202</w:t>
      </w:r>
      <w:r w:rsidR="000E3353">
        <w:rPr>
          <w:rFonts w:ascii="Arial" w:hAnsi="Arial" w:cs="Arial"/>
        </w:rPr>
        <w:t>2</w:t>
      </w:r>
      <w:r w:rsidR="00C21116">
        <w:rPr>
          <w:rFonts w:ascii="Arial" w:hAnsi="Arial" w:cs="Arial"/>
        </w:rPr>
        <w:t xml:space="preserve"> </w:t>
      </w:r>
      <w:r w:rsidR="00C21116" w:rsidRPr="009C53A6">
        <w:rPr>
          <w:rFonts w:ascii="Arial" w:hAnsi="Arial" w:cs="Arial"/>
        </w:rPr>
        <w:t>(</w:t>
      </w:r>
      <w:hyperlink w:anchor="Note15IAS19Pensionassetandliabilities" w:history="1">
        <w:r w:rsidRPr="005821E2">
          <w:rPr>
            <w:rStyle w:val="Hyperlink"/>
            <w:rFonts w:ascii="Arial" w:hAnsi="Arial" w:cs="Arial"/>
          </w:rPr>
          <w:t>note 1</w:t>
        </w:r>
        <w:r w:rsidR="003F3A66" w:rsidRPr="005821E2">
          <w:rPr>
            <w:rStyle w:val="Hyperlink"/>
            <w:rFonts w:ascii="Arial" w:hAnsi="Arial" w:cs="Arial"/>
          </w:rPr>
          <w:t>5</w:t>
        </w:r>
      </w:hyperlink>
      <w:r w:rsidR="00C21116" w:rsidRPr="009C53A6">
        <w:rPr>
          <w:rFonts w:ascii="Arial" w:hAnsi="Arial" w:cs="Arial"/>
        </w:rPr>
        <w:t>)</w:t>
      </w:r>
      <w:r w:rsidRPr="009C53A6">
        <w:rPr>
          <w:rFonts w:ascii="Arial" w:hAnsi="Arial" w:cs="Arial"/>
        </w:rPr>
        <w:t>.</w:t>
      </w:r>
      <w:r w:rsidRPr="00E26D69">
        <w:rPr>
          <w:rFonts w:ascii="Arial" w:hAnsi="Arial" w:cs="Arial"/>
        </w:rPr>
        <w:t xml:space="preserve"> The</w:t>
      </w:r>
      <w:r w:rsidR="00630C1B">
        <w:rPr>
          <w:rFonts w:ascii="Arial" w:hAnsi="Arial" w:cs="Arial"/>
        </w:rPr>
        <w:t xml:space="preserve"> actuarial valuation </w:t>
      </w:r>
      <w:r w:rsidRPr="00E26D69">
        <w:rPr>
          <w:rFonts w:ascii="Arial" w:hAnsi="Arial" w:cs="Arial"/>
        </w:rPr>
        <w:t>reflect</w:t>
      </w:r>
      <w:r w:rsidR="00630C1B">
        <w:rPr>
          <w:rFonts w:ascii="Arial" w:hAnsi="Arial" w:cs="Arial"/>
        </w:rPr>
        <w:t>s</w:t>
      </w:r>
      <w:r w:rsidRPr="00E26D69">
        <w:rPr>
          <w:rFonts w:ascii="Arial" w:hAnsi="Arial" w:cs="Arial"/>
        </w:rPr>
        <w:t xml:space="preserve"> the inclusion of liabilities falling due</w:t>
      </w:r>
      <w:r w:rsidR="008819D7">
        <w:rPr>
          <w:rFonts w:ascii="Arial" w:hAnsi="Arial" w:cs="Arial"/>
        </w:rPr>
        <w:t xml:space="preserve"> to the pension scheme</w:t>
      </w:r>
      <w:r w:rsidRPr="00E26D69">
        <w:rPr>
          <w:rFonts w:ascii="Arial" w:hAnsi="Arial" w:cs="Arial"/>
        </w:rPr>
        <w:t xml:space="preserve"> in future years in respect of </w:t>
      </w:r>
      <w:r w:rsidR="00637049">
        <w:rPr>
          <w:rFonts w:ascii="Arial" w:hAnsi="Arial" w:cs="Arial"/>
        </w:rPr>
        <w:t>benefits payable to members</w:t>
      </w:r>
      <w:r w:rsidR="008819D7">
        <w:rPr>
          <w:rFonts w:ascii="Arial" w:hAnsi="Arial" w:cs="Arial"/>
        </w:rPr>
        <w:t>.</w:t>
      </w:r>
      <w:r w:rsidRPr="00E26D69">
        <w:rPr>
          <w:rFonts w:ascii="Arial" w:hAnsi="Arial" w:cs="Arial"/>
        </w:rPr>
        <w:t xml:space="preserve"> </w:t>
      </w:r>
    </w:p>
    <w:p w14:paraId="7EE5C376" w14:textId="77777777" w:rsidR="005769F6" w:rsidRPr="00C356B7" w:rsidRDefault="005769F6" w:rsidP="005E7F6D">
      <w:pPr>
        <w:spacing w:line="360" w:lineRule="auto"/>
        <w:ind w:left="-142"/>
        <w:contextualSpacing/>
        <w:rPr>
          <w:rFonts w:ascii="Arial" w:hAnsi="Arial" w:cs="Arial"/>
          <w:b/>
        </w:rPr>
      </w:pPr>
    </w:p>
    <w:p w14:paraId="0FF0987C" w14:textId="77777777" w:rsidR="00E26D69" w:rsidRPr="00E26D69" w:rsidRDefault="00E26D69" w:rsidP="005E7F6D">
      <w:pPr>
        <w:spacing w:line="360" w:lineRule="auto"/>
        <w:ind w:left="-142"/>
        <w:rPr>
          <w:rFonts w:ascii="Arial" w:hAnsi="Arial" w:cs="Arial"/>
        </w:rPr>
      </w:pPr>
      <w:r w:rsidRPr="00E26D69">
        <w:rPr>
          <w:rFonts w:ascii="Arial" w:hAnsi="Arial" w:cs="Arial"/>
        </w:rPr>
        <w:t>SEPA’s pension liabilities falling due in future years are met from income derived from charging schemes and grant in aid (</w:t>
      </w:r>
      <w:proofErr w:type="spellStart"/>
      <w:r w:rsidRPr="00E26D69">
        <w:rPr>
          <w:rFonts w:ascii="Arial" w:hAnsi="Arial" w:cs="Arial"/>
        </w:rPr>
        <w:t>GiA</w:t>
      </w:r>
      <w:proofErr w:type="spellEnd"/>
      <w:r w:rsidRPr="00E26D69">
        <w:rPr>
          <w:rFonts w:ascii="Arial" w:hAnsi="Arial" w:cs="Arial"/>
        </w:rPr>
        <w:t xml:space="preserve">). Future years charging scheme fees will be increased to meet the expected costs attributable to providing these services, including pension costs. The Board has no reason to expect this process to change in the future. To the extent that the pension deficit is not met from SEPA’s other sources of income, it will be met by future </w:t>
      </w:r>
      <w:proofErr w:type="spellStart"/>
      <w:r w:rsidRPr="00E26D69">
        <w:rPr>
          <w:rFonts w:ascii="Arial" w:hAnsi="Arial" w:cs="Arial"/>
        </w:rPr>
        <w:t>GiA</w:t>
      </w:r>
      <w:proofErr w:type="spellEnd"/>
      <w:r w:rsidRPr="00E26D69">
        <w:rPr>
          <w:rFonts w:ascii="Arial" w:hAnsi="Arial" w:cs="Arial"/>
        </w:rPr>
        <w:t xml:space="preserve"> from Scottish Government Directorate for Environment and Forestry. Under the controls applying to parliamentary income and expenditure, grants may not be paid in advance of need. The Board and AMT believe that SEPA will continue to receive support from Scottish Government, </w:t>
      </w:r>
      <w:r w:rsidRPr="00E26D69">
        <w:rPr>
          <w:rFonts w:ascii="Arial" w:hAnsi="Arial" w:cs="Arial"/>
        </w:rPr>
        <w:lastRenderedPageBreak/>
        <w:t>accordingly they consider it appropriate to adopt a going concern basis for the preparation of these annual accounts.</w:t>
      </w:r>
    </w:p>
    <w:p w14:paraId="1C167DD4" w14:textId="77777777" w:rsidR="00E26D69" w:rsidRPr="00E26D69" w:rsidRDefault="00E26D69" w:rsidP="00B70701">
      <w:pPr>
        <w:spacing w:line="360" w:lineRule="auto"/>
        <w:rPr>
          <w:rFonts w:ascii="Arial" w:hAnsi="Arial" w:cs="Arial"/>
          <w:b/>
        </w:rPr>
      </w:pPr>
    </w:p>
    <w:p w14:paraId="36BD26EB" w14:textId="304B56BB" w:rsidR="00E26D69" w:rsidRPr="0038339B" w:rsidRDefault="00E26D69" w:rsidP="00000AFF">
      <w:pPr>
        <w:spacing w:line="360" w:lineRule="auto"/>
        <w:ind w:left="-142"/>
        <w:rPr>
          <w:rFonts w:ascii="Arial" w:hAnsi="Arial" w:cs="Arial"/>
          <w:b/>
        </w:rPr>
      </w:pPr>
      <w:r w:rsidRPr="00EE55F4">
        <w:rPr>
          <w:rFonts w:ascii="Arial" w:hAnsi="Arial" w:cs="Arial"/>
          <w:b/>
        </w:rPr>
        <w:t>Non-current assets</w:t>
      </w:r>
      <w:r w:rsidRPr="00EE55F4">
        <w:rPr>
          <w:rFonts w:ascii="Arial" w:hAnsi="Arial" w:cs="Arial"/>
          <w:b/>
          <w:bCs/>
        </w:rPr>
        <w:br/>
      </w:r>
      <w:r w:rsidRPr="00EE55F4">
        <w:rPr>
          <w:rFonts w:ascii="Arial" w:hAnsi="Arial" w:cs="Arial"/>
          <w:b/>
        </w:rPr>
        <w:t xml:space="preserve">Property, </w:t>
      </w:r>
      <w:r w:rsidR="00E0004F" w:rsidRPr="00EE55F4">
        <w:rPr>
          <w:rFonts w:ascii="Arial" w:hAnsi="Arial" w:cs="Arial"/>
          <w:b/>
        </w:rPr>
        <w:t>plant,</w:t>
      </w:r>
      <w:r w:rsidRPr="00EE55F4">
        <w:rPr>
          <w:rFonts w:ascii="Arial" w:hAnsi="Arial" w:cs="Arial"/>
          <w:b/>
        </w:rPr>
        <w:t xml:space="preserve"> and equipment</w:t>
      </w:r>
    </w:p>
    <w:p w14:paraId="118ADCD1" w14:textId="29A0FB62" w:rsidR="00E26D69" w:rsidRPr="00E26D69" w:rsidRDefault="002A3502" w:rsidP="0000050A">
      <w:pPr>
        <w:spacing w:line="360" w:lineRule="auto"/>
        <w:ind w:left="-142"/>
        <w:rPr>
          <w:rFonts w:ascii="Arial" w:hAnsi="Arial" w:cs="Arial"/>
        </w:rPr>
      </w:pPr>
      <w:r>
        <w:rPr>
          <w:rFonts w:ascii="Arial" w:hAnsi="Arial" w:cs="Arial"/>
        </w:rPr>
        <w:t xml:space="preserve">Initial </w:t>
      </w:r>
      <w:r w:rsidR="004373CE">
        <w:rPr>
          <w:rFonts w:ascii="Arial" w:hAnsi="Arial" w:cs="Arial"/>
        </w:rPr>
        <w:t>recognition of</w:t>
      </w:r>
      <w:r w:rsidR="002E6167">
        <w:rPr>
          <w:rFonts w:ascii="Arial" w:hAnsi="Arial" w:cs="Arial"/>
        </w:rPr>
        <w:t xml:space="preserve"> all </w:t>
      </w:r>
      <w:r w:rsidR="004373CE">
        <w:rPr>
          <w:rFonts w:ascii="Arial" w:hAnsi="Arial" w:cs="Arial"/>
        </w:rPr>
        <w:t>non-current</w:t>
      </w:r>
      <w:r w:rsidR="002E6167">
        <w:rPr>
          <w:rFonts w:ascii="Arial" w:hAnsi="Arial" w:cs="Arial"/>
        </w:rPr>
        <w:t xml:space="preserve"> assets purchased </w:t>
      </w:r>
      <w:r w:rsidR="00657A2D">
        <w:rPr>
          <w:rFonts w:ascii="Arial" w:hAnsi="Arial" w:cs="Arial"/>
        </w:rPr>
        <w:t>are</w:t>
      </w:r>
      <w:r w:rsidR="002E6167">
        <w:rPr>
          <w:rFonts w:ascii="Arial" w:hAnsi="Arial" w:cs="Arial"/>
        </w:rPr>
        <w:t xml:space="preserve"> at cost. </w:t>
      </w:r>
      <w:r w:rsidR="0000050A">
        <w:rPr>
          <w:rFonts w:ascii="Arial" w:hAnsi="Arial" w:cs="Arial"/>
        </w:rPr>
        <w:t xml:space="preserve"> </w:t>
      </w:r>
      <w:r w:rsidR="00D179A4">
        <w:rPr>
          <w:rFonts w:ascii="Arial" w:hAnsi="Arial" w:cs="Arial"/>
        </w:rPr>
        <w:t>Subsequent v</w:t>
      </w:r>
      <w:r w:rsidR="00E26D69" w:rsidRPr="00E26D69">
        <w:rPr>
          <w:rFonts w:ascii="Arial" w:hAnsi="Arial" w:cs="Arial"/>
        </w:rPr>
        <w:t>aluation</w:t>
      </w:r>
      <w:r w:rsidR="00D179A4">
        <w:rPr>
          <w:rFonts w:ascii="Arial" w:hAnsi="Arial" w:cs="Arial"/>
        </w:rPr>
        <w:t>s</w:t>
      </w:r>
      <w:r w:rsidR="00E26D69" w:rsidRPr="00E26D69">
        <w:rPr>
          <w:rFonts w:ascii="Arial" w:hAnsi="Arial" w:cs="Arial"/>
        </w:rPr>
        <w:t xml:space="preserve"> of </w:t>
      </w:r>
      <w:r w:rsidR="004373CE">
        <w:rPr>
          <w:rFonts w:ascii="Arial" w:hAnsi="Arial" w:cs="Arial"/>
        </w:rPr>
        <w:t xml:space="preserve">non-current </w:t>
      </w:r>
      <w:r w:rsidR="004373CE" w:rsidRPr="00E26D69">
        <w:rPr>
          <w:rFonts w:ascii="Arial" w:hAnsi="Arial" w:cs="Arial"/>
        </w:rPr>
        <w:t>assets</w:t>
      </w:r>
      <w:r w:rsidR="00E26D69" w:rsidRPr="00E26D69">
        <w:rPr>
          <w:rFonts w:ascii="Arial" w:hAnsi="Arial" w:cs="Arial"/>
        </w:rPr>
        <w:t xml:space="preserve"> </w:t>
      </w:r>
      <w:r w:rsidR="00A436AD">
        <w:rPr>
          <w:rFonts w:ascii="Arial" w:hAnsi="Arial" w:cs="Arial"/>
        </w:rPr>
        <w:t>are</w:t>
      </w:r>
      <w:r w:rsidR="00E26D69" w:rsidRPr="00E26D69">
        <w:rPr>
          <w:rFonts w:ascii="Arial" w:hAnsi="Arial" w:cs="Arial"/>
        </w:rPr>
        <w:t xml:space="preserve"> recognised in the accounts as follows:</w:t>
      </w:r>
    </w:p>
    <w:p w14:paraId="1745FBE5" w14:textId="77777777" w:rsidR="00E26D69" w:rsidRPr="00E26D69" w:rsidRDefault="00E26D69" w:rsidP="00B70701">
      <w:pPr>
        <w:spacing w:line="360" w:lineRule="auto"/>
        <w:rPr>
          <w:rFonts w:ascii="Arial" w:hAnsi="Arial" w:cs="Arial"/>
        </w:rPr>
      </w:pPr>
    </w:p>
    <w:p w14:paraId="72DD3BFB" w14:textId="426409F7" w:rsidR="00E26D69" w:rsidRDefault="00E26D69" w:rsidP="00802A98">
      <w:pPr>
        <w:numPr>
          <w:ilvl w:val="0"/>
          <w:numId w:val="28"/>
        </w:numPr>
        <w:overflowPunct w:val="0"/>
        <w:autoSpaceDE w:val="0"/>
        <w:autoSpaceDN w:val="0"/>
        <w:adjustRightInd w:val="0"/>
        <w:spacing w:line="360" w:lineRule="auto"/>
        <w:textAlignment w:val="baseline"/>
        <w:rPr>
          <w:rFonts w:ascii="Arial" w:hAnsi="Arial" w:cs="Arial"/>
        </w:rPr>
      </w:pPr>
      <w:r w:rsidRPr="00E26D69">
        <w:rPr>
          <w:rFonts w:ascii="Arial" w:hAnsi="Arial" w:cs="Arial"/>
        </w:rPr>
        <w:t xml:space="preserve">Title of operational properties are included in SEPA’s accounts </w:t>
      </w:r>
      <w:r w:rsidR="007E784D" w:rsidRPr="00E26D69">
        <w:rPr>
          <w:rFonts w:ascii="Arial" w:hAnsi="Arial" w:cs="Arial"/>
        </w:rPr>
        <w:t>based on</w:t>
      </w:r>
      <w:r w:rsidRPr="00E26D69">
        <w:rPr>
          <w:rFonts w:ascii="Arial" w:hAnsi="Arial" w:cs="Arial"/>
        </w:rPr>
        <w:t xml:space="preserve"> the actual ownership and management of the assets concerned.</w:t>
      </w:r>
    </w:p>
    <w:p w14:paraId="14822329" w14:textId="77777777" w:rsidR="00305339" w:rsidRPr="00E26D69" w:rsidRDefault="00305339" w:rsidP="00305339">
      <w:pPr>
        <w:overflowPunct w:val="0"/>
        <w:autoSpaceDE w:val="0"/>
        <w:autoSpaceDN w:val="0"/>
        <w:adjustRightInd w:val="0"/>
        <w:spacing w:line="360" w:lineRule="auto"/>
        <w:ind w:left="720"/>
        <w:textAlignment w:val="baseline"/>
        <w:rPr>
          <w:rFonts w:ascii="Arial" w:hAnsi="Arial" w:cs="Arial"/>
        </w:rPr>
      </w:pPr>
    </w:p>
    <w:p w14:paraId="2C530A70" w14:textId="5F8BA5ED" w:rsidR="00E26D69" w:rsidRDefault="00E26D69" w:rsidP="00802A98">
      <w:pPr>
        <w:numPr>
          <w:ilvl w:val="0"/>
          <w:numId w:val="28"/>
        </w:numPr>
        <w:overflowPunct w:val="0"/>
        <w:autoSpaceDE w:val="0"/>
        <w:autoSpaceDN w:val="0"/>
        <w:adjustRightInd w:val="0"/>
        <w:spacing w:line="360" w:lineRule="auto"/>
        <w:textAlignment w:val="baseline"/>
        <w:rPr>
          <w:rFonts w:ascii="Arial" w:hAnsi="Arial" w:cs="Arial"/>
        </w:rPr>
      </w:pPr>
      <w:r w:rsidRPr="00E26D69">
        <w:rPr>
          <w:rFonts w:ascii="Arial" w:hAnsi="Arial" w:cs="Arial"/>
        </w:rPr>
        <w:t xml:space="preserve">Operational land and buildings </w:t>
      </w:r>
      <w:r w:rsidR="00A84194">
        <w:rPr>
          <w:rFonts w:ascii="Arial" w:hAnsi="Arial" w:cs="Arial"/>
        </w:rPr>
        <w:t>current</w:t>
      </w:r>
      <w:r w:rsidRPr="00E26D69">
        <w:rPr>
          <w:rFonts w:ascii="Arial" w:hAnsi="Arial" w:cs="Arial"/>
        </w:rPr>
        <w:t xml:space="preserve"> value is assessed on the basis that the occupation for existing use will continue for the foreseeable future, unless otherwise stated. For non-specialised properties, where there is direct market evidence, </w:t>
      </w:r>
      <w:r w:rsidR="00D233BF">
        <w:rPr>
          <w:rFonts w:ascii="Arial" w:hAnsi="Arial" w:cs="Arial"/>
        </w:rPr>
        <w:t>current</w:t>
      </w:r>
      <w:r w:rsidRPr="00E26D69">
        <w:rPr>
          <w:rFonts w:ascii="Arial" w:hAnsi="Arial" w:cs="Arial"/>
        </w:rPr>
        <w:t xml:space="preserve"> value is assumed to </w:t>
      </w:r>
      <w:r w:rsidRPr="00C43F6C">
        <w:rPr>
          <w:rFonts w:ascii="Arial" w:hAnsi="Arial" w:cs="Arial"/>
        </w:rPr>
        <w:t xml:space="preserve">be equal to open market value for existing use. </w:t>
      </w:r>
    </w:p>
    <w:p w14:paraId="0B695143" w14:textId="77777777" w:rsidR="00305339" w:rsidRPr="00292FF3" w:rsidRDefault="00305339" w:rsidP="00305339">
      <w:pPr>
        <w:overflowPunct w:val="0"/>
        <w:autoSpaceDE w:val="0"/>
        <w:autoSpaceDN w:val="0"/>
        <w:adjustRightInd w:val="0"/>
        <w:spacing w:line="360" w:lineRule="auto"/>
        <w:textAlignment w:val="baseline"/>
        <w:rPr>
          <w:rFonts w:ascii="Arial" w:hAnsi="Arial" w:cs="Arial"/>
        </w:rPr>
      </w:pPr>
    </w:p>
    <w:p w14:paraId="08C44714" w14:textId="0D13B0C2" w:rsidR="00E26D69" w:rsidRDefault="00E26D69" w:rsidP="00802A98">
      <w:pPr>
        <w:numPr>
          <w:ilvl w:val="0"/>
          <w:numId w:val="28"/>
        </w:numPr>
        <w:overflowPunct w:val="0"/>
        <w:autoSpaceDE w:val="0"/>
        <w:autoSpaceDN w:val="0"/>
        <w:adjustRightInd w:val="0"/>
        <w:spacing w:line="360" w:lineRule="auto"/>
        <w:textAlignment w:val="baseline"/>
        <w:rPr>
          <w:rFonts w:ascii="Arial" w:hAnsi="Arial" w:cs="Arial"/>
        </w:rPr>
      </w:pPr>
      <w:r w:rsidRPr="00C43F6C">
        <w:rPr>
          <w:rFonts w:ascii="Arial" w:hAnsi="Arial" w:cs="Arial"/>
        </w:rPr>
        <w:t>For specialised properties</w:t>
      </w:r>
      <w:r w:rsidR="00F96114">
        <w:rPr>
          <w:rFonts w:ascii="Arial" w:hAnsi="Arial" w:cs="Arial"/>
        </w:rPr>
        <w:t xml:space="preserve"> (gauging stations)</w:t>
      </w:r>
      <w:r w:rsidRPr="00C43F6C">
        <w:rPr>
          <w:rFonts w:ascii="Arial" w:hAnsi="Arial" w:cs="Arial"/>
        </w:rPr>
        <w:t xml:space="preserve">, where there is no market evidence in respect of existing use, the value is assessed by using a depreciated replacement cost. There was a full valuation exercise conducted by an independent chartered surveyor </w:t>
      </w:r>
      <w:r w:rsidR="003A26D0">
        <w:rPr>
          <w:rFonts w:ascii="Arial" w:hAnsi="Arial" w:cs="Arial"/>
        </w:rPr>
        <w:t xml:space="preserve">(Cushman and Wakefield) </w:t>
      </w:r>
      <w:r w:rsidRPr="00C43F6C">
        <w:rPr>
          <w:rFonts w:ascii="Arial" w:hAnsi="Arial" w:cs="Arial"/>
        </w:rPr>
        <w:t xml:space="preserve">at 31 March 2018 to calculate what the replacement costs would be. </w:t>
      </w:r>
      <w:r w:rsidR="00617965">
        <w:rPr>
          <w:rFonts w:ascii="Arial" w:hAnsi="Arial" w:cs="Arial"/>
        </w:rPr>
        <w:t>Subsequently</w:t>
      </w:r>
      <w:r w:rsidR="005821E2">
        <w:rPr>
          <w:rFonts w:ascii="Arial" w:hAnsi="Arial" w:cs="Arial"/>
        </w:rPr>
        <w:t>,</w:t>
      </w:r>
      <w:r w:rsidR="00617965">
        <w:rPr>
          <w:rFonts w:ascii="Arial" w:hAnsi="Arial" w:cs="Arial"/>
        </w:rPr>
        <w:t xml:space="preserve"> </w:t>
      </w:r>
      <w:r w:rsidRPr="00C43F6C">
        <w:rPr>
          <w:rFonts w:ascii="Arial" w:hAnsi="Arial" w:cs="Arial"/>
        </w:rPr>
        <w:t xml:space="preserve">this valuation </w:t>
      </w:r>
      <w:r w:rsidR="00C43F6C" w:rsidRPr="00C43F6C">
        <w:rPr>
          <w:rFonts w:ascii="Arial" w:hAnsi="Arial" w:cs="Arial"/>
        </w:rPr>
        <w:t>has been</w:t>
      </w:r>
      <w:r w:rsidRPr="00C43F6C">
        <w:rPr>
          <w:rFonts w:ascii="Arial" w:hAnsi="Arial" w:cs="Arial"/>
        </w:rPr>
        <w:t xml:space="preserve"> indexed to reflect </w:t>
      </w:r>
      <w:r w:rsidR="00041A3D" w:rsidRPr="00C43F6C">
        <w:rPr>
          <w:rFonts w:ascii="Arial" w:hAnsi="Arial" w:cs="Arial"/>
        </w:rPr>
        <w:t>inflationary construction</w:t>
      </w:r>
      <w:r w:rsidR="00C43F6C" w:rsidRPr="00C43F6C">
        <w:rPr>
          <w:rFonts w:ascii="Arial" w:hAnsi="Arial" w:cs="Arial"/>
        </w:rPr>
        <w:t xml:space="preserve"> cost</w:t>
      </w:r>
      <w:r w:rsidR="00C43F6C">
        <w:rPr>
          <w:rFonts w:ascii="Arial" w:hAnsi="Arial" w:cs="Arial"/>
        </w:rPr>
        <w:t xml:space="preserve"> </w:t>
      </w:r>
      <w:r w:rsidRPr="00C43F6C">
        <w:rPr>
          <w:rFonts w:ascii="Arial" w:hAnsi="Arial" w:cs="Arial"/>
        </w:rPr>
        <w:t>increases for the intervening years, to produce the valuation at 31 March 202</w:t>
      </w:r>
      <w:r w:rsidR="00617965">
        <w:rPr>
          <w:rFonts w:ascii="Arial" w:hAnsi="Arial" w:cs="Arial"/>
        </w:rPr>
        <w:t>2</w:t>
      </w:r>
      <w:r w:rsidRPr="00C43F6C">
        <w:rPr>
          <w:rFonts w:ascii="Arial" w:hAnsi="Arial" w:cs="Arial"/>
        </w:rPr>
        <w:t xml:space="preserve"> reflected in these accounts.</w:t>
      </w:r>
    </w:p>
    <w:p w14:paraId="1F57432A" w14:textId="77777777" w:rsidR="00305339" w:rsidRPr="00C43F6C" w:rsidRDefault="00305339" w:rsidP="00305339">
      <w:pPr>
        <w:overflowPunct w:val="0"/>
        <w:autoSpaceDE w:val="0"/>
        <w:autoSpaceDN w:val="0"/>
        <w:adjustRightInd w:val="0"/>
        <w:spacing w:line="360" w:lineRule="auto"/>
        <w:textAlignment w:val="baseline"/>
        <w:rPr>
          <w:rFonts w:ascii="Arial" w:hAnsi="Arial" w:cs="Arial"/>
        </w:rPr>
      </w:pPr>
    </w:p>
    <w:p w14:paraId="6CE77C51" w14:textId="6E1EDB9B" w:rsidR="00E26D69" w:rsidRPr="00E26D69" w:rsidRDefault="00E26D69" w:rsidP="00802A98">
      <w:pPr>
        <w:numPr>
          <w:ilvl w:val="0"/>
          <w:numId w:val="29"/>
        </w:numPr>
        <w:overflowPunct w:val="0"/>
        <w:autoSpaceDE w:val="0"/>
        <w:autoSpaceDN w:val="0"/>
        <w:adjustRightInd w:val="0"/>
        <w:spacing w:line="360" w:lineRule="auto"/>
        <w:textAlignment w:val="baseline"/>
        <w:rPr>
          <w:rFonts w:ascii="Arial" w:hAnsi="Arial" w:cs="Arial"/>
        </w:rPr>
      </w:pPr>
      <w:r w:rsidRPr="00E26D69">
        <w:rPr>
          <w:rFonts w:ascii="Arial" w:hAnsi="Arial" w:cs="Arial"/>
        </w:rPr>
        <w:t xml:space="preserve">Depreciated historic cost has been used as a proxy for the current value of equipment, fixtures and fittings, motor vehicles, plant and machinery, computer equipment, and software. </w:t>
      </w:r>
      <w:r w:rsidR="009201C6" w:rsidRPr="00E26D69">
        <w:rPr>
          <w:rFonts w:ascii="Arial" w:hAnsi="Arial" w:cs="Arial"/>
        </w:rPr>
        <w:t>All</w:t>
      </w:r>
      <w:r w:rsidRPr="00E26D69">
        <w:rPr>
          <w:rFonts w:ascii="Arial" w:hAnsi="Arial" w:cs="Arial"/>
        </w:rPr>
        <w:t xml:space="preserve"> these assets in this category have:</w:t>
      </w:r>
    </w:p>
    <w:p w14:paraId="07991628" w14:textId="77777777" w:rsidR="00E26D69" w:rsidRPr="00E26D69" w:rsidRDefault="00E26D69" w:rsidP="00802A98">
      <w:pPr>
        <w:numPr>
          <w:ilvl w:val="1"/>
          <w:numId w:val="29"/>
        </w:numPr>
        <w:overflowPunct w:val="0"/>
        <w:autoSpaceDE w:val="0"/>
        <w:autoSpaceDN w:val="0"/>
        <w:adjustRightInd w:val="0"/>
        <w:spacing w:line="360" w:lineRule="auto"/>
        <w:textAlignment w:val="baseline"/>
        <w:rPr>
          <w:rFonts w:ascii="Arial" w:hAnsi="Arial" w:cs="Arial"/>
        </w:rPr>
      </w:pPr>
      <w:r w:rsidRPr="00E26D69">
        <w:rPr>
          <w:rFonts w:ascii="Arial" w:hAnsi="Arial" w:cs="Arial"/>
        </w:rPr>
        <w:t xml:space="preserve">low values and short useful economic lives, which realistically reflect the life of the asset; </w:t>
      </w:r>
    </w:p>
    <w:p w14:paraId="16F3B135" w14:textId="05C97818" w:rsidR="00E26D69" w:rsidRDefault="00E26D69" w:rsidP="00802A98">
      <w:pPr>
        <w:numPr>
          <w:ilvl w:val="1"/>
          <w:numId w:val="29"/>
        </w:numPr>
        <w:overflowPunct w:val="0"/>
        <w:autoSpaceDE w:val="0"/>
        <w:autoSpaceDN w:val="0"/>
        <w:adjustRightInd w:val="0"/>
        <w:spacing w:line="360" w:lineRule="auto"/>
        <w:textAlignment w:val="baseline"/>
        <w:rPr>
          <w:rFonts w:ascii="Arial" w:hAnsi="Arial" w:cs="Arial"/>
        </w:rPr>
      </w:pPr>
      <w:r w:rsidRPr="00E26D69">
        <w:rPr>
          <w:rFonts w:ascii="Arial" w:hAnsi="Arial" w:cs="Arial"/>
        </w:rPr>
        <w:t xml:space="preserve">depreciation or amortisation charge, which provides a realistic reflection of </w:t>
      </w:r>
      <w:r w:rsidRPr="004F793C">
        <w:rPr>
          <w:rFonts w:ascii="Arial" w:hAnsi="Arial" w:cs="Arial"/>
        </w:rPr>
        <w:t>consumption</w:t>
      </w:r>
      <w:r w:rsidR="00305339">
        <w:rPr>
          <w:rFonts w:ascii="Arial" w:hAnsi="Arial" w:cs="Arial"/>
        </w:rPr>
        <w:t>.</w:t>
      </w:r>
    </w:p>
    <w:p w14:paraId="1D10E52C" w14:textId="77777777" w:rsidR="00305339" w:rsidRPr="004F793C" w:rsidRDefault="00305339" w:rsidP="00305339">
      <w:pPr>
        <w:overflowPunct w:val="0"/>
        <w:autoSpaceDE w:val="0"/>
        <w:autoSpaceDN w:val="0"/>
        <w:adjustRightInd w:val="0"/>
        <w:spacing w:line="360" w:lineRule="auto"/>
        <w:ind w:left="1440"/>
        <w:textAlignment w:val="baseline"/>
        <w:rPr>
          <w:rFonts w:ascii="Arial" w:hAnsi="Arial" w:cs="Arial"/>
        </w:rPr>
      </w:pPr>
    </w:p>
    <w:p w14:paraId="1DE20C55" w14:textId="2DF900CB" w:rsidR="00E26D69" w:rsidRDefault="00D0628F" w:rsidP="00802A98">
      <w:pPr>
        <w:numPr>
          <w:ilvl w:val="0"/>
          <w:numId w:val="29"/>
        </w:numPr>
        <w:overflowPunct w:val="0"/>
        <w:autoSpaceDE w:val="0"/>
        <w:autoSpaceDN w:val="0"/>
        <w:adjustRightInd w:val="0"/>
        <w:spacing w:line="360" w:lineRule="auto"/>
        <w:textAlignment w:val="baseline"/>
        <w:rPr>
          <w:rFonts w:ascii="Arial" w:hAnsi="Arial" w:cs="Arial"/>
        </w:rPr>
      </w:pPr>
      <w:r>
        <w:rPr>
          <w:rFonts w:ascii="Arial" w:hAnsi="Arial" w:cs="Arial"/>
        </w:rPr>
        <w:t>Only the</w:t>
      </w:r>
      <w:r w:rsidR="004F793C" w:rsidRPr="004F793C">
        <w:rPr>
          <w:rFonts w:ascii="Arial" w:hAnsi="Arial" w:cs="Arial"/>
        </w:rPr>
        <w:t xml:space="preserve"> large v</w:t>
      </w:r>
      <w:r w:rsidR="00E26D69" w:rsidRPr="004F793C">
        <w:rPr>
          <w:rFonts w:ascii="Arial" w:hAnsi="Arial" w:cs="Arial"/>
        </w:rPr>
        <w:t xml:space="preserve">essel </w:t>
      </w:r>
      <w:r w:rsidR="00C21FF5">
        <w:rPr>
          <w:rFonts w:ascii="Arial" w:hAnsi="Arial" w:cs="Arial"/>
        </w:rPr>
        <w:t xml:space="preserve">(Sir John Murray) </w:t>
      </w:r>
      <w:r w:rsidR="004F793C" w:rsidRPr="004F793C">
        <w:rPr>
          <w:rFonts w:ascii="Arial" w:hAnsi="Arial" w:cs="Arial"/>
        </w:rPr>
        <w:t>is</w:t>
      </w:r>
      <w:r w:rsidR="003202AB" w:rsidRPr="004F793C">
        <w:rPr>
          <w:rFonts w:ascii="Arial" w:hAnsi="Arial" w:cs="Arial"/>
        </w:rPr>
        <w:t xml:space="preserve"> reported at market value</w:t>
      </w:r>
      <w:r w:rsidR="004F793C" w:rsidRPr="004F793C">
        <w:rPr>
          <w:rFonts w:ascii="Arial" w:hAnsi="Arial" w:cs="Arial"/>
        </w:rPr>
        <w:t>.</w:t>
      </w:r>
      <w:r w:rsidR="00E26D69" w:rsidRPr="004F793C">
        <w:rPr>
          <w:rFonts w:ascii="Arial" w:hAnsi="Arial" w:cs="Arial"/>
        </w:rPr>
        <w:t xml:space="preserve"> A </w:t>
      </w:r>
      <w:r w:rsidR="004373CE" w:rsidRPr="004F793C">
        <w:rPr>
          <w:rFonts w:ascii="Arial" w:hAnsi="Arial" w:cs="Arial"/>
        </w:rPr>
        <w:t xml:space="preserve">professional </w:t>
      </w:r>
      <w:r w:rsidR="004373CE">
        <w:rPr>
          <w:rFonts w:ascii="Arial" w:hAnsi="Arial" w:cs="Arial"/>
        </w:rPr>
        <w:t>market</w:t>
      </w:r>
      <w:r w:rsidR="00F96114">
        <w:rPr>
          <w:rFonts w:ascii="Arial" w:hAnsi="Arial" w:cs="Arial"/>
        </w:rPr>
        <w:t xml:space="preserve"> </w:t>
      </w:r>
      <w:r w:rsidR="00E26D69" w:rsidRPr="004F793C">
        <w:rPr>
          <w:rFonts w:ascii="Arial" w:hAnsi="Arial" w:cs="Arial"/>
        </w:rPr>
        <w:t xml:space="preserve">valuation </w:t>
      </w:r>
      <w:r w:rsidR="00030A49">
        <w:rPr>
          <w:rFonts w:ascii="Arial" w:hAnsi="Arial" w:cs="Arial"/>
        </w:rPr>
        <w:t>was</w:t>
      </w:r>
      <w:r w:rsidR="00E26D69" w:rsidRPr="004F793C">
        <w:rPr>
          <w:rFonts w:ascii="Arial" w:hAnsi="Arial" w:cs="Arial"/>
        </w:rPr>
        <w:t xml:space="preserve"> obtained for the vessel</w:t>
      </w:r>
      <w:r w:rsidR="00C21FF5">
        <w:rPr>
          <w:rFonts w:ascii="Arial" w:hAnsi="Arial" w:cs="Arial"/>
        </w:rPr>
        <w:t xml:space="preserve"> </w:t>
      </w:r>
      <w:r w:rsidR="00030A49">
        <w:rPr>
          <w:rFonts w:ascii="Arial" w:hAnsi="Arial" w:cs="Arial"/>
        </w:rPr>
        <w:t>as at March 2022</w:t>
      </w:r>
      <w:r w:rsidR="00326CC9">
        <w:rPr>
          <w:rFonts w:ascii="Arial" w:hAnsi="Arial" w:cs="Arial"/>
        </w:rPr>
        <w:t xml:space="preserve"> to check for impairment</w:t>
      </w:r>
      <w:r w:rsidR="00E26D69" w:rsidRPr="004F793C">
        <w:rPr>
          <w:rFonts w:ascii="Arial" w:hAnsi="Arial" w:cs="Arial"/>
        </w:rPr>
        <w:t xml:space="preserve">.  </w:t>
      </w:r>
    </w:p>
    <w:p w14:paraId="3097F474" w14:textId="77777777" w:rsidR="00305339" w:rsidRPr="004F793C" w:rsidRDefault="00305339" w:rsidP="00305339">
      <w:pPr>
        <w:overflowPunct w:val="0"/>
        <w:autoSpaceDE w:val="0"/>
        <w:autoSpaceDN w:val="0"/>
        <w:adjustRightInd w:val="0"/>
        <w:spacing w:line="360" w:lineRule="auto"/>
        <w:ind w:left="720"/>
        <w:textAlignment w:val="baseline"/>
        <w:rPr>
          <w:rFonts w:ascii="Arial" w:hAnsi="Arial" w:cs="Arial"/>
        </w:rPr>
      </w:pPr>
    </w:p>
    <w:p w14:paraId="03FFD6B3" w14:textId="3476978D" w:rsidR="00E26D69" w:rsidRPr="00E26D69" w:rsidRDefault="00E26D69" w:rsidP="00802A98">
      <w:pPr>
        <w:numPr>
          <w:ilvl w:val="0"/>
          <w:numId w:val="29"/>
        </w:numPr>
        <w:overflowPunct w:val="0"/>
        <w:autoSpaceDE w:val="0"/>
        <w:autoSpaceDN w:val="0"/>
        <w:adjustRightInd w:val="0"/>
        <w:spacing w:line="360" w:lineRule="auto"/>
        <w:textAlignment w:val="baseline"/>
        <w:rPr>
          <w:rFonts w:ascii="Arial" w:hAnsi="Arial" w:cs="Arial"/>
        </w:rPr>
      </w:pPr>
      <w:r w:rsidRPr="004F793C">
        <w:rPr>
          <w:rFonts w:ascii="Arial" w:hAnsi="Arial" w:cs="Arial"/>
        </w:rPr>
        <w:lastRenderedPageBreak/>
        <w:t xml:space="preserve">Depreciated historic cost is used as a proxy for </w:t>
      </w:r>
      <w:r w:rsidR="00A84194">
        <w:rPr>
          <w:rFonts w:ascii="Arial" w:hAnsi="Arial" w:cs="Arial"/>
        </w:rPr>
        <w:t>current</w:t>
      </w:r>
      <w:r w:rsidRPr="004F793C">
        <w:rPr>
          <w:rFonts w:ascii="Arial" w:hAnsi="Arial" w:cs="Arial"/>
        </w:rPr>
        <w:t xml:space="preserve"> value of plant and equipment that has a </w:t>
      </w:r>
      <w:r w:rsidR="00041A3D" w:rsidRPr="004F793C">
        <w:rPr>
          <w:rFonts w:ascii="Arial" w:hAnsi="Arial" w:cs="Arial"/>
        </w:rPr>
        <w:t>medium-term</w:t>
      </w:r>
      <w:r w:rsidRPr="004F793C">
        <w:rPr>
          <w:rFonts w:ascii="Arial" w:hAnsi="Arial" w:cs="Arial"/>
        </w:rPr>
        <w:t xml:space="preserve"> economic life and where deprecation charge provides a realistic reflection of</w:t>
      </w:r>
      <w:r w:rsidRPr="00E26D69">
        <w:rPr>
          <w:rFonts w:ascii="Arial" w:hAnsi="Arial" w:cs="Arial"/>
        </w:rPr>
        <w:t xml:space="preserve"> consumption.</w:t>
      </w:r>
    </w:p>
    <w:p w14:paraId="2253A120" w14:textId="77777777" w:rsidR="00FB7F1D" w:rsidRPr="00E26D69" w:rsidRDefault="00FB7F1D" w:rsidP="00FB7F1D">
      <w:pPr>
        <w:overflowPunct w:val="0"/>
        <w:autoSpaceDE w:val="0"/>
        <w:autoSpaceDN w:val="0"/>
        <w:adjustRightInd w:val="0"/>
        <w:spacing w:line="360" w:lineRule="auto"/>
        <w:ind w:left="720"/>
        <w:textAlignment w:val="baseline"/>
        <w:rPr>
          <w:rFonts w:ascii="Arial" w:hAnsi="Arial" w:cs="Arial"/>
        </w:rPr>
      </w:pPr>
    </w:p>
    <w:p w14:paraId="08DC3EE3" w14:textId="77777777" w:rsidR="00E26D69" w:rsidRPr="00E26D69" w:rsidRDefault="00E26D69" w:rsidP="00F96114">
      <w:pPr>
        <w:overflowPunct w:val="0"/>
        <w:autoSpaceDE w:val="0"/>
        <w:autoSpaceDN w:val="0"/>
        <w:adjustRightInd w:val="0"/>
        <w:spacing w:line="360" w:lineRule="auto"/>
        <w:textAlignment w:val="baseline"/>
        <w:rPr>
          <w:rFonts w:ascii="Arial" w:hAnsi="Arial" w:cs="Arial"/>
        </w:rPr>
      </w:pPr>
      <w:r w:rsidRPr="00E26D69">
        <w:rPr>
          <w:rFonts w:ascii="Arial" w:hAnsi="Arial" w:cs="Arial"/>
        </w:rPr>
        <w:t>Expenditure on improvements, repairs, and renewals of non-current assets is charged to the Statement of Comprehensive Net Expenditure in the year the expenditure is incurred, unless it is considered to have replaced a part of an asset. If it has replaced part of an asset, it will be capitalised and the cost and cumulative depreciation or amortisation of the asset it has replaced, will be removed from non-current assets.</w:t>
      </w:r>
    </w:p>
    <w:p w14:paraId="0465443D" w14:textId="77777777" w:rsidR="00E26D69" w:rsidRPr="00E26D69" w:rsidRDefault="00E26D69" w:rsidP="00B70701">
      <w:pPr>
        <w:spacing w:line="360" w:lineRule="auto"/>
        <w:rPr>
          <w:rFonts w:ascii="Arial" w:hAnsi="Arial" w:cs="Arial"/>
        </w:rPr>
      </w:pPr>
    </w:p>
    <w:p w14:paraId="22F6DAEA" w14:textId="3A65E851" w:rsidR="00E26D69" w:rsidRPr="0038339B" w:rsidRDefault="00E26D69" w:rsidP="00B70701">
      <w:pPr>
        <w:spacing w:line="360" w:lineRule="auto"/>
        <w:rPr>
          <w:rFonts w:ascii="Arial" w:hAnsi="Arial" w:cs="Arial"/>
          <w:b/>
        </w:rPr>
      </w:pPr>
      <w:r w:rsidRPr="00D17FFE">
        <w:rPr>
          <w:rFonts w:ascii="Arial" w:hAnsi="Arial" w:cs="Arial"/>
          <w:b/>
        </w:rPr>
        <w:t>Depreciation and amortisation</w:t>
      </w:r>
    </w:p>
    <w:p w14:paraId="73390A56" w14:textId="492C3D99" w:rsidR="00E26D69" w:rsidRDefault="00E26D69" w:rsidP="00C81DFC">
      <w:pPr>
        <w:spacing w:line="360" w:lineRule="auto"/>
        <w:rPr>
          <w:rFonts w:ascii="Arial" w:hAnsi="Arial" w:cs="Arial"/>
        </w:rPr>
      </w:pPr>
      <w:r w:rsidRPr="00E26D69">
        <w:rPr>
          <w:rFonts w:ascii="Arial" w:hAnsi="Arial" w:cs="Arial"/>
        </w:rPr>
        <w:t xml:space="preserve">Depreciation or amortisation is provided on all non-current assets, other than freehold land.  Depreciation or amortisation is calculated on a </w:t>
      </w:r>
      <w:r w:rsidR="0046486B" w:rsidRPr="00E26D69">
        <w:rPr>
          <w:rFonts w:ascii="Arial" w:hAnsi="Arial" w:cs="Arial"/>
        </w:rPr>
        <w:t>straight-line</w:t>
      </w:r>
      <w:r w:rsidRPr="00E26D69">
        <w:rPr>
          <w:rFonts w:ascii="Arial" w:hAnsi="Arial" w:cs="Arial"/>
        </w:rPr>
        <w:t xml:space="preserve"> basis over the useful lives of the asset as detailed in the table below. Depreciation and amortisation is charged to the Statement of Comprehensive Net Expenditure on the carrying value of the non-current assets. An element of the depreciation and amortisation arising from the increase in the valuation, and in excess of the depreciation or amortisation that would be charged on the historic cost value of the asset, is taken to the Revaluation Reserve.</w:t>
      </w:r>
    </w:p>
    <w:p w14:paraId="5252EF3F" w14:textId="77777777" w:rsidR="00666490" w:rsidRPr="00E26D69" w:rsidRDefault="00666490" w:rsidP="00B70701">
      <w:pPr>
        <w:spacing w:line="360" w:lineRule="auto"/>
        <w:ind w:right="-283"/>
        <w:rPr>
          <w:rFonts w:ascii="Arial" w:hAnsi="Arial" w:cs="Arial"/>
        </w:rPr>
      </w:pPr>
    </w:p>
    <w:p w14:paraId="5C9E1C72" w14:textId="3F4CD310" w:rsidR="00471456" w:rsidRPr="004679FC" w:rsidRDefault="00471456" w:rsidP="00471456">
      <w:pPr>
        <w:pStyle w:val="Caption"/>
        <w:keepNext/>
        <w:rPr>
          <w:rFonts w:ascii="Arial" w:hAnsi="Arial" w:cs="Arial"/>
          <w:color w:val="000000" w:themeColor="text1"/>
          <w:sz w:val="24"/>
          <w:szCs w:val="24"/>
        </w:rPr>
      </w:pPr>
      <w:r w:rsidRPr="00D17FFE">
        <w:rPr>
          <w:rFonts w:ascii="Arial" w:hAnsi="Arial" w:cs="Arial"/>
          <w:color w:val="000000" w:themeColor="text1"/>
          <w:sz w:val="24"/>
          <w:szCs w:val="24"/>
        </w:rPr>
        <w:t>Assets separated into categories and their lives</w:t>
      </w:r>
    </w:p>
    <w:tbl>
      <w:tblPr>
        <w:tblW w:w="9634"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45"/>
        <w:gridCol w:w="4589"/>
      </w:tblGrid>
      <w:tr w:rsidR="005A4491" w:rsidRPr="00E26D69" w14:paraId="1549A87B" w14:textId="77777777" w:rsidTr="00426574">
        <w:trPr>
          <w:trHeight w:val="255"/>
        </w:trPr>
        <w:tc>
          <w:tcPr>
            <w:tcW w:w="5045" w:type="dxa"/>
            <w:shd w:val="clear" w:color="auto" w:fill="EAF1DD" w:themeFill="accent3" w:themeFillTint="33"/>
          </w:tcPr>
          <w:p w14:paraId="54EF3D55" w14:textId="77777777" w:rsidR="00E26D69" w:rsidRPr="00E26D69" w:rsidRDefault="00E26D69" w:rsidP="003F7EAF">
            <w:pPr>
              <w:spacing w:line="276" w:lineRule="auto"/>
              <w:ind w:right="330"/>
              <w:jc w:val="both"/>
              <w:rPr>
                <w:rFonts w:ascii="Arial" w:hAnsi="Arial" w:cs="Arial"/>
                <w:b/>
                <w:bCs/>
              </w:rPr>
            </w:pPr>
            <w:r w:rsidRPr="00E26D69">
              <w:rPr>
                <w:rFonts w:ascii="Arial" w:hAnsi="Arial" w:cs="Arial"/>
                <w:b/>
                <w:bCs/>
              </w:rPr>
              <w:t>Asset category</w:t>
            </w:r>
          </w:p>
        </w:tc>
        <w:tc>
          <w:tcPr>
            <w:tcW w:w="4589" w:type="dxa"/>
            <w:shd w:val="clear" w:color="auto" w:fill="EAF1DD" w:themeFill="accent3" w:themeFillTint="33"/>
            <w:vAlign w:val="bottom"/>
          </w:tcPr>
          <w:p w14:paraId="7910D1B3" w14:textId="77777777" w:rsidR="00E26D69" w:rsidRPr="00E26D69" w:rsidRDefault="00E26D69" w:rsidP="003F7EAF">
            <w:pPr>
              <w:spacing w:line="276" w:lineRule="auto"/>
              <w:jc w:val="right"/>
              <w:rPr>
                <w:rFonts w:ascii="Arial" w:hAnsi="Arial" w:cs="Arial"/>
                <w:b/>
                <w:bCs/>
              </w:rPr>
            </w:pPr>
            <w:r w:rsidRPr="00E26D69">
              <w:rPr>
                <w:rFonts w:ascii="Arial" w:hAnsi="Arial" w:cs="Arial"/>
                <w:b/>
                <w:bCs/>
              </w:rPr>
              <w:t>Asset lives (Years)</w:t>
            </w:r>
          </w:p>
        </w:tc>
      </w:tr>
      <w:tr w:rsidR="005A4491" w:rsidRPr="00E26D69" w14:paraId="36F852DC" w14:textId="77777777" w:rsidTr="00B01903">
        <w:trPr>
          <w:trHeight w:val="397"/>
        </w:trPr>
        <w:tc>
          <w:tcPr>
            <w:tcW w:w="5045" w:type="dxa"/>
            <w:shd w:val="clear" w:color="auto" w:fill="EAF1DD" w:themeFill="accent3" w:themeFillTint="33"/>
            <w:vAlign w:val="bottom"/>
          </w:tcPr>
          <w:p w14:paraId="2C2FEC4D" w14:textId="3933DF7B" w:rsidR="00E26D69" w:rsidRPr="00E26D69" w:rsidRDefault="00E26D69" w:rsidP="003F7EAF">
            <w:pPr>
              <w:spacing w:line="276" w:lineRule="auto"/>
              <w:ind w:right="330"/>
              <w:rPr>
                <w:rFonts w:ascii="Arial" w:hAnsi="Arial" w:cs="Arial"/>
              </w:rPr>
            </w:pPr>
            <w:r w:rsidRPr="00E26D69">
              <w:rPr>
                <w:rFonts w:ascii="Arial" w:hAnsi="Arial" w:cs="Arial"/>
              </w:rPr>
              <w:t>Buildings</w:t>
            </w:r>
            <w:r w:rsidR="00B64483">
              <w:rPr>
                <w:rFonts w:ascii="Arial" w:hAnsi="Arial" w:cs="Arial"/>
              </w:rPr>
              <w:t xml:space="preserve"> (including </w:t>
            </w:r>
            <w:r w:rsidR="00EE6555">
              <w:rPr>
                <w:rFonts w:ascii="Arial" w:hAnsi="Arial" w:cs="Arial"/>
              </w:rPr>
              <w:t>g</w:t>
            </w:r>
            <w:r w:rsidR="00B64483">
              <w:rPr>
                <w:rFonts w:ascii="Arial" w:hAnsi="Arial" w:cs="Arial"/>
              </w:rPr>
              <w:t xml:space="preserve">auging </w:t>
            </w:r>
            <w:r w:rsidR="00EE6555">
              <w:rPr>
                <w:rFonts w:ascii="Arial" w:hAnsi="Arial" w:cs="Arial"/>
              </w:rPr>
              <w:t>s</w:t>
            </w:r>
            <w:r w:rsidR="00B64483">
              <w:rPr>
                <w:rFonts w:ascii="Arial" w:hAnsi="Arial" w:cs="Arial"/>
              </w:rPr>
              <w:t>tations)</w:t>
            </w:r>
          </w:p>
        </w:tc>
        <w:tc>
          <w:tcPr>
            <w:tcW w:w="4589" w:type="dxa"/>
            <w:shd w:val="clear" w:color="auto" w:fill="EAF1DD" w:themeFill="accent3" w:themeFillTint="33"/>
            <w:vAlign w:val="bottom"/>
          </w:tcPr>
          <w:p w14:paraId="45891506" w14:textId="77777777" w:rsidR="00E26D69" w:rsidRPr="00E26D69" w:rsidRDefault="00E26D69" w:rsidP="003F7EAF">
            <w:pPr>
              <w:spacing w:line="276" w:lineRule="auto"/>
              <w:jc w:val="right"/>
              <w:rPr>
                <w:rFonts w:ascii="Arial" w:hAnsi="Arial" w:cs="Arial"/>
              </w:rPr>
            </w:pPr>
            <w:r w:rsidRPr="00E26D69">
              <w:rPr>
                <w:rFonts w:ascii="Arial" w:hAnsi="Arial" w:cs="Arial"/>
              </w:rPr>
              <w:t>20 to 60</w:t>
            </w:r>
          </w:p>
        </w:tc>
      </w:tr>
      <w:tr w:rsidR="005A4491" w:rsidRPr="00E26D69" w14:paraId="389AD260" w14:textId="77777777" w:rsidTr="00B01903">
        <w:trPr>
          <w:trHeight w:val="397"/>
        </w:trPr>
        <w:tc>
          <w:tcPr>
            <w:tcW w:w="5045" w:type="dxa"/>
            <w:shd w:val="clear" w:color="auto" w:fill="EAF1DD" w:themeFill="accent3" w:themeFillTint="33"/>
            <w:vAlign w:val="bottom"/>
          </w:tcPr>
          <w:p w14:paraId="6F8F86EE" w14:textId="77777777" w:rsidR="00E26D69" w:rsidRPr="00E26D69" w:rsidRDefault="00E26D69" w:rsidP="003F7EAF">
            <w:pPr>
              <w:spacing w:line="276" w:lineRule="auto"/>
              <w:ind w:right="330"/>
              <w:rPr>
                <w:rFonts w:ascii="Arial" w:hAnsi="Arial" w:cs="Arial"/>
              </w:rPr>
            </w:pPr>
            <w:r w:rsidRPr="00E26D69">
              <w:rPr>
                <w:rFonts w:ascii="Arial" w:hAnsi="Arial" w:cs="Arial"/>
              </w:rPr>
              <w:t>Leasehold buildings</w:t>
            </w:r>
          </w:p>
        </w:tc>
        <w:tc>
          <w:tcPr>
            <w:tcW w:w="4589" w:type="dxa"/>
            <w:shd w:val="clear" w:color="auto" w:fill="EAF1DD" w:themeFill="accent3" w:themeFillTint="33"/>
            <w:vAlign w:val="bottom"/>
          </w:tcPr>
          <w:p w14:paraId="70383D76" w14:textId="77777777" w:rsidR="00E26D69" w:rsidRPr="00E26D69" w:rsidRDefault="00E26D69" w:rsidP="003F7EAF">
            <w:pPr>
              <w:spacing w:line="276" w:lineRule="auto"/>
              <w:jc w:val="right"/>
              <w:rPr>
                <w:rFonts w:ascii="Arial" w:hAnsi="Arial" w:cs="Arial"/>
              </w:rPr>
            </w:pPr>
            <w:r w:rsidRPr="00E26D69">
              <w:rPr>
                <w:rFonts w:ascii="Arial" w:hAnsi="Arial" w:cs="Arial"/>
              </w:rPr>
              <w:t>Over the remaining period of the lease</w:t>
            </w:r>
          </w:p>
        </w:tc>
      </w:tr>
      <w:tr w:rsidR="005A4491" w:rsidRPr="00E26D69" w14:paraId="4C761E6F" w14:textId="77777777" w:rsidTr="00B01903">
        <w:trPr>
          <w:trHeight w:val="397"/>
        </w:trPr>
        <w:tc>
          <w:tcPr>
            <w:tcW w:w="5045" w:type="dxa"/>
            <w:shd w:val="clear" w:color="auto" w:fill="EAF1DD" w:themeFill="accent3" w:themeFillTint="33"/>
            <w:vAlign w:val="bottom"/>
          </w:tcPr>
          <w:p w14:paraId="2685861E" w14:textId="77777777" w:rsidR="00E26D69" w:rsidRPr="00E26D69" w:rsidRDefault="00E26D69" w:rsidP="003F7EAF">
            <w:pPr>
              <w:spacing w:line="276" w:lineRule="auto"/>
              <w:ind w:right="330"/>
              <w:rPr>
                <w:rFonts w:ascii="Arial" w:hAnsi="Arial" w:cs="Arial"/>
              </w:rPr>
            </w:pPr>
            <w:r w:rsidRPr="00E26D69">
              <w:rPr>
                <w:rFonts w:ascii="Arial" w:hAnsi="Arial" w:cs="Arial"/>
              </w:rPr>
              <w:t xml:space="preserve">Plant and machinery </w:t>
            </w:r>
          </w:p>
        </w:tc>
        <w:tc>
          <w:tcPr>
            <w:tcW w:w="4589" w:type="dxa"/>
            <w:shd w:val="clear" w:color="auto" w:fill="EAF1DD" w:themeFill="accent3" w:themeFillTint="33"/>
            <w:vAlign w:val="bottom"/>
          </w:tcPr>
          <w:p w14:paraId="6B76ED2F" w14:textId="77777777" w:rsidR="00E26D69" w:rsidRPr="00E26D69" w:rsidRDefault="00E26D69" w:rsidP="003F7EAF">
            <w:pPr>
              <w:spacing w:line="276" w:lineRule="auto"/>
              <w:jc w:val="right"/>
              <w:rPr>
                <w:rFonts w:ascii="Arial" w:hAnsi="Arial" w:cs="Arial"/>
              </w:rPr>
            </w:pPr>
            <w:r w:rsidRPr="00E26D69">
              <w:rPr>
                <w:rFonts w:ascii="Arial" w:hAnsi="Arial" w:cs="Arial"/>
              </w:rPr>
              <w:t>3 to 40</w:t>
            </w:r>
          </w:p>
        </w:tc>
      </w:tr>
      <w:tr w:rsidR="005A4491" w:rsidRPr="00E26D69" w14:paraId="485E6310" w14:textId="77777777" w:rsidTr="00B01903">
        <w:trPr>
          <w:trHeight w:val="397"/>
        </w:trPr>
        <w:tc>
          <w:tcPr>
            <w:tcW w:w="5045" w:type="dxa"/>
            <w:shd w:val="clear" w:color="auto" w:fill="EAF1DD" w:themeFill="accent3" w:themeFillTint="33"/>
            <w:vAlign w:val="bottom"/>
          </w:tcPr>
          <w:p w14:paraId="6A7A53A0" w14:textId="65D76BA0" w:rsidR="00E26D69" w:rsidRPr="00E26D69" w:rsidRDefault="00E26D69" w:rsidP="003F7EAF">
            <w:pPr>
              <w:spacing w:line="276" w:lineRule="auto"/>
              <w:ind w:right="330"/>
              <w:rPr>
                <w:rFonts w:ascii="Arial" w:hAnsi="Arial" w:cs="Arial"/>
              </w:rPr>
            </w:pPr>
            <w:r w:rsidRPr="00E26D69">
              <w:rPr>
                <w:rFonts w:ascii="Arial" w:hAnsi="Arial" w:cs="Arial"/>
              </w:rPr>
              <w:t>Fixtures, fittings, tools</w:t>
            </w:r>
            <w:r w:rsidR="0023522E">
              <w:rPr>
                <w:rFonts w:ascii="Arial" w:hAnsi="Arial" w:cs="Arial"/>
              </w:rPr>
              <w:t>,</w:t>
            </w:r>
            <w:r w:rsidRPr="00E26D69">
              <w:rPr>
                <w:rFonts w:ascii="Arial" w:hAnsi="Arial" w:cs="Arial"/>
              </w:rPr>
              <w:t xml:space="preserve"> and equipment</w:t>
            </w:r>
          </w:p>
        </w:tc>
        <w:tc>
          <w:tcPr>
            <w:tcW w:w="4589" w:type="dxa"/>
            <w:shd w:val="clear" w:color="auto" w:fill="EAF1DD" w:themeFill="accent3" w:themeFillTint="33"/>
            <w:vAlign w:val="bottom"/>
          </w:tcPr>
          <w:p w14:paraId="71E71004" w14:textId="77777777" w:rsidR="00E26D69" w:rsidRPr="00E26D69" w:rsidRDefault="00E26D69" w:rsidP="003F7EAF">
            <w:pPr>
              <w:spacing w:line="276" w:lineRule="auto"/>
              <w:jc w:val="right"/>
              <w:rPr>
                <w:rFonts w:ascii="Arial" w:hAnsi="Arial" w:cs="Arial"/>
              </w:rPr>
            </w:pPr>
            <w:r w:rsidRPr="00E26D69">
              <w:rPr>
                <w:rFonts w:ascii="Arial" w:hAnsi="Arial" w:cs="Arial"/>
              </w:rPr>
              <w:t>5 to 15</w:t>
            </w:r>
          </w:p>
        </w:tc>
      </w:tr>
      <w:tr w:rsidR="005A4491" w:rsidRPr="00E26D69" w14:paraId="441363EE" w14:textId="77777777" w:rsidTr="00B01903">
        <w:trPr>
          <w:trHeight w:val="397"/>
        </w:trPr>
        <w:tc>
          <w:tcPr>
            <w:tcW w:w="5045" w:type="dxa"/>
            <w:shd w:val="clear" w:color="auto" w:fill="EAF1DD" w:themeFill="accent3" w:themeFillTint="33"/>
            <w:vAlign w:val="bottom"/>
          </w:tcPr>
          <w:p w14:paraId="680B2F28" w14:textId="77777777" w:rsidR="00E26D69" w:rsidRPr="00E26D69" w:rsidRDefault="00E26D69" w:rsidP="003F7EAF">
            <w:pPr>
              <w:spacing w:line="276" w:lineRule="auto"/>
              <w:ind w:right="330"/>
              <w:rPr>
                <w:rFonts w:ascii="Arial" w:hAnsi="Arial" w:cs="Arial"/>
              </w:rPr>
            </w:pPr>
            <w:r w:rsidRPr="00E26D69">
              <w:rPr>
                <w:rFonts w:ascii="Arial" w:hAnsi="Arial" w:cs="Arial"/>
              </w:rPr>
              <w:t>Vessels</w:t>
            </w:r>
          </w:p>
        </w:tc>
        <w:tc>
          <w:tcPr>
            <w:tcW w:w="4589" w:type="dxa"/>
            <w:shd w:val="clear" w:color="auto" w:fill="EAF1DD" w:themeFill="accent3" w:themeFillTint="33"/>
            <w:vAlign w:val="bottom"/>
          </w:tcPr>
          <w:p w14:paraId="101D0347" w14:textId="77777777" w:rsidR="00E26D69" w:rsidRPr="00E26D69" w:rsidRDefault="00E26D69" w:rsidP="003F7EAF">
            <w:pPr>
              <w:spacing w:line="276" w:lineRule="auto"/>
              <w:jc w:val="right"/>
              <w:rPr>
                <w:rFonts w:ascii="Arial" w:hAnsi="Arial" w:cs="Arial"/>
              </w:rPr>
            </w:pPr>
            <w:r w:rsidRPr="00E26D69">
              <w:rPr>
                <w:rFonts w:ascii="Arial" w:hAnsi="Arial" w:cs="Arial"/>
              </w:rPr>
              <w:t>30</w:t>
            </w:r>
          </w:p>
        </w:tc>
      </w:tr>
      <w:tr w:rsidR="005A4491" w:rsidRPr="00E26D69" w14:paraId="30700EF8" w14:textId="77777777" w:rsidTr="00B01903">
        <w:trPr>
          <w:trHeight w:val="397"/>
        </w:trPr>
        <w:tc>
          <w:tcPr>
            <w:tcW w:w="5045" w:type="dxa"/>
            <w:shd w:val="clear" w:color="auto" w:fill="EAF1DD" w:themeFill="accent3" w:themeFillTint="33"/>
            <w:vAlign w:val="bottom"/>
          </w:tcPr>
          <w:p w14:paraId="36ED7096" w14:textId="77777777" w:rsidR="00E26D69" w:rsidRPr="00E26D69" w:rsidRDefault="00E26D69" w:rsidP="003F7EAF">
            <w:pPr>
              <w:spacing w:line="276" w:lineRule="auto"/>
              <w:ind w:right="330"/>
              <w:rPr>
                <w:rFonts w:ascii="Arial" w:hAnsi="Arial" w:cs="Arial"/>
              </w:rPr>
            </w:pPr>
            <w:r w:rsidRPr="00E26D69">
              <w:rPr>
                <w:rFonts w:ascii="Arial" w:hAnsi="Arial" w:cs="Arial"/>
              </w:rPr>
              <w:t>Computer hardware</w:t>
            </w:r>
          </w:p>
        </w:tc>
        <w:tc>
          <w:tcPr>
            <w:tcW w:w="4589" w:type="dxa"/>
            <w:shd w:val="clear" w:color="auto" w:fill="EAF1DD" w:themeFill="accent3" w:themeFillTint="33"/>
            <w:vAlign w:val="bottom"/>
          </w:tcPr>
          <w:p w14:paraId="4E04FD23" w14:textId="77777777" w:rsidR="00E26D69" w:rsidRPr="00E26D69" w:rsidRDefault="00E26D69" w:rsidP="003F7EAF">
            <w:pPr>
              <w:spacing w:line="276" w:lineRule="auto"/>
              <w:jc w:val="right"/>
              <w:rPr>
                <w:rFonts w:ascii="Arial" w:hAnsi="Arial" w:cs="Arial"/>
              </w:rPr>
            </w:pPr>
            <w:r w:rsidRPr="00E26D69">
              <w:rPr>
                <w:rFonts w:ascii="Arial" w:hAnsi="Arial" w:cs="Arial"/>
              </w:rPr>
              <w:t xml:space="preserve">5 to 15 </w:t>
            </w:r>
          </w:p>
        </w:tc>
      </w:tr>
      <w:tr w:rsidR="005A4491" w:rsidRPr="00E26D69" w14:paraId="07FA47AC" w14:textId="77777777" w:rsidTr="00B01903">
        <w:trPr>
          <w:trHeight w:val="397"/>
        </w:trPr>
        <w:tc>
          <w:tcPr>
            <w:tcW w:w="5045" w:type="dxa"/>
            <w:shd w:val="clear" w:color="auto" w:fill="EAF1DD" w:themeFill="accent3" w:themeFillTint="33"/>
            <w:vAlign w:val="bottom"/>
          </w:tcPr>
          <w:p w14:paraId="55FAFF1C" w14:textId="77777777" w:rsidR="00E26D69" w:rsidRPr="00E26D69" w:rsidRDefault="00E26D69" w:rsidP="003F7EAF">
            <w:pPr>
              <w:spacing w:line="276" w:lineRule="auto"/>
              <w:ind w:right="330"/>
              <w:rPr>
                <w:rFonts w:ascii="Arial" w:hAnsi="Arial" w:cs="Arial"/>
              </w:rPr>
            </w:pPr>
            <w:r w:rsidRPr="00E26D69">
              <w:rPr>
                <w:rFonts w:ascii="Arial" w:hAnsi="Arial" w:cs="Arial"/>
              </w:rPr>
              <w:t>Motor vehicles</w:t>
            </w:r>
          </w:p>
        </w:tc>
        <w:tc>
          <w:tcPr>
            <w:tcW w:w="4589" w:type="dxa"/>
            <w:shd w:val="clear" w:color="auto" w:fill="EAF1DD" w:themeFill="accent3" w:themeFillTint="33"/>
            <w:vAlign w:val="bottom"/>
          </w:tcPr>
          <w:p w14:paraId="1919A5CC" w14:textId="77777777" w:rsidR="00E26D69" w:rsidRPr="00E26D69" w:rsidRDefault="00E26D69" w:rsidP="003F7EAF">
            <w:pPr>
              <w:spacing w:line="276" w:lineRule="auto"/>
              <w:jc w:val="right"/>
              <w:rPr>
                <w:rFonts w:ascii="Arial" w:hAnsi="Arial" w:cs="Arial"/>
              </w:rPr>
            </w:pPr>
            <w:r w:rsidRPr="00E26D69">
              <w:rPr>
                <w:rFonts w:ascii="Arial" w:hAnsi="Arial" w:cs="Arial"/>
              </w:rPr>
              <w:t>4 to 10</w:t>
            </w:r>
          </w:p>
        </w:tc>
      </w:tr>
      <w:tr w:rsidR="005A4491" w:rsidRPr="00E26D69" w14:paraId="6E4EEAC2" w14:textId="77777777" w:rsidTr="00B01903">
        <w:trPr>
          <w:trHeight w:val="397"/>
        </w:trPr>
        <w:tc>
          <w:tcPr>
            <w:tcW w:w="5045" w:type="dxa"/>
            <w:shd w:val="clear" w:color="auto" w:fill="EAF1DD" w:themeFill="accent3" w:themeFillTint="33"/>
            <w:vAlign w:val="bottom"/>
          </w:tcPr>
          <w:p w14:paraId="279C4CAE" w14:textId="77777777" w:rsidR="00E26D69" w:rsidRPr="00E26D69" w:rsidRDefault="00E26D69" w:rsidP="003F7EAF">
            <w:pPr>
              <w:spacing w:line="276" w:lineRule="auto"/>
              <w:ind w:right="330"/>
              <w:rPr>
                <w:rFonts w:ascii="Arial" w:hAnsi="Arial" w:cs="Arial"/>
              </w:rPr>
            </w:pPr>
            <w:r w:rsidRPr="00E26D69">
              <w:rPr>
                <w:rFonts w:ascii="Arial" w:hAnsi="Arial" w:cs="Arial"/>
              </w:rPr>
              <w:t>Software developed in house</w:t>
            </w:r>
          </w:p>
        </w:tc>
        <w:tc>
          <w:tcPr>
            <w:tcW w:w="4589" w:type="dxa"/>
            <w:shd w:val="clear" w:color="auto" w:fill="EAF1DD" w:themeFill="accent3" w:themeFillTint="33"/>
            <w:vAlign w:val="bottom"/>
          </w:tcPr>
          <w:p w14:paraId="323675B8" w14:textId="77777777" w:rsidR="00E26D69" w:rsidRPr="00E26D69" w:rsidRDefault="00E26D69" w:rsidP="003F7EAF">
            <w:pPr>
              <w:spacing w:line="276" w:lineRule="auto"/>
              <w:jc w:val="right"/>
              <w:rPr>
                <w:rFonts w:ascii="Arial" w:hAnsi="Arial" w:cs="Arial"/>
              </w:rPr>
            </w:pPr>
            <w:r w:rsidRPr="00E26D69">
              <w:rPr>
                <w:rFonts w:ascii="Arial" w:hAnsi="Arial" w:cs="Arial"/>
              </w:rPr>
              <w:t>3 to 15</w:t>
            </w:r>
          </w:p>
        </w:tc>
      </w:tr>
      <w:tr w:rsidR="005A4491" w:rsidRPr="00E26D69" w14:paraId="42083FFB" w14:textId="77777777" w:rsidTr="00B01903">
        <w:trPr>
          <w:trHeight w:val="397"/>
        </w:trPr>
        <w:tc>
          <w:tcPr>
            <w:tcW w:w="5045" w:type="dxa"/>
            <w:shd w:val="clear" w:color="auto" w:fill="EAF1DD" w:themeFill="accent3" w:themeFillTint="33"/>
            <w:vAlign w:val="bottom"/>
          </w:tcPr>
          <w:p w14:paraId="6491094A" w14:textId="77777777" w:rsidR="00E26D69" w:rsidRPr="00E26D69" w:rsidRDefault="00E26D69" w:rsidP="003F7EAF">
            <w:pPr>
              <w:spacing w:line="276" w:lineRule="auto"/>
              <w:ind w:right="330"/>
              <w:rPr>
                <w:rFonts w:ascii="Arial" w:hAnsi="Arial" w:cs="Arial"/>
              </w:rPr>
            </w:pPr>
            <w:r w:rsidRPr="00E26D69">
              <w:rPr>
                <w:rFonts w:ascii="Arial" w:hAnsi="Arial" w:cs="Arial"/>
              </w:rPr>
              <w:t xml:space="preserve">Purchased software </w:t>
            </w:r>
          </w:p>
        </w:tc>
        <w:tc>
          <w:tcPr>
            <w:tcW w:w="4589" w:type="dxa"/>
            <w:shd w:val="clear" w:color="auto" w:fill="EAF1DD" w:themeFill="accent3" w:themeFillTint="33"/>
            <w:vAlign w:val="bottom"/>
          </w:tcPr>
          <w:p w14:paraId="2B1E3C9E" w14:textId="77777777" w:rsidR="00E26D69" w:rsidRPr="00E26D69" w:rsidRDefault="00E26D69" w:rsidP="003F7EAF">
            <w:pPr>
              <w:spacing w:line="276" w:lineRule="auto"/>
              <w:jc w:val="right"/>
              <w:rPr>
                <w:rFonts w:ascii="Arial" w:hAnsi="Arial" w:cs="Arial"/>
              </w:rPr>
            </w:pPr>
            <w:r w:rsidRPr="00E26D69">
              <w:rPr>
                <w:rFonts w:ascii="Arial" w:hAnsi="Arial" w:cs="Arial"/>
              </w:rPr>
              <w:t>3 to 15</w:t>
            </w:r>
          </w:p>
        </w:tc>
      </w:tr>
    </w:tbl>
    <w:p w14:paraId="629CFCA3" w14:textId="74CEAC8A" w:rsidR="00305339" w:rsidRDefault="00305339" w:rsidP="00E26D69">
      <w:pPr>
        <w:spacing w:line="360" w:lineRule="auto"/>
        <w:rPr>
          <w:rFonts w:ascii="Arial" w:hAnsi="Arial" w:cs="Arial"/>
          <w:highlight w:val="cyan"/>
        </w:rPr>
      </w:pPr>
    </w:p>
    <w:p w14:paraId="4908FFAE" w14:textId="27770641" w:rsidR="00E26D69" w:rsidRPr="005B3213" w:rsidRDefault="00E26D69" w:rsidP="005B3213">
      <w:pPr>
        <w:spacing w:line="360" w:lineRule="auto"/>
        <w:rPr>
          <w:rFonts w:ascii="Arial" w:hAnsi="Arial" w:cs="Arial"/>
          <w:b/>
          <w:bCs/>
        </w:rPr>
      </w:pPr>
      <w:r w:rsidRPr="002F6E48">
        <w:rPr>
          <w:rFonts w:ascii="Arial" w:hAnsi="Arial" w:cs="Arial"/>
          <w:b/>
          <w:bCs/>
        </w:rPr>
        <w:t>Assets in course of completion</w:t>
      </w:r>
    </w:p>
    <w:p w14:paraId="794598AA" w14:textId="6DA6F9D7" w:rsidR="00E26D69" w:rsidRDefault="00E26D69" w:rsidP="005B3213">
      <w:pPr>
        <w:spacing w:line="360" w:lineRule="auto"/>
        <w:rPr>
          <w:rFonts w:ascii="Arial" w:hAnsi="Arial" w:cs="Arial"/>
        </w:rPr>
      </w:pPr>
      <w:r w:rsidRPr="00E26D69">
        <w:rPr>
          <w:rFonts w:ascii="Arial" w:hAnsi="Arial" w:cs="Arial"/>
        </w:rPr>
        <w:t>Assets in course of completion are valued at cost. On completion they are transferred from the project account into the appropriate asset category. No depreciation or amortisation is charged until the asset is in operational use. The capitalisation threshold for assets is £</w:t>
      </w:r>
      <w:r w:rsidR="00470BD6">
        <w:rPr>
          <w:rFonts w:ascii="Arial" w:hAnsi="Arial" w:cs="Arial"/>
        </w:rPr>
        <w:t>10</w:t>
      </w:r>
      <w:r w:rsidRPr="00E26D69">
        <w:rPr>
          <w:rFonts w:ascii="Arial" w:hAnsi="Arial" w:cs="Arial"/>
        </w:rPr>
        <w:t xml:space="preserve">,000 including VAT. The actual salary costs including national insurance and superannuation of SEPA staff </w:t>
      </w:r>
      <w:r w:rsidRPr="00E26D69">
        <w:rPr>
          <w:rFonts w:ascii="Arial" w:hAnsi="Arial" w:cs="Arial"/>
        </w:rPr>
        <w:lastRenderedPageBreak/>
        <w:t>who are involved in the creation of non-current assets are capitalised against the relevant assets.</w:t>
      </w:r>
    </w:p>
    <w:p w14:paraId="39CB916F" w14:textId="77777777" w:rsidR="00305339" w:rsidRPr="00E26D69" w:rsidRDefault="00305339" w:rsidP="005B3213">
      <w:pPr>
        <w:spacing w:line="360" w:lineRule="auto"/>
        <w:rPr>
          <w:rFonts w:ascii="Arial" w:hAnsi="Arial" w:cs="Arial"/>
        </w:rPr>
      </w:pPr>
    </w:p>
    <w:p w14:paraId="628C071B" w14:textId="3FCEE0A3" w:rsidR="003F7EAF" w:rsidRPr="002F6E48" w:rsidRDefault="00E26D69" w:rsidP="005B3213">
      <w:pPr>
        <w:spacing w:line="360" w:lineRule="auto"/>
        <w:rPr>
          <w:rFonts w:ascii="Arial" w:hAnsi="Arial" w:cs="Arial"/>
          <w:b/>
          <w:bCs/>
        </w:rPr>
      </w:pPr>
      <w:r w:rsidRPr="002F6E48">
        <w:rPr>
          <w:rFonts w:ascii="Arial" w:hAnsi="Arial" w:cs="Arial"/>
          <w:b/>
          <w:bCs/>
        </w:rPr>
        <w:t>Intangible assets</w:t>
      </w:r>
    </w:p>
    <w:p w14:paraId="65E4A55F" w14:textId="4648CFAF" w:rsidR="00E26D69" w:rsidRPr="002F6E48" w:rsidRDefault="00E26D69" w:rsidP="005B3213">
      <w:pPr>
        <w:spacing w:line="360" w:lineRule="auto"/>
        <w:rPr>
          <w:rFonts w:ascii="Arial" w:hAnsi="Arial" w:cs="Arial"/>
          <w:b/>
          <w:bCs/>
        </w:rPr>
      </w:pPr>
      <w:r w:rsidRPr="002F6E48">
        <w:rPr>
          <w:rFonts w:ascii="Arial" w:hAnsi="Arial" w:cs="Arial"/>
          <w:b/>
          <w:bCs/>
        </w:rPr>
        <w:t>Purchased software</w:t>
      </w:r>
    </w:p>
    <w:p w14:paraId="6F0E8877" w14:textId="7A885C8D" w:rsidR="00BD7014" w:rsidRPr="002F6E48" w:rsidRDefault="00E26D69" w:rsidP="00775876">
      <w:pPr>
        <w:spacing w:line="360" w:lineRule="auto"/>
        <w:jc w:val="both"/>
        <w:rPr>
          <w:rFonts w:ascii="Arial" w:hAnsi="Arial" w:cs="Arial"/>
        </w:rPr>
      </w:pPr>
      <w:r w:rsidRPr="002F6E48">
        <w:rPr>
          <w:rFonts w:ascii="Arial" w:hAnsi="Arial" w:cs="Arial"/>
        </w:rPr>
        <w:t xml:space="preserve">Purchased software is valued at </w:t>
      </w:r>
      <w:r w:rsidR="00C21ED8" w:rsidRPr="002F6E48">
        <w:rPr>
          <w:rFonts w:ascii="Arial" w:hAnsi="Arial" w:cs="Arial"/>
        </w:rPr>
        <w:t>depreciated</w:t>
      </w:r>
      <w:r w:rsidR="00AD7E6B" w:rsidRPr="002F6E48">
        <w:rPr>
          <w:rFonts w:ascii="Arial" w:hAnsi="Arial" w:cs="Arial"/>
        </w:rPr>
        <w:t xml:space="preserve"> </w:t>
      </w:r>
      <w:r w:rsidRPr="002F6E48">
        <w:rPr>
          <w:rFonts w:ascii="Arial" w:hAnsi="Arial" w:cs="Arial"/>
        </w:rPr>
        <w:t>historical cost</w:t>
      </w:r>
      <w:r w:rsidR="007A2615" w:rsidRPr="002F6E48">
        <w:rPr>
          <w:rFonts w:ascii="Arial" w:hAnsi="Arial" w:cs="Arial"/>
        </w:rPr>
        <w:t>, as a proxy</w:t>
      </w:r>
      <w:r w:rsidR="00AD7E6B" w:rsidRPr="002F6E48">
        <w:rPr>
          <w:rFonts w:ascii="Arial" w:hAnsi="Arial" w:cs="Arial"/>
        </w:rPr>
        <w:t xml:space="preserve"> for market value</w:t>
      </w:r>
      <w:r w:rsidR="00A7431F" w:rsidRPr="002F6E48">
        <w:rPr>
          <w:rFonts w:ascii="Arial" w:hAnsi="Arial" w:cs="Arial"/>
        </w:rPr>
        <w:t>.</w:t>
      </w:r>
      <w:r w:rsidRPr="002F6E48">
        <w:rPr>
          <w:rFonts w:ascii="Arial" w:hAnsi="Arial" w:cs="Arial"/>
        </w:rPr>
        <w:t xml:space="preserve"> These are licences to use software purchased from third parties with a life of more than one year and a cost of more than £</w:t>
      </w:r>
      <w:r w:rsidR="00AF241E" w:rsidRPr="002F6E48">
        <w:rPr>
          <w:rFonts w:ascii="Arial" w:hAnsi="Arial" w:cs="Arial"/>
        </w:rPr>
        <w:t>10</w:t>
      </w:r>
      <w:r w:rsidRPr="002F6E48">
        <w:rPr>
          <w:rFonts w:ascii="Arial" w:hAnsi="Arial" w:cs="Arial"/>
        </w:rPr>
        <w:t>,000, including VAT. These licences are written off over the period they are in operational use.</w:t>
      </w:r>
    </w:p>
    <w:p w14:paraId="3F23B113" w14:textId="77777777" w:rsidR="00905310" w:rsidRPr="002F6E48" w:rsidRDefault="00905310" w:rsidP="00775876">
      <w:pPr>
        <w:spacing w:line="360" w:lineRule="auto"/>
        <w:jc w:val="both"/>
        <w:rPr>
          <w:rFonts w:ascii="Arial" w:hAnsi="Arial" w:cs="Arial"/>
        </w:rPr>
      </w:pPr>
    </w:p>
    <w:p w14:paraId="58C64B97" w14:textId="59D77BF2" w:rsidR="00041A3D" w:rsidRDefault="00E26D69" w:rsidP="00041A3D">
      <w:pPr>
        <w:spacing w:line="360" w:lineRule="auto"/>
        <w:rPr>
          <w:rFonts w:ascii="Arial" w:hAnsi="Arial" w:cs="Arial"/>
          <w:b/>
          <w:bCs/>
        </w:rPr>
      </w:pPr>
      <w:r w:rsidRPr="002F6E48">
        <w:rPr>
          <w:rFonts w:ascii="Arial" w:hAnsi="Arial" w:cs="Arial"/>
          <w:b/>
          <w:bCs/>
        </w:rPr>
        <w:t>In-house developed software</w:t>
      </w:r>
    </w:p>
    <w:p w14:paraId="05CF58CD" w14:textId="3B9FC617" w:rsidR="00E26D69" w:rsidRPr="001D3330" w:rsidRDefault="00E26D69" w:rsidP="00041A3D">
      <w:pPr>
        <w:spacing w:line="360" w:lineRule="auto"/>
        <w:rPr>
          <w:rFonts w:ascii="Arial" w:hAnsi="Arial" w:cs="Arial"/>
        </w:rPr>
      </w:pPr>
      <w:r w:rsidRPr="00E26D69">
        <w:rPr>
          <w:rFonts w:ascii="Arial" w:hAnsi="Arial" w:cs="Arial"/>
        </w:rPr>
        <w:t>In-house developed software is the cost incurred for developing software with a life of more than one year and a cost of more than £</w:t>
      </w:r>
      <w:r w:rsidR="00AF241E">
        <w:rPr>
          <w:rFonts w:ascii="Arial" w:hAnsi="Arial" w:cs="Arial"/>
        </w:rPr>
        <w:t>10</w:t>
      </w:r>
      <w:r w:rsidRPr="00E26D69">
        <w:rPr>
          <w:rFonts w:ascii="Arial" w:hAnsi="Arial" w:cs="Arial"/>
        </w:rPr>
        <w:t>,000, including VAT. The actual salary costs, including national insurance and superannuation of SEPA staff who are involved in the creation of non-current assets, are capitalised against the relevant asset. These costs are written off over the period the software is in operational use.</w:t>
      </w:r>
      <w:r w:rsidR="008569B7">
        <w:rPr>
          <w:rFonts w:ascii="Arial" w:hAnsi="Arial" w:cs="Arial"/>
        </w:rPr>
        <w:t xml:space="preserve"> There is no active market for this </w:t>
      </w:r>
      <w:r w:rsidR="002748CA">
        <w:rPr>
          <w:rFonts w:ascii="Arial" w:hAnsi="Arial" w:cs="Arial"/>
        </w:rPr>
        <w:t>software,</w:t>
      </w:r>
      <w:r w:rsidR="008B41C7">
        <w:rPr>
          <w:rFonts w:ascii="Arial" w:hAnsi="Arial" w:cs="Arial"/>
        </w:rPr>
        <w:t xml:space="preserve"> and it is not income generating</w:t>
      </w:r>
      <w:r w:rsidR="00DF1B9F">
        <w:rPr>
          <w:rFonts w:ascii="Arial" w:hAnsi="Arial" w:cs="Arial"/>
        </w:rPr>
        <w:t>.  D</w:t>
      </w:r>
      <w:r w:rsidR="00C21ED8">
        <w:rPr>
          <w:rFonts w:ascii="Arial" w:hAnsi="Arial" w:cs="Arial"/>
        </w:rPr>
        <w:t>epreciated</w:t>
      </w:r>
      <w:r w:rsidR="008569B7">
        <w:rPr>
          <w:rFonts w:ascii="Arial" w:hAnsi="Arial" w:cs="Arial"/>
        </w:rPr>
        <w:t xml:space="preserve"> historical cost </w:t>
      </w:r>
      <w:r w:rsidR="00C21ED8">
        <w:rPr>
          <w:rFonts w:ascii="Arial" w:hAnsi="Arial" w:cs="Arial"/>
        </w:rPr>
        <w:t>is used as a proxy for current market value.</w:t>
      </w:r>
    </w:p>
    <w:p w14:paraId="7E8E546F" w14:textId="77777777" w:rsidR="00E26D69" w:rsidRPr="00E26D69" w:rsidRDefault="00E26D69" w:rsidP="005B3213">
      <w:pPr>
        <w:spacing w:line="360" w:lineRule="auto"/>
        <w:rPr>
          <w:rFonts w:ascii="Arial" w:hAnsi="Arial" w:cs="Arial"/>
          <w:highlight w:val="cyan"/>
        </w:rPr>
      </w:pPr>
    </w:p>
    <w:p w14:paraId="79C8CE5F" w14:textId="0703FF7D" w:rsidR="00E26D69" w:rsidRPr="00E26D69" w:rsidRDefault="00E26D69" w:rsidP="00F3179D">
      <w:pPr>
        <w:spacing w:line="360" w:lineRule="auto"/>
        <w:rPr>
          <w:rFonts w:ascii="Arial" w:hAnsi="Arial" w:cs="Arial"/>
          <w:b/>
        </w:rPr>
      </w:pPr>
      <w:r w:rsidRPr="002F6E48">
        <w:rPr>
          <w:rFonts w:ascii="Arial" w:hAnsi="Arial" w:cs="Arial"/>
          <w:b/>
        </w:rPr>
        <w:t>Impairment</w:t>
      </w:r>
    </w:p>
    <w:p w14:paraId="27A20D3F" w14:textId="77777777" w:rsidR="00E26D69" w:rsidRPr="00E26D69" w:rsidRDefault="00E26D69" w:rsidP="00F65211">
      <w:pPr>
        <w:spacing w:line="360" w:lineRule="auto"/>
        <w:rPr>
          <w:rFonts w:ascii="Arial" w:hAnsi="Arial" w:cs="Arial"/>
        </w:rPr>
      </w:pPr>
      <w:r w:rsidRPr="00E26D69">
        <w:rPr>
          <w:rFonts w:ascii="Arial" w:hAnsi="Arial" w:cs="Arial"/>
        </w:rPr>
        <w:t>The carrying value of SEPA’s assets is reviewed at each statement of financial position date to determine whether there is any indication of impairment. An impairment loss is recognised in the Statement of Comprehensive Net Expenditure whenever:</w:t>
      </w:r>
    </w:p>
    <w:p w14:paraId="0EE2F1BF" w14:textId="77777777" w:rsidR="00E26D69" w:rsidRPr="00E26D69" w:rsidRDefault="00E26D69" w:rsidP="00F65211">
      <w:pPr>
        <w:spacing w:line="360" w:lineRule="auto"/>
        <w:rPr>
          <w:rFonts w:ascii="Arial" w:hAnsi="Arial" w:cs="Arial"/>
        </w:rPr>
      </w:pPr>
    </w:p>
    <w:p w14:paraId="3360E748" w14:textId="77777777" w:rsidR="00E26D69" w:rsidRPr="00E26D69" w:rsidRDefault="00E26D69" w:rsidP="00802A98">
      <w:pPr>
        <w:numPr>
          <w:ilvl w:val="0"/>
          <w:numId w:val="30"/>
        </w:numPr>
        <w:overflowPunct w:val="0"/>
        <w:autoSpaceDE w:val="0"/>
        <w:autoSpaceDN w:val="0"/>
        <w:adjustRightInd w:val="0"/>
        <w:spacing w:line="360" w:lineRule="auto"/>
        <w:textAlignment w:val="baseline"/>
        <w:rPr>
          <w:rFonts w:ascii="Arial" w:hAnsi="Arial" w:cs="Arial"/>
        </w:rPr>
      </w:pPr>
      <w:r w:rsidRPr="00E26D69">
        <w:rPr>
          <w:rFonts w:ascii="Arial" w:hAnsi="Arial" w:cs="Arial"/>
        </w:rPr>
        <w:t>the carrying amount of assets exceeds the recoverable amount;</w:t>
      </w:r>
    </w:p>
    <w:p w14:paraId="27958628" w14:textId="77777777" w:rsidR="00E26D69" w:rsidRPr="00E26D69" w:rsidRDefault="00E26D69" w:rsidP="00802A98">
      <w:pPr>
        <w:numPr>
          <w:ilvl w:val="0"/>
          <w:numId w:val="30"/>
        </w:numPr>
        <w:overflowPunct w:val="0"/>
        <w:autoSpaceDE w:val="0"/>
        <w:autoSpaceDN w:val="0"/>
        <w:adjustRightInd w:val="0"/>
        <w:spacing w:line="360" w:lineRule="auto"/>
        <w:textAlignment w:val="baseline"/>
        <w:rPr>
          <w:rFonts w:ascii="Arial" w:hAnsi="Arial" w:cs="Arial"/>
        </w:rPr>
      </w:pPr>
      <w:r w:rsidRPr="00E26D69">
        <w:rPr>
          <w:rFonts w:ascii="Arial" w:hAnsi="Arial" w:cs="Arial"/>
        </w:rPr>
        <w:t>the residual value has fallen below that originally estimated;</w:t>
      </w:r>
    </w:p>
    <w:p w14:paraId="2E486D92" w14:textId="77777777" w:rsidR="00E26D69" w:rsidRDefault="00E26D69" w:rsidP="00802A98">
      <w:pPr>
        <w:numPr>
          <w:ilvl w:val="0"/>
          <w:numId w:val="30"/>
        </w:numPr>
        <w:overflowPunct w:val="0"/>
        <w:autoSpaceDE w:val="0"/>
        <w:autoSpaceDN w:val="0"/>
        <w:adjustRightInd w:val="0"/>
        <w:spacing w:line="276" w:lineRule="auto"/>
        <w:textAlignment w:val="baseline"/>
        <w:rPr>
          <w:rFonts w:ascii="Arial" w:hAnsi="Arial" w:cs="Arial"/>
        </w:rPr>
      </w:pPr>
      <w:r w:rsidRPr="00E26D69">
        <w:rPr>
          <w:rFonts w:ascii="Arial" w:hAnsi="Arial" w:cs="Arial"/>
        </w:rPr>
        <w:t>the economic life of the asset is lower than originally estimated.</w:t>
      </w:r>
    </w:p>
    <w:p w14:paraId="0B6F8C82" w14:textId="77777777" w:rsidR="00301782" w:rsidRDefault="00301782" w:rsidP="00301782">
      <w:pPr>
        <w:overflowPunct w:val="0"/>
        <w:autoSpaceDE w:val="0"/>
        <w:autoSpaceDN w:val="0"/>
        <w:adjustRightInd w:val="0"/>
        <w:spacing w:line="276" w:lineRule="auto"/>
        <w:ind w:left="720"/>
        <w:textAlignment w:val="baseline"/>
        <w:rPr>
          <w:rFonts w:ascii="Arial" w:hAnsi="Arial" w:cs="Arial"/>
        </w:rPr>
      </w:pPr>
    </w:p>
    <w:p w14:paraId="57336057" w14:textId="5435E2FD" w:rsidR="00E26D69" w:rsidRPr="00E26D69" w:rsidRDefault="00301782" w:rsidP="00F3179D">
      <w:pPr>
        <w:spacing w:line="360" w:lineRule="auto"/>
        <w:rPr>
          <w:rFonts w:ascii="Arial" w:hAnsi="Arial" w:cs="Arial"/>
          <w:b/>
        </w:rPr>
      </w:pPr>
      <w:r>
        <w:rPr>
          <w:rFonts w:ascii="Arial" w:hAnsi="Arial" w:cs="Arial"/>
          <w:b/>
        </w:rPr>
        <w:t>P</w:t>
      </w:r>
      <w:r w:rsidR="00E26D69" w:rsidRPr="00B7602A">
        <w:rPr>
          <w:rFonts w:ascii="Arial" w:hAnsi="Arial" w:cs="Arial"/>
          <w:b/>
        </w:rPr>
        <w:t>rovisions for liabilities and charges</w:t>
      </w:r>
    </w:p>
    <w:p w14:paraId="7D9BE465" w14:textId="0F79E493" w:rsidR="00E26D69" w:rsidRPr="00E26D69" w:rsidRDefault="00E26D69" w:rsidP="00F65211">
      <w:pPr>
        <w:spacing w:line="360" w:lineRule="auto"/>
        <w:rPr>
          <w:rFonts w:ascii="Arial" w:hAnsi="Arial" w:cs="Arial"/>
        </w:rPr>
      </w:pPr>
      <w:r w:rsidRPr="00E26D69">
        <w:rPr>
          <w:rFonts w:ascii="Arial" w:hAnsi="Arial" w:cs="Arial"/>
        </w:rPr>
        <w:t xml:space="preserve">Provisions for liabilities and charges are based on realistic and prudent estimates of the expenditure required to settle future legal or constructive obligations, arising from past events that exist at the statement of financial position date.  The provisions at the year-end were for: </w:t>
      </w:r>
      <w:r w:rsidRPr="00E26D69">
        <w:rPr>
          <w:rFonts w:ascii="Arial" w:hAnsi="Arial" w:cs="Arial"/>
        </w:rPr>
        <w:tab/>
      </w:r>
    </w:p>
    <w:p w14:paraId="6095EEA6" w14:textId="77777777" w:rsidR="00E26D69" w:rsidRPr="00E26D69" w:rsidRDefault="00E26D69" w:rsidP="00F65211">
      <w:pPr>
        <w:spacing w:line="360" w:lineRule="auto"/>
        <w:rPr>
          <w:rFonts w:ascii="Arial" w:hAnsi="Arial" w:cs="Arial"/>
        </w:rPr>
      </w:pPr>
    </w:p>
    <w:p w14:paraId="72F14F29" w14:textId="77777777" w:rsidR="00E26D69" w:rsidRDefault="00E26D69" w:rsidP="00802A98">
      <w:pPr>
        <w:numPr>
          <w:ilvl w:val="0"/>
          <w:numId w:val="31"/>
        </w:numPr>
        <w:spacing w:line="360" w:lineRule="auto"/>
        <w:contextualSpacing/>
        <w:rPr>
          <w:rFonts w:ascii="Arial" w:hAnsi="Arial" w:cs="Arial"/>
        </w:rPr>
      </w:pPr>
      <w:r w:rsidRPr="00E26D69">
        <w:rPr>
          <w:rFonts w:ascii="Arial" w:hAnsi="Arial" w:cs="Arial"/>
        </w:rPr>
        <w:t xml:space="preserve">Unfunded pension liabilities in respect of pension commitments inherited from SEPA’s predecessor bodies and the past Chair.   </w:t>
      </w:r>
    </w:p>
    <w:p w14:paraId="3F6119AB" w14:textId="77777777" w:rsidR="00424C65" w:rsidRPr="00E26D69" w:rsidRDefault="00424C65" w:rsidP="00424C65">
      <w:pPr>
        <w:spacing w:line="360" w:lineRule="auto"/>
        <w:ind w:left="720"/>
        <w:contextualSpacing/>
        <w:rPr>
          <w:rFonts w:ascii="Arial" w:hAnsi="Arial" w:cs="Arial"/>
        </w:rPr>
      </w:pPr>
    </w:p>
    <w:p w14:paraId="2E76D793" w14:textId="56ECF730" w:rsidR="00E26D69" w:rsidRDefault="00E26D69" w:rsidP="00802A98">
      <w:pPr>
        <w:numPr>
          <w:ilvl w:val="0"/>
          <w:numId w:val="31"/>
        </w:numPr>
        <w:spacing w:line="360" w:lineRule="auto"/>
        <w:contextualSpacing/>
        <w:rPr>
          <w:rFonts w:ascii="Arial" w:hAnsi="Arial" w:cs="Arial"/>
        </w:rPr>
      </w:pPr>
      <w:r w:rsidRPr="009B2DAE">
        <w:rPr>
          <w:rFonts w:ascii="Arial" w:hAnsi="Arial" w:cs="Arial"/>
        </w:rPr>
        <w:lastRenderedPageBreak/>
        <w:t>Life assurance benefit provided to staff under SEPA’s terms and conditions of employment as estimated by Hyman</w:t>
      </w:r>
      <w:r w:rsidR="00A436AD">
        <w:rPr>
          <w:rFonts w:ascii="Arial" w:hAnsi="Arial" w:cs="Arial"/>
        </w:rPr>
        <w:t>s</w:t>
      </w:r>
      <w:r w:rsidRPr="009B2DAE">
        <w:rPr>
          <w:rFonts w:ascii="Arial" w:hAnsi="Arial" w:cs="Arial"/>
        </w:rPr>
        <w:t xml:space="preserve"> Robertson based on the profile of the staff employed at 31 March 202</w:t>
      </w:r>
      <w:r w:rsidR="00B7602A">
        <w:rPr>
          <w:rFonts w:ascii="Arial" w:hAnsi="Arial" w:cs="Arial"/>
        </w:rPr>
        <w:t>2</w:t>
      </w:r>
      <w:r w:rsidRPr="009B2DAE">
        <w:rPr>
          <w:rFonts w:ascii="Arial" w:hAnsi="Arial" w:cs="Arial"/>
        </w:rPr>
        <w:t>.</w:t>
      </w:r>
    </w:p>
    <w:p w14:paraId="46F30F20" w14:textId="77777777" w:rsidR="00424C65" w:rsidRPr="009B2DAE" w:rsidRDefault="00424C65" w:rsidP="00424C65">
      <w:pPr>
        <w:spacing w:line="360" w:lineRule="auto"/>
        <w:contextualSpacing/>
        <w:rPr>
          <w:rFonts w:ascii="Arial" w:hAnsi="Arial" w:cs="Arial"/>
        </w:rPr>
      </w:pPr>
    </w:p>
    <w:p w14:paraId="2038E9A9" w14:textId="79A31F06" w:rsidR="00E26D69" w:rsidRPr="009B2DAE" w:rsidRDefault="00E02260" w:rsidP="00802A98">
      <w:pPr>
        <w:numPr>
          <w:ilvl w:val="0"/>
          <w:numId w:val="31"/>
        </w:numPr>
        <w:spacing w:line="360" w:lineRule="auto"/>
        <w:contextualSpacing/>
        <w:rPr>
          <w:rFonts w:ascii="Arial" w:hAnsi="Arial" w:cs="Arial"/>
        </w:rPr>
      </w:pPr>
      <w:r w:rsidRPr="009B2DAE">
        <w:rPr>
          <w:rFonts w:ascii="Arial" w:hAnsi="Arial" w:cs="Arial"/>
        </w:rPr>
        <w:t xml:space="preserve">Decommissioning </w:t>
      </w:r>
      <w:r w:rsidR="00E26D69" w:rsidRPr="009B2DAE">
        <w:rPr>
          <w:rFonts w:ascii="Arial" w:hAnsi="Arial" w:cs="Arial"/>
        </w:rPr>
        <w:t>costs for leased properties</w:t>
      </w:r>
      <w:r w:rsidR="00B2361D">
        <w:rPr>
          <w:rFonts w:ascii="Arial" w:hAnsi="Arial" w:cs="Arial"/>
        </w:rPr>
        <w:t>.  These</w:t>
      </w:r>
      <w:r w:rsidR="00E26D69" w:rsidRPr="009B2DAE">
        <w:rPr>
          <w:rFonts w:ascii="Arial" w:hAnsi="Arial" w:cs="Arial"/>
        </w:rPr>
        <w:t xml:space="preserve"> </w:t>
      </w:r>
      <w:r w:rsidR="009B2DAE">
        <w:rPr>
          <w:rFonts w:ascii="Arial" w:hAnsi="Arial" w:cs="Arial"/>
        </w:rPr>
        <w:t>were</w:t>
      </w:r>
      <w:r w:rsidR="00E26D69" w:rsidRPr="009B2DAE">
        <w:rPr>
          <w:rFonts w:ascii="Arial" w:hAnsi="Arial" w:cs="Arial"/>
        </w:rPr>
        <w:t xml:space="preserve"> estimated by Cushman and Wakefield at </w:t>
      </w:r>
      <w:r w:rsidR="0046486B" w:rsidRPr="009B2DAE">
        <w:rPr>
          <w:rFonts w:ascii="Arial" w:hAnsi="Arial" w:cs="Arial"/>
        </w:rPr>
        <w:t>31 March 2020 and</w:t>
      </w:r>
      <w:r w:rsidR="0047088D">
        <w:rPr>
          <w:rFonts w:ascii="Arial" w:hAnsi="Arial" w:cs="Arial"/>
        </w:rPr>
        <w:t xml:space="preserve"> subse</w:t>
      </w:r>
      <w:r w:rsidR="00281492">
        <w:rPr>
          <w:rFonts w:ascii="Arial" w:hAnsi="Arial" w:cs="Arial"/>
        </w:rPr>
        <w:t>quently</w:t>
      </w:r>
      <w:r w:rsidR="00AF241E" w:rsidRPr="009B2DAE">
        <w:rPr>
          <w:rFonts w:ascii="Arial" w:hAnsi="Arial" w:cs="Arial"/>
        </w:rPr>
        <w:t xml:space="preserve"> indexed </w:t>
      </w:r>
      <w:r w:rsidR="009B2DAE" w:rsidRPr="009B2DAE">
        <w:rPr>
          <w:rFonts w:ascii="Arial" w:hAnsi="Arial" w:cs="Arial"/>
        </w:rPr>
        <w:t>for the inflationary</w:t>
      </w:r>
      <w:r w:rsidR="001268A6">
        <w:rPr>
          <w:rFonts w:ascii="Arial" w:hAnsi="Arial" w:cs="Arial"/>
        </w:rPr>
        <w:t xml:space="preserve"> change</w:t>
      </w:r>
      <w:r w:rsidR="009B2DAE" w:rsidRPr="009B2DAE">
        <w:rPr>
          <w:rFonts w:ascii="Arial" w:hAnsi="Arial" w:cs="Arial"/>
        </w:rPr>
        <w:t xml:space="preserve"> in construction costs</w:t>
      </w:r>
      <w:r w:rsidR="00281492">
        <w:rPr>
          <w:rFonts w:ascii="Arial" w:hAnsi="Arial" w:cs="Arial"/>
        </w:rPr>
        <w:t>.</w:t>
      </w:r>
    </w:p>
    <w:p w14:paraId="4268C845" w14:textId="77777777" w:rsidR="00E26D69" w:rsidRPr="00E26D69" w:rsidRDefault="00E26D69" w:rsidP="00B2337C">
      <w:pPr>
        <w:spacing w:line="360" w:lineRule="auto"/>
        <w:rPr>
          <w:rFonts w:ascii="Arial" w:hAnsi="Arial" w:cs="Arial"/>
          <w:b/>
          <w:bCs/>
        </w:rPr>
      </w:pPr>
    </w:p>
    <w:p w14:paraId="1986E687" w14:textId="552E43ED" w:rsidR="00E26D69" w:rsidRPr="005B3213" w:rsidRDefault="00E26D69" w:rsidP="004B4494">
      <w:pPr>
        <w:spacing w:line="360" w:lineRule="auto"/>
        <w:ind w:left="-142"/>
        <w:rPr>
          <w:rFonts w:ascii="Arial" w:hAnsi="Arial" w:cs="Arial"/>
          <w:b/>
          <w:bCs/>
        </w:rPr>
      </w:pPr>
      <w:r w:rsidRPr="00281492">
        <w:rPr>
          <w:rFonts w:ascii="Arial" w:hAnsi="Arial" w:cs="Arial"/>
          <w:b/>
          <w:bCs/>
        </w:rPr>
        <w:t>Reserves</w:t>
      </w:r>
    </w:p>
    <w:p w14:paraId="67468BCD" w14:textId="77777777" w:rsidR="00E26D69" w:rsidRPr="00E26D69" w:rsidRDefault="00E26D69" w:rsidP="00F65211">
      <w:pPr>
        <w:spacing w:line="360" w:lineRule="auto"/>
        <w:ind w:left="-142"/>
        <w:rPr>
          <w:rFonts w:ascii="Arial" w:hAnsi="Arial" w:cs="Arial"/>
        </w:rPr>
      </w:pPr>
      <w:r w:rsidRPr="00E26D69">
        <w:rPr>
          <w:rFonts w:ascii="Arial" w:hAnsi="Arial" w:cs="Arial"/>
        </w:rPr>
        <w:t xml:space="preserve">The Comprehensive Net Expenditure Reserve represents the excess of expenditure over income on </w:t>
      </w:r>
      <w:proofErr w:type="spellStart"/>
      <w:r w:rsidRPr="00E26D69">
        <w:rPr>
          <w:rFonts w:ascii="Arial" w:hAnsi="Arial" w:cs="Arial"/>
        </w:rPr>
        <w:t>GiA</w:t>
      </w:r>
      <w:proofErr w:type="spellEnd"/>
      <w:r w:rsidRPr="00E26D69">
        <w:rPr>
          <w:rFonts w:ascii="Arial" w:hAnsi="Arial" w:cs="Arial"/>
        </w:rPr>
        <w:t xml:space="preserve"> funded activities. The Revaluation Reserve reflects the increase in value of land, buildings, and gauging stations over their historical costs.  </w:t>
      </w:r>
    </w:p>
    <w:p w14:paraId="49849371" w14:textId="77777777" w:rsidR="001D3330" w:rsidRPr="00E26D69" w:rsidRDefault="001D3330" w:rsidP="00C34606">
      <w:pPr>
        <w:spacing w:line="360" w:lineRule="auto"/>
        <w:rPr>
          <w:rFonts w:ascii="Arial" w:hAnsi="Arial" w:cs="Arial"/>
          <w:b/>
        </w:rPr>
      </w:pPr>
    </w:p>
    <w:p w14:paraId="6A447B8F" w14:textId="7E12D216" w:rsidR="00E26D69" w:rsidRPr="005B3213" w:rsidRDefault="00E26D69" w:rsidP="004B4494">
      <w:pPr>
        <w:spacing w:line="360" w:lineRule="auto"/>
        <w:ind w:left="-142"/>
        <w:rPr>
          <w:rFonts w:ascii="Arial" w:hAnsi="Arial" w:cs="Arial"/>
          <w:b/>
          <w:bCs/>
        </w:rPr>
      </w:pPr>
      <w:r w:rsidRPr="00281492">
        <w:rPr>
          <w:rFonts w:ascii="Arial" w:hAnsi="Arial" w:cs="Arial"/>
          <w:b/>
          <w:bCs/>
        </w:rPr>
        <w:t>Value added tax</w:t>
      </w:r>
    </w:p>
    <w:p w14:paraId="55F2390C" w14:textId="055B8C09" w:rsidR="00E26D69" w:rsidRDefault="00E26D69" w:rsidP="004B4494">
      <w:pPr>
        <w:spacing w:line="360" w:lineRule="auto"/>
        <w:ind w:left="-142"/>
        <w:rPr>
          <w:rFonts w:ascii="Arial" w:hAnsi="Arial" w:cs="Arial"/>
        </w:rPr>
      </w:pPr>
      <w:r w:rsidRPr="00E26D69">
        <w:rPr>
          <w:rFonts w:ascii="Arial" w:hAnsi="Arial" w:cs="Arial"/>
        </w:rPr>
        <w:t>Irrecoverable VAT is charged to the Statement of Comprehensive Net Expenditure or included in the cost of assets in the period it is incurred.</w:t>
      </w:r>
    </w:p>
    <w:p w14:paraId="6AA56399" w14:textId="77777777" w:rsidR="00070D84" w:rsidRPr="00471456" w:rsidRDefault="00070D84" w:rsidP="004B4494">
      <w:pPr>
        <w:spacing w:line="360" w:lineRule="auto"/>
        <w:ind w:left="-142"/>
        <w:rPr>
          <w:rFonts w:ascii="Arial" w:hAnsi="Arial" w:cs="Arial"/>
        </w:rPr>
      </w:pPr>
    </w:p>
    <w:p w14:paraId="73233BA0" w14:textId="687B2942" w:rsidR="00E26D69" w:rsidRPr="005B3213" w:rsidRDefault="00E26D69" w:rsidP="004B4494">
      <w:pPr>
        <w:spacing w:line="360" w:lineRule="auto"/>
        <w:ind w:left="-142"/>
        <w:rPr>
          <w:rFonts w:ascii="Arial" w:hAnsi="Arial" w:cs="Arial"/>
          <w:b/>
          <w:bCs/>
        </w:rPr>
      </w:pPr>
      <w:r w:rsidRPr="00281492">
        <w:rPr>
          <w:rFonts w:ascii="Arial" w:hAnsi="Arial" w:cs="Arial"/>
          <w:b/>
          <w:bCs/>
        </w:rPr>
        <w:t>Leases</w:t>
      </w:r>
    </w:p>
    <w:p w14:paraId="29B36AD4" w14:textId="77777777" w:rsidR="00E26D69" w:rsidRPr="00E26D69" w:rsidRDefault="00E26D69" w:rsidP="004B4494">
      <w:pPr>
        <w:spacing w:line="360" w:lineRule="auto"/>
        <w:ind w:left="-142"/>
        <w:rPr>
          <w:rFonts w:ascii="Arial" w:hAnsi="Arial" w:cs="Arial"/>
        </w:rPr>
      </w:pPr>
      <w:r w:rsidRPr="00E26D69">
        <w:rPr>
          <w:rFonts w:ascii="Arial" w:hAnsi="Arial" w:cs="Arial"/>
        </w:rPr>
        <w:t>SEPA has a small number of operating lease rentals.  The costs are charged to expenditure in equal annual amounts over the lease term. SEPA does not enjoy the risks or rewards associated with ownership of the items leased.</w:t>
      </w:r>
    </w:p>
    <w:p w14:paraId="63160AAD" w14:textId="77777777" w:rsidR="00E26D69" w:rsidRPr="00E26D69" w:rsidRDefault="00E26D69" w:rsidP="004B4494">
      <w:pPr>
        <w:spacing w:line="360" w:lineRule="auto"/>
        <w:ind w:left="-142"/>
        <w:rPr>
          <w:rFonts w:ascii="Arial" w:hAnsi="Arial" w:cs="Arial"/>
          <w:b/>
        </w:rPr>
      </w:pPr>
    </w:p>
    <w:p w14:paraId="41709830" w14:textId="48CB1071" w:rsidR="00E26D69" w:rsidRPr="00E26D69" w:rsidRDefault="00E26D69" w:rsidP="004B4494">
      <w:pPr>
        <w:spacing w:line="360" w:lineRule="auto"/>
        <w:ind w:left="-142"/>
        <w:rPr>
          <w:rFonts w:ascii="Arial" w:hAnsi="Arial" w:cs="Arial"/>
          <w:b/>
          <w:bCs/>
        </w:rPr>
      </w:pPr>
      <w:r w:rsidRPr="00281492">
        <w:rPr>
          <w:rFonts w:ascii="Arial" w:hAnsi="Arial" w:cs="Arial"/>
          <w:b/>
          <w:bCs/>
        </w:rPr>
        <w:t>Government Grant-in-Aid (</w:t>
      </w:r>
      <w:proofErr w:type="spellStart"/>
      <w:r w:rsidRPr="00281492">
        <w:rPr>
          <w:rFonts w:ascii="Arial" w:hAnsi="Arial" w:cs="Arial"/>
          <w:b/>
          <w:bCs/>
        </w:rPr>
        <w:t>GiA</w:t>
      </w:r>
      <w:proofErr w:type="spellEnd"/>
      <w:r w:rsidRPr="00281492">
        <w:rPr>
          <w:rFonts w:ascii="Arial" w:hAnsi="Arial" w:cs="Arial"/>
          <w:b/>
          <w:bCs/>
        </w:rPr>
        <w:t>)</w:t>
      </w:r>
    </w:p>
    <w:p w14:paraId="178B3BDD" w14:textId="77777777" w:rsidR="00E26D69" w:rsidRPr="00E26D69" w:rsidRDefault="00E26D69" w:rsidP="005F58EC">
      <w:pPr>
        <w:spacing w:line="360" w:lineRule="auto"/>
        <w:ind w:left="-142"/>
        <w:rPr>
          <w:rFonts w:ascii="Arial" w:hAnsi="Arial" w:cs="Arial"/>
        </w:rPr>
      </w:pPr>
      <w:proofErr w:type="spellStart"/>
      <w:r w:rsidRPr="00E26D69">
        <w:rPr>
          <w:rFonts w:ascii="Arial" w:hAnsi="Arial" w:cs="Arial"/>
        </w:rPr>
        <w:t>GiA</w:t>
      </w:r>
      <w:proofErr w:type="spellEnd"/>
      <w:r w:rsidRPr="00E26D69">
        <w:rPr>
          <w:rFonts w:ascii="Arial" w:hAnsi="Arial" w:cs="Arial"/>
        </w:rPr>
        <w:t xml:space="preserve"> received to cover general operating activities and replacement of capital items is shown as financing income and credited directly to the Comprehensive Net Expenditure Reserve. </w:t>
      </w:r>
    </w:p>
    <w:p w14:paraId="53843944" w14:textId="77777777" w:rsidR="00E26D69" w:rsidRPr="00E26D69" w:rsidRDefault="00E26D69" w:rsidP="005F58EC">
      <w:pPr>
        <w:spacing w:line="360" w:lineRule="auto"/>
        <w:rPr>
          <w:rFonts w:ascii="Arial" w:hAnsi="Arial" w:cs="Arial"/>
          <w:b/>
          <w:highlight w:val="cyan"/>
        </w:rPr>
      </w:pPr>
    </w:p>
    <w:p w14:paraId="1976FFEA" w14:textId="6928911C" w:rsidR="00E26D69" w:rsidRPr="00E26D69" w:rsidRDefault="00E26D69" w:rsidP="005F58EC">
      <w:pPr>
        <w:spacing w:line="360" w:lineRule="auto"/>
        <w:ind w:left="-142"/>
        <w:rPr>
          <w:rFonts w:ascii="Arial" w:hAnsi="Arial" w:cs="Arial"/>
          <w:b/>
          <w:bCs/>
        </w:rPr>
      </w:pPr>
      <w:r w:rsidRPr="00F35560">
        <w:rPr>
          <w:rFonts w:ascii="Arial" w:hAnsi="Arial" w:cs="Arial"/>
          <w:b/>
          <w:bCs/>
        </w:rPr>
        <w:t>Income</w:t>
      </w:r>
    </w:p>
    <w:p w14:paraId="05448323" w14:textId="2D9CF1C3" w:rsidR="00E26D69" w:rsidRPr="00E26D69" w:rsidRDefault="00E26D69" w:rsidP="005F58EC">
      <w:pPr>
        <w:spacing w:line="360" w:lineRule="auto"/>
        <w:ind w:left="-142"/>
        <w:rPr>
          <w:rFonts w:ascii="Arial" w:hAnsi="Arial" w:cs="Arial"/>
        </w:rPr>
      </w:pPr>
      <w:r w:rsidRPr="00E26D69">
        <w:rPr>
          <w:rFonts w:ascii="Arial" w:hAnsi="Arial" w:cs="Arial"/>
        </w:rPr>
        <w:t xml:space="preserve">Income represents the total value excluding VAT of income received from Revenue Contracts as per </w:t>
      </w:r>
      <w:r w:rsidR="00471720">
        <w:rPr>
          <w:rFonts w:ascii="Arial" w:hAnsi="Arial" w:cs="Arial"/>
        </w:rPr>
        <w:t>International Financial Reporting Standard (</w:t>
      </w:r>
      <w:r w:rsidRPr="00E26D69">
        <w:rPr>
          <w:rFonts w:ascii="Arial" w:hAnsi="Arial" w:cs="Arial"/>
        </w:rPr>
        <w:t>IFRS</w:t>
      </w:r>
      <w:r w:rsidR="00471720">
        <w:rPr>
          <w:rFonts w:ascii="Arial" w:hAnsi="Arial" w:cs="Arial"/>
        </w:rPr>
        <w:t>)</w:t>
      </w:r>
      <w:r w:rsidRPr="00E26D69">
        <w:rPr>
          <w:rFonts w:ascii="Arial" w:hAnsi="Arial" w:cs="Arial"/>
        </w:rPr>
        <w:t xml:space="preserve"> 15 and other operating income.  Revenue from contracts includes income from SEPA specific and UK wide charging schemes, application fees</w:t>
      </w:r>
      <w:r w:rsidR="00FB167B">
        <w:rPr>
          <w:rFonts w:ascii="Arial" w:hAnsi="Arial" w:cs="Arial"/>
        </w:rPr>
        <w:t>,</w:t>
      </w:r>
      <w:r w:rsidRPr="00E26D69">
        <w:rPr>
          <w:rFonts w:ascii="Arial" w:hAnsi="Arial" w:cs="Arial"/>
        </w:rPr>
        <w:t xml:space="preserve"> and annual subsistence charges. SEPA also earned income to recover the costs of specific services provided to other organisations.  This income has been further split between statutory and non-statutory income. </w:t>
      </w:r>
    </w:p>
    <w:p w14:paraId="30678200" w14:textId="77777777" w:rsidR="00E26D69" w:rsidRPr="00E26D69" w:rsidRDefault="00E26D69" w:rsidP="005F58EC">
      <w:pPr>
        <w:spacing w:line="360" w:lineRule="auto"/>
        <w:rPr>
          <w:rFonts w:ascii="Arial" w:hAnsi="Arial" w:cs="Arial"/>
        </w:rPr>
      </w:pPr>
    </w:p>
    <w:p w14:paraId="3FEADC5A" w14:textId="7D8932FF" w:rsidR="00E26D69" w:rsidRDefault="00E26D69" w:rsidP="005F58EC">
      <w:pPr>
        <w:spacing w:line="360" w:lineRule="auto"/>
        <w:ind w:left="-142"/>
        <w:rPr>
          <w:rFonts w:ascii="Arial" w:hAnsi="Arial" w:cs="Arial"/>
        </w:rPr>
      </w:pPr>
      <w:r w:rsidRPr="00E26D69">
        <w:rPr>
          <w:rFonts w:ascii="Arial" w:hAnsi="Arial" w:cs="Arial"/>
        </w:rPr>
        <w:t xml:space="preserve">Statutory income is defined as income which SEPA receives in its regulatory role and for which the basis for charging is defined within statute.  Non-statutory income covers a range of income </w:t>
      </w:r>
      <w:r w:rsidRPr="00E26D69">
        <w:rPr>
          <w:rFonts w:ascii="Arial" w:hAnsi="Arial" w:cs="Arial"/>
        </w:rPr>
        <w:lastRenderedPageBreak/>
        <w:t>primarily for the recharge of staff time</w:t>
      </w:r>
      <w:r w:rsidR="00D079AA">
        <w:rPr>
          <w:rFonts w:ascii="Arial" w:hAnsi="Arial" w:cs="Arial"/>
        </w:rPr>
        <w:t xml:space="preserve"> and shared facilities, in addition to services provided </w:t>
      </w:r>
      <w:r w:rsidRPr="00E26D69">
        <w:rPr>
          <w:rFonts w:ascii="Arial" w:hAnsi="Arial" w:cs="Arial"/>
        </w:rPr>
        <w:t>to other organisations.</w:t>
      </w:r>
      <w:r w:rsidR="0064784B">
        <w:rPr>
          <w:rFonts w:ascii="Arial" w:hAnsi="Arial" w:cs="Arial"/>
        </w:rPr>
        <w:t xml:space="preserve"> </w:t>
      </w:r>
      <w:r w:rsidRPr="00E26D69">
        <w:rPr>
          <w:rFonts w:ascii="Arial" w:hAnsi="Arial" w:cs="Arial"/>
        </w:rPr>
        <w:t>SEPA recognises income on delivery of performance obligations as per IFRS 15.</w:t>
      </w:r>
      <w:r w:rsidR="0064784B">
        <w:rPr>
          <w:rFonts w:ascii="Arial" w:hAnsi="Arial" w:cs="Arial"/>
        </w:rPr>
        <w:t xml:space="preserve"> </w:t>
      </w:r>
      <w:r w:rsidRPr="00E26D69">
        <w:rPr>
          <w:rFonts w:ascii="Arial" w:hAnsi="Arial" w:cs="Arial"/>
        </w:rPr>
        <w:t>Other operating income relates primarily to grant income which SEPA recognises in line with IAS</w:t>
      </w:r>
      <w:r w:rsidR="002D59AD">
        <w:rPr>
          <w:rFonts w:ascii="Arial" w:hAnsi="Arial" w:cs="Arial"/>
        </w:rPr>
        <w:t xml:space="preserve"> </w:t>
      </w:r>
      <w:r w:rsidRPr="00E26D69">
        <w:rPr>
          <w:rFonts w:ascii="Arial" w:hAnsi="Arial" w:cs="Arial"/>
        </w:rPr>
        <w:t xml:space="preserve">20.  </w:t>
      </w:r>
    </w:p>
    <w:p w14:paraId="3DF42241" w14:textId="77777777" w:rsidR="00305339" w:rsidRPr="00E26D69" w:rsidRDefault="00305339" w:rsidP="005F58EC">
      <w:pPr>
        <w:spacing w:line="360" w:lineRule="auto"/>
        <w:ind w:left="-142"/>
        <w:rPr>
          <w:rFonts w:ascii="Arial" w:hAnsi="Arial" w:cs="Arial"/>
        </w:rPr>
      </w:pPr>
    </w:p>
    <w:p w14:paraId="391C37A6" w14:textId="3EBA532D" w:rsidR="00E26D69" w:rsidRPr="00E26D69" w:rsidRDefault="00E26D69" w:rsidP="005F58EC">
      <w:pPr>
        <w:spacing w:line="360" w:lineRule="auto"/>
        <w:ind w:left="-142"/>
        <w:rPr>
          <w:rFonts w:ascii="Arial" w:hAnsi="Arial" w:cs="Arial"/>
        </w:rPr>
      </w:pPr>
      <w:r w:rsidRPr="00E26D69">
        <w:rPr>
          <w:rFonts w:ascii="Arial" w:hAnsi="Arial" w:cs="Arial"/>
        </w:rPr>
        <w:t>International Accounting Standards (IAS) 1 requires line items for income to be grouped into:</w:t>
      </w:r>
    </w:p>
    <w:p w14:paraId="0A8FBBF7" w14:textId="77777777" w:rsidR="00E26D69" w:rsidRPr="00E26D69" w:rsidRDefault="00E26D69" w:rsidP="005F58EC">
      <w:pPr>
        <w:numPr>
          <w:ilvl w:val="0"/>
          <w:numId w:val="20"/>
        </w:numPr>
        <w:spacing w:line="360" w:lineRule="auto"/>
        <w:rPr>
          <w:rFonts w:ascii="Arial" w:hAnsi="Arial" w:cs="Arial"/>
        </w:rPr>
      </w:pPr>
      <w:r w:rsidRPr="00E26D69">
        <w:rPr>
          <w:rFonts w:ascii="Arial" w:hAnsi="Arial" w:cs="Arial"/>
        </w:rPr>
        <w:t>will not be reclassified subsequently to profit or loss; and</w:t>
      </w:r>
    </w:p>
    <w:p w14:paraId="472AB258" w14:textId="77777777" w:rsidR="00E26D69" w:rsidRPr="00E26D69" w:rsidRDefault="00E26D69" w:rsidP="005F58EC">
      <w:pPr>
        <w:numPr>
          <w:ilvl w:val="0"/>
          <w:numId w:val="20"/>
        </w:numPr>
        <w:spacing w:line="360" w:lineRule="auto"/>
        <w:rPr>
          <w:rFonts w:ascii="Arial" w:hAnsi="Arial" w:cs="Arial"/>
        </w:rPr>
      </w:pPr>
      <w:r w:rsidRPr="00E26D69">
        <w:rPr>
          <w:rFonts w:ascii="Arial" w:hAnsi="Arial" w:cs="Arial"/>
        </w:rPr>
        <w:t>will be reclassified subsequently to profit or loss when specific conditions are met.</w:t>
      </w:r>
    </w:p>
    <w:p w14:paraId="4C08BBF9" w14:textId="77777777" w:rsidR="00E26D69" w:rsidRPr="00E26D69" w:rsidRDefault="00E26D69" w:rsidP="005F58EC">
      <w:pPr>
        <w:spacing w:line="360" w:lineRule="auto"/>
        <w:ind w:left="720"/>
        <w:rPr>
          <w:rFonts w:ascii="Arial" w:hAnsi="Arial" w:cs="Arial"/>
        </w:rPr>
      </w:pPr>
    </w:p>
    <w:p w14:paraId="06202FC7" w14:textId="77777777" w:rsidR="00E26D69" w:rsidRPr="00E26D69" w:rsidRDefault="00E26D69" w:rsidP="005F58EC">
      <w:pPr>
        <w:spacing w:line="360" w:lineRule="auto"/>
        <w:ind w:left="-142"/>
        <w:rPr>
          <w:rFonts w:ascii="Arial" w:hAnsi="Arial" w:cs="Arial"/>
        </w:rPr>
      </w:pPr>
      <w:r w:rsidRPr="00E26D69">
        <w:rPr>
          <w:rFonts w:ascii="Arial" w:hAnsi="Arial" w:cs="Arial"/>
        </w:rPr>
        <w:t>All of SEPA’s income falls under b) above.</w:t>
      </w:r>
    </w:p>
    <w:p w14:paraId="1BD5A37C" w14:textId="77777777" w:rsidR="00E26D69" w:rsidRPr="00305339" w:rsidRDefault="00E26D69" w:rsidP="00B2337C">
      <w:pPr>
        <w:spacing w:line="360" w:lineRule="auto"/>
        <w:rPr>
          <w:rFonts w:ascii="Arial" w:hAnsi="Arial" w:cs="Arial"/>
        </w:rPr>
      </w:pPr>
    </w:p>
    <w:p w14:paraId="4FA316EA" w14:textId="47213E39" w:rsidR="00E26D69" w:rsidRPr="00E26D69" w:rsidRDefault="00E26D69" w:rsidP="004B4494">
      <w:pPr>
        <w:spacing w:line="360" w:lineRule="auto"/>
        <w:ind w:left="-142"/>
        <w:rPr>
          <w:rFonts w:ascii="Arial" w:hAnsi="Arial" w:cs="Arial"/>
          <w:b/>
          <w:bCs/>
        </w:rPr>
      </w:pPr>
      <w:r w:rsidRPr="00CB5403">
        <w:rPr>
          <w:rFonts w:ascii="Arial" w:hAnsi="Arial" w:cs="Arial"/>
          <w:b/>
          <w:bCs/>
        </w:rPr>
        <w:t>Expenditure</w:t>
      </w:r>
    </w:p>
    <w:p w14:paraId="3EB2EC72" w14:textId="0E4F4E5B" w:rsidR="00E26D69" w:rsidRPr="00E26D69" w:rsidRDefault="00E26D69" w:rsidP="004B4494">
      <w:pPr>
        <w:spacing w:line="360" w:lineRule="auto"/>
        <w:ind w:left="-142"/>
        <w:rPr>
          <w:rFonts w:ascii="Arial" w:hAnsi="Arial" w:cs="Arial"/>
          <w:bCs/>
        </w:rPr>
      </w:pPr>
      <w:r w:rsidRPr="00E26D69">
        <w:rPr>
          <w:rFonts w:ascii="Arial" w:hAnsi="Arial" w:cs="Arial"/>
          <w:bCs/>
        </w:rPr>
        <w:t>Expenditure incurred on day</w:t>
      </w:r>
      <w:r w:rsidR="005510D6">
        <w:rPr>
          <w:rFonts w:ascii="Arial" w:hAnsi="Arial" w:cs="Arial"/>
          <w:bCs/>
        </w:rPr>
        <w:t>-</w:t>
      </w:r>
      <w:r w:rsidRPr="00E26D69">
        <w:rPr>
          <w:rFonts w:ascii="Arial" w:hAnsi="Arial" w:cs="Arial"/>
          <w:bCs/>
        </w:rPr>
        <w:t>to</w:t>
      </w:r>
      <w:r w:rsidR="005510D6">
        <w:rPr>
          <w:rFonts w:ascii="Arial" w:hAnsi="Arial" w:cs="Arial"/>
          <w:bCs/>
        </w:rPr>
        <w:t>-</w:t>
      </w:r>
      <w:r w:rsidRPr="00E26D69">
        <w:rPr>
          <w:rFonts w:ascii="Arial" w:hAnsi="Arial" w:cs="Arial"/>
          <w:bCs/>
        </w:rPr>
        <w:t>day operational activities is accounted for or charged into the Statement of Comprehensive Net Expenditure in the year that the work has been done. Staff costs are accounted for in the year that salaries are earned together with the employers</w:t>
      </w:r>
      <w:r w:rsidR="005510D6">
        <w:rPr>
          <w:rFonts w:ascii="Arial" w:hAnsi="Arial" w:cs="Arial"/>
          <w:bCs/>
        </w:rPr>
        <w:t>’</w:t>
      </w:r>
      <w:r w:rsidRPr="00E26D69">
        <w:rPr>
          <w:rFonts w:ascii="Arial" w:hAnsi="Arial" w:cs="Arial"/>
          <w:bCs/>
        </w:rPr>
        <w:t xml:space="preserve"> costs. Other expenditure is charged or accrued into the year the services or goods were used. As part of the year end accounts process, a detailed accrual exercise is conducted to ensure expenditure is matched with income appropriately</w:t>
      </w:r>
      <w:r w:rsidRPr="00AB5906">
        <w:rPr>
          <w:rFonts w:ascii="Arial" w:hAnsi="Arial" w:cs="Arial"/>
          <w:bCs/>
        </w:rPr>
        <w:t>. Expenditure that relates to future accounting periods of more than £5,000 is prepaid and will be matched to income earned in future periods. All expenditure that related to services or goods received by 31 March 202</w:t>
      </w:r>
      <w:r w:rsidR="00F35560">
        <w:rPr>
          <w:rFonts w:ascii="Arial" w:hAnsi="Arial" w:cs="Arial"/>
          <w:bCs/>
        </w:rPr>
        <w:t>2</w:t>
      </w:r>
      <w:r w:rsidRPr="00AB5906">
        <w:rPr>
          <w:rFonts w:ascii="Arial" w:hAnsi="Arial" w:cs="Arial"/>
          <w:bCs/>
        </w:rPr>
        <w:t xml:space="preserve"> ha</w:t>
      </w:r>
      <w:r w:rsidR="00AB5906">
        <w:rPr>
          <w:rFonts w:ascii="Arial" w:hAnsi="Arial" w:cs="Arial"/>
          <w:bCs/>
        </w:rPr>
        <w:t>s</w:t>
      </w:r>
      <w:r w:rsidRPr="00AB5906">
        <w:rPr>
          <w:rFonts w:ascii="Arial" w:hAnsi="Arial" w:cs="Arial"/>
          <w:bCs/>
        </w:rPr>
        <w:t xml:space="preserve"> been accrued.</w:t>
      </w:r>
      <w:r w:rsidRPr="00E26D69">
        <w:rPr>
          <w:rFonts w:ascii="Arial" w:hAnsi="Arial" w:cs="Arial"/>
          <w:bCs/>
        </w:rPr>
        <w:t xml:space="preserve">  </w:t>
      </w:r>
    </w:p>
    <w:p w14:paraId="7125984B" w14:textId="77777777" w:rsidR="00E26D69" w:rsidRPr="00E26D69" w:rsidRDefault="00E26D69" w:rsidP="004B4494">
      <w:pPr>
        <w:spacing w:line="360" w:lineRule="auto"/>
        <w:ind w:left="-142"/>
        <w:rPr>
          <w:rFonts w:ascii="Arial" w:hAnsi="Arial" w:cs="Arial"/>
          <w:bCs/>
        </w:rPr>
      </w:pPr>
    </w:p>
    <w:p w14:paraId="0ABF59A6" w14:textId="5E5F83FF" w:rsidR="00E26D69" w:rsidRPr="00B344F4" w:rsidRDefault="00E26D69" w:rsidP="004B4494">
      <w:pPr>
        <w:spacing w:line="360" w:lineRule="auto"/>
        <w:ind w:left="-142"/>
        <w:rPr>
          <w:rFonts w:ascii="Arial" w:hAnsi="Arial" w:cs="Arial"/>
          <w:bCs/>
        </w:rPr>
      </w:pPr>
      <w:r w:rsidRPr="00CB48F1">
        <w:rPr>
          <w:rFonts w:ascii="Arial" w:hAnsi="Arial" w:cs="Arial"/>
          <w:b/>
          <w:bCs/>
        </w:rPr>
        <w:t>Pension costs</w:t>
      </w:r>
    </w:p>
    <w:p w14:paraId="29EDD74D" w14:textId="628C2A2C" w:rsidR="00E26D69" w:rsidRDefault="00E26D69" w:rsidP="004B4494">
      <w:pPr>
        <w:spacing w:line="360" w:lineRule="auto"/>
        <w:ind w:left="-142"/>
        <w:rPr>
          <w:rFonts w:ascii="Arial" w:hAnsi="Arial" w:cs="Arial"/>
        </w:rPr>
      </w:pPr>
      <w:r w:rsidRPr="00E26D69">
        <w:rPr>
          <w:rFonts w:ascii="Arial" w:hAnsi="Arial" w:cs="Arial"/>
        </w:rPr>
        <w:t xml:space="preserve">SEPA participates in the Local Government Superannuation Scheme which is a defined benefit scheme. The expected cost of providing staff pensions is recognised on a systematic basis over the expected average remaining lives of members of the pension fund in accordance with International Accounting Standard 19 and recognises retirement benefits as the benefits that are earned and not when they are due to be paid. The actuary reviews the scheme on a triennial basis and SEPA has always implemented the contributions </w:t>
      </w:r>
      <w:r w:rsidRPr="005A4876">
        <w:rPr>
          <w:rFonts w:ascii="Arial" w:hAnsi="Arial" w:cs="Arial"/>
        </w:rPr>
        <w:t xml:space="preserve">recommended </w:t>
      </w:r>
      <w:r w:rsidRPr="000A2443">
        <w:rPr>
          <w:rFonts w:ascii="Arial" w:hAnsi="Arial" w:cs="Arial"/>
        </w:rPr>
        <w:t>(</w:t>
      </w:r>
      <w:r w:rsidRPr="00AD2172">
        <w:rPr>
          <w:rFonts w:ascii="Arial" w:hAnsi="Arial" w:cs="Arial"/>
        </w:rPr>
        <w:t xml:space="preserve">notes </w:t>
      </w:r>
      <w:hyperlink w:anchor="Note15IAS19Pensionassetandliabilities" w:history="1">
        <w:r w:rsidRPr="005F58EC">
          <w:rPr>
            <w:rStyle w:val="Hyperlink"/>
            <w:rFonts w:ascii="Arial" w:hAnsi="Arial" w:cs="Arial"/>
          </w:rPr>
          <w:t>1</w:t>
        </w:r>
        <w:r w:rsidR="00937FDD" w:rsidRPr="005F58EC">
          <w:rPr>
            <w:rStyle w:val="Hyperlink"/>
            <w:rFonts w:ascii="Arial" w:hAnsi="Arial" w:cs="Arial"/>
          </w:rPr>
          <w:t>5</w:t>
        </w:r>
      </w:hyperlink>
      <w:r w:rsidRPr="00AD2172">
        <w:rPr>
          <w:rFonts w:ascii="Arial" w:hAnsi="Arial" w:cs="Arial"/>
        </w:rPr>
        <w:t xml:space="preserve"> and </w:t>
      </w:r>
      <w:hyperlink w:anchor="Note16IAS19DetailsofentriesintheStatemen" w:history="1">
        <w:r w:rsidRPr="005F58EC">
          <w:rPr>
            <w:rStyle w:val="Hyperlink"/>
            <w:rFonts w:ascii="Arial" w:hAnsi="Arial" w:cs="Arial"/>
          </w:rPr>
          <w:t>1</w:t>
        </w:r>
        <w:r w:rsidR="00937FDD" w:rsidRPr="005F58EC">
          <w:rPr>
            <w:rStyle w:val="Hyperlink"/>
            <w:rFonts w:ascii="Arial" w:hAnsi="Arial" w:cs="Arial"/>
          </w:rPr>
          <w:t>6</w:t>
        </w:r>
      </w:hyperlink>
      <w:r w:rsidRPr="00AD2172">
        <w:rPr>
          <w:rFonts w:ascii="Arial" w:hAnsi="Arial" w:cs="Arial"/>
        </w:rPr>
        <w:t>).</w:t>
      </w:r>
      <w:r w:rsidRPr="005A4876">
        <w:rPr>
          <w:rFonts w:ascii="Arial" w:hAnsi="Arial" w:cs="Arial"/>
        </w:rPr>
        <w:t xml:space="preserve"> The</w:t>
      </w:r>
      <w:r w:rsidRPr="00E26D69">
        <w:rPr>
          <w:rFonts w:ascii="Arial" w:hAnsi="Arial" w:cs="Arial"/>
        </w:rPr>
        <w:t xml:space="preserve"> contribution charges are recognised in the accounting years in which they arise</w:t>
      </w:r>
      <w:r w:rsidR="00772660">
        <w:rPr>
          <w:rFonts w:ascii="Arial" w:hAnsi="Arial" w:cs="Arial"/>
        </w:rPr>
        <w:t>.</w:t>
      </w:r>
    </w:p>
    <w:p w14:paraId="0A613218" w14:textId="77777777" w:rsidR="00772660" w:rsidRPr="00772660" w:rsidRDefault="00772660" w:rsidP="004B4494">
      <w:pPr>
        <w:spacing w:line="360" w:lineRule="auto"/>
        <w:ind w:left="-142"/>
        <w:rPr>
          <w:rFonts w:ascii="Arial" w:hAnsi="Arial" w:cs="Arial"/>
        </w:rPr>
      </w:pPr>
    </w:p>
    <w:p w14:paraId="016AA582" w14:textId="63B69F9A" w:rsidR="00305339" w:rsidRDefault="00E26D69" w:rsidP="0089414E">
      <w:pPr>
        <w:spacing w:line="360" w:lineRule="auto"/>
        <w:ind w:left="-142"/>
        <w:rPr>
          <w:rFonts w:ascii="Arial" w:hAnsi="Arial" w:cs="Arial"/>
        </w:rPr>
      </w:pPr>
      <w:r w:rsidRPr="00E26D69">
        <w:rPr>
          <w:rFonts w:ascii="Arial" w:hAnsi="Arial" w:cs="Arial"/>
        </w:rPr>
        <w:t>SEPA provides in full for the cost of meeting pensions up to normal retirement age in respect of staff taking early retirement programmes and voluntary severances in the current and previous years. Most pensions payable after normal retirement age are met by the pension scheme, although there are some pension liabilities inherited from predecessor bodies that are met directly by SEPA - these are reflected in the unfunded pension liabilities</w:t>
      </w:r>
      <w:r w:rsidR="00AD2172">
        <w:rPr>
          <w:rFonts w:ascii="Arial" w:hAnsi="Arial" w:cs="Arial"/>
        </w:rPr>
        <w:t xml:space="preserve"> (</w:t>
      </w:r>
      <w:hyperlink w:anchor="Note13Provisionforliabilitiesandcharges" w:history="1">
        <w:r w:rsidRPr="005F58EC">
          <w:rPr>
            <w:rStyle w:val="Hyperlink"/>
            <w:rFonts w:ascii="Arial" w:hAnsi="Arial" w:cs="Arial"/>
          </w:rPr>
          <w:t xml:space="preserve">note </w:t>
        </w:r>
        <w:r w:rsidR="00380D5F" w:rsidRPr="005F58EC">
          <w:rPr>
            <w:rStyle w:val="Hyperlink"/>
            <w:rFonts w:ascii="Arial" w:hAnsi="Arial" w:cs="Arial"/>
          </w:rPr>
          <w:t>13</w:t>
        </w:r>
      </w:hyperlink>
      <w:r w:rsidR="00AD2172">
        <w:rPr>
          <w:rFonts w:ascii="Arial" w:hAnsi="Arial" w:cs="Arial"/>
        </w:rPr>
        <w:t>)</w:t>
      </w:r>
      <w:r w:rsidRPr="00AD2172">
        <w:rPr>
          <w:rFonts w:ascii="Arial" w:hAnsi="Arial" w:cs="Arial"/>
        </w:rPr>
        <w:t>.</w:t>
      </w:r>
    </w:p>
    <w:p w14:paraId="41CA414C" w14:textId="4CB43BB1" w:rsidR="0089414E" w:rsidRPr="00E26D69" w:rsidRDefault="0089414E" w:rsidP="0089414E">
      <w:pPr>
        <w:spacing w:line="360" w:lineRule="auto"/>
        <w:ind w:left="-142"/>
        <w:rPr>
          <w:rFonts w:ascii="Arial" w:hAnsi="Arial" w:cs="Arial"/>
        </w:rPr>
      </w:pPr>
      <w:r>
        <w:rPr>
          <w:rFonts w:ascii="Arial" w:hAnsi="Arial" w:cs="Arial"/>
        </w:rPr>
        <w:br w:type="page"/>
      </w:r>
    </w:p>
    <w:p w14:paraId="2F18F59C" w14:textId="13C8A8F7" w:rsidR="00E26D69" w:rsidRPr="00F35560" w:rsidRDefault="00E26D69" w:rsidP="004B4494">
      <w:pPr>
        <w:spacing w:line="360" w:lineRule="auto"/>
        <w:ind w:left="-142"/>
        <w:rPr>
          <w:rFonts w:ascii="Arial" w:hAnsi="Arial" w:cs="Arial"/>
          <w:b/>
          <w:bCs/>
        </w:rPr>
      </w:pPr>
      <w:r w:rsidRPr="00F35560">
        <w:rPr>
          <w:rFonts w:ascii="Arial" w:hAnsi="Arial" w:cs="Arial"/>
          <w:b/>
          <w:bCs/>
        </w:rPr>
        <w:lastRenderedPageBreak/>
        <w:t>Research and development expenditure</w:t>
      </w:r>
    </w:p>
    <w:p w14:paraId="6B93240E" w14:textId="231A83E3" w:rsidR="00E26D69" w:rsidRPr="00F35560" w:rsidRDefault="00E26D69" w:rsidP="004B4494">
      <w:pPr>
        <w:spacing w:line="360" w:lineRule="auto"/>
        <w:ind w:left="-142"/>
        <w:rPr>
          <w:rFonts w:ascii="Arial" w:hAnsi="Arial" w:cs="Arial"/>
        </w:rPr>
      </w:pPr>
      <w:r w:rsidRPr="00F35560">
        <w:rPr>
          <w:rFonts w:ascii="Arial" w:hAnsi="Arial" w:cs="Arial"/>
        </w:rPr>
        <w:t>Research and development expenditure is written off to the Statement of Comprehensive Net Expenditure as it is incurred. This pertains to specific commissioning of one</w:t>
      </w:r>
      <w:r w:rsidR="00B20396" w:rsidRPr="00F35560">
        <w:rPr>
          <w:rFonts w:ascii="Arial" w:hAnsi="Arial" w:cs="Arial"/>
        </w:rPr>
        <w:t>-</w:t>
      </w:r>
      <w:r w:rsidRPr="00F35560">
        <w:rPr>
          <w:rFonts w:ascii="Arial" w:hAnsi="Arial" w:cs="Arial"/>
        </w:rPr>
        <w:t>off research projects.</w:t>
      </w:r>
    </w:p>
    <w:p w14:paraId="06DB2ABF" w14:textId="77777777" w:rsidR="00E26D69" w:rsidRPr="00F35560" w:rsidRDefault="00E26D69" w:rsidP="004B4494">
      <w:pPr>
        <w:spacing w:line="360" w:lineRule="auto"/>
        <w:ind w:left="-142"/>
        <w:rPr>
          <w:rFonts w:ascii="Arial" w:hAnsi="Arial" w:cs="Arial"/>
        </w:rPr>
      </w:pPr>
    </w:p>
    <w:p w14:paraId="1F398D91" w14:textId="5ECC8647" w:rsidR="00E26D69" w:rsidRPr="00F35560" w:rsidRDefault="00E26D69" w:rsidP="004B4494">
      <w:pPr>
        <w:spacing w:line="360" w:lineRule="auto"/>
        <w:ind w:left="-142"/>
        <w:rPr>
          <w:rFonts w:ascii="Arial" w:hAnsi="Arial" w:cs="Arial"/>
        </w:rPr>
      </w:pPr>
      <w:r w:rsidRPr="00F35560">
        <w:rPr>
          <w:rFonts w:ascii="Arial" w:hAnsi="Arial" w:cs="Arial"/>
          <w:b/>
          <w:bCs/>
        </w:rPr>
        <w:t>Financial instruments</w:t>
      </w:r>
    </w:p>
    <w:p w14:paraId="7DF8B10A" w14:textId="18E6DE04" w:rsidR="00E26D69" w:rsidRPr="00F35560" w:rsidRDefault="00E26D69" w:rsidP="004B4494">
      <w:pPr>
        <w:spacing w:line="360" w:lineRule="auto"/>
        <w:ind w:left="-142"/>
        <w:rPr>
          <w:rFonts w:ascii="Arial" w:hAnsi="Arial" w:cs="Arial"/>
        </w:rPr>
      </w:pPr>
      <w:r w:rsidRPr="00F35560">
        <w:rPr>
          <w:rFonts w:ascii="Arial" w:hAnsi="Arial" w:cs="Arial"/>
        </w:rPr>
        <w:t xml:space="preserve">SEPA’s financial instruments </w:t>
      </w:r>
      <w:r w:rsidR="004373CE" w:rsidRPr="00F35560">
        <w:rPr>
          <w:rFonts w:ascii="Arial" w:hAnsi="Arial" w:cs="Arial"/>
        </w:rPr>
        <w:t>comprise</w:t>
      </w:r>
      <w:r w:rsidRPr="00F35560">
        <w:rPr>
          <w:rFonts w:ascii="Arial" w:hAnsi="Arial" w:cs="Arial"/>
        </w:rPr>
        <w:t xml:space="preserve"> trade and other receivables, trade and other payables, </w:t>
      </w:r>
      <w:r w:rsidR="00DE65EC" w:rsidRPr="00F35560">
        <w:rPr>
          <w:rFonts w:ascii="Arial" w:hAnsi="Arial" w:cs="Arial"/>
        </w:rPr>
        <w:t xml:space="preserve">and </w:t>
      </w:r>
      <w:r w:rsidRPr="00F35560">
        <w:rPr>
          <w:rFonts w:ascii="Arial" w:hAnsi="Arial" w:cs="Arial"/>
        </w:rPr>
        <w:t xml:space="preserve">cash and </w:t>
      </w:r>
      <w:r w:rsidRPr="00306D1E">
        <w:rPr>
          <w:rFonts w:ascii="Arial" w:hAnsi="Arial" w:cs="Arial"/>
        </w:rPr>
        <w:t xml:space="preserve">liquid </w:t>
      </w:r>
      <w:r w:rsidRPr="00306D1E">
        <w:rPr>
          <w:rFonts w:ascii="Arial" w:hAnsi="Arial" w:cs="Arial"/>
          <w:b/>
          <w:bCs/>
        </w:rPr>
        <w:t>resources</w:t>
      </w:r>
      <w:r w:rsidR="00AA64A8" w:rsidRPr="00306D1E">
        <w:rPr>
          <w:rFonts w:ascii="Arial" w:hAnsi="Arial" w:cs="Arial"/>
          <w:b/>
          <w:bCs/>
        </w:rPr>
        <w:t xml:space="preserve"> (Note 2</w:t>
      </w:r>
      <w:r w:rsidR="00C41DDB" w:rsidRPr="00306D1E">
        <w:rPr>
          <w:rFonts w:ascii="Arial" w:hAnsi="Arial" w:cs="Arial"/>
          <w:b/>
          <w:bCs/>
        </w:rPr>
        <w:t>3</w:t>
      </w:r>
      <w:r w:rsidR="00AA64A8" w:rsidRPr="00306D1E">
        <w:rPr>
          <w:rFonts w:ascii="Arial" w:hAnsi="Arial" w:cs="Arial"/>
          <w:b/>
          <w:bCs/>
        </w:rPr>
        <w:t>)</w:t>
      </w:r>
      <w:r w:rsidRPr="00306D1E">
        <w:rPr>
          <w:rFonts w:ascii="Arial" w:hAnsi="Arial" w:cs="Arial"/>
          <w:b/>
          <w:bCs/>
        </w:rPr>
        <w:t>.</w:t>
      </w:r>
      <w:r w:rsidRPr="00306D1E">
        <w:rPr>
          <w:rFonts w:ascii="Arial" w:hAnsi="Arial" w:cs="Arial"/>
        </w:rPr>
        <w:t xml:space="preserve"> Trade receivables</w:t>
      </w:r>
      <w:r w:rsidRPr="00F35560">
        <w:rPr>
          <w:rFonts w:ascii="Arial" w:hAnsi="Arial" w:cs="Arial"/>
        </w:rPr>
        <w:t xml:space="preserve"> are initially recognised at transaction price, which is assumed to be their fair value. Robust annual reviews are undertaken of all outstanding debtors to determine the likelihood of payment. If it is assessed/known that a debt will not be paid it is written off to the Statement of Comprehensive Net Expenditure. Subsequent recoveries of amounts previously written off are </w:t>
      </w:r>
      <w:r w:rsidR="008B2619">
        <w:rPr>
          <w:rFonts w:ascii="Arial" w:hAnsi="Arial" w:cs="Arial"/>
        </w:rPr>
        <w:t xml:space="preserve">credited </w:t>
      </w:r>
      <w:r w:rsidRPr="00F35560">
        <w:rPr>
          <w:rFonts w:ascii="Arial" w:hAnsi="Arial" w:cs="Arial"/>
        </w:rPr>
        <w:t xml:space="preserve">taken to the Statement of Comprehensive Net Expenditure. </w:t>
      </w:r>
    </w:p>
    <w:p w14:paraId="48ACC3C5" w14:textId="77777777" w:rsidR="00E26D69" w:rsidRPr="00F35560" w:rsidRDefault="00E26D69" w:rsidP="004B4494">
      <w:pPr>
        <w:spacing w:line="360" w:lineRule="auto"/>
        <w:ind w:left="-142"/>
        <w:rPr>
          <w:rFonts w:ascii="Arial" w:hAnsi="Arial" w:cs="Arial"/>
        </w:rPr>
      </w:pPr>
    </w:p>
    <w:p w14:paraId="26DF2F37" w14:textId="77777777" w:rsidR="00E26D69" w:rsidRPr="00F35560" w:rsidRDefault="00E26D69" w:rsidP="004B4494">
      <w:pPr>
        <w:spacing w:line="360" w:lineRule="auto"/>
        <w:ind w:left="-142"/>
        <w:rPr>
          <w:rFonts w:ascii="Arial" w:hAnsi="Arial" w:cs="Arial"/>
        </w:rPr>
      </w:pPr>
      <w:r w:rsidRPr="00F35560">
        <w:rPr>
          <w:rFonts w:ascii="Arial" w:hAnsi="Arial" w:cs="Arial"/>
        </w:rPr>
        <w:t xml:space="preserve">Trade payables are held at cost, which is considered to represent fair value. Any cash is held in accounts with highly rated banks. There is no significant liquidity or credit risk exposure due to the credit controls in place. </w:t>
      </w:r>
    </w:p>
    <w:p w14:paraId="5B2311DE" w14:textId="77777777" w:rsidR="00E26D69" w:rsidRPr="00F35560" w:rsidRDefault="00E26D69" w:rsidP="00E87072">
      <w:pPr>
        <w:spacing w:line="360" w:lineRule="auto"/>
        <w:rPr>
          <w:rFonts w:ascii="Arial" w:hAnsi="Arial" w:cs="Arial"/>
          <w:b/>
        </w:rPr>
      </w:pPr>
    </w:p>
    <w:p w14:paraId="7624782A" w14:textId="0AE40DE3" w:rsidR="00E26D69" w:rsidRPr="00F35560" w:rsidRDefault="00E26D69" w:rsidP="004B4494">
      <w:pPr>
        <w:spacing w:line="360" w:lineRule="auto"/>
        <w:ind w:left="-142"/>
        <w:rPr>
          <w:rFonts w:ascii="Arial" w:hAnsi="Arial" w:cs="Arial"/>
          <w:b/>
          <w:bCs/>
        </w:rPr>
      </w:pPr>
      <w:r w:rsidRPr="00F35560">
        <w:rPr>
          <w:rFonts w:ascii="Arial" w:hAnsi="Arial" w:cs="Arial"/>
          <w:b/>
          <w:bCs/>
        </w:rPr>
        <w:t>Foreign exchange</w:t>
      </w:r>
    </w:p>
    <w:p w14:paraId="7022CE2E" w14:textId="77777777" w:rsidR="00E26D69" w:rsidRPr="00F35560" w:rsidRDefault="00E26D69" w:rsidP="004B4494">
      <w:pPr>
        <w:spacing w:line="360" w:lineRule="auto"/>
        <w:ind w:left="-142"/>
        <w:rPr>
          <w:rFonts w:ascii="Arial" w:hAnsi="Arial" w:cs="Arial"/>
        </w:rPr>
      </w:pPr>
      <w:r w:rsidRPr="00F35560">
        <w:rPr>
          <w:rFonts w:ascii="Arial" w:hAnsi="Arial" w:cs="Arial"/>
        </w:rPr>
        <w:t xml:space="preserve">Transactions that are denominated in a foreign currency are translated into Sterling using the exchange rate applied by the bank when making payment.  </w:t>
      </w:r>
    </w:p>
    <w:p w14:paraId="024C9C59" w14:textId="77777777" w:rsidR="00E26D69" w:rsidRPr="00F35560" w:rsidRDefault="00E26D69" w:rsidP="004B4494">
      <w:pPr>
        <w:spacing w:line="360" w:lineRule="auto"/>
        <w:ind w:left="-142"/>
        <w:rPr>
          <w:rFonts w:ascii="Arial" w:hAnsi="Arial" w:cs="Arial"/>
          <w:b/>
          <w:bCs/>
        </w:rPr>
      </w:pPr>
    </w:p>
    <w:p w14:paraId="10722D16" w14:textId="4BEB2F2F" w:rsidR="00E26D69" w:rsidRPr="00630402" w:rsidRDefault="00E26D69" w:rsidP="004B4494">
      <w:pPr>
        <w:spacing w:line="360" w:lineRule="auto"/>
        <w:ind w:left="-142"/>
        <w:rPr>
          <w:rFonts w:ascii="Arial" w:hAnsi="Arial" w:cs="Arial"/>
          <w:b/>
          <w:bCs/>
        </w:rPr>
      </w:pPr>
      <w:r w:rsidRPr="00F35560">
        <w:rPr>
          <w:rFonts w:ascii="Arial" w:hAnsi="Arial" w:cs="Arial"/>
          <w:b/>
          <w:bCs/>
        </w:rPr>
        <w:t>Notional costs</w:t>
      </w:r>
    </w:p>
    <w:p w14:paraId="1B3489ED" w14:textId="77777777" w:rsidR="00831FC0" w:rsidRDefault="00E26D69" w:rsidP="001D1806">
      <w:pPr>
        <w:spacing w:line="360" w:lineRule="auto"/>
        <w:ind w:left="-142"/>
        <w:rPr>
          <w:rFonts w:ascii="Arial" w:hAnsi="Arial" w:cs="Arial"/>
        </w:rPr>
      </w:pPr>
      <w:r w:rsidRPr="00831FC0">
        <w:rPr>
          <w:rFonts w:ascii="Arial" w:hAnsi="Arial" w:cs="Arial"/>
        </w:rPr>
        <w:t>FReM has removed the need to calculate and account for cost of capital, in the form of interest on capital, from 1 April 2010.  Notional costs of capital are included in the costs recovered under the charging schemes, to reflect the cost of using government funded assets to deliver services. The charge was calculated at 3.5% of the average carrying amount of all assets, including assets in course of construction less trading liabilities, apportioned between charging scheme and non-charging scheme activities.</w:t>
      </w:r>
    </w:p>
    <w:p w14:paraId="18D497B0" w14:textId="09622508" w:rsidR="00E26D69" w:rsidRPr="001D1806" w:rsidRDefault="00E26D69" w:rsidP="001D1806">
      <w:pPr>
        <w:spacing w:line="360" w:lineRule="auto"/>
        <w:ind w:left="-142"/>
        <w:rPr>
          <w:rFonts w:ascii="Arial" w:hAnsi="Arial" w:cs="Arial"/>
        </w:rPr>
      </w:pPr>
    </w:p>
    <w:p w14:paraId="64999B3C" w14:textId="18C1B34F" w:rsidR="00E26D69" w:rsidRPr="00A9250D" w:rsidRDefault="00E26D69" w:rsidP="004B4494">
      <w:pPr>
        <w:spacing w:line="360" w:lineRule="auto"/>
        <w:ind w:left="-142"/>
        <w:rPr>
          <w:rFonts w:ascii="Arial" w:hAnsi="Arial" w:cs="Arial"/>
        </w:rPr>
      </w:pPr>
      <w:r w:rsidRPr="0082438A">
        <w:rPr>
          <w:rFonts w:ascii="Arial" w:hAnsi="Arial" w:cs="Arial"/>
          <w:b/>
        </w:rPr>
        <w:t>Contingent liabilities</w:t>
      </w:r>
    </w:p>
    <w:p w14:paraId="73E52669" w14:textId="6B31CB8D" w:rsidR="00E26D69" w:rsidRPr="00E26D69" w:rsidRDefault="00E26D69" w:rsidP="004B4494">
      <w:pPr>
        <w:spacing w:line="360" w:lineRule="auto"/>
        <w:ind w:left="-142"/>
        <w:rPr>
          <w:rFonts w:ascii="Arial" w:hAnsi="Arial" w:cs="Arial"/>
          <w:bCs/>
        </w:rPr>
      </w:pPr>
      <w:r w:rsidRPr="00E26D69">
        <w:rPr>
          <w:rFonts w:ascii="Arial" w:hAnsi="Arial" w:cs="Arial"/>
          <w:bCs/>
        </w:rPr>
        <w:t xml:space="preserve">SEPA occupies </w:t>
      </w:r>
      <w:r w:rsidR="00E776B2" w:rsidRPr="00E26D69">
        <w:rPr>
          <w:rFonts w:ascii="Arial" w:hAnsi="Arial" w:cs="Arial"/>
          <w:bCs/>
        </w:rPr>
        <w:t>several</w:t>
      </w:r>
      <w:r w:rsidRPr="00E26D69">
        <w:rPr>
          <w:rFonts w:ascii="Arial" w:hAnsi="Arial" w:cs="Arial"/>
          <w:bCs/>
        </w:rPr>
        <w:t xml:space="preserve"> leased properties, which have dilapidation clauses in the leases. We maintain these properties in excellent order. Some properties have a potential liability at the end of the lease to reinstate the internal layout of the building to their original floor plan. A provision is in place for properties where the estimated costs are considered to be significant.  </w:t>
      </w:r>
    </w:p>
    <w:p w14:paraId="38FF6D47" w14:textId="77777777" w:rsidR="00E26D69" w:rsidRPr="00E26D69" w:rsidRDefault="00E26D69" w:rsidP="004B4494">
      <w:pPr>
        <w:spacing w:line="360" w:lineRule="auto"/>
        <w:ind w:left="-142"/>
        <w:rPr>
          <w:rFonts w:ascii="Arial" w:hAnsi="Arial" w:cs="Arial"/>
          <w:bCs/>
        </w:rPr>
      </w:pPr>
    </w:p>
    <w:p w14:paraId="3A0FFC42" w14:textId="40B026E5" w:rsidR="00E26D69" w:rsidRDefault="000E7242" w:rsidP="00C419A2">
      <w:pPr>
        <w:spacing w:line="360" w:lineRule="auto"/>
        <w:ind w:left="-142"/>
        <w:rPr>
          <w:rFonts w:ascii="Arial" w:hAnsi="Arial" w:cs="Arial"/>
          <w:bCs/>
        </w:rPr>
      </w:pPr>
      <w:r w:rsidRPr="00E26D69">
        <w:rPr>
          <w:rFonts w:ascii="Arial" w:hAnsi="Arial" w:cs="Arial"/>
          <w:bCs/>
        </w:rPr>
        <w:lastRenderedPageBreak/>
        <w:t>Most of</w:t>
      </w:r>
      <w:r w:rsidR="00E26D69" w:rsidRPr="00E26D69">
        <w:rPr>
          <w:rFonts w:ascii="Arial" w:hAnsi="Arial" w:cs="Arial"/>
          <w:bCs/>
        </w:rPr>
        <w:t xml:space="preserve"> our gauging stations are on leased sites. When we no longer require these </w:t>
      </w:r>
      <w:r w:rsidR="00213BAA" w:rsidRPr="00E26D69">
        <w:rPr>
          <w:rFonts w:ascii="Arial" w:hAnsi="Arial" w:cs="Arial"/>
          <w:bCs/>
        </w:rPr>
        <w:t>facilities,</w:t>
      </w:r>
      <w:r w:rsidR="00E26D69" w:rsidRPr="00E26D69">
        <w:rPr>
          <w:rFonts w:ascii="Arial" w:hAnsi="Arial" w:cs="Arial"/>
          <w:bCs/>
        </w:rPr>
        <w:t xml:space="preserve"> they </w:t>
      </w:r>
      <w:r w:rsidRPr="00E26D69">
        <w:rPr>
          <w:rFonts w:ascii="Arial" w:hAnsi="Arial" w:cs="Arial"/>
          <w:bCs/>
        </w:rPr>
        <w:t>must</w:t>
      </w:r>
      <w:r w:rsidR="00E26D69" w:rsidRPr="00E26D69">
        <w:rPr>
          <w:rFonts w:ascii="Arial" w:hAnsi="Arial" w:cs="Arial"/>
          <w:bCs/>
        </w:rPr>
        <w:t xml:space="preserve"> be decommissioned, removing the plant, buildings</w:t>
      </w:r>
      <w:r w:rsidR="00B6793C">
        <w:rPr>
          <w:rFonts w:ascii="Arial" w:hAnsi="Arial" w:cs="Arial"/>
          <w:bCs/>
        </w:rPr>
        <w:t>,</w:t>
      </w:r>
      <w:r w:rsidR="00E26D69" w:rsidRPr="00E26D69">
        <w:rPr>
          <w:rFonts w:ascii="Arial" w:hAnsi="Arial" w:cs="Arial"/>
          <w:bCs/>
        </w:rPr>
        <w:t xml:space="preserve"> and restoring the site. The level of these potential future liabilities will be subject to negotiation with individual landlords. </w:t>
      </w:r>
    </w:p>
    <w:p w14:paraId="124D440D" w14:textId="77777777" w:rsidR="00E26D69" w:rsidRPr="00E26D69" w:rsidRDefault="00E26D69" w:rsidP="00C419A2">
      <w:pPr>
        <w:spacing w:line="360" w:lineRule="auto"/>
        <w:rPr>
          <w:rFonts w:ascii="Arial" w:hAnsi="Arial" w:cs="Arial"/>
          <w:bCs/>
        </w:rPr>
      </w:pPr>
    </w:p>
    <w:p w14:paraId="40C3F564" w14:textId="0438A27D" w:rsidR="00E26D69" w:rsidRPr="00E26D69" w:rsidRDefault="00E26D69" w:rsidP="00C419A2">
      <w:pPr>
        <w:spacing w:line="360" w:lineRule="auto"/>
        <w:ind w:left="-142"/>
        <w:rPr>
          <w:rFonts w:ascii="Arial" w:hAnsi="Arial" w:cs="Arial"/>
          <w:b/>
          <w:bCs/>
        </w:rPr>
      </w:pPr>
      <w:r w:rsidRPr="00F35560">
        <w:rPr>
          <w:rFonts w:ascii="Arial" w:hAnsi="Arial" w:cs="Arial"/>
          <w:b/>
          <w:bCs/>
        </w:rPr>
        <w:t>Review of accounting policies</w:t>
      </w:r>
      <w:r w:rsidRPr="00E26D69">
        <w:rPr>
          <w:rFonts w:ascii="Arial" w:hAnsi="Arial" w:cs="Arial"/>
          <w:b/>
          <w:bCs/>
        </w:rPr>
        <w:t xml:space="preserve"> </w:t>
      </w:r>
    </w:p>
    <w:p w14:paraId="1CB74CE2" w14:textId="7F3A391D" w:rsidR="00F96D5D" w:rsidRDefault="00E26D69" w:rsidP="00C419A2">
      <w:pPr>
        <w:spacing w:line="360" w:lineRule="auto"/>
        <w:ind w:left="-142"/>
        <w:rPr>
          <w:rFonts w:ascii="Arial" w:hAnsi="Arial" w:cs="Arial"/>
        </w:rPr>
      </w:pPr>
      <w:r w:rsidRPr="00E26D69">
        <w:rPr>
          <w:rFonts w:ascii="Arial" w:hAnsi="Arial" w:cs="Arial"/>
        </w:rPr>
        <w:t xml:space="preserve">SEPA has reviewed </w:t>
      </w:r>
      <w:r w:rsidR="000E7242" w:rsidRPr="00E26D69">
        <w:rPr>
          <w:rFonts w:ascii="Arial" w:hAnsi="Arial" w:cs="Arial"/>
        </w:rPr>
        <w:t>all</w:t>
      </w:r>
      <w:r w:rsidRPr="00E26D69">
        <w:rPr>
          <w:rFonts w:ascii="Arial" w:hAnsi="Arial" w:cs="Arial"/>
        </w:rPr>
        <w:t xml:space="preserve"> its accounting policies to ensure their continued relevance. </w:t>
      </w:r>
    </w:p>
    <w:p w14:paraId="77AE147A" w14:textId="6C5491C4" w:rsidR="00057F82" w:rsidRDefault="00057F82" w:rsidP="00C419A2">
      <w:pPr>
        <w:spacing w:line="360" w:lineRule="auto"/>
        <w:ind w:left="-142"/>
        <w:rPr>
          <w:rFonts w:ascii="Arial" w:hAnsi="Arial" w:cs="Arial"/>
        </w:rPr>
      </w:pPr>
    </w:p>
    <w:p w14:paraId="0368F961" w14:textId="18B15765" w:rsidR="00057F82" w:rsidRDefault="00057F82" w:rsidP="00C419A2">
      <w:pPr>
        <w:spacing w:line="360" w:lineRule="auto"/>
        <w:ind w:left="-142"/>
        <w:rPr>
          <w:rFonts w:ascii="Arial" w:hAnsi="Arial" w:cs="Arial"/>
          <w:b/>
          <w:bCs/>
        </w:rPr>
      </w:pPr>
      <w:r w:rsidRPr="00057F82">
        <w:rPr>
          <w:rFonts w:ascii="Arial" w:hAnsi="Arial" w:cs="Arial"/>
          <w:b/>
          <w:bCs/>
        </w:rPr>
        <w:t xml:space="preserve">Civil </w:t>
      </w:r>
      <w:r w:rsidR="00283362">
        <w:rPr>
          <w:rFonts w:ascii="Arial" w:hAnsi="Arial" w:cs="Arial"/>
          <w:b/>
          <w:bCs/>
        </w:rPr>
        <w:t>p</w:t>
      </w:r>
      <w:r w:rsidRPr="00057F82">
        <w:rPr>
          <w:rFonts w:ascii="Arial" w:hAnsi="Arial" w:cs="Arial"/>
          <w:b/>
          <w:bCs/>
        </w:rPr>
        <w:t xml:space="preserve">enalties </w:t>
      </w:r>
    </w:p>
    <w:p w14:paraId="7736E30A" w14:textId="5B25059F" w:rsidR="00C67370" w:rsidRPr="00057F82" w:rsidRDefault="00C67370" w:rsidP="00C419A2">
      <w:pPr>
        <w:spacing w:line="360" w:lineRule="auto"/>
        <w:ind w:left="-142"/>
        <w:rPr>
          <w:rFonts w:ascii="Arial" w:hAnsi="Arial" w:cs="Arial"/>
          <w:b/>
          <w:bCs/>
        </w:rPr>
      </w:pPr>
      <w:r>
        <w:rPr>
          <w:rFonts w:ascii="Arial" w:hAnsi="Arial" w:cs="Arial"/>
        </w:rPr>
        <w:t>SEPA raise</w:t>
      </w:r>
      <w:r w:rsidR="00773F96">
        <w:rPr>
          <w:rFonts w:ascii="Arial" w:hAnsi="Arial" w:cs="Arial"/>
        </w:rPr>
        <w:t>s civil penalties on behalf of the</w:t>
      </w:r>
      <w:r>
        <w:rPr>
          <w:rFonts w:ascii="Arial" w:hAnsi="Arial" w:cs="Arial"/>
        </w:rPr>
        <w:t xml:space="preserve"> Scottish Government</w:t>
      </w:r>
      <w:r w:rsidR="00773F96">
        <w:rPr>
          <w:rFonts w:ascii="Arial" w:hAnsi="Arial" w:cs="Arial"/>
        </w:rPr>
        <w:t xml:space="preserve">, </w:t>
      </w:r>
      <w:r w:rsidR="008E22EB">
        <w:rPr>
          <w:rFonts w:ascii="Arial" w:hAnsi="Arial" w:cs="Arial"/>
        </w:rPr>
        <w:t xml:space="preserve">and </w:t>
      </w:r>
      <w:r w:rsidR="00773F96">
        <w:rPr>
          <w:rFonts w:ascii="Arial" w:hAnsi="Arial" w:cs="Arial"/>
        </w:rPr>
        <w:t>o</w:t>
      </w:r>
      <w:r>
        <w:rPr>
          <w:rFonts w:ascii="Arial" w:hAnsi="Arial" w:cs="Arial"/>
        </w:rPr>
        <w:t>n receipt of payment, these funds are transferred to the Scottish Government</w:t>
      </w:r>
      <w:r w:rsidR="00773F96">
        <w:rPr>
          <w:rFonts w:ascii="Arial" w:hAnsi="Arial" w:cs="Arial"/>
        </w:rPr>
        <w:t xml:space="preserve">. </w:t>
      </w:r>
      <w:r w:rsidR="009D11F2">
        <w:rPr>
          <w:rFonts w:ascii="Arial" w:hAnsi="Arial" w:cs="Arial"/>
        </w:rPr>
        <w:t xml:space="preserve">In processing these transactions SEPA creates a </w:t>
      </w:r>
      <w:r w:rsidR="0054476B">
        <w:rPr>
          <w:rFonts w:ascii="Arial" w:hAnsi="Arial" w:cs="Arial"/>
        </w:rPr>
        <w:t>debtor and</w:t>
      </w:r>
      <w:r w:rsidR="000B48F9">
        <w:rPr>
          <w:rFonts w:ascii="Arial" w:hAnsi="Arial" w:cs="Arial"/>
        </w:rPr>
        <w:t xml:space="preserve"> an</w:t>
      </w:r>
      <w:r w:rsidR="0054476B">
        <w:rPr>
          <w:rFonts w:ascii="Arial" w:hAnsi="Arial" w:cs="Arial"/>
        </w:rPr>
        <w:t xml:space="preserve"> offsetting creditor</w:t>
      </w:r>
      <w:r w:rsidR="002B5721">
        <w:rPr>
          <w:rFonts w:ascii="Arial" w:hAnsi="Arial" w:cs="Arial"/>
        </w:rPr>
        <w:t>.</w:t>
      </w:r>
      <w:r w:rsidR="0054476B">
        <w:rPr>
          <w:rFonts w:ascii="Arial" w:hAnsi="Arial" w:cs="Arial"/>
        </w:rPr>
        <w:t xml:space="preserve"> </w:t>
      </w:r>
      <w:r w:rsidR="00EB5D13">
        <w:rPr>
          <w:rFonts w:ascii="Arial" w:hAnsi="Arial" w:cs="Arial"/>
        </w:rPr>
        <w:t xml:space="preserve"> </w:t>
      </w:r>
      <w:r w:rsidR="002B5721">
        <w:rPr>
          <w:rFonts w:ascii="Arial" w:hAnsi="Arial" w:cs="Arial"/>
        </w:rPr>
        <w:t>A</w:t>
      </w:r>
      <w:r w:rsidR="0054476B">
        <w:rPr>
          <w:rFonts w:ascii="Arial" w:hAnsi="Arial" w:cs="Arial"/>
        </w:rPr>
        <w:t>s</w:t>
      </w:r>
      <w:r w:rsidR="00773F96">
        <w:rPr>
          <w:rFonts w:ascii="Arial" w:hAnsi="Arial" w:cs="Arial"/>
        </w:rPr>
        <w:t xml:space="preserve"> at </w:t>
      </w:r>
      <w:r w:rsidR="00AB2EE5">
        <w:rPr>
          <w:rFonts w:ascii="Arial" w:hAnsi="Arial" w:cs="Arial"/>
        </w:rPr>
        <w:t>31 March 2022,</w:t>
      </w:r>
      <w:r w:rsidR="00773F96">
        <w:rPr>
          <w:rFonts w:ascii="Arial" w:hAnsi="Arial" w:cs="Arial"/>
        </w:rPr>
        <w:t xml:space="preserve"> there was an outstanding balance of £12.1m </w:t>
      </w:r>
      <w:r w:rsidR="0054476B">
        <w:rPr>
          <w:rFonts w:ascii="Arial" w:hAnsi="Arial" w:cs="Arial"/>
        </w:rPr>
        <w:t>in</w:t>
      </w:r>
      <w:r w:rsidR="00773F96">
        <w:rPr>
          <w:rFonts w:ascii="Arial" w:hAnsi="Arial" w:cs="Arial"/>
        </w:rPr>
        <w:t xml:space="preserve"> SEPA</w:t>
      </w:r>
      <w:r w:rsidR="0054476B">
        <w:rPr>
          <w:rFonts w:ascii="Arial" w:hAnsi="Arial" w:cs="Arial"/>
        </w:rPr>
        <w:t>’s</w:t>
      </w:r>
      <w:r w:rsidR="00A13DAF">
        <w:rPr>
          <w:rFonts w:ascii="Arial" w:hAnsi="Arial" w:cs="Arial"/>
        </w:rPr>
        <w:t xml:space="preserve"> current assets and liabilitie</w:t>
      </w:r>
      <w:r w:rsidR="000B48F9">
        <w:rPr>
          <w:rFonts w:ascii="Arial" w:hAnsi="Arial" w:cs="Arial"/>
        </w:rPr>
        <w:t>s</w:t>
      </w:r>
      <w:r w:rsidR="007D0301">
        <w:rPr>
          <w:rFonts w:ascii="Arial" w:hAnsi="Arial" w:cs="Arial"/>
        </w:rPr>
        <w:t>.</w:t>
      </w:r>
      <w:r w:rsidR="00A13DAF">
        <w:rPr>
          <w:rFonts w:ascii="Arial" w:hAnsi="Arial" w:cs="Arial"/>
        </w:rPr>
        <w:t xml:space="preserve"> </w:t>
      </w:r>
      <w:r w:rsidR="000B48F9">
        <w:rPr>
          <w:rFonts w:ascii="Arial" w:hAnsi="Arial" w:cs="Arial"/>
        </w:rPr>
        <w:t xml:space="preserve"> H</w:t>
      </w:r>
      <w:r w:rsidR="00A13DAF">
        <w:rPr>
          <w:rFonts w:ascii="Arial" w:hAnsi="Arial" w:cs="Arial"/>
        </w:rPr>
        <w:t>owever</w:t>
      </w:r>
      <w:r w:rsidR="007D0301">
        <w:rPr>
          <w:rFonts w:ascii="Arial" w:hAnsi="Arial" w:cs="Arial"/>
        </w:rPr>
        <w:t>,</w:t>
      </w:r>
      <w:r w:rsidR="00A13DAF">
        <w:rPr>
          <w:rFonts w:ascii="Arial" w:hAnsi="Arial" w:cs="Arial"/>
        </w:rPr>
        <w:t xml:space="preserve"> as SEPA is actin</w:t>
      </w:r>
      <w:r w:rsidR="00773F96">
        <w:rPr>
          <w:rFonts w:ascii="Arial" w:hAnsi="Arial" w:cs="Arial"/>
        </w:rPr>
        <w:t xml:space="preserve">g as an agent </w:t>
      </w:r>
      <w:r w:rsidR="00A13DAF">
        <w:rPr>
          <w:rFonts w:ascii="Arial" w:hAnsi="Arial" w:cs="Arial"/>
        </w:rPr>
        <w:t xml:space="preserve">on behalf of </w:t>
      </w:r>
      <w:r w:rsidR="00773F96">
        <w:rPr>
          <w:rFonts w:ascii="Arial" w:hAnsi="Arial" w:cs="Arial"/>
        </w:rPr>
        <w:t>Scottish Government th</w:t>
      </w:r>
      <w:r w:rsidR="00A13DAF">
        <w:rPr>
          <w:rFonts w:ascii="Arial" w:hAnsi="Arial" w:cs="Arial"/>
        </w:rPr>
        <w:t xml:space="preserve">ese </w:t>
      </w:r>
      <w:r w:rsidR="00773F96">
        <w:rPr>
          <w:rFonts w:ascii="Arial" w:hAnsi="Arial" w:cs="Arial"/>
        </w:rPr>
        <w:t>balance</w:t>
      </w:r>
      <w:r w:rsidR="00A13DAF">
        <w:rPr>
          <w:rFonts w:ascii="Arial" w:hAnsi="Arial" w:cs="Arial"/>
        </w:rPr>
        <w:t xml:space="preserve">s are </w:t>
      </w:r>
      <w:r w:rsidR="00773F96">
        <w:rPr>
          <w:rFonts w:ascii="Arial" w:hAnsi="Arial" w:cs="Arial"/>
        </w:rPr>
        <w:t>not reflected in the accounts</w:t>
      </w:r>
      <w:r w:rsidR="00B4692F">
        <w:rPr>
          <w:rFonts w:ascii="Arial" w:hAnsi="Arial" w:cs="Arial"/>
        </w:rPr>
        <w:t>.</w:t>
      </w:r>
    </w:p>
    <w:p w14:paraId="78F348EA" w14:textId="77777777" w:rsidR="00F96D5D" w:rsidRDefault="00F96D5D" w:rsidP="00C419A2">
      <w:pPr>
        <w:spacing w:line="360" w:lineRule="auto"/>
        <w:ind w:left="-142"/>
        <w:rPr>
          <w:rFonts w:ascii="Arial" w:hAnsi="Arial" w:cs="Arial"/>
        </w:rPr>
      </w:pPr>
    </w:p>
    <w:p w14:paraId="69CC57E5" w14:textId="109420FB" w:rsidR="00F96D5D" w:rsidRDefault="0022395D" w:rsidP="00C419A2">
      <w:pPr>
        <w:spacing w:line="360" w:lineRule="auto"/>
        <w:ind w:left="-142"/>
        <w:rPr>
          <w:rFonts w:ascii="Arial" w:hAnsi="Arial" w:cs="Arial"/>
        </w:rPr>
      </w:pPr>
      <w:r w:rsidRPr="00C16BAA">
        <w:rPr>
          <w:rFonts w:ascii="Arial" w:hAnsi="Arial" w:cs="Arial"/>
          <w:b/>
          <w:bCs/>
        </w:rPr>
        <w:t xml:space="preserve">Judgements </w:t>
      </w:r>
      <w:r w:rsidR="00F96D5D" w:rsidRPr="00C16BAA">
        <w:rPr>
          <w:rFonts w:ascii="Arial" w:hAnsi="Arial" w:cs="Arial"/>
          <w:b/>
          <w:bCs/>
        </w:rPr>
        <w:t>and estimat</w:t>
      </w:r>
      <w:r w:rsidR="00D823A2" w:rsidRPr="00C16BAA">
        <w:rPr>
          <w:rFonts w:ascii="Arial" w:hAnsi="Arial" w:cs="Arial"/>
          <w:b/>
          <w:bCs/>
        </w:rPr>
        <w:t>es</w:t>
      </w:r>
      <w:r w:rsidR="00F96D5D" w:rsidRPr="00E26D69">
        <w:rPr>
          <w:rFonts w:ascii="Arial" w:hAnsi="Arial" w:cs="Arial"/>
          <w:b/>
          <w:bCs/>
        </w:rPr>
        <w:t xml:space="preserve"> </w:t>
      </w:r>
    </w:p>
    <w:p w14:paraId="233EE0D2" w14:textId="21585A0B" w:rsidR="0022395D" w:rsidRDefault="00E26D69" w:rsidP="00C419A2">
      <w:pPr>
        <w:spacing w:line="360" w:lineRule="auto"/>
        <w:ind w:left="-142"/>
        <w:rPr>
          <w:rFonts w:ascii="Arial" w:hAnsi="Arial" w:cs="Arial"/>
        </w:rPr>
      </w:pPr>
      <w:r w:rsidRPr="00E26D69">
        <w:rPr>
          <w:rFonts w:ascii="Arial" w:hAnsi="Arial" w:cs="Arial"/>
        </w:rPr>
        <w:t xml:space="preserve">There are </w:t>
      </w:r>
      <w:r w:rsidR="000E7242" w:rsidRPr="00E26D69">
        <w:rPr>
          <w:rFonts w:ascii="Arial" w:hAnsi="Arial" w:cs="Arial"/>
        </w:rPr>
        <w:t>several</w:t>
      </w:r>
      <w:r w:rsidRPr="00E26D69">
        <w:rPr>
          <w:rFonts w:ascii="Arial" w:hAnsi="Arial" w:cs="Arial"/>
        </w:rPr>
        <w:t xml:space="preserve"> areas where judgement</w:t>
      </w:r>
      <w:r w:rsidR="0022395D">
        <w:rPr>
          <w:rFonts w:ascii="Arial" w:hAnsi="Arial" w:cs="Arial"/>
        </w:rPr>
        <w:t xml:space="preserve">s and </w:t>
      </w:r>
      <w:r w:rsidR="00765FEC">
        <w:rPr>
          <w:rFonts w:ascii="Arial" w:hAnsi="Arial" w:cs="Arial"/>
        </w:rPr>
        <w:t>estimates are</w:t>
      </w:r>
      <w:r w:rsidRPr="00E26D69">
        <w:rPr>
          <w:rFonts w:ascii="Arial" w:hAnsi="Arial" w:cs="Arial"/>
        </w:rPr>
        <w:t xml:space="preserve"> made </w:t>
      </w:r>
      <w:r w:rsidR="00B6793C">
        <w:rPr>
          <w:rFonts w:ascii="Arial" w:hAnsi="Arial" w:cs="Arial"/>
        </w:rPr>
        <w:t>o</w:t>
      </w:r>
      <w:r w:rsidRPr="00E26D69">
        <w:rPr>
          <w:rFonts w:ascii="Arial" w:hAnsi="Arial" w:cs="Arial"/>
        </w:rPr>
        <w:t xml:space="preserve">n how the accounting policies outlined above are applied. </w:t>
      </w:r>
    </w:p>
    <w:p w14:paraId="55830BC5" w14:textId="77777777" w:rsidR="00DD5486" w:rsidRDefault="00DD5486" w:rsidP="00C419A2">
      <w:pPr>
        <w:spacing w:line="360" w:lineRule="auto"/>
        <w:ind w:left="-142"/>
        <w:rPr>
          <w:rFonts w:ascii="Arial" w:hAnsi="Arial" w:cs="Arial"/>
        </w:rPr>
      </w:pPr>
    </w:p>
    <w:p w14:paraId="1398D7A4" w14:textId="69E7D49D" w:rsidR="00FD68E0" w:rsidRDefault="008B5A0E" w:rsidP="00C419A2">
      <w:pPr>
        <w:spacing w:line="360" w:lineRule="auto"/>
        <w:ind w:left="-142"/>
        <w:rPr>
          <w:rFonts w:ascii="Arial" w:hAnsi="Arial" w:cs="Arial"/>
        </w:rPr>
      </w:pPr>
      <w:r>
        <w:rPr>
          <w:rFonts w:ascii="Arial" w:hAnsi="Arial" w:cs="Arial"/>
        </w:rPr>
        <w:t xml:space="preserve">A </w:t>
      </w:r>
      <w:r w:rsidR="00765FEC">
        <w:rPr>
          <w:rFonts w:ascii="Arial" w:hAnsi="Arial" w:cs="Arial"/>
        </w:rPr>
        <w:t>judgement</w:t>
      </w:r>
      <w:r w:rsidR="00194375" w:rsidRPr="00765FEC">
        <w:rPr>
          <w:rFonts w:ascii="Arial" w:hAnsi="Arial" w:cs="Arial"/>
        </w:rPr>
        <w:t xml:space="preserve"> is</w:t>
      </w:r>
      <w:r w:rsidR="005A60CE" w:rsidRPr="00765FEC">
        <w:rPr>
          <w:rFonts w:ascii="Arial" w:hAnsi="Arial" w:cs="Arial"/>
        </w:rPr>
        <w:t xml:space="preserve"> </w:t>
      </w:r>
      <w:r w:rsidR="00194375" w:rsidRPr="00CA1C3C">
        <w:rPr>
          <w:rFonts w:ascii="Arial" w:hAnsi="Arial" w:cs="Arial"/>
        </w:rPr>
        <w:t>made with the best information available at the time</w:t>
      </w:r>
      <w:r w:rsidR="00A96BDF" w:rsidRPr="00765FEC">
        <w:rPr>
          <w:rFonts w:ascii="Arial" w:hAnsi="Arial" w:cs="Arial"/>
        </w:rPr>
        <w:t>, considering</w:t>
      </w:r>
      <w:r w:rsidR="00996B69" w:rsidRPr="00765FEC">
        <w:rPr>
          <w:rFonts w:ascii="Arial" w:hAnsi="Arial" w:cs="Arial"/>
        </w:rPr>
        <w:t xml:space="preserve"> </w:t>
      </w:r>
      <w:r w:rsidR="002E69E1" w:rsidRPr="00765FEC">
        <w:rPr>
          <w:rFonts w:ascii="Arial" w:hAnsi="Arial" w:cs="Arial"/>
        </w:rPr>
        <w:t>the likely future outcomes</w:t>
      </w:r>
      <w:r w:rsidR="001A6346" w:rsidRPr="00765FEC">
        <w:rPr>
          <w:rFonts w:ascii="Arial" w:hAnsi="Arial" w:cs="Arial"/>
        </w:rPr>
        <w:t xml:space="preserve">. </w:t>
      </w:r>
      <w:r w:rsidR="00FD68E0" w:rsidRPr="00765FEC">
        <w:rPr>
          <w:rFonts w:ascii="Arial" w:hAnsi="Arial" w:cs="Arial"/>
        </w:rPr>
        <w:t>Judgements involve a ‘yes or no’ decision which can be supported by the weight of factors that support one answer over the next.</w:t>
      </w:r>
    </w:p>
    <w:p w14:paraId="7DD4773A" w14:textId="77777777" w:rsidR="00FE3C13" w:rsidRPr="00765FEC" w:rsidRDefault="00FE3C13" w:rsidP="00C419A2">
      <w:pPr>
        <w:spacing w:line="360" w:lineRule="auto"/>
        <w:ind w:left="-142"/>
        <w:rPr>
          <w:rFonts w:ascii="Arial" w:hAnsi="Arial" w:cs="Arial"/>
        </w:rPr>
      </w:pPr>
    </w:p>
    <w:p w14:paraId="56569148" w14:textId="3D620877" w:rsidR="00100604" w:rsidRDefault="00F733EA" w:rsidP="00C419A2">
      <w:pPr>
        <w:shd w:val="clear" w:color="auto" w:fill="FFFFFF"/>
        <w:spacing w:line="360" w:lineRule="auto"/>
        <w:ind w:left="-142"/>
        <w:textAlignment w:val="baseline"/>
        <w:rPr>
          <w:rFonts w:ascii="Arial" w:hAnsi="Arial" w:cs="Arial"/>
        </w:rPr>
      </w:pPr>
      <w:r w:rsidRPr="00765FEC">
        <w:rPr>
          <w:rFonts w:ascii="Arial" w:hAnsi="Arial" w:cs="Arial"/>
        </w:rPr>
        <w:t>The material judgement</w:t>
      </w:r>
      <w:r w:rsidR="00415CCB" w:rsidRPr="00765FEC">
        <w:rPr>
          <w:rFonts w:ascii="Arial" w:hAnsi="Arial" w:cs="Arial"/>
        </w:rPr>
        <w:t>s</w:t>
      </w:r>
      <w:r w:rsidRPr="00765FEC">
        <w:rPr>
          <w:rFonts w:ascii="Arial" w:hAnsi="Arial" w:cs="Arial"/>
        </w:rPr>
        <w:t xml:space="preserve"> applied in pr</w:t>
      </w:r>
      <w:r w:rsidR="00953A33" w:rsidRPr="00765FEC">
        <w:rPr>
          <w:rFonts w:ascii="Arial" w:hAnsi="Arial" w:cs="Arial"/>
        </w:rPr>
        <w:t>epa</w:t>
      </w:r>
      <w:r w:rsidRPr="00765FEC">
        <w:rPr>
          <w:rFonts w:ascii="Arial" w:hAnsi="Arial" w:cs="Arial"/>
        </w:rPr>
        <w:t>ring th</w:t>
      </w:r>
      <w:r w:rsidR="00953A33" w:rsidRPr="00765FEC">
        <w:rPr>
          <w:rFonts w:ascii="Arial" w:hAnsi="Arial" w:cs="Arial"/>
        </w:rPr>
        <w:t>e</w:t>
      </w:r>
      <w:r w:rsidRPr="00765FEC">
        <w:rPr>
          <w:rFonts w:ascii="Arial" w:hAnsi="Arial" w:cs="Arial"/>
        </w:rPr>
        <w:t>s</w:t>
      </w:r>
      <w:r w:rsidR="00953A33" w:rsidRPr="00765FEC">
        <w:rPr>
          <w:rFonts w:ascii="Arial" w:hAnsi="Arial" w:cs="Arial"/>
        </w:rPr>
        <w:t>e</w:t>
      </w:r>
      <w:r w:rsidRPr="00765FEC">
        <w:rPr>
          <w:rFonts w:ascii="Arial" w:hAnsi="Arial" w:cs="Arial"/>
        </w:rPr>
        <w:t xml:space="preserve"> </w:t>
      </w:r>
      <w:r w:rsidR="00953A33" w:rsidRPr="00765FEC">
        <w:rPr>
          <w:rFonts w:ascii="Arial" w:hAnsi="Arial" w:cs="Arial"/>
        </w:rPr>
        <w:t xml:space="preserve">accounts </w:t>
      </w:r>
      <w:r w:rsidR="00CD3703">
        <w:rPr>
          <w:rFonts w:ascii="Arial" w:hAnsi="Arial" w:cs="Arial"/>
        </w:rPr>
        <w:t>were</w:t>
      </w:r>
      <w:r w:rsidR="00765FEC">
        <w:rPr>
          <w:rFonts w:ascii="Arial" w:hAnsi="Arial" w:cs="Arial"/>
        </w:rPr>
        <w:t>:</w:t>
      </w:r>
    </w:p>
    <w:p w14:paraId="1C94780A" w14:textId="77777777" w:rsidR="00FE3C13" w:rsidRPr="00765FEC" w:rsidRDefault="00FE3C13" w:rsidP="00C419A2">
      <w:pPr>
        <w:shd w:val="clear" w:color="auto" w:fill="FFFFFF"/>
        <w:spacing w:line="360" w:lineRule="auto"/>
        <w:textAlignment w:val="baseline"/>
        <w:rPr>
          <w:rFonts w:ascii="Arial" w:hAnsi="Arial" w:cs="Arial"/>
        </w:rPr>
      </w:pPr>
    </w:p>
    <w:p w14:paraId="75AF94E7" w14:textId="49DA2B8D" w:rsidR="00452259" w:rsidRDefault="00937ECF" w:rsidP="00C419A2">
      <w:pPr>
        <w:numPr>
          <w:ilvl w:val="0"/>
          <w:numId w:val="32"/>
        </w:numPr>
        <w:spacing w:line="360" w:lineRule="auto"/>
        <w:rPr>
          <w:rFonts w:ascii="Arial" w:hAnsi="Arial" w:cs="Arial"/>
        </w:rPr>
      </w:pPr>
      <w:r>
        <w:rPr>
          <w:rFonts w:ascii="Arial" w:hAnsi="Arial" w:cs="Arial"/>
        </w:rPr>
        <w:t xml:space="preserve">Attention is drawn to </w:t>
      </w:r>
      <w:hyperlink w:anchor="Note11Tradeandotherreceivables" w:history="1">
        <w:r w:rsidR="00A01D7F" w:rsidRPr="00A01D7F">
          <w:rPr>
            <w:rStyle w:val="Hyperlink"/>
            <w:rFonts w:ascii="Arial" w:hAnsi="Arial" w:cs="Arial"/>
          </w:rPr>
          <w:t>n</w:t>
        </w:r>
        <w:r w:rsidRPr="00A01D7F">
          <w:rPr>
            <w:rStyle w:val="Hyperlink"/>
            <w:rFonts w:ascii="Arial" w:hAnsi="Arial" w:cs="Arial"/>
          </w:rPr>
          <w:t>ote 11</w:t>
        </w:r>
      </w:hyperlink>
      <w:r>
        <w:rPr>
          <w:rFonts w:ascii="Arial" w:hAnsi="Arial" w:cs="Arial"/>
        </w:rPr>
        <w:t>;</w:t>
      </w:r>
      <w:r w:rsidR="000845C9">
        <w:rPr>
          <w:rFonts w:ascii="Arial" w:hAnsi="Arial" w:cs="Arial"/>
        </w:rPr>
        <w:t xml:space="preserve"> f</w:t>
      </w:r>
      <w:r w:rsidR="00F71204">
        <w:rPr>
          <w:rFonts w:ascii="Arial" w:hAnsi="Arial" w:cs="Arial"/>
        </w:rPr>
        <w:t xml:space="preserve">ollowing the cyber-attack in December 2020 </w:t>
      </w:r>
      <w:r w:rsidR="00ED7612">
        <w:rPr>
          <w:rFonts w:ascii="Arial" w:hAnsi="Arial" w:cs="Arial"/>
        </w:rPr>
        <w:t>and the recreation of the 20</w:t>
      </w:r>
      <w:r w:rsidR="00A01D7F">
        <w:rPr>
          <w:rFonts w:ascii="Arial" w:hAnsi="Arial" w:cs="Arial"/>
        </w:rPr>
        <w:t>20/</w:t>
      </w:r>
      <w:r w:rsidR="00ED7612">
        <w:rPr>
          <w:rFonts w:ascii="Arial" w:hAnsi="Arial" w:cs="Arial"/>
        </w:rPr>
        <w:t>21 financial record</w:t>
      </w:r>
      <w:r w:rsidR="00A01D7F">
        <w:rPr>
          <w:rFonts w:ascii="Arial" w:hAnsi="Arial" w:cs="Arial"/>
        </w:rPr>
        <w:t>s,</w:t>
      </w:r>
      <w:r w:rsidR="00ED7612">
        <w:rPr>
          <w:rFonts w:ascii="Arial" w:hAnsi="Arial" w:cs="Arial"/>
        </w:rPr>
        <w:t xml:space="preserve"> the net outstanding</w:t>
      </w:r>
      <w:r w:rsidR="007E7410">
        <w:rPr>
          <w:rFonts w:ascii="Arial" w:hAnsi="Arial" w:cs="Arial"/>
        </w:rPr>
        <w:t xml:space="preserve"> debtors</w:t>
      </w:r>
      <w:r w:rsidR="00860964" w:rsidRPr="00860964">
        <w:rPr>
          <w:rFonts w:ascii="Arial" w:hAnsi="Arial" w:cs="Arial"/>
        </w:rPr>
        <w:t xml:space="preserve"> </w:t>
      </w:r>
      <w:r w:rsidR="00860964" w:rsidRPr="00100604">
        <w:rPr>
          <w:rFonts w:ascii="Arial" w:hAnsi="Arial" w:cs="Arial"/>
        </w:rPr>
        <w:t xml:space="preserve">balance </w:t>
      </w:r>
      <w:r w:rsidR="00860964">
        <w:rPr>
          <w:rFonts w:ascii="Arial" w:hAnsi="Arial" w:cs="Arial"/>
        </w:rPr>
        <w:t>at 31 March 2021</w:t>
      </w:r>
      <w:r w:rsidR="006678F0">
        <w:rPr>
          <w:rFonts w:ascii="Arial" w:hAnsi="Arial" w:cs="Arial"/>
        </w:rPr>
        <w:t xml:space="preserve"> was estimated </w:t>
      </w:r>
      <w:r w:rsidR="00042088">
        <w:rPr>
          <w:rFonts w:ascii="Arial" w:hAnsi="Arial" w:cs="Arial"/>
        </w:rPr>
        <w:t>based on a</w:t>
      </w:r>
      <w:r w:rsidR="00F8020B">
        <w:rPr>
          <w:rFonts w:ascii="Arial" w:hAnsi="Arial" w:cs="Arial"/>
        </w:rPr>
        <w:t xml:space="preserve"> recovered outstanding debtors report as at November 2021</w:t>
      </w:r>
      <w:r w:rsidR="008D1392">
        <w:rPr>
          <w:rFonts w:ascii="Arial" w:hAnsi="Arial" w:cs="Arial"/>
        </w:rPr>
        <w:t xml:space="preserve"> </w:t>
      </w:r>
      <w:r w:rsidR="00923111">
        <w:rPr>
          <w:rFonts w:ascii="Arial" w:hAnsi="Arial" w:cs="Arial"/>
        </w:rPr>
        <w:t xml:space="preserve">offset by cash received through the bank from customers from </w:t>
      </w:r>
      <w:r w:rsidR="00884D5F">
        <w:rPr>
          <w:rFonts w:ascii="Arial" w:hAnsi="Arial" w:cs="Arial"/>
        </w:rPr>
        <w:t>December</w:t>
      </w:r>
      <w:r w:rsidR="008D1392">
        <w:rPr>
          <w:rFonts w:ascii="Arial" w:hAnsi="Arial" w:cs="Arial"/>
        </w:rPr>
        <w:t xml:space="preserve"> 2021</w:t>
      </w:r>
      <w:r w:rsidR="00884D5F">
        <w:rPr>
          <w:rFonts w:ascii="Arial" w:hAnsi="Arial" w:cs="Arial"/>
        </w:rPr>
        <w:t xml:space="preserve"> to March 2022.  </w:t>
      </w:r>
      <w:r w:rsidR="00992EFA">
        <w:rPr>
          <w:rFonts w:ascii="Arial" w:hAnsi="Arial" w:cs="Arial"/>
        </w:rPr>
        <w:t xml:space="preserve">In </w:t>
      </w:r>
      <w:r w:rsidR="00A01D7F">
        <w:rPr>
          <w:rFonts w:ascii="Arial" w:hAnsi="Arial" w:cs="Arial"/>
        </w:rPr>
        <w:t>20</w:t>
      </w:r>
      <w:r w:rsidR="00992EFA">
        <w:rPr>
          <w:rFonts w:ascii="Arial" w:hAnsi="Arial" w:cs="Arial"/>
        </w:rPr>
        <w:t>21</w:t>
      </w:r>
      <w:r w:rsidR="00A01D7F">
        <w:rPr>
          <w:rFonts w:ascii="Arial" w:hAnsi="Arial" w:cs="Arial"/>
        </w:rPr>
        <w:t>/</w:t>
      </w:r>
      <w:r w:rsidR="00992EFA">
        <w:rPr>
          <w:rFonts w:ascii="Arial" w:hAnsi="Arial" w:cs="Arial"/>
        </w:rPr>
        <w:t xml:space="preserve">22 we issued customer statements </w:t>
      </w:r>
      <w:r w:rsidR="00580556">
        <w:rPr>
          <w:rFonts w:ascii="Arial" w:hAnsi="Arial" w:cs="Arial"/>
        </w:rPr>
        <w:t xml:space="preserve">outlining </w:t>
      </w:r>
      <w:r w:rsidR="00301EA5">
        <w:rPr>
          <w:rFonts w:ascii="Arial" w:hAnsi="Arial" w:cs="Arial"/>
        </w:rPr>
        <w:t xml:space="preserve">their </w:t>
      </w:r>
      <w:r w:rsidR="006720A0">
        <w:rPr>
          <w:rFonts w:ascii="Arial" w:hAnsi="Arial" w:cs="Arial"/>
        </w:rPr>
        <w:t xml:space="preserve">outstanding balance </w:t>
      </w:r>
      <w:r w:rsidR="00301EA5">
        <w:rPr>
          <w:rFonts w:ascii="Arial" w:hAnsi="Arial" w:cs="Arial"/>
        </w:rPr>
        <w:t xml:space="preserve">as per our records.  </w:t>
      </w:r>
      <w:r w:rsidR="00BC79E7">
        <w:rPr>
          <w:rFonts w:ascii="Arial" w:hAnsi="Arial" w:cs="Arial"/>
        </w:rPr>
        <w:t xml:space="preserve">We continue to work through </w:t>
      </w:r>
      <w:r w:rsidR="00DD1CCA">
        <w:rPr>
          <w:rFonts w:ascii="Arial" w:hAnsi="Arial" w:cs="Arial"/>
        </w:rPr>
        <w:t>customer queries</w:t>
      </w:r>
      <w:r w:rsidR="003F1871">
        <w:rPr>
          <w:rFonts w:ascii="Arial" w:hAnsi="Arial" w:cs="Arial"/>
        </w:rPr>
        <w:t>, correcting balances where appropriate</w:t>
      </w:r>
      <w:r w:rsidR="001408FA">
        <w:rPr>
          <w:rFonts w:ascii="Arial" w:hAnsi="Arial" w:cs="Arial"/>
        </w:rPr>
        <w:t>.</w:t>
      </w:r>
      <w:r w:rsidR="00107A06">
        <w:rPr>
          <w:rFonts w:ascii="Arial" w:hAnsi="Arial" w:cs="Arial"/>
        </w:rPr>
        <w:t xml:space="preserve">  </w:t>
      </w:r>
      <w:r w:rsidR="00DA55C9">
        <w:rPr>
          <w:rFonts w:ascii="Arial" w:hAnsi="Arial" w:cs="Arial"/>
        </w:rPr>
        <w:t xml:space="preserve">As we made a provision for all outstanding debt as at March 2021, this also impacts on our </w:t>
      </w:r>
      <w:r w:rsidR="00930A25">
        <w:rPr>
          <w:rFonts w:ascii="Arial" w:hAnsi="Arial" w:cs="Arial"/>
        </w:rPr>
        <w:t xml:space="preserve">bad debt </w:t>
      </w:r>
      <w:r w:rsidR="0013674A">
        <w:rPr>
          <w:rFonts w:ascii="Arial" w:hAnsi="Arial" w:cs="Arial"/>
        </w:rPr>
        <w:t>p</w:t>
      </w:r>
      <w:r w:rsidR="00930A25">
        <w:rPr>
          <w:rFonts w:ascii="Arial" w:hAnsi="Arial" w:cs="Arial"/>
        </w:rPr>
        <w:t>rovis</w:t>
      </w:r>
      <w:r w:rsidR="0013674A">
        <w:rPr>
          <w:rFonts w:ascii="Arial" w:hAnsi="Arial" w:cs="Arial"/>
        </w:rPr>
        <w:t>ion.</w:t>
      </w:r>
    </w:p>
    <w:p w14:paraId="44D93BE3" w14:textId="7165D87A" w:rsidR="0022395D" w:rsidRPr="00765FEC" w:rsidRDefault="0022395D" w:rsidP="00C419A2">
      <w:pPr>
        <w:spacing w:line="360" w:lineRule="auto"/>
        <w:ind w:left="-142"/>
        <w:rPr>
          <w:rFonts w:ascii="Arial" w:hAnsi="Arial" w:cs="Arial"/>
        </w:rPr>
      </w:pPr>
    </w:p>
    <w:p w14:paraId="21CF5AC3" w14:textId="2D2F27C1" w:rsidR="00327659" w:rsidRPr="00765FEC" w:rsidRDefault="00C450A3" w:rsidP="00C419A2">
      <w:pPr>
        <w:spacing w:line="360" w:lineRule="auto"/>
        <w:ind w:left="-142"/>
        <w:rPr>
          <w:rFonts w:ascii="Arial" w:hAnsi="Arial" w:cs="Arial"/>
        </w:rPr>
      </w:pPr>
      <w:r w:rsidRPr="00765FEC">
        <w:rPr>
          <w:rFonts w:ascii="Arial" w:hAnsi="Arial" w:cs="Arial"/>
        </w:rPr>
        <w:t>An e</w:t>
      </w:r>
      <w:r w:rsidR="00327659" w:rsidRPr="00765FEC">
        <w:rPr>
          <w:rFonts w:ascii="Arial" w:hAnsi="Arial" w:cs="Arial"/>
        </w:rPr>
        <w:t>stimate usually involve</w:t>
      </w:r>
      <w:r w:rsidRPr="00765FEC">
        <w:rPr>
          <w:rFonts w:ascii="Arial" w:hAnsi="Arial" w:cs="Arial"/>
        </w:rPr>
        <w:t>s</w:t>
      </w:r>
      <w:r w:rsidR="00327659" w:rsidRPr="00765FEC">
        <w:rPr>
          <w:rFonts w:ascii="Arial" w:hAnsi="Arial" w:cs="Arial"/>
        </w:rPr>
        <w:t xml:space="preserve"> a subjective measurement and a range of reasonable outcomes. </w:t>
      </w:r>
    </w:p>
    <w:p w14:paraId="71CC3082" w14:textId="3F5449E6" w:rsidR="001B3496" w:rsidRDefault="001B3496" w:rsidP="00C419A2">
      <w:pPr>
        <w:spacing w:line="360" w:lineRule="auto"/>
        <w:ind w:left="-142"/>
        <w:rPr>
          <w:rFonts w:ascii="Arial" w:hAnsi="Arial" w:cs="Arial"/>
        </w:rPr>
      </w:pPr>
      <w:r w:rsidRPr="00765FEC">
        <w:rPr>
          <w:rFonts w:ascii="Arial" w:hAnsi="Arial" w:cs="Arial"/>
        </w:rPr>
        <w:lastRenderedPageBreak/>
        <w:t xml:space="preserve">Although these estimates and associated assumptions are based on historical experience and </w:t>
      </w:r>
      <w:r w:rsidR="00765FEC">
        <w:rPr>
          <w:rFonts w:ascii="Arial" w:hAnsi="Arial" w:cs="Arial"/>
        </w:rPr>
        <w:t>our</w:t>
      </w:r>
      <w:r w:rsidRPr="00765FEC">
        <w:rPr>
          <w:rFonts w:ascii="Arial" w:hAnsi="Arial" w:cs="Arial"/>
        </w:rPr>
        <w:t xml:space="preserve"> best knowledge of current events and actions, the actual results may ultimately differ from those estimates.</w:t>
      </w:r>
    </w:p>
    <w:p w14:paraId="6A8D1C0F" w14:textId="77777777" w:rsidR="00765FEC" w:rsidRDefault="00765FEC" w:rsidP="00765FEC">
      <w:pPr>
        <w:spacing w:line="360" w:lineRule="auto"/>
        <w:ind w:left="-142"/>
        <w:rPr>
          <w:rFonts w:ascii="Arial" w:hAnsi="Arial" w:cs="Arial"/>
        </w:rPr>
      </w:pPr>
    </w:p>
    <w:p w14:paraId="38A9D512" w14:textId="6797FD5F" w:rsidR="00E26D69" w:rsidRDefault="00C450A3" w:rsidP="00765FEC">
      <w:pPr>
        <w:spacing w:line="360" w:lineRule="auto"/>
        <w:ind w:left="-142"/>
        <w:rPr>
          <w:rFonts w:ascii="Arial" w:hAnsi="Arial" w:cs="Arial"/>
        </w:rPr>
      </w:pPr>
      <w:r>
        <w:rPr>
          <w:rFonts w:ascii="Arial" w:hAnsi="Arial" w:cs="Arial"/>
        </w:rPr>
        <w:t>The material estimates used to prepare SEPAs accounts</w:t>
      </w:r>
      <w:r w:rsidR="00E26D69" w:rsidRPr="00E26D69">
        <w:rPr>
          <w:rFonts w:ascii="Arial" w:hAnsi="Arial" w:cs="Arial"/>
        </w:rPr>
        <w:t xml:space="preserve"> relate to:</w:t>
      </w:r>
    </w:p>
    <w:p w14:paraId="6D81D791" w14:textId="77777777" w:rsidR="00596645" w:rsidRPr="00E26D69" w:rsidRDefault="00596645" w:rsidP="00765FEC">
      <w:pPr>
        <w:spacing w:line="360" w:lineRule="auto"/>
        <w:ind w:left="-142"/>
        <w:rPr>
          <w:rFonts w:ascii="Arial" w:hAnsi="Arial" w:cs="Arial"/>
        </w:rPr>
      </w:pPr>
    </w:p>
    <w:p w14:paraId="076AA7B3" w14:textId="178E1929" w:rsidR="00E26D69" w:rsidRDefault="00B6793C" w:rsidP="00802A98">
      <w:pPr>
        <w:numPr>
          <w:ilvl w:val="0"/>
          <w:numId w:val="32"/>
        </w:numPr>
        <w:spacing w:line="360" w:lineRule="auto"/>
        <w:rPr>
          <w:rFonts w:ascii="Arial" w:hAnsi="Arial" w:cs="Arial"/>
        </w:rPr>
      </w:pPr>
      <w:r w:rsidRPr="00FD23B6">
        <w:rPr>
          <w:rFonts w:ascii="Arial" w:hAnsi="Arial" w:cs="Arial"/>
        </w:rPr>
        <w:t>V</w:t>
      </w:r>
      <w:r w:rsidR="00E26D69" w:rsidRPr="00FD23B6">
        <w:rPr>
          <w:rFonts w:ascii="Arial" w:hAnsi="Arial" w:cs="Arial"/>
        </w:rPr>
        <w:t>aluation of specialised buildings (</w:t>
      </w:r>
      <w:hyperlink w:anchor="Note9noncurrentassets" w:history="1">
        <w:r w:rsidR="00E26D69" w:rsidRPr="00A01D7F">
          <w:rPr>
            <w:rStyle w:val="Hyperlink"/>
            <w:rFonts w:ascii="Arial" w:hAnsi="Arial" w:cs="Arial"/>
          </w:rPr>
          <w:t>note 9</w:t>
        </w:r>
      </w:hyperlink>
      <w:r w:rsidR="00E26D69" w:rsidRPr="00FD23B6">
        <w:rPr>
          <w:rFonts w:ascii="Arial" w:hAnsi="Arial" w:cs="Arial"/>
        </w:rPr>
        <w:t>)</w:t>
      </w:r>
      <w:r w:rsidR="00596645">
        <w:rPr>
          <w:rFonts w:ascii="Arial" w:hAnsi="Arial" w:cs="Arial"/>
        </w:rPr>
        <w:t xml:space="preserve"> - </w:t>
      </w:r>
      <w:r w:rsidR="000845C9">
        <w:rPr>
          <w:rFonts w:ascii="Arial" w:hAnsi="Arial" w:cs="Arial"/>
        </w:rPr>
        <w:t>f</w:t>
      </w:r>
      <w:r w:rsidR="00062076" w:rsidRPr="00C43F6C">
        <w:rPr>
          <w:rFonts w:ascii="Arial" w:hAnsi="Arial" w:cs="Arial"/>
        </w:rPr>
        <w:t>or specialised properties</w:t>
      </w:r>
      <w:r w:rsidR="00062076">
        <w:rPr>
          <w:rFonts w:ascii="Arial" w:hAnsi="Arial" w:cs="Arial"/>
        </w:rPr>
        <w:t xml:space="preserve"> (gauging stations)</w:t>
      </w:r>
      <w:r w:rsidR="00062076" w:rsidRPr="00C43F6C">
        <w:rPr>
          <w:rFonts w:ascii="Arial" w:hAnsi="Arial" w:cs="Arial"/>
        </w:rPr>
        <w:t>, where there is no market evidence in respect of existing use, the value is assessed by using a depreciated replacement cost. There was a full valuation exercise conducted by an independent chartered surveyor</w:t>
      </w:r>
      <w:r w:rsidR="00FC0B70">
        <w:rPr>
          <w:rFonts w:ascii="Arial" w:hAnsi="Arial" w:cs="Arial"/>
        </w:rPr>
        <w:t xml:space="preserve"> (Cushman and Wakefield)</w:t>
      </w:r>
      <w:r w:rsidR="00062076" w:rsidRPr="00C43F6C">
        <w:rPr>
          <w:rFonts w:ascii="Arial" w:hAnsi="Arial" w:cs="Arial"/>
        </w:rPr>
        <w:t xml:space="preserve"> at 31 March 2018 to calculate what the replacement costs would be. </w:t>
      </w:r>
      <w:r w:rsidR="00062076">
        <w:rPr>
          <w:rFonts w:ascii="Arial" w:hAnsi="Arial" w:cs="Arial"/>
        </w:rPr>
        <w:t xml:space="preserve">Subsequently </w:t>
      </w:r>
      <w:r w:rsidR="00062076" w:rsidRPr="00C43F6C">
        <w:rPr>
          <w:rFonts w:ascii="Arial" w:hAnsi="Arial" w:cs="Arial"/>
        </w:rPr>
        <w:t>this valuation has been indexed to reflect inflationary construction cost</w:t>
      </w:r>
      <w:r w:rsidR="00062076">
        <w:rPr>
          <w:rFonts w:ascii="Arial" w:hAnsi="Arial" w:cs="Arial"/>
        </w:rPr>
        <w:t xml:space="preserve"> </w:t>
      </w:r>
      <w:r w:rsidR="00062076" w:rsidRPr="00C43F6C">
        <w:rPr>
          <w:rFonts w:ascii="Arial" w:hAnsi="Arial" w:cs="Arial"/>
        </w:rPr>
        <w:t>increases for the intervening years, to produce the valuation at 31 March 202</w:t>
      </w:r>
      <w:r w:rsidR="00062076">
        <w:rPr>
          <w:rFonts w:ascii="Arial" w:hAnsi="Arial" w:cs="Arial"/>
        </w:rPr>
        <w:t>2</w:t>
      </w:r>
      <w:r w:rsidR="00F238B6">
        <w:rPr>
          <w:rFonts w:ascii="Arial" w:hAnsi="Arial" w:cs="Arial"/>
        </w:rPr>
        <w:t xml:space="preserve">.   External </w:t>
      </w:r>
      <w:r w:rsidR="00AA2356">
        <w:rPr>
          <w:rFonts w:ascii="Arial" w:hAnsi="Arial" w:cs="Arial"/>
        </w:rPr>
        <w:t>v</w:t>
      </w:r>
      <w:r w:rsidR="00F238B6">
        <w:rPr>
          <w:rFonts w:ascii="Arial" w:hAnsi="Arial" w:cs="Arial"/>
        </w:rPr>
        <w:t xml:space="preserve">aluers have confirmed that the </w:t>
      </w:r>
      <w:r w:rsidR="00105DF9">
        <w:rPr>
          <w:rFonts w:ascii="Arial" w:hAnsi="Arial" w:cs="Arial"/>
        </w:rPr>
        <w:t>indices</w:t>
      </w:r>
      <w:r w:rsidR="00F238B6">
        <w:rPr>
          <w:rFonts w:ascii="Arial" w:hAnsi="Arial" w:cs="Arial"/>
        </w:rPr>
        <w:t xml:space="preserve"> used </w:t>
      </w:r>
      <w:r w:rsidR="00105DF9">
        <w:rPr>
          <w:rFonts w:ascii="Arial" w:hAnsi="Arial" w:cs="Arial"/>
        </w:rPr>
        <w:t>are</w:t>
      </w:r>
      <w:r w:rsidR="00F238B6">
        <w:rPr>
          <w:rFonts w:ascii="Arial" w:hAnsi="Arial" w:cs="Arial"/>
        </w:rPr>
        <w:t xml:space="preserve"> appropriate.</w:t>
      </w:r>
    </w:p>
    <w:p w14:paraId="1D77B1A0" w14:textId="77777777" w:rsidR="00105DF9" w:rsidRDefault="00105DF9" w:rsidP="00105DF9">
      <w:pPr>
        <w:spacing w:line="360" w:lineRule="auto"/>
        <w:ind w:left="720"/>
        <w:rPr>
          <w:rFonts w:ascii="Arial" w:hAnsi="Arial" w:cs="Arial"/>
        </w:rPr>
      </w:pPr>
    </w:p>
    <w:p w14:paraId="7FA0FC1D" w14:textId="7477D6D4" w:rsidR="00105DF9" w:rsidRDefault="00B6793C" w:rsidP="00105DF9">
      <w:pPr>
        <w:numPr>
          <w:ilvl w:val="0"/>
          <w:numId w:val="32"/>
        </w:numPr>
        <w:spacing w:line="360" w:lineRule="auto"/>
        <w:rPr>
          <w:rFonts w:ascii="Arial" w:hAnsi="Arial" w:cs="Arial"/>
        </w:rPr>
      </w:pPr>
      <w:r w:rsidRPr="00FD23B6">
        <w:rPr>
          <w:rFonts w:ascii="Arial" w:hAnsi="Arial" w:cs="Arial"/>
        </w:rPr>
        <w:t>E</w:t>
      </w:r>
      <w:r w:rsidR="001A7501" w:rsidRPr="00FD23B6">
        <w:rPr>
          <w:rFonts w:ascii="Arial" w:hAnsi="Arial" w:cs="Arial"/>
        </w:rPr>
        <w:t xml:space="preserve">stimated cost of decommissioning </w:t>
      </w:r>
      <w:r w:rsidR="00E26D69" w:rsidRPr="00FD23B6">
        <w:rPr>
          <w:rFonts w:ascii="Arial" w:hAnsi="Arial" w:cs="Arial"/>
        </w:rPr>
        <w:t xml:space="preserve">(note </w:t>
      </w:r>
      <w:hyperlink w:anchor="Note9noncurrentassets" w:history="1">
        <w:r w:rsidR="00E26D69" w:rsidRPr="00A01D7F">
          <w:rPr>
            <w:rStyle w:val="Hyperlink"/>
            <w:rFonts w:ascii="Arial" w:hAnsi="Arial" w:cs="Arial"/>
          </w:rPr>
          <w:t>9</w:t>
        </w:r>
      </w:hyperlink>
      <w:r w:rsidR="00AD2172" w:rsidRPr="00FD23B6">
        <w:rPr>
          <w:rFonts w:ascii="Arial" w:hAnsi="Arial" w:cs="Arial"/>
        </w:rPr>
        <w:t xml:space="preserve"> </w:t>
      </w:r>
      <w:r w:rsidR="00FD23B6" w:rsidRPr="00FD23B6">
        <w:rPr>
          <w:rFonts w:ascii="Arial" w:hAnsi="Arial" w:cs="Arial"/>
        </w:rPr>
        <w:t xml:space="preserve">and </w:t>
      </w:r>
      <w:hyperlink w:anchor="Note13Provisionforliabilitiesandcharges" w:history="1">
        <w:r w:rsidR="00FD23B6" w:rsidRPr="00A01D7F">
          <w:rPr>
            <w:rStyle w:val="Hyperlink"/>
            <w:rFonts w:ascii="Arial" w:hAnsi="Arial" w:cs="Arial"/>
          </w:rPr>
          <w:t>13</w:t>
        </w:r>
      </w:hyperlink>
      <w:r w:rsidR="00E26D69" w:rsidRPr="00FD23B6">
        <w:rPr>
          <w:rFonts w:ascii="Arial" w:hAnsi="Arial" w:cs="Arial"/>
        </w:rPr>
        <w:t>)</w:t>
      </w:r>
      <w:r w:rsidR="00296C62">
        <w:rPr>
          <w:rFonts w:ascii="Arial" w:hAnsi="Arial" w:cs="Arial"/>
        </w:rPr>
        <w:t>.</w:t>
      </w:r>
      <w:r w:rsidR="00105DF9">
        <w:rPr>
          <w:rFonts w:ascii="Arial" w:hAnsi="Arial" w:cs="Arial"/>
        </w:rPr>
        <w:t xml:space="preserve"> </w:t>
      </w:r>
      <w:r w:rsidR="00105DF9" w:rsidRPr="00105DF9">
        <w:rPr>
          <w:rFonts w:ascii="Arial" w:hAnsi="Arial" w:cs="Arial"/>
        </w:rPr>
        <w:t xml:space="preserve">The property decommissioning provision is the potential cost of reinstating leased properties to their original floorplan as estimated by Cushman and Wakefield at 31 March 2020, and subsequently indexed for the increase in construction costs. </w:t>
      </w:r>
    </w:p>
    <w:p w14:paraId="5D1E9228" w14:textId="77777777" w:rsidR="007036C6" w:rsidRDefault="007036C6" w:rsidP="007036C6">
      <w:pPr>
        <w:pStyle w:val="ListParagraph"/>
        <w:rPr>
          <w:rFonts w:ascii="Arial" w:hAnsi="Arial" w:cs="Arial"/>
        </w:rPr>
      </w:pPr>
    </w:p>
    <w:p w14:paraId="6511759C" w14:textId="60589011" w:rsidR="00E26D69" w:rsidRPr="008E39FE" w:rsidRDefault="00E26D69" w:rsidP="004B4494">
      <w:pPr>
        <w:spacing w:line="360" w:lineRule="auto"/>
        <w:ind w:left="-142"/>
        <w:rPr>
          <w:rFonts w:ascii="Arial" w:hAnsi="Arial" w:cs="Arial"/>
          <w:b/>
          <w:bCs/>
        </w:rPr>
      </w:pPr>
      <w:r w:rsidRPr="008E39FE">
        <w:rPr>
          <w:rFonts w:ascii="Arial" w:hAnsi="Arial" w:cs="Arial"/>
          <w:b/>
          <w:bCs/>
        </w:rPr>
        <w:t>Future changes in accounting standards</w:t>
      </w:r>
    </w:p>
    <w:p w14:paraId="5C009191" w14:textId="7549AD42" w:rsidR="005A5A19" w:rsidRDefault="00E26D69" w:rsidP="005A5A19">
      <w:pPr>
        <w:spacing w:line="360" w:lineRule="auto"/>
        <w:ind w:left="-142"/>
        <w:rPr>
          <w:rFonts w:ascii="Arial" w:hAnsi="Arial" w:cs="Arial"/>
          <w:bCs/>
        </w:rPr>
      </w:pPr>
      <w:r w:rsidRPr="008E39FE">
        <w:rPr>
          <w:rFonts w:ascii="Arial" w:hAnsi="Arial" w:cs="Arial"/>
          <w:bCs/>
        </w:rPr>
        <w:t>Changes that were due to be introduced under</w:t>
      </w:r>
      <w:r w:rsidRPr="00E26D69">
        <w:rPr>
          <w:rFonts w:ascii="Arial" w:hAnsi="Arial" w:cs="Arial"/>
          <w:bCs/>
        </w:rPr>
        <w:t xml:space="preserve"> International Financial Reporting Standards (IFRS) 16 have been delayed by a year. The public sector will implement this standard from 1 April 202</w:t>
      </w:r>
      <w:r w:rsidR="00C7762E">
        <w:rPr>
          <w:rFonts w:ascii="Arial" w:hAnsi="Arial" w:cs="Arial"/>
          <w:bCs/>
        </w:rPr>
        <w:t>2</w:t>
      </w:r>
      <w:r w:rsidRPr="00E26D69">
        <w:rPr>
          <w:rFonts w:ascii="Arial" w:hAnsi="Arial" w:cs="Arial"/>
          <w:bCs/>
        </w:rPr>
        <w:t>. This will require all leases that run for more than 12 months to be reflected in the balance sheet</w:t>
      </w:r>
      <w:r w:rsidR="00AF12D6">
        <w:rPr>
          <w:rFonts w:ascii="Arial" w:hAnsi="Arial" w:cs="Arial"/>
          <w:bCs/>
        </w:rPr>
        <w:t xml:space="preserve"> as a </w:t>
      </w:r>
      <w:r w:rsidR="00F012C4">
        <w:rPr>
          <w:rFonts w:ascii="Arial" w:hAnsi="Arial" w:cs="Arial"/>
          <w:bCs/>
        </w:rPr>
        <w:t xml:space="preserve">right to use asset.  SEPA has </w:t>
      </w:r>
      <w:r w:rsidR="00C073DB">
        <w:rPr>
          <w:rFonts w:ascii="Arial" w:hAnsi="Arial" w:cs="Arial"/>
          <w:bCs/>
        </w:rPr>
        <w:t>several</w:t>
      </w:r>
      <w:r w:rsidR="00F012C4">
        <w:rPr>
          <w:rFonts w:ascii="Arial" w:hAnsi="Arial" w:cs="Arial"/>
          <w:bCs/>
        </w:rPr>
        <w:t xml:space="preserve"> leased properties which </w:t>
      </w:r>
      <w:r w:rsidR="00C073DB">
        <w:rPr>
          <w:rFonts w:ascii="Arial" w:hAnsi="Arial" w:cs="Arial"/>
          <w:bCs/>
        </w:rPr>
        <w:t>meet t</w:t>
      </w:r>
      <w:r w:rsidR="00CC72D4">
        <w:rPr>
          <w:rFonts w:ascii="Arial" w:hAnsi="Arial" w:cs="Arial"/>
          <w:bCs/>
        </w:rPr>
        <w:t xml:space="preserve">he definition of a right to use asset as defined by the standard.  </w:t>
      </w:r>
      <w:r w:rsidR="00726B27">
        <w:rPr>
          <w:rFonts w:ascii="Arial" w:hAnsi="Arial" w:cs="Arial"/>
          <w:bCs/>
        </w:rPr>
        <w:t xml:space="preserve">The estimated impact </w:t>
      </w:r>
      <w:r w:rsidR="004E079A">
        <w:rPr>
          <w:rFonts w:ascii="Arial" w:hAnsi="Arial" w:cs="Arial"/>
          <w:bCs/>
        </w:rPr>
        <w:t xml:space="preserve">is that </w:t>
      </w:r>
      <w:r w:rsidR="004C32F1">
        <w:rPr>
          <w:rFonts w:ascii="Arial" w:hAnsi="Arial" w:cs="Arial"/>
          <w:bCs/>
        </w:rPr>
        <w:t>depreciation costs will increase by £1</w:t>
      </w:r>
      <w:r w:rsidR="00545459">
        <w:rPr>
          <w:rFonts w:ascii="Arial" w:hAnsi="Arial" w:cs="Arial"/>
          <w:bCs/>
        </w:rPr>
        <w:t>.</w:t>
      </w:r>
      <w:r w:rsidR="00DD2FD3">
        <w:rPr>
          <w:rFonts w:ascii="Arial" w:hAnsi="Arial" w:cs="Arial"/>
          <w:bCs/>
        </w:rPr>
        <w:t>9</w:t>
      </w:r>
      <w:r w:rsidR="00545459">
        <w:rPr>
          <w:rFonts w:ascii="Arial" w:hAnsi="Arial" w:cs="Arial"/>
          <w:bCs/>
        </w:rPr>
        <w:t xml:space="preserve">m and </w:t>
      </w:r>
      <w:r w:rsidR="004E079A">
        <w:rPr>
          <w:rFonts w:ascii="Arial" w:hAnsi="Arial" w:cs="Arial"/>
          <w:bCs/>
        </w:rPr>
        <w:t>Right to Use Assets of £13m</w:t>
      </w:r>
      <w:r w:rsidR="00E91049">
        <w:rPr>
          <w:rFonts w:ascii="Arial" w:hAnsi="Arial" w:cs="Arial"/>
          <w:bCs/>
        </w:rPr>
        <w:t xml:space="preserve"> will be brought onto the Statement of Financial </w:t>
      </w:r>
      <w:r w:rsidR="00452D4B">
        <w:rPr>
          <w:rFonts w:ascii="Arial" w:hAnsi="Arial" w:cs="Arial"/>
          <w:bCs/>
        </w:rPr>
        <w:t>Position, with an associated lease liability of £13m</w:t>
      </w:r>
      <w:r w:rsidRPr="00E26D69">
        <w:rPr>
          <w:rFonts w:ascii="Arial" w:hAnsi="Arial" w:cs="Arial"/>
          <w:bCs/>
        </w:rPr>
        <w:t xml:space="preserve">. </w:t>
      </w:r>
    </w:p>
    <w:p w14:paraId="0A44E8C5" w14:textId="77777777" w:rsidR="005A5A19" w:rsidRDefault="005A5A19" w:rsidP="005A5A19">
      <w:pPr>
        <w:spacing w:line="360" w:lineRule="auto"/>
        <w:ind w:left="-142" w:right="-283"/>
        <w:rPr>
          <w:rFonts w:ascii="Arial" w:hAnsi="Arial" w:cs="Arial"/>
          <w:bCs/>
        </w:rPr>
      </w:pPr>
    </w:p>
    <w:p w14:paraId="663E97EC" w14:textId="0CBB58A8" w:rsidR="00E26D69" w:rsidRPr="005A5A19" w:rsidRDefault="00E26D69" w:rsidP="005A5A19">
      <w:pPr>
        <w:spacing w:line="360" w:lineRule="auto"/>
        <w:ind w:left="-142" w:right="-283"/>
        <w:rPr>
          <w:rFonts w:ascii="Arial" w:hAnsi="Arial" w:cs="Arial"/>
          <w:bCs/>
        </w:rPr>
      </w:pPr>
      <w:r w:rsidRPr="008E39FE">
        <w:rPr>
          <w:rFonts w:ascii="Arial" w:hAnsi="Arial" w:cs="Arial"/>
          <w:b/>
          <w:bCs/>
        </w:rPr>
        <w:t>Subsequent events</w:t>
      </w:r>
    </w:p>
    <w:p w14:paraId="0A57265C" w14:textId="653A0754" w:rsidR="00B926A8" w:rsidRDefault="00E26D69" w:rsidP="004B4494">
      <w:pPr>
        <w:spacing w:line="360" w:lineRule="auto"/>
        <w:ind w:left="-142" w:right="-141"/>
        <w:rPr>
          <w:rFonts w:ascii="Arial" w:hAnsi="Arial" w:cs="Arial"/>
        </w:rPr>
      </w:pPr>
      <w:r w:rsidRPr="00603F9E">
        <w:rPr>
          <w:rFonts w:ascii="Arial" w:hAnsi="Arial" w:cs="Arial"/>
        </w:rPr>
        <w:t>There are no events which have occurred since the statement of financial position at 31 March 202</w:t>
      </w:r>
      <w:r w:rsidR="003823E7">
        <w:rPr>
          <w:rFonts w:ascii="Arial" w:hAnsi="Arial" w:cs="Arial"/>
        </w:rPr>
        <w:t>2</w:t>
      </w:r>
      <w:r w:rsidRPr="00603F9E">
        <w:rPr>
          <w:rFonts w:ascii="Arial" w:hAnsi="Arial" w:cs="Arial"/>
        </w:rPr>
        <w:t xml:space="preserve"> was prepared that require disclosure. </w:t>
      </w:r>
    </w:p>
    <w:p w14:paraId="5F12CE8D" w14:textId="4275B819" w:rsidR="00D42011" w:rsidRDefault="00D42011" w:rsidP="004B4494">
      <w:pPr>
        <w:spacing w:line="360" w:lineRule="auto"/>
        <w:ind w:left="-142" w:right="-141"/>
        <w:rPr>
          <w:rFonts w:ascii="Arial" w:hAnsi="Arial" w:cs="Arial"/>
        </w:rPr>
      </w:pPr>
      <w:r>
        <w:rPr>
          <w:rFonts w:ascii="Arial" w:hAnsi="Arial" w:cs="Arial"/>
        </w:rPr>
        <w:br w:type="page"/>
      </w:r>
    </w:p>
    <w:p w14:paraId="33A554BA" w14:textId="2A808D60" w:rsidR="00E26D69" w:rsidRPr="00B73FB7" w:rsidRDefault="00E26D69" w:rsidP="000A1D9E">
      <w:pPr>
        <w:numPr>
          <w:ilvl w:val="0"/>
          <w:numId w:val="19"/>
        </w:numPr>
        <w:spacing w:line="360" w:lineRule="auto"/>
        <w:ind w:left="113" w:firstLine="567"/>
        <w:contextualSpacing/>
        <w:rPr>
          <w:rFonts w:ascii="Arial" w:hAnsi="Arial" w:cs="Arial"/>
          <w:b/>
        </w:rPr>
      </w:pPr>
      <w:bookmarkStart w:id="35" w:name="Note2incomefromcontracts"/>
      <w:r w:rsidRPr="00603F9E">
        <w:rPr>
          <w:rFonts w:ascii="Arial" w:hAnsi="Arial" w:cs="Arial"/>
          <w:b/>
        </w:rPr>
        <w:lastRenderedPageBreak/>
        <w:t>Income from contracts</w:t>
      </w:r>
      <w:r w:rsidR="005B0D53" w:rsidRPr="00603F9E">
        <w:rPr>
          <w:rFonts w:ascii="Arial" w:hAnsi="Arial" w:cs="Arial"/>
          <w:b/>
        </w:rPr>
        <w:t xml:space="preserve"> </w:t>
      </w:r>
    </w:p>
    <w:bookmarkEnd w:id="35"/>
    <w:tbl>
      <w:tblPr>
        <w:tblW w:w="10348" w:type="dxa"/>
        <w:tblInd w:w="-142" w:type="dxa"/>
        <w:tblLook w:val="04A0" w:firstRow="1" w:lastRow="0" w:firstColumn="1" w:lastColumn="0" w:noHBand="0" w:noVBand="1"/>
      </w:tblPr>
      <w:tblGrid>
        <w:gridCol w:w="6568"/>
        <w:gridCol w:w="1890"/>
        <w:gridCol w:w="1890"/>
      </w:tblGrid>
      <w:tr w:rsidR="00167866" w:rsidRPr="00E26D69" w14:paraId="685CD394" w14:textId="77777777" w:rsidTr="00A840A2">
        <w:trPr>
          <w:trHeight w:val="397"/>
        </w:trPr>
        <w:tc>
          <w:tcPr>
            <w:tcW w:w="6568" w:type="dxa"/>
            <w:tcBorders>
              <w:top w:val="nil"/>
              <w:left w:val="nil"/>
              <w:bottom w:val="nil"/>
              <w:right w:val="nil"/>
            </w:tcBorders>
            <w:noWrap/>
            <w:vAlign w:val="bottom"/>
            <w:hideMark/>
          </w:tcPr>
          <w:p w14:paraId="4825E560" w14:textId="77777777" w:rsidR="00E26D69" w:rsidRPr="00E26D69" w:rsidRDefault="00E26D69" w:rsidP="00EA5A12">
            <w:pPr>
              <w:rPr>
                <w:rFonts w:ascii="Arial" w:hAnsi="Arial" w:cs="Arial"/>
              </w:rPr>
            </w:pPr>
          </w:p>
        </w:tc>
        <w:tc>
          <w:tcPr>
            <w:tcW w:w="1890" w:type="dxa"/>
            <w:tcBorders>
              <w:top w:val="nil"/>
              <w:left w:val="nil"/>
              <w:bottom w:val="nil"/>
              <w:right w:val="nil"/>
            </w:tcBorders>
            <w:shd w:val="clear" w:color="auto" w:fill="EAF1DD" w:themeFill="accent3" w:themeFillTint="33"/>
            <w:vAlign w:val="bottom"/>
            <w:hideMark/>
          </w:tcPr>
          <w:p w14:paraId="2088E645" w14:textId="289FEBDC" w:rsidR="00E26D69" w:rsidRDefault="00E26D69" w:rsidP="00EA5A12">
            <w:pPr>
              <w:jc w:val="right"/>
              <w:rPr>
                <w:rFonts w:ascii="Arial" w:hAnsi="Arial" w:cs="Arial"/>
                <w:b/>
                <w:bCs/>
              </w:rPr>
            </w:pPr>
            <w:r w:rsidRPr="00E26D69">
              <w:rPr>
                <w:rFonts w:ascii="Arial" w:hAnsi="Arial" w:cs="Arial"/>
                <w:b/>
                <w:bCs/>
              </w:rPr>
              <w:t>Year to</w:t>
            </w:r>
            <w:r w:rsidR="0047511D">
              <w:rPr>
                <w:rFonts w:ascii="Arial" w:hAnsi="Arial" w:cs="Arial"/>
                <w:b/>
                <w:bCs/>
              </w:rPr>
              <w:t xml:space="preserve"> 31 March 202</w:t>
            </w:r>
            <w:r w:rsidR="0046391E">
              <w:rPr>
                <w:rFonts w:ascii="Arial" w:hAnsi="Arial" w:cs="Arial"/>
                <w:b/>
                <w:bCs/>
              </w:rPr>
              <w:t>2</w:t>
            </w:r>
          </w:p>
          <w:p w14:paraId="70DD60AD" w14:textId="6F6221B8" w:rsidR="0047511D" w:rsidRPr="00E26D69" w:rsidRDefault="0047511D" w:rsidP="00EA5A12">
            <w:pPr>
              <w:jc w:val="right"/>
              <w:rPr>
                <w:rFonts w:ascii="Arial" w:hAnsi="Arial" w:cs="Arial"/>
                <w:b/>
                <w:bCs/>
              </w:rPr>
            </w:pPr>
          </w:p>
        </w:tc>
        <w:tc>
          <w:tcPr>
            <w:tcW w:w="1890" w:type="dxa"/>
            <w:tcBorders>
              <w:top w:val="nil"/>
              <w:left w:val="nil"/>
              <w:bottom w:val="nil"/>
              <w:right w:val="nil"/>
            </w:tcBorders>
            <w:vAlign w:val="bottom"/>
            <w:hideMark/>
          </w:tcPr>
          <w:p w14:paraId="5B9C4A66" w14:textId="08569ADD" w:rsidR="00E26D69" w:rsidRPr="004A6A5D" w:rsidRDefault="0047511D" w:rsidP="004A6A5D">
            <w:pPr>
              <w:jc w:val="right"/>
              <w:rPr>
                <w:rFonts w:ascii="Arial" w:hAnsi="Arial" w:cs="Arial"/>
                <w:b/>
                <w:bCs/>
              </w:rPr>
            </w:pPr>
            <w:r w:rsidRPr="004A6A5D">
              <w:rPr>
                <w:rFonts w:ascii="Arial" w:hAnsi="Arial" w:cs="Arial"/>
                <w:b/>
                <w:bCs/>
              </w:rPr>
              <w:t>Year to 31 March 2</w:t>
            </w:r>
            <w:r w:rsidR="004A6A5D" w:rsidRPr="004A6A5D">
              <w:rPr>
                <w:rFonts w:ascii="Arial" w:hAnsi="Arial" w:cs="Arial"/>
                <w:b/>
                <w:bCs/>
              </w:rPr>
              <w:t>0</w:t>
            </w:r>
            <w:r w:rsidR="00C5755B">
              <w:rPr>
                <w:rFonts w:ascii="Arial" w:hAnsi="Arial" w:cs="Arial"/>
                <w:b/>
                <w:bCs/>
              </w:rPr>
              <w:t>2</w:t>
            </w:r>
            <w:r w:rsidR="0046391E">
              <w:rPr>
                <w:rFonts w:ascii="Arial" w:hAnsi="Arial" w:cs="Arial"/>
                <w:b/>
                <w:bCs/>
              </w:rPr>
              <w:t>1</w:t>
            </w:r>
          </w:p>
          <w:p w14:paraId="77D2ADA7" w14:textId="22B47E84" w:rsidR="004A6A5D" w:rsidRPr="004A6A5D" w:rsidRDefault="004A6A5D" w:rsidP="00E65798">
            <w:pPr>
              <w:rPr>
                <w:rFonts w:ascii="Arial" w:hAnsi="Arial" w:cs="Arial"/>
                <w:b/>
                <w:bCs/>
              </w:rPr>
            </w:pPr>
          </w:p>
        </w:tc>
      </w:tr>
      <w:tr w:rsidR="00167866" w:rsidRPr="00E26D69" w14:paraId="726B2DBF" w14:textId="77777777" w:rsidTr="000845C9">
        <w:trPr>
          <w:trHeight w:val="454"/>
        </w:trPr>
        <w:tc>
          <w:tcPr>
            <w:tcW w:w="6568" w:type="dxa"/>
            <w:tcBorders>
              <w:top w:val="nil"/>
              <w:left w:val="nil"/>
              <w:bottom w:val="nil"/>
              <w:right w:val="nil"/>
            </w:tcBorders>
            <w:vAlign w:val="bottom"/>
            <w:hideMark/>
          </w:tcPr>
          <w:p w14:paraId="1D6EF52B" w14:textId="4AE45A9A" w:rsidR="00E26D69" w:rsidRPr="00E26D69" w:rsidRDefault="00E26D69" w:rsidP="007126DA">
            <w:pPr>
              <w:ind w:left="-112"/>
              <w:rPr>
                <w:rFonts w:ascii="Arial" w:hAnsi="Arial" w:cs="Arial"/>
                <w:b/>
                <w:bCs/>
              </w:rPr>
            </w:pPr>
            <w:r w:rsidRPr="00E26D69">
              <w:rPr>
                <w:rFonts w:ascii="Arial" w:hAnsi="Arial" w:cs="Arial"/>
                <w:b/>
                <w:bCs/>
              </w:rPr>
              <w:t xml:space="preserve">Statutory </w:t>
            </w:r>
            <w:r w:rsidR="00A11DC9">
              <w:rPr>
                <w:rFonts w:ascii="Arial" w:hAnsi="Arial" w:cs="Arial"/>
                <w:b/>
                <w:bCs/>
              </w:rPr>
              <w:t>i</w:t>
            </w:r>
            <w:r w:rsidRPr="00E26D69">
              <w:rPr>
                <w:rFonts w:ascii="Arial" w:hAnsi="Arial" w:cs="Arial"/>
                <w:b/>
                <w:bCs/>
              </w:rPr>
              <w:t>ncome</w:t>
            </w:r>
          </w:p>
        </w:tc>
        <w:tc>
          <w:tcPr>
            <w:tcW w:w="1890" w:type="dxa"/>
            <w:tcBorders>
              <w:top w:val="nil"/>
              <w:left w:val="nil"/>
              <w:bottom w:val="nil"/>
              <w:right w:val="nil"/>
            </w:tcBorders>
            <w:shd w:val="clear" w:color="auto" w:fill="EAF1DD" w:themeFill="accent3" w:themeFillTint="33"/>
            <w:vAlign w:val="bottom"/>
          </w:tcPr>
          <w:p w14:paraId="44C03E99" w14:textId="55F654A2" w:rsidR="00E26D69" w:rsidRPr="00E26D69" w:rsidRDefault="00E65798" w:rsidP="00C5755B">
            <w:pPr>
              <w:jc w:val="right"/>
              <w:rPr>
                <w:rFonts w:ascii="Arial" w:hAnsi="Arial" w:cs="Arial"/>
                <w:b/>
                <w:bCs/>
              </w:rPr>
            </w:pPr>
            <w:r>
              <w:rPr>
                <w:rFonts w:ascii="Arial" w:hAnsi="Arial" w:cs="Arial"/>
                <w:b/>
                <w:bCs/>
              </w:rPr>
              <w:t>£’000</w:t>
            </w:r>
          </w:p>
        </w:tc>
        <w:tc>
          <w:tcPr>
            <w:tcW w:w="1890" w:type="dxa"/>
            <w:tcBorders>
              <w:top w:val="nil"/>
              <w:left w:val="nil"/>
              <w:bottom w:val="nil"/>
              <w:right w:val="nil"/>
            </w:tcBorders>
            <w:vAlign w:val="bottom"/>
          </w:tcPr>
          <w:p w14:paraId="1E2E5477" w14:textId="1CD3409A" w:rsidR="00E26D69" w:rsidRPr="00E26D69" w:rsidRDefault="00E65798" w:rsidP="00C5755B">
            <w:pPr>
              <w:jc w:val="right"/>
              <w:rPr>
                <w:rFonts w:ascii="Arial" w:hAnsi="Arial" w:cs="Arial"/>
                <w:b/>
              </w:rPr>
            </w:pPr>
            <w:r>
              <w:rPr>
                <w:rFonts w:ascii="Arial" w:hAnsi="Arial" w:cs="Arial"/>
                <w:b/>
              </w:rPr>
              <w:t>£’000</w:t>
            </w:r>
          </w:p>
        </w:tc>
      </w:tr>
      <w:tr w:rsidR="00167866" w:rsidRPr="00E26D69" w14:paraId="7F201740" w14:textId="77777777" w:rsidTr="000845C9">
        <w:trPr>
          <w:trHeight w:val="454"/>
        </w:trPr>
        <w:tc>
          <w:tcPr>
            <w:tcW w:w="6568" w:type="dxa"/>
            <w:tcBorders>
              <w:top w:val="nil"/>
              <w:left w:val="nil"/>
              <w:bottom w:val="nil"/>
              <w:right w:val="nil"/>
            </w:tcBorders>
            <w:vAlign w:val="bottom"/>
            <w:hideMark/>
          </w:tcPr>
          <w:p w14:paraId="3B473684" w14:textId="7D4D1777" w:rsidR="00100181" w:rsidRPr="00E26D69" w:rsidRDefault="00100181" w:rsidP="00100181">
            <w:pPr>
              <w:ind w:left="-112"/>
              <w:rPr>
                <w:rFonts w:ascii="Arial" w:hAnsi="Arial" w:cs="Arial"/>
              </w:rPr>
            </w:pPr>
            <w:r w:rsidRPr="00E26D69">
              <w:rPr>
                <w:rFonts w:ascii="Arial" w:hAnsi="Arial" w:cs="Arial"/>
              </w:rPr>
              <w:t xml:space="preserve">Charging Scheme fees &amp; </w:t>
            </w:r>
            <w:r w:rsidRPr="0017492E">
              <w:rPr>
                <w:rFonts w:ascii="Arial" w:hAnsi="Arial" w:cs="Arial"/>
              </w:rPr>
              <w:t xml:space="preserve">charges </w:t>
            </w:r>
          </w:p>
        </w:tc>
        <w:tc>
          <w:tcPr>
            <w:tcW w:w="1890" w:type="dxa"/>
            <w:tcBorders>
              <w:top w:val="nil"/>
              <w:left w:val="nil"/>
              <w:bottom w:val="nil"/>
              <w:right w:val="nil"/>
            </w:tcBorders>
            <w:shd w:val="clear" w:color="auto" w:fill="EAF1DD" w:themeFill="accent3" w:themeFillTint="33"/>
            <w:noWrap/>
            <w:vAlign w:val="bottom"/>
          </w:tcPr>
          <w:p w14:paraId="36033168" w14:textId="373D0BDF" w:rsidR="00100181" w:rsidRPr="00E26D69" w:rsidRDefault="00D94960" w:rsidP="00100181">
            <w:pPr>
              <w:jc w:val="right"/>
              <w:rPr>
                <w:rFonts w:ascii="Arial" w:hAnsi="Arial" w:cs="Arial"/>
              </w:rPr>
            </w:pPr>
            <w:r>
              <w:rPr>
                <w:rFonts w:ascii="Arial" w:hAnsi="Arial" w:cs="Arial"/>
              </w:rPr>
              <w:t>42,703</w:t>
            </w:r>
          </w:p>
        </w:tc>
        <w:tc>
          <w:tcPr>
            <w:tcW w:w="1890" w:type="dxa"/>
            <w:tcBorders>
              <w:top w:val="nil"/>
              <w:left w:val="nil"/>
              <w:bottom w:val="nil"/>
              <w:right w:val="nil"/>
            </w:tcBorders>
            <w:noWrap/>
            <w:vAlign w:val="bottom"/>
          </w:tcPr>
          <w:p w14:paraId="338B3940" w14:textId="749D79FC" w:rsidR="00100181" w:rsidRPr="00C5755B" w:rsidRDefault="00100181" w:rsidP="00100181">
            <w:pPr>
              <w:jc w:val="right"/>
              <w:rPr>
                <w:rFonts w:ascii="Arial" w:hAnsi="Arial" w:cs="Arial"/>
              </w:rPr>
            </w:pPr>
            <w:r>
              <w:rPr>
                <w:rFonts w:ascii="Arial" w:hAnsi="Arial" w:cs="Arial"/>
              </w:rPr>
              <w:t>40,810</w:t>
            </w:r>
          </w:p>
        </w:tc>
      </w:tr>
      <w:tr w:rsidR="00167866" w:rsidRPr="00E26D69" w14:paraId="2EE01591" w14:textId="77777777" w:rsidTr="000845C9">
        <w:trPr>
          <w:trHeight w:val="454"/>
        </w:trPr>
        <w:tc>
          <w:tcPr>
            <w:tcW w:w="6568" w:type="dxa"/>
            <w:tcBorders>
              <w:top w:val="nil"/>
              <w:left w:val="nil"/>
              <w:bottom w:val="nil"/>
              <w:right w:val="nil"/>
            </w:tcBorders>
            <w:vAlign w:val="bottom"/>
            <w:hideMark/>
          </w:tcPr>
          <w:p w14:paraId="0D28EBA3" w14:textId="77777777" w:rsidR="00100181" w:rsidRPr="00E26D69" w:rsidRDefault="00100181" w:rsidP="00100181">
            <w:pPr>
              <w:ind w:left="-112"/>
              <w:rPr>
                <w:rFonts w:ascii="Arial" w:hAnsi="Arial" w:cs="Arial"/>
              </w:rPr>
            </w:pPr>
            <w:r w:rsidRPr="00E26D69">
              <w:rPr>
                <w:rFonts w:ascii="Arial" w:hAnsi="Arial" w:cs="Arial"/>
              </w:rPr>
              <w:t>Scottish Landfill Tax</w:t>
            </w:r>
          </w:p>
        </w:tc>
        <w:tc>
          <w:tcPr>
            <w:tcW w:w="1890" w:type="dxa"/>
            <w:tcBorders>
              <w:top w:val="nil"/>
              <w:left w:val="nil"/>
              <w:bottom w:val="nil"/>
              <w:right w:val="nil"/>
            </w:tcBorders>
            <w:shd w:val="clear" w:color="auto" w:fill="EAF1DD" w:themeFill="accent3" w:themeFillTint="33"/>
            <w:noWrap/>
            <w:vAlign w:val="bottom"/>
          </w:tcPr>
          <w:p w14:paraId="75E48994" w14:textId="68637E1B" w:rsidR="00100181" w:rsidRPr="00E26D69" w:rsidRDefault="00D94960" w:rsidP="00100181">
            <w:pPr>
              <w:jc w:val="right"/>
              <w:rPr>
                <w:rFonts w:ascii="Arial" w:hAnsi="Arial" w:cs="Arial"/>
              </w:rPr>
            </w:pPr>
            <w:r>
              <w:rPr>
                <w:rFonts w:ascii="Arial" w:hAnsi="Arial" w:cs="Arial"/>
              </w:rPr>
              <w:t>474</w:t>
            </w:r>
          </w:p>
        </w:tc>
        <w:tc>
          <w:tcPr>
            <w:tcW w:w="1890" w:type="dxa"/>
            <w:tcBorders>
              <w:top w:val="nil"/>
              <w:left w:val="nil"/>
              <w:bottom w:val="nil"/>
              <w:right w:val="nil"/>
            </w:tcBorders>
            <w:noWrap/>
            <w:vAlign w:val="bottom"/>
          </w:tcPr>
          <w:p w14:paraId="5B7EE9E6" w14:textId="1C7D26FB" w:rsidR="00100181" w:rsidRPr="00C5755B" w:rsidRDefault="00100181" w:rsidP="00100181">
            <w:pPr>
              <w:jc w:val="right"/>
              <w:rPr>
                <w:rFonts w:ascii="Arial" w:hAnsi="Arial" w:cs="Arial"/>
              </w:rPr>
            </w:pPr>
            <w:r>
              <w:rPr>
                <w:rFonts w:ascii="Arial" w:hAnsi="Arial" w:cs="Arial"/>
              </w:rPr>
              <w:t>485</w:t>
            </w:r>
          </w:p>
        </w:tc>
      </w:tr>
      <w:tr w:rsidR="00167866" w:rsidRPr="00E26D69" w14:paraId="3DCD13A8" w14:textId="77777777" w:rsidTr="000845C9">
        <w:trPr>
          <w:trHeight w:val="454"/>
        </w:trPr>
        <w:tc>
          <w:tcPr>
            <w:tcW w:w="6568" w:type="dxa"/>
            <w:tcBorders>
              <w:top w:val="nil"/>
              <w:left w:val="nil"/>
              <w:bottom w:val="nil"/>
              <w:right w:val="nil"/>
            </w:tcBorders>
            <w:vAlign w:val="bottom"/>
            <w:hideMark/>
          </w:tcPr>
          <w:p w14:paraId="65A81C90" w14:textId="77777777" w:rsidR="00100181" w:rsidRPr="00E26D69" w:rsidRDefault="00100181" w:rsidP="00100181">
            <w:pPr>
              <w:ind w:left="-112"/>
              <w:rPr>
                <w:rFonts w:ascii="Arial" w:hAnsi="Arial" w:cs="Arial"/>
              </w:rPr>
            </w:pPr>
            <w:r w:rsidRPr="00E26D69">
              <w:rPr>
                <w:rFonts w:ascii="Arial" w:hAnsi="Arial" w:cs="Arial"/>
              </w:rPr>
              <w:t>Scottish Landfill Communities Fund</w:t>
            </w:r>
          </w:p>
        </w:tc>
        <w:tc>
          <w:tcPr>
            <w:tcW w:w="1890" w:type="dxa"/>
            <w:tcBorders>
              <w:top w:val="nil"/>
              <w:left w:val="nil"/>
              <w:bottom w:val="nil"/>
              <w:right w:val="nil"/>
            </w:tcBorders>
            <w:shd w:val="clear" w:color="auto" w:fill="EAF1DD" w:themeFill="accent3" w:themeFillTint="33"/>
            <w:noWrap/>
            <w:vAlign w:val="bottom"/>
          </w:tcPr>
          <w:p w14:paraId="7D5CA5B0" w14:textId="0D178C5A" w:rsidR="00100181" w:rsidRPr="00E26D69" w:rsidRDefault="00D94960" w:rsidP="00100181">
            <w:pPr>
              <w:jc w:val="right"/>
              <w:rPr>
                <w:rFonts w:ascii="Arial" w:hAnsi="Arial" w:cs="Arial"/>
              </w:rPr>
            </w:pPr>
            <w:r>
              <w:rPr>
                <w:rFonts w:ascii="Arial" w:hAnsi="Arial" w:cs="Arial"/>
              </w:rPr>
              <w:t>149</w:t>
            </w:r>
          </w:p>
        </w:tc>
        <w:tc>
          <w:tcPr>
            <w:tcW w:w="1890" w:type="dxa"/>
            <w:tcBorders>
              <w:top w:val="nil"/>
              <w:left w:val="nil"/>
              <w:bottom w:val="nil"/>
              <w:right w:val="nil"/>
            </w:tcBorders>
            <w:noWrap/>
            <w:vAlign w:val="bottom"/>
          </w:tcPr>
          <w:p w14:paraId="664D47EC" w14:textId="162FF66F" w:rsidR="00100181" w:rsidRPr="00C5755B" w:rsidRDefault="00100181" w:rsidP="00100181">
            <w:pPr>
              <w:jc w:val="right"/>
              <w:rPr>
                <w:rFonts w:ascii="Arial" w:hAnsi="Arial" w:cs="Arial"/>
              </w:rPr>
            </w:pPr>
            <w:r>
              <w:rPr>
                <w:rFonts w:ascii="Arial" w:hAnsi="Arial" w:cs="Arial"/>
              </w:rPr>
              <w:t>93</w:t>
            </w:r>
          </w:p>
        </w:tc>
      </w:tr>
      <w:tr w:rsidR="00167866" w:rsidRPr="00E26D69" w14:paraId="5BDF3DB6" w14:textId="77777777" w:rsidTr="000845C9">
        <w:trPr>
          <w:trHeight w:val="454"/>
        </w:trPr>
        <w:tc>
          <w:tcPr>
            <w:tcW w:w="6568" w:type="dxa"/>
            <w:tcBorders>
              <w:top w:val="nil"/>
              <w:left w:val="nil"/>
              <w:bottom w:val="nil"/>
              <w:right w:val="nil"/>
            </w:tcBorders>
            <w:vAlign w:val="bottom"/>
            <w:hideMark/>
          </w:tcPr>
          <w:p w14:paraId="7F77F596" w14:textId="77777777" w:rsidR="00100181" w:rsidRPr="00E26D69" w:rsidRDefault="00100181" w:rsidP="00100181">
            <w:pPr>
              <w:ind w:left="-112"/>
              <w:rPr>
                <w:rFonts w:ascii="Arial" w:hAnsi="Arial" w:cs="Arial"/>
              </w:rPr>
            </w:pPr>
            <w:r w:rsidRPr="00E26D69">
              <w:rPr>
                <w:rFonts w:ascii="Arial" w:hAnsi="Arial" w:cs="Arial"/>
              </w:rPr>
              <w:t xml:space="preserve">Supporting enforcement undertakings </w:t>
            </w:r>
          </w:p>
        </w:tc>
        <w:tc>
          <w:tcPr>
            <w:tcW w:w="1890" w:type="dxa"/>
            <w:tcBorders>
              <w:top w:val="nil"/>
              <w:left w:val="nil"/>
              <w:bottom w:val="nil"/>
              <w:right w:val="nil"/>
            </w:tcBorders>
            <w:shd w:val="clear" w:color="auto" w:fill="EAF1DD" w:themeFill="accent3" w:themeFillTint="33"/>
            <w:noWrap/>
            <w:vAlign w:val="bottom"/>
          </w:tcPr>
          <w:p w14:paraId="3815685D" w14:textId="5B700859" w:rsidR="00100181" w:rsidRPr="00E26D69" w:rsidRDefault="00D94960" w:rsidP="00100181">
            <w:pPr>
              <w:jc w:val="right"/>
              <w:rPr>
                <w:rFonts w:ascii="Arial" w:hAnsi="Arial" w:cs="Arial"/>
              </w:rPr>
            </w:pPr>
            <w:r>
              <w:rPr>
                <w:rFonts w:ascii="Arial" w:hAnsi="Arial" w:cs="Arial"/>
              </w:rPr>
              <w:t>3</w:t>
            </w:r>
          </w:p>
        </w:tc>
        <w:tc>
          <w:tcPr>
            <w:tcW w:w="1890" w:type="dxa"/>
            <w:tcBorders>
              <w:top w:val="nil"/>
              <w:left w:val="nil"/>
              <w:bottom w:val="nil"/>
              <w:right w:val="nil"/>
            </w:tcBorders>
            <w:noWrap/>
            <w:vAlign w:val="bottom"/>
          </w:tcPr>
          <w:p w14:paraId="28518EC7" w14:textId="2F415F6E" w:rsidR="00100181" w:rsidRPr="00C5755B" w:rsidRDefault="00100181" w:rsidP="00100181">
            <w:pPr>
              <w:jc w:val="right"/>
              <w:rPr>
                <w:rFonts w:ascii="Arial" w:hAnsi="Arial" w:cs="Arial"/>
              </w:rPr>
            </w:pPr>
            <w:r>
              <w:rPr>
                <w:rFonts w:ascii="Arial" w:hAnsi="Arial" w:cs="Arial"/>
              </w:rPr>
              <w:t>-</w:t>
            </w:r>
          </w:p>
        </w:tc>
      </w:tr>
      <w:tr w:rsidR="00167866" w:rsidRPr="00E26D69" w14:paraId="10C310AF" w14:textId="77777777" w:rsidTr="000845C9">
        <w:trPr>
          <w:trHeight w:val="454"/>
        </w:trPr>
        <w:tc>
          <w:tcPr>
            <w:tcW w:w="6568" w:type="dxa"/>
            <w:tcBorders>
              <w:top w:val="nil"/>
              <w:left w:val="nil"/>
              <w:bottom w:val="nil"/>
              <w:right w:val="nil"/>
            </w:tcBorders>
            <w:vAlign w:val="bottom"/>
          </w:tcPr>
          <w:p w14:paraId="541A5193" w14:textId="77777777" w:rsidR="00100181" w:rsidRPr="00E26D69" w:rsidRDefault="00100181" w:rsidP="00100181">
            <w:pPr>
              <w:ind w:left="-112"/>
              <w:rPr>
                <w:rFonts w:ascii="Arial" w:hAnsi="Arial" w:cs="Arial"/>
                <w:b/>
                <w:bCs/>
              </w:rPr>
            </w:pPr>
          </w:p>
        </w:tc>
        <w:tc>
          <w:tcPr>
            <w:tcW w:w="1890" w:type="dxa"/>
            <w:tcBorders>
              <w:top w:val="nil"/>
              <w:left w:val="nil"/>
              <w:bottom w:val="nil"/>
              <w:right w:val="nil"/>
            </w:tcBorders>
            <w:shd w:val="clear" w:color="auto" w:fill="EAF1DD" w:themeFill="accent3" w:themeFillTint="33"/>
            <w:noWrap/>
            <w:vAlign w:val="bottom"/>
          </w:tcPr>
          <w:p w14:paraId="10B84ED8" w14:textId="77777777" w:rsidR="00100181" w:rsidRPr="00E26D69" w:rsidRDefault="00100181" w:rsidP="00100181">
            <w:pPr>
              <w:jc w:val="right"/>
              <w:rPr>
                <w:rFonts w:ascii="Arial" w:hAnsi="Arial" w:cs="Arial"/>
              </w:rPr>
            </w:pPr>
          </w:p>
        </w:tc>
        <w:tc>
          <w:tcPr>
            <w:tcW w:w="1890" w:type="dxa"/>
            <w:tcBorders>
              <w:top w:val="nil"/>
              <w:left w:val="nil"/>
              <w:bottom w:val="nil"/>
              <w:right w:val="nil"/>
            </w:tcBorders>
            <w:noWrap/>
            <w:vAlign w:val="bottom"/>
          </w:tcPr>
          <w:p w14:paraId="09B5712A" w14:textId="77777777" w:rsidR="00100181" w:rsidRPr="00C5755B" w:rsidRDefault="00100181" w:rsidP="00100181">
            <w:pPr>
              <w:jc w:val="right"/>
              <w:rPr>
                <w:rFonts w:ascii="Arial" w:hAnsi="Arial" w:cs="Arial"/>
              </w:rPr>
            </w:pPr>
          </w:p>
        </w:tc>
      </w:tr>
      <w:tr w:rsidR="00167866" w:rsidRPr="00E26D69" w14:paraId="736357AF" w14:textId="77777777" w:rsidTr="000845C9">
        <w:trPr>
          <w:trHeight w:val="454"/>
        </w:trPr>
        <w:tc>
          <w:tcPr>
            <w:tcW w:w="6568" w:type="dxa"/>
            <w:tcBorders>
              <w:top w:val="nil"/>
              <w:left w:val="nil"/>
              <w:bottom w:val="nil"/>
              <w:right w:val="nil"/>
            </w:tcBorders>
            <w:vAlign w:val="bottom"/>
            <w:hideMark/>
          </w:tcPr>
          <w:p w14:paraId="1E4F4BA8" w14:textId="261966B9" w:rsidR="00100181" w:rsidRPr="00E26D69" w:rsidRDefault="00100181" w:rsidP="00100181">
            <w:pPr>
              <w:ind w:left="-112"/>
              <w:rPr>
                <w:rFonts w:ascii="Arial" w:hAnsi="Arial" w:cs="Arial"/>
                <w:b/>
                <w:bCs/>
              </w:rPr>
            </w:pPr>
            <w:r w:rsidRPr="00E26D69">
              <w:rPr>
                <w:rFonts w:ascii="Arial" w:hAnsi="Arial" w:cs="Arial"/>
                <w:b/>
                <w:bCs/>
              </w:rPr>
              <w:t>Non</w:t>
            </w:r>
            <w:r>
              <w:rPr>
                <w:rFonts w:ascii="Arial" w:hAnsi="Arial" w:cs="Arial"/>
                <w:b/>
                <w:bCs/>
              </w:rPr>
              <w:t>-s</w:t>
            </w:r>
            <w:r w:rsidRPr="00E26D69">
              <w:rPr>
                <w:rFonts w:ascii="Arial" w:hAnsi="Arial" w:cs="Arial"/>
                <w:b/>
                <w:bCs/>
              </w:rPr>
              <w:t xml:space="preserve">tatutory </w:t>
            </w:r>
            <w:r>
              <w:rPr>
                <w:rFonts w:ascii="Arial" w:hAnsi="Arial" w:cs="Arial"/>
                <w:b/>
                <w:bCs/>
              </w:rPr>
              <w:t>i</w:t>
            </w:r>
            <w:r w:rsidRPr="00E26D69">
              <w:rPr>
                <w:rFonts w:ascii="Arial" w:hAnsi="Arial" w:cs="Arial"/>
                <w:b/>
                <w:bCs/>
              </w:rPr>
              <w:t>n</w:t>
            </w:r>
            <w:r>
              <w:rPr>
                <w:rFonts w:ascii="Arial" w:hAnsi="Arial" w:cs="Arial"/>
                <w:b/>
                <w:bCs/>
              </w:rPr>
              <w:t>come</w:t>
            </w:r>
          </w:p>
        </w:tc>
        <w:tc>
          <w:tcPr>
            <w:tcW w:w="1890" w:type="dxa"/>
            <w:tcBorders>
              <w:top w:val="nil"/>
              <w:left w:val="nil"/>
              <w:bottom w:val="nil"/>
              <w:right w:val="nil"/>
            </w:tcBorders>
            <w:shd w:val="clear" w:color="auto" w:fill="EAF1DD" w:themeFill="accent3" w:themeFillTint="33"/>
            <w:noWrap/>
            <w:vAlign w:val="bottom"/>
          </w:tcPr>
          <w:p w14:paraId="63162C05" w14:textId="77777777" w:rsidR="00100181" w:rsidRPr="00E26D69" w:rsidRDefault="00100181" w:rsidP="00100181">
            <w:pPr>
              <w:jc w:val="right"/>
              <w:rPr>
                <w:rFonts w:ascii="Arial" w:hAnsi="Arial" w:cs="Arial"/>
              </w:rPr>
            </w:pPr>
          </w:p>
        </w:tc>
        <w:tc>
          <w:tcPr>
            <w:tcW w:w="1890" w:type="dxa"/>
            <w:tcBorders>
              <w:top w:val="nil"/>
              <w:left w:val="nil"/>
              <w:bottom w:val="nil"/>
              <w:right w:val="nil"/>
            </w:tcBorders>
            <w:noWrap/>
            <w:vAlign w:val="bottom"/>
          </w:tcPr>
          <w:p w14:paraId="64A39A4D" w14:textId="77777777" w:rsidR="00100181" w:rsidRPr="00C5755B" w:rsidRDefault="00100181" w:rsidP="00100181">
            <w:pPr>
              <w:jc w:val="right"/>
              <w:rPr>
                <w:rFonts w:ascii="Arial" w:hAnsi="Arial" w:cs="Arial"/>
              </w:rPr>
            </w:pPr>
          </w:p>
        </w:tc>
      </w:tr>
      <w:tr w:rsidR="00167866" w:rsidRPr="00E26D69" w14:paraId="01EF7FA1" w14:textId="77777777" w:rsidTr="000845C9">
        <w:trPr>
          <w:trHeight w:val="454"/>
        </w:trPr>
        <w:tc>
          <w:tcPr>
            <w:tcW w:w="6568" w:type="dxa"/>
            <w:tcBorders>
              <w:top w:val="nil"/>
              <w:left w:val="nil"/>
              <w:bottom w:val="nil"/>
              <w:right w:val="nil"/>
            </w:tcBorders>
            <w:vAlign w:val="bottom"/>
            <w:hideMark/>
          </w:tcPr>
          <w:p w14:paraId="4527BB00" w14:textId="77777777" w:rsidR="00100181" w:rsidRPr="00E26D69" w:rsidRDefault="00100181" w:rsidP="00100181">
            <w:pPr>
              <w:ind w:left="-112"/>
              <w:rPr>
                <w:rFonts w:ascii="Arial" w:hAnsi="Arial" w:cs="Arial"/>
              </w:rPr>
            </w:pPr>
            <w:r w:rsidRPr="00E26D69">
              <w:rPr>
                <w:rFonts w:ascii="Arial" w:hAnsi="Arial" w:cs="Arial"/>
              </w:rPr>
              <w:t xml:space="preserve">Provision of services </w:t>
            </w:r>
          </w:p>
        </w:tc>
        <w:tc>
          <w:tcPr>
            <w:tcW w:w="1890" w:type="dxa"/>
            <w:tcBorders>
              <w:top w:val="nil"/>
              <w:left w:val="nil"/>
              <w:bottom w:val="single" w:sz="4" w:space="0" w:color="auto"/>
              <w:right w:val="nil"/>
            </w:tcBorders>
            <w:shd w:val="clear" w:color="auto" w:fill="EAF1DD" w:themeFill="accent3" w:themeFillTint="33"/>
            <w:noWrap/>
            <w:vAlign w:val="bottom"/>
          </w:tcPr>
          <w:p w14:paraId="203DD488" w14:textId="18EFDE45" w:rsidR="00100181" w:rsidRPr="00E26D69" w:rsidRDefault="00D94960" w:rsidP="00100181">
            <w:pPr>
              <w:jc w:val="right"/>
              <w:rPr>
                <w:rFonts w:ascii="Arial" w:hAnsi="Arial" w:cs="Arial"/>
              </w:rPr>
            </w:pPr>
            <w:r>
              <w:rPr>
                <w:rFonts w:ascii="Arial" w:hAnsi="Arial" w:cs="Arial"/>
              </w:rPr>
              <w:t>890</w:t>
            </w:r>
          </w:p>
        </w:tc>
        <w:tc>
          <w:tcPr>
            <w:tcW w:w="1890" w:type="dxa"/>
            <w:tcBorders>
              <w:top w:val="nil"/>
              <w:left w:val="nil"/>
              <w:bottom w:val="single" w:sz="4" w:space="0" w:color="auto"/>
              <w:right w:val="nil"/>
            </w:tcBorders>
            <w:noWrap/>
            <w:vAlign w:val="bottom"/>
          </w:tcPr>
          <w:p w14:paraId="7F0F1D99" w14:textId="09B7D263" w:rsidR="00100181" w:rsidRPr="00C5755B" w:rsidRDefault="00100181" w:rsidP="00100181">
            <w:pPr>
              <w:jc w:val="right"/>
              <w:rPr>
                <w:rFonts w:ascii="Arial" w:hAnsi="Arial" w:cs="Arial"/>
              </w:rPr>
            </w:pPr>
            <w:r>
              <w:rPr>
                <w:rFonts w:ascii="Arial" w:hAnsi="Arial" w:cs="Arial"/>
              </w:rPr>
              <w:t>704</w:t>
            </w:r>
          </w:p>
        </w:tc>
      </w:tr>
      <w:tr w:rsidR="005A4491" w:rsidRPr="00E26D69" w14:paraId="382135D6" w14:textId="77777777" w:rsidTr="000845C9">
        <w:trPr>
          <w:trHeight w:val="454"/>
        </w:trPr>
        <w:tc>
          <w:tcPr>
            <w:tcW w:w="6568" w:type="dxa"/>
            <w:tcBorders>
              <w:top w:val="nil"/>
              <w:left w:val="nil"/>
              <w:bottom w:val="nil"/>
              <w:right w:val="nil"/>
            </w:tcBorders>
            <w:vAlign w:val="bottom"/>
            <w:hideMark/>
          </w:tcPr>
          <w:p w14:paraId="5BFFFF81" w14:textId="70665D58" w:rsidR="00C674E1" w:rsidRPr="00E26D69" w:rsidRDefault="00C674E1" w:rsidP="00100181">
            <w:pPr>
              <w:rPr>
                <w:rFonts w:ascii="Arial" w:hAnsi="Arial" w:cs="Arial"/>
              </w:rPr>
            </w:pPr>
          </w:p>
        </w:tc>
        <w:tc>
          <w:tcPr>
            <w:tcW w:w="1890" w:type="dxa"/>
            <w:tcBorders>
              <w:top w:val="single" w:sz="4" w:space="0" w:color="auto"/>
              <w:left w:val="nil"/>
              <w:bottom w:val="double" w:sz="4" w:space="0" w:color="auto"/>
              <w:right w:val="nil"/>
            </w:tcBorders>
            <w:shd w:val="clear" w:color="auto" w:fill="EAF1DD" w:themeFill="accent3" w:themeFillTint="33"/>
            <w:noWrap/>
            <w:vAlign w:val="bottom"/>
          </w:tcPr>
          <w:p w14:paraId="06F9E4AA" w14:textId="6E22393C" w:rsidR="00100181" w:rsidRPr="00E26D69" w:rsidRDefault="00D94960" w:rsidP="00100181">
            <w:pPr>
              <w:jc w:val="right"/>
              <w:rPr>
                <w:rFonts w:ascii="Arial" w:hAnsi="Arial" w:cs="Arial"/>
                <w:b/>
              </w:rPr>
            </w:pPr>
            <w:r>
              <w:rPr>
                <w:rFonts w:ascii="Arial" w:hAnsi="Arial" w:cs="Arial"/>
                <w:b/>
              </w:rPr>
              <w:t>44,21</w:t>
            </w:r>
            <w:r w:rsidR="00827A9C">
              <w:rPr>
                <w:rFonts w:ascii="Arial" w:hAnsi="Arial" w:cs="Arial"/>
                <w:b/>
              </w:rPr>
              <w:t>9</w:t>
            </w:r>
          </w:p>
        </w:tc>
        <w:tc>
          <w:tcPr>
            <w:tcW w:w="1890" w:type="dxa"/>
            <w:tcBorders>
              <w:top w:val="single" w:sz="4" w:space="0" w:color="auto"/>
              <w:left w:val="nil"/>
              <w:bottom w:val="double" w:sz="4" w:space="0" w:color="auto"/>
              <w:right w:val="nil"/>
            </w:tcBorders>
            <w:noWrap/>
            <w:vAlign w:val="bottom"/>
          </w:tcPr>
          <w:p w14:paraId="3BC60E59" w14:textId="1028A3D9" w:rsidR="00100181" w:rsidRPr="00C5755B" w:rsidRDefault="00100181" w:rsidP="00100181">
            <w:pPr>
              <w:jc w:val="right"/>
              <w:rPr>
                <w:rFonts w:ascii="Arial" w:hAnsi="Arial" w:cs="Arial"/>
                <w:b/>
              </w:rPr>
            </w:pPr>
            <w:r>
              <w:rPr>
                <w:rFonts w:ascii="Arial" w:hAnsi="Arial" w:cs="Arial"/>
                <w:b/>
              </w:rPr>
              <w:t>42,092</w:t>
            </w:r>
          </w:p>
        </w:tc>
      </w:tr>
    </w:tbl>
    <w:p w14:paraId="543A370E" w14:textId="77777777" w:rsidR="00A41DFD" w:rsidRDefault="00A41DFD" w:rsidP="000845C9">
      <w:pPr>
        <w:spacing w:line="360" w:lineRule="auto"/>
        <w:contextualSpacing/>
        <w:rPr>
          <w:rFonts w:ascii="Arial" w:hAnsi="Arial" w:cs="Arial"/>
          <w:b/>
        </w:rPr>
      </w:pPr>
    </w:p>
    <w:p w14:paraId="50C88181" w14:textId="77777777" w:rsidR="00A41DFD" w:rsidRDefault="00A41DFD" w:rsidP="000845C9">
      <w:pPr>
        <w:spacing w:line="360" w:lineRule="auto"/>
        <w:contextualSpacing/>
        <w:rPr>
          <w:rFonts w:ascii="Arial" w:hAnsi="Arial" w:cs="Arial"/>
          <w:b/>
        </w:rPr>
      </w:pPr>
    </w:p>
    <w:p w14:paraId="48F10976" w14:textId="51E1E008" w:rsidR="002A363C" w:rsidRPr="00C674E1" w:rsidRDefault="00E26D69" w:rsidP="000A1D9E">
      <w:pPr>
        <w:numPr>
          <w:ilvl w:val="0"/>
          <w:numId w:val="19"/>
        </w:numPr>
        <w:spacing w:line="360" w:lineRule="auto"/>
        <w:ind w:left="113" w:firstLine="567"/>
        <w:contextualSpacing/>
        <w:rPr>
          <w:rFonts w:ascii="Arial" w:hAnsi="Arial" w:cs="Arial"/>
          <w:b/>
        </w:rPr>
      </w:pPr>
      <w:bookmarkStart w:id="36" w:name="Note3otherincome"/>
      <w:r w:rsidRPr="00C674E1">
        <w:rPr>
          <w:rFonts w:ascii="Arial" w:hAnsi="Arial" w:cs="Arial"/>
          <w:b/>
        </w:rPr>
        <w:t>Other income</w:t>
      </w:r>
      <w:r w:rsidR="00C5755B" w:rsidRPr="00C674E1">
        <w:rPr>
          <w:rFonts w:ascii="Arial" w:hAnsi="Arial" w:cs="Arial"/>
          <w:b/>
        </w:rPr>
        <w:t xml:space="preserve"> </w:t>
      </w:r>
    </w:p>
    <w:bookmarkEnd w:id="36"/>
    <w:tbl>
      <w:tblPr>
        <w:tblW w:w="10348" w:type="dxa"/>
        <w:tblInd w:w="-142" w:type="dxa"/>
        <w:tblLook w:val="0000" w:firstRow="0" w:lastRow="0" w:firstColumn="0" w:lastColumn="0" w:noHBand="0" w:noVBand="0"/>
      </w:tblPr>
      <w:tblGrid>
        <w:gridCol w:w="6550"/>
        <w:gridCol w:w="1956"/>
        <w:gridCol w:w="1842"/>
      </w:tblGrid>
      <w:tr w:rsidR="0086791E" w:rsidRPr="00E26D69" w14:paraId="769A1925" w14:textId="77777777" w:rsidTr="007126DA">
        <w:trPr>
          <w:trHeight w:val="312"/>
        </w:trPr>
        <w:tc>
          <w:tcPr>
            <w:tcW w:w="6550" w:type="dxa"/>
            <w:tcBorders>
              <w:top w:val="nil"/>
              <w:left w:val="nil"/>
              <w:bottom w:val="nil"/>
              <w:right w:val="nil"/>
            </w:tcBorders>
          </w:tcPr>
          <w:p w14:paraId="2D45C60D" w14:textId="77777777" w:rsidR="00A11DC9" w:rsidRPr="00E26D69" w:rsidRDefault="00A11DC9" w:rsidP="00D56226">
            <w:pPr>
              <w:rPr>
                <w:rFonts w:ascii="Arial" w:hAnsi="Arial" w:cs="Arial"/>
                <w:b/>
                <w:bCs/>
              </w:rPr>
            </w:pPr>
          </w:p>
        </w:tc>
        <w:tc>
          <w:tcPr>
            <w:tcW w:w="1956" w:type="dxa"/>
            <w:tcBorders>
              <w:top w:val="nil"/>
              <w:left w:val="nil"/>
              <w:bottom w:val="nil"/>
              <w:right w:val="nil"/>
            </w:tcBorders>
            <w:shd w:val="clear" w:color="auto" w:fill="EAF1DD" w:themeFill="accent3" w:themeFillTint="33"/>
            <w:vAlign w:val="bottom"/>
          </w:tcPr>
          <w:p w14:paraId="445C570F" w14:textId="03CB4B44" w:rsidR="00A11DC9" w:rsidRDefault="00A11DC9" w:rsidP="00FE62D0">
            <w:pPr>
              <w:jc w:val="right"/>
              <w:rPr>
                <w:rFonts w:ascii="Arial" w:hAnsi="Arial" w:cs="Arial"/>
                <w:b/>
                <w:bCs/>
              </w:rPr>
            </w:pPr>
            <w:r w:rsidRPr="00E26D69">
              <w:rPr>
                <w:rFonts w:ascii="Arial" w:hAnsi="Arial" w:cs="Arial"/>
                <w:b/>
                <w:bCs/>
              </w:rPr>
              <w:t>Year to</w:t>
            </w:r>
            <w:r>
              <w:rPr>
                <w:rFonts w:ascii="Arial" w:hAnsi="Arial" w:cs="Arial"/>
                <w:b/>
                <w:bCs/>
              </w:rPr>
              <w:t xml:space="preserve"> 31 March 202</w:t>
            </w:r>
            <w:r w:rsidR="00206C84">
              <w:rPr>
                <w:rFonts w:ascii="Arial" w:hAnsi="Arial" w:cs="Arial"/>
                <w:b/>
                <w:bCs/>
              </w:rPr>
              <w:t>2</w:t>
            </w:r>
          </w:p>
          <w:p w14:paraId="6E05751B" w14:textId="77777777" w:rsidR="00A11DC9" w:rsidRDefault="00A11DC9" w:rsidP="00FE62D0">
            <w:pPr>
              <w:jc w:val="right"/>
              <w:rPr>
                <w:rFonts w:ascii="Arial" w:hAnsi="Arial" w:cs="Arial"/>
                <w:b/>
                <w:bCs/>
              </w:rPr>
            </w:pPr>
          </w:p>
          <w:p w14:paraId="68CBAC06" w14:textId="369BDBB7" w:rsidR="00A11DC9" w:rsidRPr="00E26D69" w:rsidRDefault="00A11DC9" w:rsidP="00FE62D0">
            <w:pPr>
              <w:jc w:val="right"/>
              <w:rPr>
                <w:rFonts w:ascii="Arial" w:hAnsi="Arial" w:cs="Arial"/>
                <w:b/>
                <w:bCs/>
              </w:rPr>
            </w:pPr>
            <w:r>
              <w:rPr>
                <w:rFonts w:ascii="Arial" w:hAnsi="Arial" w:cs="Arial"/>
                <w:b/>
                <w:bCs/>
              </w:rPr>
              <w:t>£’000</w:t>
            </w:r>
          </w:p>
        </w:tc>
        <w:tc>
          <w:tcPr>
            <w:tcW w:w="1842" w:type="dxa"/>
            <w:tcBorders>
              <w:top w:val="nil"/>
              <w:left w:val="nil"/>
              <w:bottom w:val="nil"/>
              <w:right w:val="nil"/>
            </w:tcBorders>
            <w:vAlign w:val="bottom"/>
          </w:tcPr>
          <w:p w14:paraId="71BABDEB" w14:textId="603076C0" w:rsidR="00A11DC9" w:rsidRDefault="00A11DC9" w:rsidP="00FE62D0">
            <w:pPr>
              <w:jc w:val="right"/>
              <w:rPr>
                <w:rFonts w:ascii="Arial" w:hAnsi="Arial" w:cs="Arial"/>
                <w:b/>
                <w:bCs/>
              </w:rPr>
            </w:pPr>
            <w:r>
              <w:rPr>
                <w:rFonts w:ascii="Arial" w:hAnsi="Arial" w:cs="Arial"/>
                <w:b/>
                <w:bCs/>
              </w:rPr>
              <w:t xml:space="preserve">Year to </w:t>
            </w:r>
            <w:r w:rsidR="007C534F">
              <w:rPr>
                <w:rFonts w:ascii="Arial" w:hAnsi="Arial" w:cs="Arial"/>
                <w:b/>
                <w:bCs/>
              </w:rPr>
              <w:t xml:space="preserve">31 </w:t>
            </w:r>
            <w:r>
              <w:rPr>
                <w:rFonts w:ascii="Arial" w:hAnsi="Arial" w:cs="Arial"/>
                <w:b/>
                <w:bCs/>
              </w:rPr>
              <w:t>March 202</w:t>
            </w:r>
            <w:r w:rsidR="00206C84">
              <w:rPr>
                <w:rFonts w:ascii="Arial" w:hAnsi="Arial" w:cs="Arial"/>
                <w:b/>
                <w:bCs/>
              </w:rPr>
              <w:t>1</w:t>
            </w:r>
          </w:p>
          <w:p w14:paraId="4DB39346" w14:textId="77777777" w:rsidR="00A11DC9" w:rsidRDefault="00A11DC9" w:rsidP="00FE62D0">
            <w:pPr>
              <w:jc w:val="right"/>
              <w:rPr>
                <w:rFonts w:ascii="Arial" w:hAnsi="Arial" w:cs="Arial"/>
                <w:b/>
                <w:bCs/>
              </w:rPr>
            </w:pPr>
          </w:p>
          <w:p w14:paraId="6B834F42" w14:textId="352919E0" w:rsidR="00A11DC9" w:rsidRPr="00E26D69" w:rsidRDefault="00A11DC9" w:rsidP="00FE62D0">
            <w:pPr>
              <w:jc w:val="right"/>
              <w:rPr>
                <w:rFonts w:ascii="Arial" w:hAnsi="Arial" w:cs="Arial"/>
                <w:b/>
                <w:bCs/>
              </w:rPr>
            </w:pPr>
            <w:r>
              <w:rPr>
                <w:rFonts w:ascii="Arial" w:hAnsi="Arial" w:cs="Arial"/>
                <w:b/>
                <w:bCs/>
              </w:rPr>
              <w:t>£’000</w:t>
            </w:r>
          </w:p>
        </w:tc>
      </w:tr>
      <w:tr w:rsidR="00167866" w:rsidRPr="00E26D69" w14:paraId="1D69042B" w14:textId="77777777" w:rsidTr="000845C9">
        <w:trPr>
          <w:trHeight w:val="454"/>
        </w:trPr>
        <w:tc>
          <w:tcPr>
            <w:tcW w:w="6550" w:type="dxa"/>
            <w:tcBorders>
              <w:top w:val="nil"/>
              <w:left w:val="nil"/>
              <w:bottom w:val="nil"/>
              <w:right w:val="nil"/>
            </w:tcBorders>
            <w:vAlign w:val="bottom"/>
          </w:tcPr>
          <w:p w14:paraId="5D148BD4" w14:textId="77777777" w:rsidR="0046391E" w:rsidRPr="00E26D69" w:rsidRDefault="0046391E" w:rsidP="0046391E">
            <w:pPr>
              <w:ind w:left="-108"/>
              <w:rPr>
                <w:rFonts w:ascii="Arial" w:hAnsi="Arial" w:cs="Arial"/>
              </w:rPr>
            </w:pPr>
            <w:r w:rsidRPr="00E26D69">
              <w:rPr>
                <w:rFonts w:ascii="Arial" w:hAnsi="Arial" w:cs="Arial"/>
              </w:rPr>
              <w:t>Grants</w:t>
            </w:r>
          </w:p>
        </w:tc>
        <w:tc>
          <w:tcPr>
            <w:tcW w:w="1956" w:type="dxa"/>
            <w:tcBorders>
              <w:top w:val="nil"/>
              <w:left w:val="nil"/>
              <w:bottom w:val="nil"/>
              <w:right w:val="nil"/>
            </w:tcBorders>
            <w:shd w:val="clear" w:color="auto" w:fill="EAF1DD" w:themeFill="accent3" w:themeFillTint="33"/>
            <w:vAlign w:val="bottom"/>
          </w:tcPr>
          <w:p w14:paraId="78451FBA" w14:textId="184A78DE" w:rsidR="0046391E" w:rsidRPr="00E26D69" w:rsidRDefault="00330EFE" w:rsidP="0046391E">
            <w:pPr>
              <w:ind w:left="432" w:hanging="432"/>
              <w:jc w:val="right"/>
              <w:rPr>
                <w:rFonts w:ascii="Arial" w:hAnsi="Arial" w:cs="Arial"/>
                <w:bCs/>
              </w:rPr>
            </w:pPr>
            <w:r>
              <w:rPr>
                <w:rFonts w:ascii="Arial" w:hAnsi="Arial" w:cs="Arial"/>
                <w:bCs/>
              </w:rPr>
              <w:t>3,415</w:t>
            </w:r>
          </w:p>
        </w:tc>
        <w:tc>
          <w:tcPr>
            <w:tcW w:w="1842" w:type="dxa"/>
            <w:tcBorders>
              <w:top w:val="nil"/>
              <w:left w:val="nil"/>
              <w:bottom w:val="nil"/>
              <w:right w:val="nil"/>
            </w:tcBorders>
            <w:vAlign w:val="bottom"/>
          </w:tcPr>
          <w:p w14:paraId="396013C1" w14:textId="52ECA576" w:rsidR="0046391E" w:rsidRPr="00E26D69" w:rsidRDefault="0046391E" w:rsidP="0046391E">
            <w:pPr>
              <w:ind w:left="432" w:hanging="432"/>
              <w:jc w:val="right"/>
              <w:rPr>
                <w:rFonts w:ascii="Arial" w:hAnsi="Arial" w:cs="Arial"/>
                <w:bCs/>
              </w:rPr>
            </w:pPr>
            <w:r>
              <w:rPr>
                <w:rFonts w:ascii="Arial" w:hAnsi="Arial" w:cs="Arial"/>
                <w:bCs/>
              </w:rPr>
              <w:t>1,541</w:t>
            </w:r>
          </w:p>
        </w:tc>
      </w:tr>
      <w:tr w:rsidR="005A4491" w:rsidRPr="00E26D69" w14:paraId="25437DDD" w14:textId="77777777" w:rsidTr="000845C9">
        <w:trPr>
          <w:trHeight w:val="454"/>
        </w:trPr>
        <w:tc>
          <w:tcPr>
            <w:tcW w:w="6550" w:type="dxa"/>
            <w:tcBorders>
              <w:top w:val="nil"/>
              <w:left w:val="nil"/>
              <w:bottom w:val="nil"/>
              <w:right w:val="nil"/>
            </w:tcBorders>
            <w:vAlign w:val="bottom"/>
          </w:tcPr>
          <w:p w14:paraId="60D19DD1" w14:textId="77777777" w:rsidR="0046391E" w:rsidRPr="00E26D69" w:rsidRDefault="0046391E" w:rsidP="0046391E">
            <w:pPr>
              <w:ind w:left="-108"/>
              <w:rPr>
                <w:rFonts w:ascii="Arial" w:hAnsi="Arial" w:cs="Arial"/>
              </w:rPr>
            </w:pPr>
            <w:r w:rsidRPr="00E26D69">
              <w:rPr>
                <w:rFonts w:ascii="Arial" w:hAnsi="Arial" w:cs="Arial"/>
              </w:rPr>
              <w:t>Other</w:t>
            </w:r>
          </w:p>
        </w:tc>
        <w:tc>
          <w:tcPr>
            <w:tcW w:w="1956" w:type="dxa"/>
            <w:tcBorders>
              <w:top w:val="nil"/>
              <w:left w:val="nil"/>
              <w:bottom w:val="single" w:sz="4" w:space="0" w:color="auto"/>
              <w:right w:val="nil"/>
            </w:tcBorders>
            <w:shd w:val="clear" w:color="auto" w:fill="EAF1DD" w:themeFill="accent3" w:themeFillTint="33"/>
            <w:vAlign w:val="bottom"/>
          </w:tcPr>
          <w:p w14:paraId="64A03D9B" w14:textId="64DB33D1" w:rsidR="0046391E" w:rsidRPr="00E26D69" w:rsidRDefault="00330EFE" w:rsidP="0046391E">
            <w:pPr>
              <w:ind w:left="432" w:hanging="432"/>
              <w:jc w:val="right"/>
              <w:rPr>
                <w:rFonts w:ascii="Arial" w:hAnsi="Arial" w:cs="Arial"/>
                <w:bCs/>
              </w:rPr>
            </w:pPr>
            <w:r>
              <w:rPr>
                <w:rFonts w:ascii="Arial" w:hAnsi="Arial" w:cs="Arial"/>
                <w:bCs/>
              </w:rPr>
              <w:t>78</w:t>
            </w:r>
          </w:p>
        </w:tc>
        <w:tc>
          <w:tcPr>
            <w:tcW w:w="1842" w:type="dxa"/>
            <w:tcBorders>
              <w:top w:val="nil"/>
              <w:left w:val="nil"/>
              <w:bottom w:val="single" w:sz="4" w:space="0" w:color="auto"/>
              <w:right w:val="nil"/>
            </w:tcBorders>
            <w:vAlign w:val="bottom"/>
          </w:tcPr>
          <w:p w14:paraId="4E35998C" w14:textId="6CF3850F" w:rsidR="0046391E" w:rsidRPr="00E26D69" w:rsidRDefault="0046391E" w:rsidP="0046391E">
            <w:pPr>
              <w:ind w:left="432" w:hanging="432"/>
              <w:jc w:val="right"/>
              <w:rPr>
                <w:rFonts w:ascii="Arial" w:hAnsi="Arial" w:cs="Arial"/>
                <w:bCs/>
              </w:rPr>
            </w:pPr>
            <w:r>
              <w:rPr>
                <w:rFonts w:ascii="Arial" w:hAnsi="Arial" w:cs="Arial"/>
                <w:bCs/>
              </w:rPr>
              <w:t>221</w:t>
            </w:r>
          </w:p>
        </w:tc>
      </w:tr>
      <w:tr w:rsidR="005A4491" w:rsidRPr="00E26D69" w14:paraId="030851D2" w14:textId="77777777" w:rsidTr="000845C9">
        <w:trPr>
          <w:trHeight w:val="454"/>
        </w:trPr>
        <w:tc>
          <w:tcPr>
            <w:tcW w:w="6550" w:type="dxa"/>
            <w:tcBorders>
              <w:top w:val="nil"/>
              <w:left w:val="nil"/>
              <w:right w:val="nil"/>
            </w:tcBorders>
            <w:vAlign w:val="bottom"/>
          </w:tcPr>
          <w:p w14:paraId="29405B6E" w14:textId="77777777" w:rsidR="0046391E" w:rsidRPr="00E26D69" w:rsidRDefault="0046391E" w:rsidP="0046391E">
            <w:pPr>
              <w:rPr>
                <w:rFonts w:ascii="Arial" w:hAnsi="Arial" w:cs="Arial"/>
              </w:rPr>
            </w:pPr>
          </w:p>
        </w:tc>
        <w:tc>
          <w:tcPr>
            <w:tcW w:w="1956" w:type="dxa"/>
            <w:tcBorders>
              <w:top w:val="single" w:sz="4" w:space="0" w:color="auto"/>
              <w:left w:val="nil"/>
              <w:bottom w:val="double" w:sz="4" w:space="0" w:color="auto"/>
              <w:right w:val="nil"/>
            </w:tcBorders>
            <w:shd w:val="clear" w:color="auto" w:fill="EAF1DD" w:themeFill="accent3" w:themeFillTint="33"/>
            <w:vAlign w:val="bottom"/>
          </w:tcPr>
          <w:p w14:paraId="25006421" w14:textId="1438BC1C" w:rsidR="0046391E" w:rsidRPr="00E26D69" w:rsidRDefault="00330EFE" w:rsidP="0046391E">
            <w:pPr>
              <w:ind w:left="432" w:hanging="432"/>
              <w:jc w:val="right"/>
              <w:rPr>
                <w:rFonts w:ascii="Arial" w:hAnsi="Arial" w:cs="Arial"/>
                <w:b/>
                <w:bCs/>
              </w:rPr>
            </w:pPr>
            <w:r>
              <w:rPr>
                <w:rFonts w:ascii="Arial" w:hAnsi="Arial" w:cs="Arial"/>
                <w:b/>
                <w:bCs/>
              </w:rPr>
              <w:t>3,49</w:t>
            </w:r>
            <w:r w:rsidR="000F63F4">
              <w:rPr>
                <w:rFonts w:ascii="Arial" w:hAnsi="Arial" w:cs="Arial"/>
                <w:b/>
                <w:bCs/>
              </w:rPr>
              <w:t>3</w:t>
            </w:r>
          </w:p>
        </w:tc>
        <w:tc>
          <w:tcPr>
            <w:tcW w:w="1842" w:type="dxa"/>
            <w:tcBorders>
              <w:top w:val="single" w:sz="4" w:space="0" w:color="auto"/>
              <w:left w:val="nil"/>
              <w:bottom w:val="double" w:sz="4" w:space="0" w:color="auto"/>
              <w:right w:val="nil"/>
            </w:tcBorders>
            <w:vAlign w:val="bottom"/>
          </w:tcPr>
          <w:p w14:paraId="55E5714B" w14:textId="3E40D886" w:rsidR="0046391E" w:rsidRPr="00E26D69" w:rsidRDefault="0046391E" w:rsidP="0046391E">
            <w:pPr>
              <w:ind w:left="432" w:hanging="432"/>
              <w:jc w:val="right"/>
              <w:rPr>
                <w:rFonts w:ascii="Arial" w:hAnsi="Arial" w:cs="Arial"/>
                <w:b/>
                <w:bCs/>
              </w:rPr>
            </w:pPr>
            <w:r>
              <w:rPr>
                <w:rFonts w:ascii="Arial" w:hAnsi="Arial" w:cs="Arial"/>
                <w:b/>
                <w:bCs/>
              </w:rPr>
              <w:t>1,762</w:t>
            </w:r>
          </w:p>
        </w:tc>
      </w:tr>
      <w:tr w:rsidR="000845C9" w:rsidRPr="00E26D69" w14:paraId="18C6FA0A" w14:textId="77777777" w:rsidTr="000845C9">
        <w:trPr>
          <w:trHeight w:val="57"/>
        </w:trPr>
        <w:tc>
          <w:tcPr>
            <w:tcW w:w="6550" w:type="dxa"/>
            <w:tcBorders>
              <w:left w:val="nil"/>
              <w:right w:val="nil"/>
            </w:tcBorders>
            <w:vAlign w:val="bottom"/>
          </w:tcPr>
          <w:p w14:paraId="1F79AB83" w14:textId="77777777" w:rsidR="000845C9" w:rsidRPr="00E26D69" w:rsidRDefault="000845C9" w:rsidP="0046391E">
            <w:pPr>
              <w:rPr>
                <w:rFonts w:ascii="Arial" w:hAnsi="Arial" w:cs="Arial"/>
              </w:rPr>
            </w:pPr>
          </w:p>
        </w:tc>
        <w:tc>
          <w:tcPr>
            <w:tcW w:w="1956" w:type="dxa"/>
            <w:tcBorders>
              <w:top w:val="double" w:sz="4" w:space="0" w:color="auto"/>
              <w:left w:val="nil"/>
              <w:right w:val="nil"/>
            </w:tcBorders>
            <w:vAlign w:val="bottom"/>
          </w:tcPr>
          <w:p w14:paraId="19B57A5D" w14:textId="77777777" w:rsidR="000845C9" w:rsidRDefault="000845C9" w:rsidP="0046391E">
            <w:pPr>
              <w:ind w:left="432" w:hanging="432"/>
              <w:jc w:val="right"/>
              <w:rPr>
                <w:rFonts w:ascii="Arial" w:hAnsi="Arial" w:cs="Arial"/>
                <w:b/>
                <w:bCs/>
              </w:rPr>
            </w:pPr>
          </w:p>
        </w:tc>
        <w:tc>
          <w:tcPr>
            <w:tcW w:w="1842" w:type="dxa"/>
            <w:tcBorders>
              <w:top w:val="double" w:sz="4" w:space="0" w:color="auto"/>
              <w:left w:val="nil"/>
              <w:right w:val="nil"/>
            </w:tcBorders>
            <w:vAlign w:val="bottom"/>
          </w:tcPr>
          <w:p w14:paraId="6223F6FC" w14:textId="77777777" w:rsidR="000845C9" w:rsidRDefault="000845C9" w:rsidP="0046391E">
            <w:pPr>
              <w:ind w:left="432" w:hanging="432"/>
              <w:jc w:val="right"/>
              <w:rPr>
                <w:rFonts w:ascii="Arial" w:hAnsi="Arial" w:cs="Arial"/>
                <w:b/>
                <w:bCs/>
              </w:rPr>
            </w:pPr>
          </w:p>
        </w:tc>
      </w:tr>
    </w:tbl>
    <w:p w14:paraId="54C02589" w14:textId="2739E8A3" w:rsidR="00F33FD2" w:rsidRDefault="00704364" w:rsidP="00BD2A97">
      <w:pPr>
        <w:spacing w:line="276" w:lineRule="auto"/>
        <w:ind w:left="284"/>
        <w:contextualSpacing/>
        <w:rPr>
          <w:rFonts w:ascii="Arial" w:hAnsi="Arial" w:cs="Arial"/>
          <w:b/>
        </w:rPr>
      </w:pPr>
      <w:r>
        <w:rPr>
          <w:rFonts w:ascii="Arial" w:hAnsi="Arial" w:cs="Arial"/>
          <w:b/>
        </w:rPr>
        <w:br w:type="page"/>
      </w:r>
    </w:p>
    <w:p w14:paraId="7AAD82BD" w14:textId="39A7E3FE" w:rsidR="00E26D69" w:rsidRPr="00C674E1" w:rsidRDefault="0032573E" w:rsidP="000A1D9E">
      <w:pPr>
        <w:numPr>
          <w:ilvl w:val="0"/>
          <w:numId w:val="19"/>
        </w:numPr>
        <w:spacing w:line="360" w:lineRule="auto"/>
        <w:ind w:left="113" w:firstLine="567"/>
        <w:contextualSpacing/>
        <w:rPr>
          <w:rFonts w:ascii="Arial" w:hAnsi="Arial" w:cs="Arial"/>
          <w:b/>
        </w:rPr>
      </w:pPr>
      <w:bookmarkStart w:id="37" w:name="Note4inforegardingemployeesandBoard"/>
      <w:r w:rsidRPr="00C674E1">
        <w:rPr>
          <w:rFonts w:ascii="Arial" w:hAnsi="Arial" w:cs="Arial"/>
          <w:b/>
        </w:rPr>
        <w:lastRenderedPageBreak/>
        <w:t>I</w:t>
      </w:r>
      <w:r w:rsidR="00E26D69" w:rsidRPr="00C674E1">
        <w:rPr>
          <w:rFonts w:ascii="Arial" w:hAnsi="Arial" w:cs="Arial"/>
          <w:b/>
        </w:rPr>
        <w:t>nformation regarding employees and Board members</w:t>
      </w:r>
    </w:p>
    <w:p w14:paraId="4E509088" w14:textId="4D61F282" w:rsidR="0029784C" w:rsidRDefault="0029784C" w:rsidP="00C63EC9">
      <w:pPr>
        <w:pStyle w:val="Caption"/>
        <w:keepNext/>
        <w:spacing w:after="0" w:line="360" w:lineRule="auto"/>
        <w:ind w:left="-142"/>
        <w:rPr>
          <w:rFonts w:ascii="Arial" w:hAnsi="Arial" w:cs="Arial"/>
          <w:color w:val="000000" w:themeColor="text1"/>
          <w:sz w:val="24"/>
          <w:szCs w:val="24"/>
        </w:rPr>
      </w:pPr>
      <w:r w:rsidRPr="00C674E1">
        <w:rPr>
          <w:rFonts w:ascii="Arial" w:hAnsi="Arial" w:cs="Arial"/>
          <w:color w:val="000000" w:themeColor="text1"/>
          <w:sz w:val="24"/>
          <w:szCs w:val="24"/>
        </w:rPr>
        <w:t>Staff costs during the year to March 202</w:t>
      </w:r>
      <w:r w:rsidR="00206C84" w:rsidRPr="00C674E1">
        <w:rPr>
          <w:rFonts w:ascii="Arial" w:hAnsi="Arial" w:cs="Arial"/>
          <w:color w:val="000000" w:themeColor="text1"/>
          <w:sz w:val="24"/>
          <w:szCs w:val="24"/>
        </w:rPr>
        <w:t>2</w:t>
      </w:r>
    </w:p>
    <w:tbl>
      <w:tblPr>
        <w:tblW w:w="10348" w:type="dxa"/>
        <w:tblInd w:w="-142" w:type="dxa"/>
        <w:shd w:val="clear" w:color="auto" w:fill="DAEEF3" w:themeFill="accent5" w:themeFillTint="33"/>
        <w:tblLook w:val="04A0" w:firstRow="1" w:lastRow="0" w:firstColumn="1" w:lastColumn="0" w:noHBand="0" w:noVBand="1"/>
      </w:tblPr>
      <w:tblGrid>
        <w:gridCol w:w="5387"/>
        <w:gridCol w:w="1985"/>
        <w:gridCol w:w="1134"/>
        <w:gridCol w:w="1842"/>
      </w:tblGrid>
      <w:tr w:rsidR="005A4491" w:rsidRPr="00E26D69" w14:paraId="125ABFB2" w14:textId="77777777" w:rsidTr="00296C62">
        <w:trPr>
          <w:trHeight w:val="397"/>
        </w:trPr>
        <w:tc>
          <w:tcPr>
            <w:tcW w:w="5387" w:type="dxa"/>
            <w:vAlign w:val="bottom"/>
          </w:tcPr>
          <w:bookmarkEnd w:id="37"/>
          <w:p w14:paraId="04FF071F" w14:textId="23FDCC10" w:rsidR="00E26D69" w:rsidRPr="00E26D69" w:rsidRDefault="00E26D69" w:rsidP="00465D38">
            <w:pPr>
              <w:spacing w:line="276" w:lineRule="auto"/>
              <w:ind w:left="-93"/>
              <w:rPr>
                <w:rFonts w:ascii="Arial" w:hAnsi="Arial" w:cs="Arial"/>
                <w:b/>
              </w:rPr>
            </w:pPr>
            <w:r w:rsidRPr="00E26D69">
              <w:rPr>
                <w:rFonts w:ascii="Arial" w:hAnsi="Arial" w:cs="Arial"/>
                <w:b/>
              </w:rPr>
              <w:t>Staff costs</w:t>
            </w:r>
          </w:p>
        </w:tc>
        <w:tc>
          <w:tcPr>
            <w:tcW w:w="1985" w:type="dxa"/>
            <w:shd w:val="clear" w:color="auto" w:fill="EAF1DD" w:themeFill="accent3" w:themeFillTint="33"/>
            <w:vAlign w:val="bottom"/>
          </w:tcPr>
          <w:p w14:paraId="34F3F369" w14:textId="41E7D845" w:rsidR="00E26D69" w:rsidRDefault="00E26D69" w:rsidP="00465D38">
            <w:pPr>
              <w:spacing w:line="276" w:lineRule="auto"/>
              <w:jc w:val="right"/>
              <w:rPr>
                <w:rFonts w:ascii="Arial" w:hAnsi="Arial" w:cs="Arial"/>
                <w:b/>
              </w:rPr>
            </w:pPr>
            <w:r w:rsidRPr="00E26D69">
              <w:rPr>
                <w:rFonts w:ascii="Arial" w:hAnsi="Arial" w:cs="Arial"/>
                <w:b/>
              </w:rPr>
              <w:t>Permanently employed staff</w:t>
            </w:r>
          </w:p>
          <w:p w14:paraId="7660B8CA" w14:textId="77777777" w:rsidR="00465D38" w:rsidRDefault="00465D38" w:rsidP="00465D38">
            <w:pPr>
              <w:spacing w:line="276" w:lineRule="auto"/>
              <w:jc w:val="right"/>
              <w:rPr>
                <w:rFonts w:ascii="Arial" w:hAnsi="Arial" w:cs="Arial"/>
                <w:b/>
              </w:rPr>
            </w:pPr>
          </w:p>
          <w:p w14:paraId="46C0E72F" w14:textId="551AB15B" w:rsidR="00465D38" w:rsidRPr="00E26D69" w:rsidRDefault="00465D38" w:rsidP="00465D38">
            <w:pPr>
              <w:spacing w:line="276" w:lineRule="auto"/>
              <w:jc w:val="right"/>
              <w:rPr>
                <w:rFonts w:ascii="Arial" w:hAnsi="Arial" w:cs="Arial"/>
                <w:b/>
              </w:rPr>
            </w:pPr>
            <w:r>
              <w:rPr>
                <w:rFonts w:ascii="Arial" w:hAnsi="Arial" w:cs="Arial"/>
                <w:b/>
              </w:rPr>
              <w:t>£’000</w:t>
            </w:r>
          </w:p>
        </w:tc>
        <w:tc>
          <w:tcPr>
            <w:tcW w:w="1134" w:type="dxa"/>
            <w:shd w:val="clear" w:color="auto" w:fill="EAF1DD" w:themeFill="accent3" w:themeFillTint="33"/>
            <w:vAlign w:val="bottom"/>
          </w:tcPr>
          <w:p w14:paraId="03D42401" w14:textId="77777777" w:rsidR="00E26D69" w:rsidRDefault="00E26D69" w:rsidP="00465D38">
            <w:pPr>
              <w:spacing w:line="276" w:lineRule="auto"/>
              <w:jc w:val="right"/>
              <w:rPr>
                <w:rFonts w:ascii="Arial" w:hAnsi="Arial" w:cs="Arial"/>
                <w:b/>
              </w:rPr>
            </w:pPr>
            <w:r w:rsidRPr="00E26D69">
              <w:rPr>
                <w:rFonts w:ascii="Arial" w:hAnsi="Arial" w:cs="Arial"/>
                <w:b/>
              </w:rPr>
              <w:t>Others</w:t>
            </w:r>
          </w:p>
          <w:p w14:paraId="53F599FB" w14:textId="77777777" w:rsidR="00465D38" w:rsidRDefault="00465D38" w:rsidP="00465D38">
            <w:pPr>
              <w:spacing w:line="276" w:lineRule="auto"/>
              <w:jc w:val="right"/>
              <w:rPr>
                <w:rFonts w:ascii="Arial" w:hAnsi="Arial" w:cs="Arial"/>
                <w:b/>
              </w:rPr>
            </w:pPr>
          </w:p>
          <w:p w14:paraId="62CAE654" w14:textId="77777777" w:rsidR="00465D38" w:rsidRDefault="00465D38" w:rsidP="00465D38">
            <w:pPr>
              <w:spacing w:line="276" w:lineRule="auto"/>
              <w:jc w:val="right"/>
              <w:rPr>
                <w:rFonts w:ascii="Arial" w:hAnsi="Arial" w:cs="Arial"/>
                <w:b/>
              </w:rPr>
            </w:pPr>
          </w:p>
          <w:p w14:paraId="7171D561" w14:textId="45F92520" w:rsidR="00465D38" w:rsidRPr="00E26D69" w:rsidRDefault="00465D38" w:rsidP="00465D38">
            <w:pPr>
              <w:spacing w:line="276" w:lineRule="auto"/>
              <w:jc w:val="right"/>
              <w:rPr>
                <w:rFonts w:ascii="Arial" w:hAnsi="Arial" w:cs="Arial"/>
                <w:b/>
              </w:rPr>
            </w:pPr>
            <w:r>
              <w:rPr>
                <w:rFonts w:ascii="Arial" w:hAnsi="Arial" w:cs="Arial"/>
                <w:b/>
              </w:rPr>
              <w:t>£’000</w:t>
            </w:r>
          </w:p>
        </w:tc>
        <w:tc>
          <w:tcPr>
            <w:tcW w:w="1842" w:type="dxa"/>
            <w:shd w:val="clear" w:color="auto" w:fill="EAF1DD" w:themeFill="accent3" w:themeFillTint="33"/>
            <w:vAlign w:val="bottom"/>
          </w:tcPr>
          <w:p w14:paraId="2CC54D76" w14:textId="23D0AA78" w:rsidR="00E26D69" w:rsidRDefault="00E26D69" w:rsidP="00465D38">
            <w:pPr>
              <w:spacing w:line="276" w:lineRule="auto"/>
              <w:jc w:val="right"/>
              <w:rPr>
                <w:rFonts w:ascii="Arial" w:hAnsi="Arial" w:cs="Arial"/>
                <w:b/>
              </w:rPr>
            </w:pPr>
            <w:r w:rsidRPr="00E26D69">
              <w:rPr>
                <w:rFonts w:ascii="Arial" w:hAnsi="Arial" w:cs="Arial"/>
                <w:b/>
              </w:rPr>
              <w:t>Year to 31 March 202</w:t>
            </w:r>
            <w:r w:rsidR="00450612">
              <w:rPr>
                <w:rFonts w:ascii="Arial" w:hAnsi="Arial" w:cs="Arial"/>
                <w:b/>
              </w:rPr>
              <w:t>2</w:t>
            </w:r>
          </w:p>
          <w:p w14:paraId="3ED349B7" w14:textId="77777777" w:rsidR="00465D38" w:rsidRDefault="00465D38" w:rsidP="00465D38">
            <w:pPr>
              <w:spacing w:line="276" w:lineRule="auto"/>
              <w:jc w:val="right"/>
              <w:rPr>
                <w:rFonts w:ascii="Arial" w:hAnsi="Arial" w:cs="Arial"/>
                <w:b/>
              </w:rPr>
            </w:pPr>
          </w:p>
          <w:p w14:paraId="3713EC3D" w14:textId="02120BD4" w:rsidR="00465D38" w:rsidRPr="00E26D69" w:rsidRDefault="00465D38" w:rsidP="00465D38">
            <w:pPr>
              <w:spacing w:line="276" w:lineRule="auto"/>
              <w:jc w:val="right"/>
              <w:rPr>
                <w:rFonts w:ascii="Arial" w:hAnsi="Arial" w:cs="Arial"/>
                <w:b/>
              </w:rPr>
            </w:pPr>
            <w:r>
              <w:rPr>
                <w:rFonts w:ascii="Arial" w:hAnsi="Arial" w:cs="Arial"/>
                <w:b/>
              </w:rPr>
              <w:t>£’000</w:t>
            </w:r>
          </w:p>
        </w:tc>
      </w:tr>
      <w:tr w:rsidR="005A4491" w:rsidRPr="00E26D69" w14:paraId="15A60175" w14:textId="77777777" w:rsidTr="00296C62">
        <w:trPr>
          <w:trHeight w:val="454"/>
        </w:trPr>
        <w:tc>
          <w:tcPr>
            <w:tcW w:w="5387" w:type="dxa"/>
            <w:vAlign w:val="bottom"/>
          </w:tcPr>
          <w:p w14:paraId="59F83DFC" w14:textId="77777777" w:rsidR="00E26D69" w:rsidRPr="00E26D69" w:rsidRDefault="00E26D69" w:rsidP="008A6290">
            <w:pPr>
              <w:spacing w:line="276" w:lineRule="auto"/>
              <w:ind w:left="-93"/>
              <w:rPr>
                <w:rFonts w:ascii="Arial" w:hAnsi="Arial" w:cs="Arial"/>
              </w:rPr>
            </w:pPr>
            <w:r w:rsidRPr="00E26D69">
              <w:rPr>
                <w:rFonts w:ascii="Arial" w:hAnsi="Arial" w:cs="Arial"/>
              </w:rPr>
              <w:t>Wages and salaries</w:t>
            </w:r>
          </w:p>
        </w:tc>
        <w:tc>
          <w:tcPr>
            <w:tcW w:w="1985" w:type="dxa"/>
            <w:shd w:val="clear" w:color="auto" w:fill="EAF1DD" w:themeFill="accent3" w:themeFillTint="33"/>
            <w:vAlign w:val="bottom"/>
          </w:tcPr>
          <w:p w14:paraId="236EC590" w14:textId="50CC4C5E" w:rsidR="00E26D69" w:rsidRPr="00E26D69" w:rsidRDefault="00330EFE" w:rsidP="00D547E0">
            <w:pPr>
              <w:jc w:val="right"/>
              <w:rPr>
                <w:rFonts w:ascii="Arial" w:hAnsi="Arial" w:cs="Arial"/>
              </w:rPr>
            </w:pPr>
            <w:r>
              <w:rPr>
                <w:rFonts w:ascii="Arial" w:hAnsi="Arial" w:cs="Arial"/>
              </w:rPr>
              <w:t>45,</w:t>
            </w:r>
            <w:r w:rsidR="000F63F4">
              <w:rPr>
                <w:rFonts w:ascii="Arial" w:hAnsi="Arial" w:cs="Arial"/>
              </w:rPr>
              <w:t>83</w:t>
            </w:r>
            <w:r w:rsidR="00CC4BFA">
              <w:rPr>
                <w:rFonts w:ascii="Arial" w:hAnsi="Arial" w:cs="Arial"/>
              </w:rPr>
              <w:t>1</w:t>
            </w:r>
          </w:p>
        </w:tc>
        <w:tc>
          <w:tcPr>
            <w:tcW w:w="1134" w:type="dxa"/>
            <w:shd w:val="clear" w:color="auto" w:fill="EAF1DD" w:themeFill="accent3" w:themeFillTint="33"/>
            <w:vAlign w:val="bottom"/>
          </w:tcPr>
          <w:p w14:paraId="6B9DF70F" w14:textId="67BB6BC0" w:rsidR="00E26D69" w:rsidRPr="00E26D69" w:rsidRDefault="000F63F4" w:rsidP="00D547E0">
            <w:pPr>
              <w:jc w:val="right"/>
              <w:rPr>
                <w:rFonts w:ascii="Arial" w:hAnsi="Arial" w:cs="Arial"/>
              </w:rPr>
            </w:pPr>
            <w:r>
              <w:rPr>
                <w:rFonts w:ascii="Arial" w:hAnsi="Arial" w:cs="Arial"/>
              </w:rPr>
              <w:t>238</w:t>
            </w:r>
          </w:p>
        </w:tc>
        <w:tc>
          <w:tcPr>
            <w:tcW w:w="1842" w:type="dxa"/>
            <w:shd w:val="clear" w:color="auto" w:fill="EAF1DD" w:themeFill="accent3" w:themeFillTint="33"/>
            <w:vAlign w:val="bottom"/>
          </w:tcPr>
          <w:p w14:paraId="261BDACF" w14:textId="6D1E6D63" w:rsidR="00E26D69" w:rsidRPr="00E26D69" w:rsidRDefault="00330EFE" w:rsidP="00D547E0">
            <w:pPr>
              <w:jc w:val="right"/>
              <w:rPr>
                <w:rFonts w:ascii="Arial" w:hAnsi="Arial" w:cs="Arial"/>
              </w:rPr>
            </w:pPr>
            <w:r>
              <w:rPr>
                <w:rFonts w:ascii="Arial" w:hAnsi="Arial" w:cs="Arial"/>
              </w:rPr>
              <w:t>46,06</w:t>
            </w:r>
            <w:r w:rsidR="00CC4BFA">
              <w:rPr>
                <w:rFonts w:ascii="Arial" w:hAnsi="Arial" w:cs="Arial"/>
              </w:rPr>
              <w:t>9</w:t>
            </w:r>
          </w:p>
        </w:tc>
      </w:tr>
      <w:tr w:rsidR="005A4491" w:rsidRPr="00E26D69" w14:paraId="2852B6B9" w14:textId="77777777" w:rsidTr="00296C62">
        <w:trPr>
          <w:trHeight w:val="454"/>
        </w:trPr>
        <w:tc>
          <w:tcPr>
            <w:tcW w:w="5387" w:type="dxa"/>
            <w:vAlign w:val="bottom"/>
          </w:tcPr>
          <w:p w14:paraId="1C929935" w14:textId="77777777" w:rsidR="00E26D69" w:rsidRPr="00E26D69" w:rsidRDefault="00E26D69" w:rsidP="008A6290">
            <w:pPr>
              <w:spacing w:line="276" w:lineRule="auto"/>
              <w:ind w:left="-93"/>
              <w:rPr>
                <w:rFonts w:ascii="Arial" w:hAnsi="Arial" w:cs="Arial"/>
              </w:rPr>
            </w:pPr>
            <w:r w:rsidRPr="00E26D69">
              <w:rPr>
                <w:rFonts w:ascii="Arial" w:hAnsi="Arial" w:cs="Arial"/>
              </w:rPr>
              <w:t>Social security costs</w:t>
            </w:r>
          </w:p>
        </w:tc>
        <w:tc>
          <w:tcPr>
            <w:tcW w:w="1985" w:type="dxa"/>
            <w:shd w:val="clear" w:color="auto" w:fill="EAF1DD" w:themeFill="accent3" w:themeFillTint="33"/>
            <w:vAlign w:val="bottom"/>
          </w:tcPr>
          <w:p w14:paraId="3F0C4678" w14:textId="42AF6637" w:rsidR="00E26D69" w:rsidRPr="00E26D69" w:rsidRDefault="00167866" w:rsidP="00D547E0">
            <w:pPr>
              <w:jc w:val="right"/>
              <w:rPr>
                <w:rFonts w:ascii="Arial" w:hAnsi="Arial" w:cs="Arial"/>
              </w:rPr>
            </w:pPr>
            <w:r>
              <w:rPr>
                <w:rFonts w:ascii="Arial" w:hAnsi="Arial" w:cs="Arial"/>
              </w:rPr>
              <w:t>4,672</w:t>
            </w:r>
          </w:p>
        </w:tc>
        <w:tc>
          <w:tcPr>
            <w:tcW w:w="1134" w:type="dxa"/>
            <w:shd w:val="clear" w:color="auto" w:fill="EAF1DD" w:themeFill="accent3" w:themeFillTint="33"/>
            <w:vAlign w:val="bottom"/>
          </w:tcPr>
          <w:p w14:paraId="54F8369E" w14:textId="3860D274" w:rsidR="00E26D69" w:rsidRPr="00E26D69" w:rsidRDefault="00167866" w:rsidP="00D547E0">
            <w:pPr>
              <w:jc w:val="right"/>
              <w:rPr>
                <w:rFonts w:ascii="Arial" w:hAnsi="Arial" w:cs="Arial"/>
              </w:rPr>
            </w:pPr>
            <w:r>
              <w:rPr>
                <w:rFonts w:ascii="Arial" w:hAnsi="Arial" w:cs="Arial"/>
              </w:rPr>
              <w:t>24</w:t>
            </w:r>
          </w:p>
        </w:tc>
        <w:tc>
          <w:tcPr>
            <w:tcW w:w="1842" w:type="dxa"/>
            <w:shd w:val="clear" w:color="auto" w:fill="EAF1DD" w:themeFill="accent3" w:themeFillTint="33"/>
            <w:vAlign w:val="bottom"/>
          </w:tcPr>
          <w:p w14:paraId="5154411C" w14:textId="027A12FB" w:rsidR="00E26D69" w:rsidRPr="00E26D69" w:rsidRDefault="00167866" w:rsidP="00D547E0">
            <w:pPr>
              <w:jc w:val="right"/>
              <w:rPr>
                <w:rFonts w:ascii="Arial" w:hAnsi="Arial" w:cs="Arial"/>
              </w:rPr>
            </w:pPr>
            <w:r>
              <w:rPr>
                <w:rFonts w:ascii="Arial" w:hAnsi="Arial" w:cs="Arial"/>
              </w:rPr>
              <w:t>4,696</w:t>
            </w:r>
          </w:p>
        </w:tc>
      </w:tr>
      <w:tr w:rsidR="005A4491" w:rsidRPr="00E26D69" w14:paraId="4A248BA8" w14:textId="77777777" w:rsidTr="00296C62">
        <w:trPr>
          <w:trHeight w:val="454"/>
        </w:trPr>
        <w:tc>
          <w:tcPr>
            <w:tcW w:w="5387" w:type="dxa"/>
            <w:vAlign w:val="bottom"/>
          </w:tcPr>
          <w:p w14:paraId="0838B219" w14:textId="77777777" w:rsidR="00E26D69" w:rsidRPr="00E26D69" w:rsidRDefault="00E26D69" w:rsidP="008A6290">
            <w:pPr>
              <w:spacing w:line="276" w:lineRule="auto"/>
              <w:ind w:left="-93"/>
              <w:rPr>
                <w:rFonts w:ascii="Arial" w:hAnsi="Arial" w:cs="Arial"/>
              </w:rPr>
            </w:pPr>
            <w:r w:rsidRPr="00E26D69">
              <w:rPr>
                <w:rFonts w:ascii="Arial" w:hAnsi="Arial" w:cs="Arial"/>
              </w:rPr>
              <w:t>Apprenticeship levy</w:t>
            </w:r>
          </w:p>
        </w:tc>
        <w:tc>
          <w:tcPr>
            <w:tcW w:w="1985" w:type="dxa"/>
            <w:shd w:val="clear" w:color="auto" w:fill="EAF1DD" w:themeFill="accent3" w:themeFillTint="33"/>
            <w:vAlign w:val="bottom"/>
          </w:tcPr>
          <w:p w14:paraId="0215293A" w14:textId="75A51748" w:rsidR="00E26D69" w:rsidRPr="00E26D69" w:rsidRDefault="00C60582" w:rsidP="00D547E0">
            <w:pPr>
              <w:jc w:val="right"/>
              <w:rPr>
                <w:rFonts w:ascii="Arial" w:hAnsi="Arial" w:cs="Arial"/>
              </w:rPr>
            </w:pPr>
            <w:r>
              <w:rPr>
                <w:rFonts w:ascii="Arial" w:hAnsi="Arial" w:cs="Arial"/>
              </w:rPr>
              <w:t>215</w:t>
            </w:r>
          </w:p>
        </w:tc>
        <w:tc>
          <w:tcPr>
            <w:tcW w:w="1134" w:type="dxa"/>
            <w:shd w:val="clear" w:color="auto" w:fill="EAF1DD" w:themeFill="accent3" w:themeFillTint="33"/>
            <w:vAlign w:val="bottom"/>
          </w:tcPr>
          <w:p w14:paraId="00DB35C5" w14:textId="61A21DC7" w:rsidR="00E26D69" w:rsidRPr="00E26D69" w:rsidRDefault="00C60582" w:rsidP="00D547E0">
            <w:pPr>
              <w:jc w:val="right"/>
              <w:rPr>
                <w:rFonts w:ascii="Arial" w:hAnsi="Arial" w:cs="Arial"/>
              </w:rPr>
            </w:pPr>
            <w:r>
              <w:rPr>
                <w:rFonts w:ascii="Arial" w:hAnsi="Arial" w:cs="Arial"/>
              </w:rPr>
              <w:t>1</w:t>
            </w:r>
          </w:p>
        </w:tc>
        <w:tc>
          <w:tcPr>
            <w:tcW w:w="1842" w:type="dxa"/>
            <w:shd w:val="clear" w:color="auto" w:fill="EAF1DD" w:themeFill="accent3" w:themeFillTint="33"/>
            <w:vAlign w:val="bottom"/>
          </w:tcPr>
          <w:p w14:paraId="74AA73AC" w14:textId="42F43A1B" w:rsidR="00E26D69" w:rsidRPr="00E26D69" w:rsidRDefault="00C60582" w:rsidP="00D547E0">
            <w:pPr>
              <w:jc w:val="right"/>
              <w:rPr>
                <w:rFonts w:ascii="Arial" w:hAnsi="Arial" w:cs="Arial"/>
              </w:rPr>
            </w:pPr>
            <w:r>
              <w:rPr>
                <w:rFonts w:ascii="Arial" w:hAnsi="Arial" w:cs="Arial"/>
              </w:rPr>
              <w:t>216</w:t>
            </w:r>
          </w:p>
        </w:tc>
      </w:tr>
      <w:tr w:rsidR="00863090" w:rsidRPr="00E26D69" w14:paraId="5ED2E5D1" w14:textId="77777777" w:rsidTr="00296C62">
        <w:trPr>
          <w:trHeight w:val="454"/>
        </w:trPr>
        <w:tc>
          <w:tcPr>
            <w:tcW w:w="5387" w:type="dxa"/>
            <w:vAlign w:val="bottom"/>
          </w:tcPr>
          <w:p w14:paraId="770E94B4" w14:textId="77777777" w:rsidR="00E26D69" w:rsidRPr="00E26D69" w:rsidRDefault="00E26D69" w:rsidP="008A6290">
            <w:pPr>
              <w:spacing w:line="276" w:lineRule="auto"/>
              <w:ind w:left="-93"/>
              <w:rPr>
                <w:rFonts w:ascii="Arial" w:hAnsi="Arial" w:cs="Arial"/>
              </w:rPr>
            </w:pPr>
            <w:r w:rsidRPr="00E26D69">
              <w:rPr>
                <w:rFonts w:ascii="Arial" w:hAnsi="Arial" w:cs="Arial"/>
              </w:rPr>
              <w:t>Pension costs</w:t>
            </w:r>
          </w:p>
        </w:tc>
        <w:tc>
          <w:tcPr>
            <w:tcW w:w="1985" w:type="dxa"/>
            <w:tcBorders>
              <w:bottom w:val="single" w:sz="4" w:space="0" w:color="auto"/>
            </w:tcBorders>
            <w:shd w:val="clear" w:color="auto" w:fill="EAF1DD" w:themeFill="accent3" w:themeFillTint="33"/>
            <w:vAlign w:val="bottom"/>
          </w:tcPr>
          <w:p w14:paraId="056BB415" w14:textId="7F25042E" w:rsidR="00E26D69" w:rsidRPr="00E26D69" w:rsidRDefault="000547EC" w:rsidP="00D547E0">
            <w:pPr>
              <w:jc w:val="right"/>
              <w:rPr>
                <w:rFonts w:ascii="Arial" w:hAnsi="Arial" w:cs="Arial"/>
              </w:rPr>
            </w:pPr>
            <w:r>
              <w:rPr>
                <w:rFonts w:ascii="Arial" w:hAnsi="Arial" w:cs="Arial"/>
              </w:rPr>
              <w:t>8,960</w:t>
            </w:r>
          </w:p>
        </w:tc>
        <w:tc>
          <w:tcPr>
            <w:tcW w:w="1134" w:type="dxa"/>
            <w:tcBorders>
              <w:bottom w:val="single" w:sz="4" w:space="0" w:color="auto"/>
            </w:tcBorders>
            <w:shd w:val="clear" w:color="auto" w:fill="EAF1DD" w:themeFill="accent3" w:themeFillTint="33"/>
            <w:vAlign w:val="bottom"/>
          </w:tcPr>
          <w:p w14:paraId="0FE83251" w14:textId="50DC33B8" w:rsidR="00E26D69" w:rsidRPr="00E26D69" w:rsidRDefault="000547EC" w:rsidP="00D547E0">
            <w:pPr>
              <w:jc w:val="right"/>
              <w:rPr>
                <w:rFonts w:ascii="Arial" w:hAnsi="Arial" w:cs="Arial"/>
              </w:rPr>
            </w:pPr>
            <w:r>
              <w:rPr>
                <w:rFonts w:ascii="Arial" w:hAnsi="Arial" w:cs="Arial"/>
              </w:rPr>
              <w:t>47</w:t>
            </w:r>
          </w:p>
        </w:tc>
        <w:tc>
          <w:tcPr>
            <w:tcW w:w="1842" w:type="dxa"/>
            <w:tcBorders>
              <w:bottom w:val="single" w:sz="4" w:space="0" w:color="auto"/>
            </w:tcBorders>
            <w:shd w:val="clear" w:color="auto" w:fill="EAF1DD" w:themeFill="accent3" w:themeFillTint="33"/>
            <w:vAlign w:val="bottom"/>
          </w:tcPr>
          <w:p w14:paraId="59DF191A" w14:textId="7E7EDEB6" w:rsidR="00E26D69" w:rsidRPr="00E26D69" w:rsidRDefault="000547EC" w:rsidP="00D547E0">
            <w:pPr>
              <w:jc w:val="right"/>
              <w:rPr>
                <w:rFonts w:ascii="Arial" w:hAnsi="Arial" w:cs="Arial"/>
              </w:rPr>
            </w:pPr>
            <w:r>
              <w:rPr>
                <w:rFonts w:ascii="Arial" w:hAnsi="Arial" w:cs="Arial"/>
              </w:rPr>
              <w:t>9</w:t>
            </w:r>
            <w:r w:rsidR="005D56F6">
              <w:rPr>
                <w:rFonts w:ascii="Arial" w:hAnsi="Arial" w:cs="Arial"/>
              </w:rPr>
              <w:t>,</w:t>
            </w:r>
            <w:r>
              <w:rPr>
                <w:rFonts w:ascii="Arial" w:hAnsi="Arial" w:cs="Arial"/>
              </w:rPr>
              <w:t>007</w:t>
            </w:r>
          </w:p>
        </w:tc>
      </w:tr>
      <w:tr w:rsidR="00863090" w:rsidRPr="00E26D69" w14:paraId="7A8740B1" w14:textId="77777777" w:rsidTr="00296C62">
        <w:trPr>
          <w:trHeight w:val="454"/>
        </w:trPr>
        <w:tc>
          <w:tcPr>
            <w:tcW w:w="5387" w:type="dxa"/>
            <w:vAlign w:val="bottom"/>
          </w:tcPr>
          <w:p w14:paraId="5BC767EE" w14:textId="77777777" w:rsidR="00E26D69" w:rsidRPr="00E26D69" w:rsidRDefault="00E26D69" w:rsidP="008A6290">
            <w:pPr>
              <w:spacing w:line="276" w:lineRule="auto"/>
              <w:ind w:left="-93"/>
              <w:rPr>
                <w:rFonts w:ascii="Arial" w:hAnsi="Arial" w:cs="Arial"/>
                <w:b/>
                <w:bCs/>
              </w:rPr>
            </w:pPr>
            <w:r w:rsidRPr="00E26D69">
              <w:rPr>
                <w:rFonts w:ascii="Arial" w:hAnsi="Arial" w:cs="Arial"/>
                <w:b/>
              </w:rPr>
              <w:t>Subtotal of payroll costs</w:t>
            </w:r>
          </w:p>
        </w:tc>
        <w:tc>
          <w:tcPr>
            <w:tcW w:w="1985" w:type="dxa"/>
            <w:tcBorders>
              <w:top w:val="single" w:sz="4" w:space="0" w:color="auto"/>
              <w:bottom w:val="single" w:sz="4" w:space="0" w:color="auto"/>
            </w:tcBorders>
            <w:shd w:val="clear" w:color="auto" w:fill="EAF1DD" w:themeFill="accent3" w:themeFillTint="33"/>
            <w:vAlign w:val="bottom"/>
          </w:tcPr>
          <w:p w14:paraId="0BEAE99C" w14:textId="640533E3" w:rsidR="00E26D69" w:rsidRPr="00E26D69" w:rsidRDefault="005D56F6" w:rsidP="00D547E0">
            <w:pPr>
              <w:jc w:val="right"/>
              <w:rPr>
                <w:rFonts w:ascii="Arial" w:hAnsi="Arial" w:cs="Arial"/>
                <w:b/>
              </w:rPr>
            </w:pPr>
            <w:r>
              <w:rPr>
                <w:rFonts w:ascii="Arial" w:hAnsi="Arial" w:cs="Arial"/>
                <w:b/>
              </w:rPr>
              <w:t>59,</w:t>
            </w:r>
            <w:r w:rsidR="00805DE5">
              <w:rPr>
                <w:rFonts w:ascii="Arial" w:hAnsi="Arial" w:cs="Arial"/>
                <w:b/>
              </w:rPr>
              <w:t>67</w:t>
            </w:r>
            <w:r w:rsidR="0070255E">
              <w:rPr>
                <w:rFonts w:ascii="Arial" w:hAnsi="Arial" w:cs="Arial"/>
                <w:b/>
              </w:rPr>
              <w:t>8</w:t>
            </w:r>
          </w:p>
        </w:tc>
        <w:tc>
          <w:tcPr>
            <w:tcW w:w="1134" w:type="dxa"/>
            <w:tcBorders>
              <w:top w:val="single" w:sz="4" w:space="0" w:color="auto"/>
              <w:bottom w:val="single" w:sz="4" w:space="0" w:color="auto"/>
            </w:tcBorders>
            <w:shd w:val="clear" w:color="auto" w:fill="EAF1DD" w:themeFill="accent3" w:themeFillTint="33"/>
            <w:vAlign w:val="bottom"/>
          </w:tcPr>
          <w:p w14:paraId="4E10B879" w14:textId="5D1E0088" w:rsidR="00E26D69" w:rsidRPr="00E26D69" w:rsidRDefault="00805DE5" w:rsidP="00D547E0">
            <w:pPr>
              <w:jc w:val="right"/>
              <w:rPr>
                <w:rFonts w:ascii="Arial" w:hAnsi="Arial" w:cs="Arial"/>
                <w:b/>
              </w:rPr>
            </w:pPr>
            <w:r>
              <w:rPr>
                <w:rFonts w:ascii="Arial" w:hAnsi="Arial" w:cs="Arial"/>
                <w:b/>
              </w:rPr>
              <w:t>310</w:t>
            </w:r>
          </w:p>
        </w:tc>
        <w:tc>
          <w:tcPr>
            <w:tcW w:w="1842" w:type="dxa"/>
            <w:tcBorders>
              <w:top w:val="single" w:sz="4" w:space="0" w:color="auto"/>
              <w:bottom w:val="single" w:sz="4" w:space="0" w:color="auto"/>
            </w:tcBorders>
            <w:shd w:val="clear" w:color="auto" w:fill="EAF1DD" w:themeFill="accent3" w:themeFillTint="33"/>
            <w:vAlign w:val="bottom"/>
          </w:tcPr>
          <w:p w14:paraId="7281D9A3" w14:textId="5DF71A2D" w:rsidR="00E26D69" w:rsidRPr="00E26D69" w:rsidRDefault="002B0E2E" w:rsidP="00D547E0">
            <w:pPr>
              <w:jc w:val="right"/>
              <w:rPr>
                <w:rFonts w:ascii="Arial" w:hAnsi="Arial" w:cs="Arial"/>
                <w:b/>
              </w:rPr>
            </w:pPr>
            <w:r>
              <w:rPr>
                <w:rFonts w:ascii="Arial" w:hAnsi="Arial" w:cs="Arial"/>
                <w:b/>
              </w:rPr>
              <w:t>59,98</w:t>
            </w:r>
            <w:r w:rsidR="0070255E">
              <w:rPr>
                <w:rFonts w:ascii="Arial" w:hAnsi="Arial" w:cs="Arial"/>
                <w:b/>
              </w:rPr>
              <w:t>8</w:t>
            </w:r>
          </w:p>
        </w:tc>
      </w:tr>
      <w:tr w:rsidR="0086791E" w:rsidRPr="00E26D69" w14:paraId="752DA574" w14:textId="77777777" w:rsidTr="00296C62">
        <w:trPr>
          <w:trHeight w:val="829"/>
        </w:trPr>
        <w:tc>
          <w:tcPr>
            <w:tcW w:w="8506" w:type="dxa"/>
            <w:gridSpan w:val="3"/>
            <w:vAlign w:val="bottom"/>
          </w:tcPr>
          <w:p w14:paraId="22922E7A" w14:textId="208E7829" w:rsidR="00E26D69" w:rsidRPr="00E26D69" w:rsidRDefault="00E26D69" w:rsidP="008A6290">
            <w:pPr>
              <w:spacing w:line="276" w:lineRule="auto"/>
              <w:ind w:left="-93"/>
              <w:rPr>
                <w:rFonts w:ascii="Arial" w:hAnsi="Arial" w:cs="Arial"/>
              </w:rPr>
            </w:pPr>
            <w:r w:rsidRPr="00E26D69">
              <w:rPr>
                <w:rFonts w:ascii="Arial" w:hAnsi="Arial" w:cs="Arial"/>
              </w:rPr>
              <w:t>Other staff related costs (principally recruitment fees, staff subsistence, training costs</w:t>
            </w:r>
            <w:r w:rsidR="00EA43CF">
              <w:rPr>
                <w:rFonts w:ascii="Arial" w:hAnsi="Arial" w:cs="Arial"/>
              </w:rPr>
              <w:t>,</w:t>
            </w:r>
            <w:r w:rsidRPr="00E26D69">
              <w:rPr>
                <w:rFonts w:ascii="Arial" w:hAnsi="Arial" w:cs="Arial"/>
              </w:rPr>
              <w:t xml:space="preserve"> and hiring agency and temporary staff)</w:t>
            </w:r>
          </w:p>
        </w:tc>
        <w:tc>
          <w:tcPr>
            <w:tcW w:w="1842" w:type="dxa"/>
            <w:shd w:val="clear" w:color="auto" w:fill="EAF1DD" w:themeFill="accent3" w:themeFillTint="33"/>
            <w:vAlign w:val="bottom"/>
          </w:tcPr>
          <w:p w14:paraId="5D0DCAE5" w14:textId="22F89434" w:rsidR="00E26D69" w:rsidRPr="00E26D69" w:rsidRDefault="002B0E2E" w:rsidP="00D547E0">
            <w:pPr>
              <w:jc w:val="right"/>
              <w:rPr>
                <w:rFonts w:ascii="Arial" w:hAnsi="Arial" w:cs="Arial"/>
              </w:rPr>
            </w:pPr>
            <w:r>
              <w:rPr>
                <w:rFonts w:ascii="Arial" w:hAnsi="Arial" w:cs="Arial"/>
              </w:rPr>
              <w:t>393</w:t>
            </w:r>
          </w:p>
        </w:tc>
      </w:tr>
      <w:tr w:rsidR="00863090" w:rsidRPr="00E26D69" w14:paraId="500902CD" w14:textId="77777777" w:rsidTr="00296C62">
        <w:trPr>
          <w:trHeight w:val="454"/>
        </w:trPr>
        <w:tc>
          <w:tcPr>
            <w:tcW w:w="5387" w:type="dxa"/>
            <w:vAlign w:val="bottom"/>
          </w:tcPr>
          <w:p w14:paraId="7331536A" w14:textId="2A0533FA" w:rsidR="00E26D69" w:rsidRPr="00D4005A" w:rsidRDefault="00E26D69" w:rsidP="008A6290">
            <w:pPr>
              <w:spacing w:line="276" w:lineRule="auto"/>
              <w:ind w:left="-93"/>
              <w:rPr>
                <w:rFonts w:ascii="Arial" w:hAnsi="Arial" w:cs="Arial"/>
              </w:rPr>
            </w:pPr>
            <w:r w:rsidRPr="00D4005A">
              <w:rPr>
                <w:rFonts w:ascii="Arial" w:hAnsi="Arial" w:cs="Arial"/>
              </w:rPr>
              <w:t>IAS</w:t>
            </w:r>
            <w:r w:rsidR="008A69D3">
              <w:rPr>
                <w:rFonts w:ascii="Arial" w:hAnsi="Arial" w:cs="Arial"/>
              </w:rPr>
              <w:t xml:space="preserve"> </w:t>
            </w:r>
            <w:r w:rsidRPr="00D4005A">
              <w:rPr>
                <w:rFonts w:ascii="Arial" w:hAnsi="Arial" w:cs="Arial"/>
              </w:rPr>
              <w:t>19 pension charge (</w:t>
            </w:r>
            <w:hyperlink w:anchor="Note16IAS19DetailsofentriesintheStatemen" w:history="1">
              <w:r w:rsidRPr="00296C62">
                <w:rPr>
                  <w:rStyle w:val="Hyperlink"/>
                  <w:rFonts w:ascii="Arial" w:hAnsi="Arial" w:cs="Arial"/>
                </w:rPr>
                <w:t>note 16</w:t>
              </w:r>
            </w:hyperlink>
            <w:r w:rsidRPr="00D4005A">
              <w:rPr>
                <w:rFonts w:ascii="Arial" w:hAnsi="Arial" w:cs="Arial"/>
              </w:rPr>
              <w:t>)</w:t>
            </w:r>
          </w:p>
        </w:tc>
        <w:tc>
          <w:tcPr>
            <w:tcW w:w="1985" w:type="dxa"/>
            <w:noWrap/>
            <w:vAlign w:val="bottom"/>
          </w:tcPr>
          <w:p w14:paraId="465A0883" w14:textId="77777777" w:rsidR="00E26D69" w:rsidRPr="00E26D69" w:rsidRDefault="00E26D69" w:rsidP="00D547E0">
            <w:pPr>
              <w:jc w:val="right"/>
              <w:rPr>
                <w:rFonts w:ascii="Arial" w:hAnsi="Arial" w:cs="Arial"/>
              </w:rPr>
            </w:pPr>
          </w:p>
        </w:tc>
        <w:tc>
          <w:tcPr>
            <w:tcW w:w="1134" w:type="dxa"/>
            <w:noWrap/>
            <w:vAlign w:val="bottom"/>
          </w:tcPr>
          <w:p w14:paraId="07055EF0" w14:textId="77777777" w:rsidR="00E26D69" w:rsidRPr="00E26D69" w:rsidRDefault="00E26D69" w:rsidP="00D547E0">
            <w:pPr>
              <w:jc w:val="right"/>
              <w:rPr>
                <w:rFonts w:ascii="Arial" w:hAnsi="Arial" w:cs="Arial"/>
              </w:rPr>
            </w:pPr>
          </w:p>
        </w:tc>
        <w:tc>
          <w:tcPr>
            <w:tcW w:w="1842" w:type="dxa"/>
            <w:shd w:val="clear" w:color="auto" w:fill="EAF1DD" w:themeFill="accent3" w:themeFillTint="33"/>
            <w:vAlign w:val="bottom"/>
          </w:tcPr>
          <w:p w14:paraId="7417CC64" w14:textId="04601018" w:rsidR="00E26D69" w:rsidRPr="00E26D69" w:rsidRDefault="002B0E2E" w:rsidP="00D547E0">
            <w:pPr>
              <w:jc w:val="right"/>
              <w:rPr>
                <w:rFonts w:ascii="Arial" w:hAnsi="Arial" w:cs="Arial"/>
              </w:rPr>
            </w:pPr>
            <w:r>
              <w:rPr>
                <w:rFonts w:ascii="Arial" w:hAnsi="Arial" w:cs="Arial"/>
              </w:rPr>
              <w:t>16,023</w:t>
            </w:r>
          </w:p>
        </w:tc>
      </w:tr>
      <w:tr w:rsidR="00863090" w:rsidRPr="00E26D69" w14:paraId="5B077748" w14:textId="77777777" w:rsidTr="00296C62">
        <w:trPr>
          <w:trHeight w:val="454"/>
        </w:trPr>
        <w:tc>
          <w:tcPr>
            <w:tcW w:w="5387" w:type="dxa"/>
            <w:vAlign w:val="bottom"/>
          </w:tcPr>
          <w:p w14:paraId="04BD50A9" w14:textId="5C0E457E" w:rsidR="00E26D69" w:rsidRPr="00D4005A" w:rsidRDefault="00E26D69" w:rsidP="008A6290">
            <w:pPr>
              <w:spacing w:line="276" w:lineRule="auto"/>
              <w:ind w:left="-93"/>
              <w:rPr>
                <w:rFonts w:ascii="Arial" w:hAnsi="Arial" w:cs="Arial"/>
              </w:rPr>
            </w:pPr>
            <w:r w:rsidRPr="00D4005A">
              <w:rPr>
                <w:rFonts w:ascii="Arial" w:hAnsi="Arial" w:cs="Arial"/>
              </w:rPr>
              <w:t>Life Assurance provision (</w:t>
            </w:r>
            <w:hyperlink w:anchor="Note13Provisionforliabilitiesandcharges" w:history="1">
              <w:r w:rsidRPr="00296C62">
                <w:rPr>
                  <w:rStyle w:val="Hyperlink"/>
                  <w:rFonts w:ascii="Arial" w:hAnsi="Arial" w:cs="Arial"/>
                </w:rPr>
                <w:t>note 13</w:t>
              </w:r>
            </w:hyperlink>
            <w:r w:rsidRPr="00D4005A">
              <w:rPr>
                <w:rFonts w:ascii="Arial" w:hAnsi="Arial" w:cs="Arial"/>
              </w:rPr>
              <w:t>)</w:t>
            </w:r>
          </w:p>
        </w:tc>
        <w:tc>
          <w:tcPr>
            <w:tcW w:w="1985" w:type="dxa"/>
            <w:noWrap/>
            <w:vAlign w:val="bottom"/>
          </w:tcPr>
          <w:p w14:paraId="6DCC233B" w14:textId="77777777" w:rsidR="00E26D69" w:rsidRPr="00E26D69" w:rsidRDefault="00E26D69" w:rsidP="00D547E0">
            <w:pPr>
              <w:rPr>
                <w:rFonts w:ascii="Arial" w:hAnsi="Arial" w:cs="Arial"/>
              </w:rPr>
            </w:pPr>
          </w:p>
        </w:tc>
        <w:tc>
          <w:tcPr>
            <w:tcW w:w="1134" w:type="dxa"/>
            <w:noWrap/>
            <w:vAlign w:val="bottom"/>
          </w:tcPr>
          <w:p w14:paraId="4B708558" w14:textId="77777777" w:rsidR="00E26D69" w:rsidRPr="00E26D69" w:rsidRDefault="00E26D69" w:rsidP="00D547E0">
            <w:pPr>
              <w:jc w:val="right"/>
              <w:rPr>
                <w:rFonts w:ascii="Arial" w:hAnsi="Arial" w:cs="Arial"/>
              </w:rPr>
            </w:pPr>
          </w:p>
        </w:tc>
        <w:tc>
          <w:tcPr>
            <w:tcW w:w="1842" w:type="dxa"/>
            <w:shd w:val="clear" w:color="auto" w:fill="EAF1DD" w:themeFill="accent3" w:themeFillTint="33"/>
            <w:vAlign w:val="bottom"/>
          </w:tcPr>
          <w:p w14:paraId="36B86500" w14:textId="63B2CB9C" w:rsidR="00E26D69" w:rsidRPr="00E26D69" w:rsidRDefault="00FC312C" w:rsidP="00D547E0">
            <w:pPr>
              <w:jc w:val="right"/>
              <w:rPr>
                <w:rFonts w:ascii="Arial" w:hAnsi="Arial" w:cs="Arial"/>
              </w:rPr>
            </w:pPr>
            <w:r>
              <w:rPr>
                <w:rFonts w:ascii="Arial" w:hAnsi="Arial" w:cs="Arial"/>
              </w:rPr>
              <w:t>82</w:t>
            </w:r>
          </w:p>
        </w:tc>
      </w:tr>
      <w:tr w:rsidR="00863090" w:rsidRPr="00E26D69" w14:paraId="522D2B77" w14:textId="77777777" w:rsidTr="00296C62">
        <w:trPr>
          <w:trHeight w:val="454"/>
        </w:trPr>
        <w:tc>
          <w:tcPr>
            <w:tcW w:w="5387" w:type="dxa"/>
            <w:vAlign w:val="bottom"/>
          </w:tcPr>
          <w:p w14:paraId="4877ED88" w14:textId="275C507B" w:rsidR="00E26D69" w:rsidRPr="00D4005A" w:rsidRDefault="00E26D69" w:rsidP="008A6290">
            <w:pPr>
              <w:spacing w:line="276" w:lineRule="auto"/>
              <w:ind w:left="-93"/>
              <w:rPr>
                <w:rFonts w:ascii="Arial" w:hAnsi="Arial" w:cs="Arial"/>
              </w:rPr>
            </w:pPr>
            <w:r w:rsidRPr="00D4005A">
              <w:rPr>
                <w:rFonts w:ascii="Arial" w:hAnsi="Arial" w:cs="Arial"/>
              </w:rPr>
              <w:t>Unfunded IAS 19 Pension charge (</w:t>
            </w:r>
            <w:hyperlink w:anchor="Note13Provisionforliabilitiesandcharges" w:history="1">
              <w:r w:rsidRPr="00296C62">
                <w:rPr>
                  <w:rStyle w:val="Hyperlink"/>
                  <w:rFonts w:ascii="Arial" w:hAnsi="Arial" w:cs="Arial"/>
                </w:rPr>
                <w:t>note 13</w:t>
              </w:r>
            </w:hyperlink>
            <w:r w:rsidRPr="00D4005A">
              <w:rPr>
                <w:rFonts w:ascii="Arial" w:hAnsi="Arial" w:cs="Arial"/>
              </w:rPr>
              <w:t>)</w:t>
            </w:r>
          </w:p>
        </w:tc>
        <w:tc>
          <w:tcPr>
            <w:tcW w:w="1985" w:type="dxa"/>
            <w:noWrap/>
            <w:vAlign w:val="bottom"/>
          </w:tcPr>
          <w:p w14:paraId="3BE05538" w14:textId="77777777" w:rsidR="00E26D69" w:rsidRPr="00E26D69" w:rsidRDefault="00E26D69" w:rsidP="00D547E0">
            <w:pPr>
              <w:rPr>
                <w:rFonts w:ascii="Arial" w:hAnsi="Arial" w:cs="Arial"/>
              </w:rPr>
            </w:pPr>
          </w:p>
        </w:tc>
        <w:tc>
          <w:tcPr>
            <w:tcW w:w="1134" w:type="dxa"/>
            <w:noWrap/>
            <w:vAlign w:val="bottom"/>
          </w:tcPr>
          <w:p w14:paraId="283224E1" w14:textId="77777777" w:rsidR="00E26D69" w:rsidRPr="00E26D69" w:rsidRDefault="00E26D69" w:rsidP="00D547E0">
            <w:pPr>
              <w:jc w:val="right"/>
              <w:rPr>
                <w:rFonts w:ascii="Arial" w:hAnsi="Arial" w:cs="Arial"/>
              </w:rPr>
            </w:pPr>
          </w:p>
        </w:tc>
        <w:tc>
          <w:tcPr>
            <w:tcW w:w="1842" w:type="dxa"/>
            <w:tcBorders>
              <w:bottom w:val="single" w:sz="4" w:space="0" w:color="auto"/>
            </w:tcBorders>
            <w:shd w:val="clear" w:color="auto" w:fill="EAF1DD" w:themeFill="accent3" w:themeFillTint="33"/>
            <w:vAlign w:val="bottom"/>
          </w:tcPr>
          <w:p w14:paraId="26BD95EB" w14:textId="0ED5B87A" w:rsidR="00E26D69" w:rsidRPr="00E26D69" w:rsidRDefault="00FC312C" w:rsidP="00D547E0">
            <w:pPr>
              <w:jc w:val="right"/>
              <w:rPr>
                <w:rFonts w:ascii="Arial" w:hAnsi="Arial" w:cs="Arial"/>
              </w:rPr>
            </w:pPr>
            <w:r>
              <w:rPr>
                <w:rFonts w:ascii="Arial" w:hAnsi="Arial" w:cs="Arial"/>
              </w:rPr>
              <w:t>22</w:t>
            </w:r>
          </w:p>
        </w:tc>
      </w:tr>
      <w:tr w:rsidR="005A4491" w:rsidRPr="00E26D69" w14:paraId="04D9532A" w14:textId="77777777" w:rsidTr="00296C62">
        <w:trPr>
          <w:trHeight w:val="454"/>
        </w:trPr>
        <w:tc>
          <w:tcPr>
            <w:tcW w:w="5387" w:type="dxa"/>
            <w:vAlign w:val="bottom"/>
          </w:tcPr>
          <w:p w14:paraId="29E95EEE" w14:textId="77777777" w:rsidR="00E26D69" w:rsidRPr="00E26D69" w:rsidRDefault="00E26D69" w:rsidP="00D547E0">
            <w:pPr>
              <w:rPr>
                <w:rFonts w:ascii="Arial" w:hAnsi="Arial" w:cs="Arial"/>
              </w:rPr>
            </w:pPr>
          </w:p>
        </w:tc>
        <w:tc>
          <w:tcPr>
            <w:tcW w:w="1985" w:type="dxa"/>
            <w:noWrap/>
            <w:vAlign w:val="bottom"/>
          </w:tcPr>
          <w:p w14:paraId="78EB9D1C" w14:textId="77777777" w:rsidR="00E26D69" w:rsidRPr="00E26D69" w:rsidRDefault="00E26D69" w:rsidP="00D547E0">
            <w:pPr>
              <w:jc w:val="right"/>
              <w:rPr>
                <w:rFonts w:ascii="Arial" w:hAnsi="Arial" w:cs="Arial"/>
              </w:rPr>
            </w:pPr>
          </w:p>
        </w:tc>
        <w:tc>
          <w:tcPr>
            <w:tcW w:w="1134" w:type="dxa"/>
            <w:noWrap/>
            <w:vAlign w:val="bottom"/>
          </w:tcPr>
          <w:p w14:paraId="01F73469" w14:textId="77777777" w:rsidR="00E26D69" w:rsidRPr="00E26D69" w:rsidRDefault="00E26D69" w:rsidP="00D547E0">
            <w:pPr>
              <w:jc w:val="right"/>
              <w:rPr>
                <w:rFonts w:ascii="Arial" w:hAnsi="Arial" w:cs="Arial"/>
                <w:color w:val="0000FF"/>
              </w:rPr>
            </w:pPr>
          </w:p>
        </w:tc>
        <w:tc>
          <w:tcPr>
            <w:tcW w:w="1842" w:type="dxa"/>
            <w:tcBorders>
              <w:top w:val="single" w:sz="4" w:space="0" w:color="auto"/>
              <w:bottom w:val="double" w:sz="4" w:space="0" w:color="auto"/>
            </w:tcBorders>
            <w:shd w:val="clear" w:color="auto" w:fill="EAF1DD" w:themeFill="accent3" w:themeFillTint="33"/>
            <w:vAlign w:val="bottom"/>
          </w:tcPr>
          <w:p w14:paraId="03A24FBA" w14:textId="770E4D0D" w:rsidR="00E26D69" w:rsidRPr="00E26D69" w:rsidRDefault="002B0E2E" w:rsidP="00D547E0">
            <w:pPr>
              <w:jc w:val="right"/>
              <w:rPr>
                <w:rFonts w:ascii="Arial" w:hAnsi="Arial" w:cs="Arial"/>
                <w:b/>
              </w:rPr>
            </w:pPr>
            <w:r>
              <w:rPr>
                <w:rFonts w:ascii="Arial" w:hAnsi="Arial" w:cs="Arial"/>
                <w:b/>
              </w:rPr>
              <w:t>76,50</w:t>
            </w:r>
            <w:r w:rsidR="0070255E">
              <w:rPr>
                <w:rFonts w:ascii="Arial" w:hAnsi="Arial" w:cs="Arial"/>
                <w:b/>
              </w:rPr>
              <w:t>8</w:t>
            </w:r>
          </w:p>
        </w:tc>
      </w:tr>
    </w:tbl>
    <w:p w14:paraId="4E677421" w14:textId="77777777" w:rsidR="00C76FD5" w:rsidRDefault="00C76FD5" w:rsidP="000331CB">
      <w:pPr>
        <w:spacing w:line="360" w:lineRule="auto"/>
        <w:jc w:val="both"/>
        <w:rPr>
          <w:rFonts w:ascii="Arial" w:hAnsi="Arial" w:cs="Arial"/>
        </w:rPr>
      </w:pPr>
    </w:p>
    <w:p w14:paraId="443ED9E0" w14:textId="5C0DBB96" w:rsidR="00CC2981" w:rsidRPr="00D4467A" w:rsidRDefault="00CC2981" w:rsidP="006B22C0">
      <w:pPr>
        <w:spacing w:line="360" w:lineRule="auto"/>
        <w:ind w:left="-142"/>
        <w:jc w:val="both"/>
        <w:rPr>
          <w:rFonts w:ascii="Arial" w:hAnsi="Arial" w:cs="Arial"/>
          <w:b/>
          <w:bCs/>
          <w:color w:val="000000" w:themeColor="text1"/>
        </w:rPr>
      </w:pPr>
      <w:r w:rsidRPr="00D4467A">
        <w:rPr>
          <w:rFonts w:ascii="Arial" w:hAnsi="Arial" w:cs="Arial"/>
          <w:b/>
          <w:bCs/>
          <w:color w:val="000000" w:themeColor="text1"/>
        </w:rPr>
        <w:t>Staff costs during the year to March 202</w:t>
      </w:r>
      <w:r w:rsidR="00450612">
        <w:rPr>
          <w:rFonts w:ascii="Arial" w:hAnsi="Arial" w:cs="Arial"/>
          <w:b/>
          <w:bCs/>
          <w:color w:val="000000" w:themeColor="text1"/>
        </w:rPr>
        <w:t>1</w:t>
      </w:r>
    </w:p>
    <w:tbl>
      <w:tblPr>
        <w:tblW w:w="10348" w:type="dxa"/>
        <w:tblInd w:w="-142" w:type="dxa"/>
        <w:shd w:val="clear" w:color="auto" w:fill="DAEEF3" w:themeFill="accent5" w:themeFillTint="33"/>
        <w:tblLook w:val="04A0" w:firstRow="1" w:lastRow="0" w:firstColumn="1" w:lastColumn="0" w:noHBand="0" w:noVBand="1"/>
      </w:tblPr>
      <w:tblGrid>
        <w:gridCol w:w="5812"/>
        <w:gridCol w:w="1985"/>
        <w:gridCol w:w="992"/>
        <w:gridCol w:w="1559"/>
      </w:tblGrid>
      <w:tr w:rsidR="00164966" w:rsidRPr="00E26D69" w14:paraId="3E19261F" w14:textId="77777777" w:rsidTr="00450612">
        <w:trPr>
          <w:trHeight w:val="397"/>
        </w:trPr>
        <w:tc>
          <w:tcPr>
            <w:tcW w:w="5812" w:type="dxa"/>
            <w:vAlign w:val="bottom"/>
          </w:tcPr>
          <w:p w14:paraId="3A394E87" w14:textId="31A52C35" w:rsidR="00164966" w:rsidRPr="00E26D69" w:rsidRDefault="00164966" w:rsidP="00164966">
            <w:pPr>
              <w:ind w:left="-93"/>
              <w:rPr>
                <w:rFonts w:ascii="Arial" w:hAnsi="Arial" w:cs="Arial"/>
                <w:b/>
              </w:rPr>
            </w:pPr>
            <w:r w:rsidRPr="00E26D69">
              <w:rPr>
                <w:rFonts w:ascii="Arial" w:hAnsi="Arial" w:cs="Arial"/>
                <w:b/>
              </w:rPr>
              <w:t>Staff costs</w:t>
            </w:r>
          </w:p>
        </w:tc>
        <w:tc>
          <w:tcPr>
            <w:tcW w:w="1985" w:type="dxa"/>
            <w:vAlign w:val="bottom"/>
          </w:tcPr>
          <w:p w14:paraId="4590108D" w14:textId="77777777" w:rsidR="00164966" w:rsidRDefault="00164966" w:rsidP="00164966">
            <w:pPr>
              <w:spacing w:line="276" w:lineRule="auto"/>
              <w:jc w:val="right"/>
              <w:rPr>
                <w:rFonts w:ascii="Arial" w:hAnsi="Arial" w:cs="Arial"/>
                <w:b/>
              </w:rPr>
            </w:pPr>
            <w:r w:rsidRPr="00E26D69">
              <w:rPr>
                <w:rFonts w:ascii="Arial" w:hAnsi="Arial" w:cs="Arial"/>
                <w:b/>
              </w:rPr>
              <w:t>Permanently employed staff</w:t>
            </w:r>
          </w:p>
          <w:p w14:paraId="42D7B9AE" w14:textId="77777777" w:rsidR="00164966" w:rsidRDefault="00164966" w:rsidP="00164966">
            <w:pPr>
              <w:spacing w:line="276" w:lineRule="auto"/>
              <w:jc w:val="right"/>
              <w:rPr>
                <w:rFonts w:ascii="Arial" w:hAnsi="Arial" w:cs="Arial"/>
                <w:b/>
              </w:rPr>
            </w:pPr>
          </w:p>
          <w:p w14:paraId="2ABB4B68" w14:textId="68FB147C" w:rsidR="00164966" w:rsidRPr="00E26D69" w:rsidRDefault="00164966" w:rsidP="00164966">
            <w:pPr>
              <w:jc w:val="right"/>
              <w:rPr>
                <w:rFonts w:ascii="Arial" w:hAnsi="Arial" w:cs="Arial"/>
                <w:b/>
              </w:rPr>
            </w:pPr>
            <w:r>
              <w:rPr>
                <w:rFonts w:ascii="Arial" w:hAnsi="Arial" w:cs="Arial"/>
                <w:b/>
              </w:rPr>
              <w:t>£’000</w:t>
            </w:r>
          </w:p>
        </w:tc>
        <w:tc>
          <w:tcPr>
            <w:tcW w:w="992" w:type="dxa"/>
            <w:vAlign w:val="bottom"/>
          </w:tcPr>
          <w:p w14:paraId="5C1003DF" w14:textId="77777777" w:rsidR="00164966" w:rsidRDefault="00164966" w:rsidP="00164966">
            <w:pPr>
              <w:spacing w:line="276" w:lineRule="auto"/>
              <w:jc w:val="right"/>
              <w:rPr>
                <w:rFonts w:ascii="Arial" w:hAnsi="Arial" w:cs="Arial"/>
                <w:b/>
              </w:rPr>
            </w:pPr>
            <w:r w:rsidRPr="00E26D69">
              <w:rPr>
                <w:rFonts w:ascii="Arial" w:hAnsi="Arial" w:cs="Arial"/>
                <w:b/>
              </w:rPr>
              <w:t>Others</w:t>
            </w:r>
          </w:p>
          <w:p w14:paraId="6D715927" w14:textId="77777777" w:rsidR="00164966" w:rsidRDefault="00164966" w:rsidP="00164966">
            <w:pPr>
              <w:spacing w:line="276" w:lineRule="auto"/>
              <w:jc w:val="right"/>
              <w:rPr>
                <w:rFonts w:ascii="Arial" w:hAnsi="Arial" w:cs="Arial"/>
                <w:b/>
              </w:rPr>
            </w:pPr>
          </w:p>
          <w:p w14:paraId="30762787" w14:textId="77777777" w:rsidR="00164966" w:rsidRDefault="00164966" w:rsidP="00164966">
            <w:pPr>
              <w:spacing w:line="276" w:lineRule="auto"/>
              <w:jc w:val="right"/>
              <w:rPr>
                <w:rFonts w:ascii="Arial" w:hAnsi="Arial" w:cs="Arial"/>
                <w:b/>
              </w:rPr>
            </w:pPr>
          </w:p>
          <w:p w14:paraId="36A84F2D" w14:textId="3FD73159" w:rsidR="00164966" w:rsidRPr="00E26D69" w:rsidRDefault="00164966" w:rsidP="00164966">
            <w:pPr>
              <w:jc w:val="right"/>
              <w:rPr>
                <w:rFonts w:ascii="Arial" w:hAnsi="Arial" w:cs="Arial"/>
                <w:b/>
              </w:rPr>
            </w:pPr>
            <w:r>
              <w:rPr>
                <w:rFonts w:ascii="Arial" w:hAnsi="Arial" w:cs="Arial"/>
                <w:b/>
              </w:rPr>
              <w:t>£’000</w:t>
            </w:r>
          </w:p>
        </w:tc>
        <w:tc>
          <w:tcPr>
            <w:tcW w:w="1559" w:type="dxa"/>
            <w:vAlign w:val="bottom"/>
          </w:tcPr>
          <w:p w14:paraId="62415087" w14:textId="77777777" w:rsidR="00164966" w:rsidRDefault="00164966" w:rsidP="00164966">
            <w:pPr>
              <w:spacing w:line="276" w:lineRule="auto"/>
              <w:jc w:val="right"/>
              <w:rPr>
                <w:rFonts w:ascii="Arial" w:hAnsi="Arial" w:cs="Arial"/>
                <w:b/>
              </w:rPr>
            </w:pPr>
            <w:r w:rsidRPr="00E26D69">
              <w:rPr>
                <w:rFonts w:ascii="Arial" w:hAnsi="Arial" w:cs="Arial"/>
                <w:b/>
              </w:rPr>
              <w:t>Year to 31 March 202</w:t>
            </w:r>
            <w:r>
              <w:rPr>
                <w:rFonts w:ascii="Arial" w:hAnsi="Arial" w:cs="Arial"/>
                <w:b/>
              </w:rPr>
              <w:t>1</w:t>
            </w:r>
          </w:p>
          <w:p w14:paraId="7EBB43AD" w14:textId="77777777" w:rsidR="00164966" w:rsidRDefault="00164966" w:rsidP="00164966">
            <w:pPr>
              <w:spacing w:line="276" w:lineRule="auto"/>
              <w:jc w:val="right"/>
              <w:rPr>
                <w:rFonts w:ascii="Arial" w:hAnsi="Arial" w:cs="Arial"/>
                <w:b/>
              </w:rPr>
            </w:pPr>
          </w:p>
          <w:p w14:paraId="50F76637" w14:textId="71202E9E" w:rsidR="00164966" w:rsidRPr="00E26D69" w:rsidRDefault="00164966" w:rsidP="00164966">
            <w:pPr>
              <w:jc w:val="right"/>
              <w:rPr>
                <w:rFonts w:ascii="Arial" w:hAnsi="Arial" w:cs="Arial"/>
                <w:b/>
              </w:rPr>
            </w:pPr>
            <w:r>
              <w:rPr>
                <w:rFonts w:ascii="Arial" w:hAnsi="Arial" w:cs="Arial"/>
                <w:b/>
              </w:rPr>
              <w:t>£’000</w:t>
            </w:r>
          </w:p>
        </w:tc>
      </w:tr>
      <w:tr w:rsidR="00164966" w:rsidRPr="00E26D69" w14:paraId="7ABF3C0B" w14:textId="77777777" w:rsidTr="000845C9">
        <w:trPr>
          <w:trHeight w:val="454"/>
        </w:trPr>
        <w:tc>
          <w:tcPr>
            <w:tcW w:w="5812" w:type="dxa"/>
            <w:vAlign w:val="bottom"/>
          </w:tcPr>
          <w:p w14:paraId="65D83A71" w14:textId="4E73274C" w:rsidR="00164966" w:rsidRPr="00E26D69" w:rsidRDefault="00164966" w:rsidP="00164966">
            <w:pPr>
              <w:ind w:left="-93"/>
              <w:rPr>
                <w:rFonts w:ascii="Arial" w:hAnsi="Arial" w:cs="Arial"/>
              </w:rPr>
            </w:pPr>
            <w:r w:rsidRPr="00E26D69">
              <w:rPr>
                <w:rFonts w:ascii="Arial" w:hAnsi="Arial" w:cs="Arial"/>
              </w:rPr>
              <w:t>Wages and salaries</w:t>
            </w:r>
          </w:p>
        </w:tc>
        <w:tc>
          <w:tcPr>
            <w:tcW w:w="1985" w:type="dxa"/>
            <w:vAlign w:val="bottom"/>
          </w:tcPr>
          <w:p w14:paraId="3346F052" w14:textId="411216BE" w:rsidR="00164966" w:rsidRPr="00E26D69" w:rsidRDefault="00164966" w:rsidP="00164966">
            <w:pPr>
              <w:jc w:val="right"/>
              <w:rPr>
                <w:rFonts w:ascii="Arial" w:hAnsi="Arial" w:cs="Arial"/>
              </w:rPr>
            </w:pPr>
            <w:r>
              <w:rPr>
                <w:rFonts w:ascii="Arial" w:hAnsi="Arial" w:cs="Arial"/>
              </w:rPr>
              <w:t>47,289</w:t>
            </w:r>
          </w:p>
        </w:tc>
        <w:tc>
          <w:tcPr>
            <w:tcW w:w="992" w:type="dxa"/>
            <w:vAlign w:val="bottom"/>
          </w:tcPr>
          <w:p w14:paraId="437E4983" w14:textId="7729FBD1" w:rsidR="00164966" w:rsidRPr="00E26D69" w:rsidRDefault="00164966" w:rsidP="00164966">
            <w:pPr>
              <w:jc w:val="right"/>
              <w:rPr>
                <w:rFonts w:ascii="Arial" w:hAnsi="Arial" w:cs="Arial"/>
              </w:rPr>
            </w:pPr>
            <w:r>
              <w:rPr>
                <w:rFonts w:ascii="Arial" w:hAnsi="Arial" w:cs="Arial"/>
              </w:rPr>
              <w:t>414</w:t>
            </w:r>
          </w:p>
        </w:tc>
        <w:tc>
          <w:tcPr>
            <w:tcW w:w="1559" w:type="dxa"/>
            <w:vAlign w:val="bottom"/>
          </w:tcPr>
          <w:p w14:paraId="5ED70A9E" w14:textId="5F0D3E38" w:rsidR="00164966" w:rsidRPr="00E26D69" w:rsidRDefault="00164966" w:rsidP="00164966">
            <w:pPr>
              <w:jc w:val="right"/>
              <w:rPr>
                <w:rFonts w:ascii="Arial" w:hAnsi="Arial" w:cs="Arial"/>
              </w:rPr>
            </w:pPr>
            <w:r>
              <w:rPr>
                <w:rFonts w:ascii="Arial" w:hAnsi="Arial" w:cs="Arial"/>
              </w:rPr>
              <w:t>47,703</w:t>
            </w:r>
          </w:p>
        </w:tc>
      </w:tr>
      <w:tr w:rsidR="00164966" w:rsidRPr="00E26D69" w14:paraId="66A3D832" w14:textId="77777777" w:rsidTr="000845C9">
        <w:trPr>
          <w:trHeight w:val="454"/>
        </w:trPr>
        <w:tc>
          <w:tcPr>
            <w:tcW w:w="5812" w:type="dxa"/>
            <w:vAlign w:val="bottom"/>
          </w:tcPr>
          <w:p w14:paraId="156F5A60" w14:textId="46F984E8" w:rsidR="00164966" w:rsidRPr="00E26D69" w:rsidRDefault="00164966" w:rsidP="00164966">
            <w:pPr>
              <w:ind w:left="-93"/>
              <w:rPr>
                <w:rFonts w:ascii="Arial" w:hAnsi="Arial" w:cs="Arial"/>
              </w:rPr>
            </w:pPr>
            <w:r w:rsidRPr="00E26D69">
              <w:rPr>
                <w:rFonts w:ascii="Arial" w:hAnsi="Arial" w:cs="Arial"/>
              </w:rPr>
              <w:t>Social security costs</w:t>
            </w:r>
          </w:p>
        </w:tc>
        <w:tc>
          <w:tcPr>
            <w:tcW w:w="1985" w:type="dxa"/>
            <w:vAlign w:val="bottom"/>
          </w:tcPr>
          <w:p w14:paraId="6BEAC966" w14:textId="76B8FD41" w:rsidR="00164966" w:rsidRPr="00E26D69" w:rsidRDefault="00164966" w:rsidP="00164966">
            <w:pPr>
              <w:jc w:val="right"/>
              <w:rPr>
                <w:rFonts w:ascii="Arial" w:hAnsi="Arial" w:cs="Arial"/>
              </w:rPr>
            </w:pPr>
            <w:r>
              <w:rPr>
                <w:rFonts w:ascii="Arial" w:hAnsi="Arial" w:cs="Arial"/>
              </w:rPr>
              <w:t>4,800</w:t>
            </w:r>
          </w:p>
        </w:tc>
        <w:tc>
          <w:tcPr>
            <w:tcW w:w="992" w:type="dxa"/>
            <w:vAlign w:val="bottom"/>
          </w:tcPr>
          <w:p w14:paraId="293D348F" w14:textId="5CBB91BE" w:rsidR="00164966" w:rsidRPr="00E26D69" w:rsidRDefault="00164966" w:rsidP="00164966">
            <w:pPr>
              <w:jc w:val="right"/>
              <w:rPr>
                <w:rFonts w:ascii="Arial" w:hAnsi="Arial" w:cs="Arial"/>
              </w:rPr>
            </w:pPr>
            <w:r>
              <w:rPr>
                <w:rFonts w:ascii="Arial" w:hAnsi="Arial" w:cs="Arial"/>
              </w:rPr>
              <w:t>42</w:t>
            </w:r>
          </w:p>
        </w:tc>
        <w:tc>
          <w:tcPr>
            <w:tcW w:w="1559" w:type="dxa"/>
            <w:vAlign w:val="bottom"/>
          </w:tcPr>
          <w:p w14:paraId="2C161802" w14:textId="18577D4A" w:rsidR="00164966" w:rsidRPr="00E26D69" w:rsidRDefault="00164966" w:rsidP="00164966">
            <w:pPr>
              <w:jc w:val="right"/>
              <w:rPr>
                <w:rFonts w:ascii="Arial" w:hAnsi="Arial" w:cs="Arial"/>
              </w:rPr>
            </w:pPr>
            <w:r>
              <w:rPr>
                <w:rFonts w:ascii="Arial" w:hAnsi="Arial" w:cs="Arial"/>
              </w:rPr>
              <w:t>4,842</w:t>
            </w:r>
          </w:p>
        </w:tc>
      </w:tr>
      <w:tr w:rsidR="00164966" w:rsidRPr="00E26D69" w14:paraId="481D4633" w14:textId="77777777" w:rsidTr="000845C9">
        <w:trPr>
          <w:trHeight w:val="454"/>
        </w:trPr>
        <w:tc>
          <w:tcPr>
            <w:tcW w:w="5812" w:type="dxa"/>
            <w:vAlign w:val="bottom"/>
          </w:tcPr>
          <w:p w14:paraId="36A9DD57" w14:textId="740DE710" w:rsidR="00164966" w:rsidRPr="00E26D69" w:rsidRDefault="00164966" w:rsidP="00164966">
            <w:pPr>
              <w:ind w:left="-93"/>
              <w:rPr>
                <w:rFonts w:ascii="Arial" w:hAnsi="Arial" w:cs="Arial"/>
              </w:rPr>
            </w:pPr>
            <w:r w:rsidRPr="00E26D69">
              <w:rPr>
                <w:rFonts w:ascii="Arial" w:hAnsi="Arial" w:cs="Arial"/>
              </w:rPr>
              <w:t>Apprenticeship levy</w:t>
            </w:r>
          </w:p>
        </w:tc>
        <w:tc>
          <w:tcPr>
            <w:tcW w:w="1985" w:type="dxa"/>
            <w:vAlign w:val="bottom"/>
          </w:tcPr>
          <w:p w14:paraId="2D9D3104" w14:textId="719876B8" w:rsidR="00164966" w:rsidRPr="00E26D69" w:rsidRDefault="00164966" w:rsidP="00164966">
            <w:pPr>
              <w:jc w:val="right"/>
              <w:rPr>
                <w:rFonts w:ascii="Arial" w:hAnsi="Arial" w:cs="Arial"/>
              </w:rPr>
            </w:pPr>
            <w:r>
              <w:rPr>
                <w:rFonts w:ascii="Arial" w:hAnsi="Arial" w:cs="Arial"/>
              </w:rPr>
              <w:t>209</w:t>
            </w:r>
          </w:p>
        </w:tc>
        <w:tc>
          <w:tcPr>
            <w:tcW w:w="992" w:type="dxa"/>
            <w:vAlign w:val="bottom"/>
          </w:tcPr>
          <w:p w14:paraId="026E3B33" w14:textId="45B06ADE" w:rsidR="00164966" w:rsidRPr="00E26D69" w:rsidRDefault="00164966" w:rsidP="00164966">
            <w:pPr>
              <w:jc w:val="right"/>
              <w:rPr>
                <w:rFonts w:ascii="Arial" w:hAnsi="Arial" w:cs="Arial"/>
              </w:rPr>
            </w:pPr>
            <w:r>
              <w:rPr>
                <w:rFonts w:ascii="Arial" w:hAnsi="Arial" w:cs="Arial"/>
              </w:rPr>
              <w:t>2</w:t>
            </w:r>
          </w:p>
        </w:tc>
        <w:tc>
          <w:tcPr>
            <w:tcW w:w="1559" w:type="dxa"/>
            <w:vAlign w:val="bottom"/>
          </w:tcPr>
          <w:p w14:paraId="59E1D7B6" w14:textId="5D33EE67" w:rsidR="00164966" w:rsidRPr="00E26D69" w:rsidRDefault="00164966" w:rsidP="00164966">
            <w:pPr>
              <w:jc w:val="right"/>
              <w:rPr>
                <w:rFonts w:ascii="Arial" w:hAnsi="Arial" w:cs="Arial"/>
              </w:rPr>
            </w:pPr>
            <w:r>
              <w:rPr>
                <w:rFonts w:ascii="Arial" w:hAnsi="Arial" w:cs="Arial"/>
              </w:rPr>
              <w:t>211</w:t>
            </w:r>
          </w:p>
        </w:tc>
      </w:tr>
      <w:tr w:rsidR="00164966" w:rsidRPr="00E26D69" w14:paraId="3E0DCFF1" w14:textId="77777777" w:rsidTr="000845C9">
        <w:trPr>
          <w:trHeight w:val="454"/>
        </w:trPr>
        <w:tc>
          <w:tcPr>
            <w:tcW w:w="5812" w:type="dxa"/>
            <w:vAlign w:val="bottom"/>
          </w:tcPr>
          <w:p w14:paraId="261ADE48" w14:textId="3D4D5D0C" w:rsidR="00164966" w:rsidRPr="00E26D69" w:rsidRDefault="00164966" w:rsidP="00164966">
            <w:pPr>
              <w:ind w:left="-93"/>
              <w:rPr>
                <w:rFonts w:ascii="Arial" w:hAnsi="Arial" w:cs="Arial"/>
              </w:rPr>
            </w:pPr>
            <w:r w:rsidRPr="00E26D69">
              <w:rPr>
                <w:rFonts w:ascii="Arial" w:hAnsi="Arial" w:cs="Arial"/>
              </w:rPr>
              <w:t>Pension costs</w:t>
            </w:r>
          </w:p>
        </w:tc>
        <w:tc>
          <w:tcPr>
            <w:tcW w:w="1985" w:type="dxa"/>
            <w:tcBorders>
              <w:bottom w:val="single" w:sz="4" w:space="0" w:color="auto"/>
            </w:tcBorders>
            <w:vAlign w:val="bottom"/>
          </w:tcPr>
          <w:p w14:paraId="6FCE3C22" w14:textId="3C60E0FF" w:rsidR="00164966" w:rsidRPr="00E26D69" w:rsidRDefault="00164966" w:rsidP="00164966">
            <w:pPr>
              <w:jc w:val="right"/>
              <w:rPr>
                <w:rFonts w:ascii="Arial" w:hAnsi="Arial" w:cs="Arial"/>
              </w:rPr>
            </w:pPr>
            <w:r>
              <w:rPr>
                <w:rFonts w:ascii="Arial" w:hAnsi="Arial" w:cs="Arial"/>
              </w:rPr>
              <w:t>9,280</w:t>
            </w:r>
          </w:p>
        </w:tc>
        <w:tc>
          <w:tcPr>
            <w:tcW w:w="992" w:type="dxa"/>
            <w:tcBorders>
              <w:bottom w:val="single" w:sz="4" w:space="0" w:color="auto"/>
            </w:tcBorders>
            <w:vAlign w:val="bottom"/>
          </w:tcPr>
          <w:p w14:paraId="55E5C53C" w14:textId="1D119A4A" w:rsidR="00164966" w:rsidRPr="00E26D69" w:rsidRDefault="00164966" w:rsidP="00164966">
            <w:pPr>
              <w:jc w:val="right"/>
              <w:rPr>
                <w:rFonts w:ascii="Arial" w:hAnsi="Arial" w:cs="Arial"/>
              </w:rPr>
            </w:pPr>
            <w:r>
              <w:rPr>
                <w:rFonts w:ascii="Arial" w:hAnsi="Arial" w:cs="Arial"/>
              </w:rPr>
              <w:t>81</w:t>
            </w:r>
          </w:p>
        </w:tc>
        <w:tc>
          <w:tcPr>
            <w:tcW w:w="1559" w:type="dxa"/>
            <w:tcBorders>
              <w:bottom w:val="single" w:sz="4" w:space="0" w:color="auto"/>
            </w:tcBorders>
            <w:vAlign w:val="bottom"/>
          </w:tcPr>
          <w:p w14:paraId="6ACC6363" w14:textId="3541446F" w:rsidR="00164966" w:rsidRPr="00E26D69" w:rsidRDefault="00164966" w:rsidP="00164966">
            <w:pPr>
              <w:jc w:val="right"/>
              <w:rPr>
                <w:rFonts w:ascii="Arial" w:hAnsi="Arial" w:cs="Arial"/>
              </w:rPr>
            </w:pPr>
            <w:r>
              <w:rPr>
                <w:rFonts w:ascii="Arial" w:hAnsi="Arial" w:cs="Arial"/>
              </w:rPr>
              <w:t>9,361</w:t>
            </w:r>
          </w:p>
        </w:tc>
      </w:tr>
      <w:tr w:rsidR="00164966" w:rsidRPr="00E26D69" w14:paraId="47D0255A" w14:textId="77777777" w:rsidTr="000845C9">
        <w:trPr>
          <w:trHeight w:val="454"/>
        </w:trPr>
        <w:tc>
          <w:tcPr>
            <w:tcW w:w="5812" w:type="dxa"/>
            <w:vAlign w:val="bottom"/>
          </w:tcPr>
          <w:p w14:paraId="32EF1782" w14:textId="11C8BFBE" w:rsidR="00164966" w:rsidRPr="00E26D69" w:rsidRDefault="00164966" w:rsidP="00164966">
            <w:pPr>
              <w:ind w:left="-93"/>
              <w:rPr>
                <w:rFonts w:ascii="Arial" w:hAnsi="Arial" w:cs="Arial"/>
                <w:b/>
                <w:bCs/>
              </w:rPr>
            </w:pPr>
            <w:r w:rsidRPr="00E26D69">
              <w:rPr>
                <w:rFonts w:ascii="Arial" w:hAnsi="Arial" w:cs="Arial"/>
                <w:b/>
              </w:rPr>
              <w:t>Subtotal of payroll costs</w:t>
            </w:r>
          </w:p>
        </w:tc>
        <w:tc>
          <w:tcPr>
            <w:tcW w:w="1985" w:type="dxa"/>
            <w:tcBorders>
              <w:top w:val="single" w:sz="4" w:space="0" w:color="auto"/>
              <w:bottom w:val="single" w:sz="4" w:space="0" w:color="auto"/>
            </w:tcBorders>
            <w:vAlign w:val="bottom"/>
          </w:tcPr>
          <w:p w14:paraId="1965B098" w14:textId="426BF11A" w:rsidR="00164966" w:rsidRPr="00E26D69" w:rsidRDefault="00164966" w:rsidP="00164966">
            <w:pPr>
              <w:jc w:val="right"/>
              <w:rPr>
                <w:rFonts w:ascii="Arial" w:hAnsi="Arial" w:cs="Arial"/>
                <w:b/>
              </w:rPr>
            </w:pPr>
            <w:r>
              <w:rPr>
                <w:rFonts w:ascii="Arial" w:hAnsi="Arial" w:cs="Arial"/>
                <w:b/>
              </w:rPr>
              <w:t>61,578</w:t>
            </w:r>
          </w:p>
        </w:tc>
        <w:tc>
          <w:tcPr>
            <w:tcW w:w="992" w:type="dxa"/>
            <w:tcBorders>
              <w:top w:val="single" w:sz="4" w:space="0" w:color="auto"/>
              <w:bottom w:val="single" w:sz="4" w:space="0" w:color="auto"/>
            </w:tcBorders>
            <w:vAlign w:val="bottom"/>
          </w:tcPr>
          <w:p w14:paraId="6D346CF1" w14:textId="14C10C59" w:rsidR="00164966" w:rsidRPr="00E26D69" w:rsidRDefault="00164966" w:rsidP="00164966">
            <w:pPr>
              <w:jc w:val="right"/>
              <w:rPr>
                <w:rFonts w:ascii="Arial" w:hAnsi="Arial" w:cs="Arial"/>
                <w:b/>
              </w:rPr>
            </w:pPr>
            <w:r>
              <w:rPr>
                <w:rFonts w:ascii="Arial" w:hAnsi="Arial" w:cs="Arial"/>
                <w:b/>
              </w:rPr>
              <w:t>539</w:t>
            </w:r>
          </w:p>
        </w:tc>
        <w:tc>
          <w:tcPr>
            <w:tcW w:w="1559" w:type="dxa"/>
            <w:tcBorders>
              <w:top w:val="single" w:sz="4" w:space="0" w:color="auto"/>
              <w:bottom w:val="single" w:sz="4" w:space="0" w:color="auto"/>
            </w:tcBorders>
            <w:vAlign w:val="bottom"/>
          </w:tcPr>
          <w:p w14:paraId="0F443C76" w14:textId="1756FD03" w:rsidR="00164966" w:rsidRPr="00E26D69" w:rsidRDefault="00164966" w:rsidP="00164966">
            <w:pPr>
              <w:jc w:val="right"/>
              <w:rPr>
                <w:rFonts w:ascii="Arial" w:hAnsi="Arial" w:cs="Arial"/>
                <w:b/>
              </w:rPr>
            </w:pPr>
            <w:r>
              <w:rPr>
                <w:rFonts w:ascii="Arial" w:hAnsi="Arial" w:cs="Arial"/>
                <w:b/>
              </w:rPr>
              <w:t>62,117</w:t>
            </w:r>
          </w:p>
        </w:tc>
      </w:tr>
      <w:tr w:rsidR="00164966" w:rsidRPr="00E26D69" w14:paraId="1F8A9844" w14:textId="77777777" w:rsidTr="00450612">
        <w:trPr>
          <w:trHeight w:val="718"/>
        </w:trPr>
        <w:tc>
          <w:tcPr>
            <w:tcW w:w="8789" w:type="dxa"/>
            <w:gridSpan w:val="3"/>
            <w:vAlign w:val="bottom"/>
          </w:tcPr>
          <w:p w14:paraId="05264518" w14:textId="316F41AD" w:rsidR="00164966" w:rsidRPr="00E26D69" w:rsidRDefault="00164966" w:rsidP="00164966">
            <w:pPr>
              <w:ind w:left="-93"/>
              <w:rPr>
                <w:rFonts w:ascii="Arial" w:hAnsi="Arial" w:cs="Arial"/>
              </w:rPr>
            </w:pPr>
            <w:r w:rsidRPr="00E26D69">
              <w:rPr>
                <w:rFonts w:ascii="Arial" w:hAnsi="Arial" w:cs="Arial"/>
              </w:rPr>
              <w:t>Other staff related costs (principally recruitment fees, staff subsistence, training costs</w:t>
            </w:r>
            <w:r>
              <w:rPr>
                <w:rFonts w:ascii="Arial" w:hAnsi="Arial" w:cs="Arial"/>
              </w:rPr>
              <w:t>,</w:t>
            </w:r>
            <w:r w:rsidRPr="00E26D69">
              <w:rPr>
                <w:rFonts w:ascii="Arial" w:hAnsi="Arial" w:cs="Arial"/>
              </w:rPr>
              <w:t xml:space="preserve"> and hiring agency and temporary staff)</w:t>
            </w:r>
          </w:p>
        </w:tc>
        <w:tc>
          <w:tcPr>
            <w:tcW w:w="1559" w:type="dxa"/>
            <w:tcBorders>
              <w:top w:val="single" w:sz="4" w:space="0" w:color="auto"/>
            </w:tcBorders>
            <w:vAlign w:val="bottom"/>
          </w:tcPr>
          <w:p w14:paraId="28354AFD" w14:textId="2B852DC9" w:rsidR="00164966" w:rsidRPr="00E26D69" w:rsidRDefault="00164966" w:rsidP="00164966">
            <w:pPr>
              <w:jc w:val="right"/>
              <w:rPr>
                <w:rFonts w:ascii="Arial" w:hAnsi="Arial" w:cs="Arial"/>
              </w:rPr>
            </w:pPr>
            <w:r>
              <w:rPr>
                <w:rFonts w:ascii="Arial" w:hAnsi="Arial" w:cs="Arial"/>
              </w:rPr>
              <w:t>441</w:t>
            </w:r>
          </w:p>
        </w:tc>
      </w:tr>
      <w:tr w:rsidR="00164966" w:rsidRPr="00E26D69" w14:paraId="63095C98" w14:textId="77777777" w:rsidTr="000845C9">
        <w:trPr>
          <w:trHeight w:val="454"/>
        </w:trPr>
        <w:tc>
          <w:tcPr>
            <w:tcW w:w="5812" w:type="dxa"/>
            <w:vAlign w:val="bottom"/>
          </w:tcPr>
          <w:p w14:paraId="23001FB4" w14:textId="674725ED" w:rsidR="00164966" w:rsidRPr="00E26D69" w:rsidRDefault="00164966" w:rsidP="00164966">
            <w:pPr>
              <w:ind w:left="-93"/>
              <w:rPr>
                <w:rFonts w:ascii="Arial" w:hAnsi="Arial" w:cs="Arial"/>
              </w:rPr>
            </w:pPr>
            <w:r w:rsidRPr="00D4005A">
              <w:rPr>
                <w:rFonts w:ascii="Arial" w:hAnsi="Arial" w:cs="Arial"/>
              </w:rPr>
              <w:t>IAS</w:t>
            </w:r>
            <w:r>
              <w:rPr>
                <w:rFonts w:ascii="Arial" w:hAnsi="Arial" w:cs="Arial"/>
              </w:rPr>
              <w:t xml:space="preserve"> </w:t>
            </w:r>
            <w:r w:rsidRPr="00D4005A">
              <w:rPr>
                <w:rFonts w:ascii="Arial" w:hAnsi="Arial" w:cs="Arial"/>
              </w:rPr>
              <w:t>19 pension charge (note 16)</w:t>
            </w:r>
          </w:p>
        </w:tc>
        <w:tc>
          <w:tcPr>
            <w:tcW w:w="1985" w:type="dxa"/>
            <w:noWrap/>
            <w:vAlign w:val="bottom"/>
          </w:tcPr>
          <w:p w14:paraId="56CCFC4E" w14:textId="77777777" w:rsidR="00164966" w:rsidRPr="00E26D69" w:rsidRDefault="00164966" w:rsidP="00164966">
            <w:pPr>
              <w:jc w:val="right"/>
              <w:rPr>
                <w:rFonts w:ascii="Arial" w:hAnsi="Arial" w:cs="Arial"/>
              </w:rPr>
            </w:pPr>
          </w:p>
        </w:tc>
        <w:tc>
          <w:tcPr>
            <w:tcW w:w="992" w:type="dxa"/>
            <w:noWrap/>
            <w:vAlign w:val="bottom"/>
          </w:tcPr>
          <w:p w14:paraId="10F813DB" w14:textId="77777777" w:rsidR="00164966" w:rsidRPr="00E26D69" w:rsidRDefault="00164966" w:rsidP="00164966">
            <w:pPr>
              <w:jc w:val="right"/>
              <w:rPr>
                <w:rFonts w:ascii="Arial" w:hAnsi="Arial" w:cs="Arial"/>
              </w:rPr>
            </w:pPr>
          </w:p>
        </w:tc>
        <w:tc>
          <w:tcPr>
            <w:tcW w:w="1559" w:type="dxa"/>
            <w:vAlign w:val="bottom"/>
          </w:tcPr>
          <w:p w14:paraId="181E7208" w14:textId="637E0AAF" w:rsidR="00164966" w:rsidRPr="00E26D69" w:rsidRDefault="00164966" w:rsidP="00164966">
            <w:pPr>
              <w:jc w:val="right"/>
              <w:rPr>
                <w:rFonts w:ascii="Arial" w:hAnsi="Arial" w:cs="Arial"/>
              </w:rPr>
            </w:pPr>
            <w:r>
              <w:rPr>
                <w:rFonts w:ascii="Arial" w:hAnsi="Arial" w:cs="Arial"/>
              </w:rPr>
              <w:t>6,651</w:t>
            </w:r>
          </w:p>
        </w:tc>
      </w:tr>
      <w:tr w:rsidR="00164966" w:rsidRPr="00E26D69" w14:paraId="01BBF1A3" w14:textId="77777777" w:rsidTr="000845C9">
        <w:trPr>
          <w:trHeight w:val="454"/>
        </w:trPr>
        <w:tc>
          <w:tcPr>
            <w:tcW w:w="5812" w:type="dxa"/>
            <w:vAlign w:val="bottom"/>
          </w:tcPr>
          <w:p w14:paraId="79321C31" w14:textId="67CBA5EB" w:rsidR="00164966" w:rsidRPr="00E26D69" w:rsidRDefault="00164966" w:rsidP="00164966">
            <w:pPr>
              <w:ind w:left="-93"/>
              <w:rPr>
                <w:rFonts w:ascii="Arial" w:hAnsi="Arial" w:cs="Arial"/>
              </w:rPr>
            </w:pPr>
            <w:r w:rsidRPr="00D4005A">
              <w:rPr>
                <w:rFonts w:ascii="Arial" w:hAnsi="Arial" w:cs="Arial"/>
              </w:rPr>
              <w:t>Life Assurance provision (note 13)</w:t>
            </w:r>
          </w:p>
        </w:tc>
        <w:tc>
          <w:tcPr>
            <w:tcW w:w="1985" w:type="dxa"/>
            <w:noWrap/>
            <w:vAlign w:val="bottom"/>
          </w:tcPr>
          <w:p w14:paraId="12707000" w14:textId="77777777" w:rsidR="00164966" w:rsidRPr="00E26D69" w:rsidRDefault="00164966" w:rsidP="00164966">
            <w:pPr>
              <w:rPr>
                <w:rFonts w:ascii="Arial" w:hAnsi="Arial" w:cs="Arial"/>
              </w:rPr>
            </w:pPr>
          </w:p>
        </w:tc>
        <w:tc>
          <w:tcPr>
            <w:tcW w:w="992" w:type="dxa"/>
            <w:noWrap/>
            <w:vAlign w:val="bottom"/>
          </w:tcPr>
          <w:p w14:paraId="7E856E90" w14:textId="77777777" w:rsidR="00164966" w:rsidRPr="00E26D69" w:rsidRDefault="00164966" w:rsidP="00164966">
            <w:pPr>
              <w:jc w:val="right"/>
              <w:rPr>
                <w:rFonts w:ascii="Arial" w:hAnsi="Arial" w:cs="Arial"/>
              </w:rPr>
            </w:pPr>
          </w:p>
        </w:tc>
        <w:tc>
          <w:tcPr>
            <w:tcW w:w="1559" w:type="dxa"/>
            <w:vAlign w:val="bottom"/>
          </w:tcPr>
          <w:p w14:paraId="5FEF7DDA" w14:textId="12928E9A" w:rsidR="00164966" w:rsidRPr="00E26D69" w:rsidRDefault="00164966" w:rsidP="00164966">
            <w:pPr>
              <w:jc w:val="right"/>
              <w:rPr>
                <w:rFonts w:ascii="Arial" w:hAnsi="Arial" w:cs="Arial"/>
              </w:rPr>
            </w:pPr>
            <w:r>
              <w:rPr>
                <w:rFonts w:ascii="Arial" w:hAnsi="Arial" w:cs="Arial"/>
              </w:rPr>
              <w:t>(19)</w:t>
            </w:r>
          </w:p>
        </w:tc>
      </w:tr>
      <w:tr w:rsidR="00164966" w:rsidRPr="00E26D69" w14:paraId="5FE1776D" w14:textId="77777777" w:rsidTr="000845C9">
        <w:trPr>
          <w:trHeight w:val="454"/>
        </w:trPr>
        <w:tc>
          <w:tcPr>
            <w:tcW w:w="5812" w:type="dxa"/>
            <w:vAlign w:val="bottom"/>
          </w:tcPr>
          <w:p w14:paraId="22319ABC" w14:textId="7F689718" w:rsidR="00164966" w:rsidRPr="00E26D69" w:rsidRDefault="00164966" w:rsidP="00164966">
            <w:pPr>
              <w:ind w:left="-93"/>
              <w:rPr>
                <w:rFonts w:ascii="Arial" w:hAnsi="Arial" w:cs="Arial"/>
              </w:rPr>
            </w:pPr>
            <w:r w:rsidRPr="00D4005A">
              <w:rPr>
                <w:rFonts w:ascii="Arial" w:hAnsi="Arial" w:cs="Arial"/>
              </w:rPr>
              <w:t>Unfunded IAS 19 Pension charge (note 13)</w:t>
            </w:r>
          </w:p>
        </w:tc>
        <w:tc>
          <w:tcPr>
            <w:tcW w:w="1985" w:type="dxa"/>
            <w:noWrap/>
            <w:vAlign w:val="bottom"/>
          </w:tcPr>
          <w:p w14:paraId="6409F1B1" w14:textId="77777777" w:rsidR="00164966" w:rsidRPr="00E26D69" w:rsidRDefault="00164966" w:rsidP="00164966">
            <w:pPr>
              <w:rPr>
                <w:rFonts w:ascii="Arial" w:hAnsi="Arial" w:cs="Arial"/>
              </w:rPr>
            </w:pPr>
          </w:p>
        </w:tc>
        <w:tc>
          <w:tcPr>
            <w:tcW w:w="992" w:type="dxa"/>
            <w:noWrap/>
            <w:vAlign w:val="bottom"/>
          </w:tcPr>
          <w:p w14:paraId="6C8A0A82" w14:textId="77777777" w:rsidR="00164966" w:rsidRPr="00E26D69" w:rsidRDefault="00164966" w:rsidP="00164966">
            <w:pPr>
              <w:jc w:val="right"/>
              <w:rPr>
                <w:rFonts w:ascii="Arial" w:hAnsi="Arial" w:cs="Arial"/>
              </w:rPr>
            </w:pPr>
          </w:p>
        </w:tc>
        <w:tc>
          <w:tcPr>
            <w:tcW w:w="1559" w:type="dxa"/>
            <w:tcBorders>
              <w:bottom w:val="single" w:sz="4" w:space="0" w:color="auto"/>
            </w:tcBorders>
            <w:vAlign w:val="bottom"/>
          </w:tcPr>
          <w:p w14:paraId="06C21D0F" w14:textId="50107A1A" w:rsidR="00164966" w:rsidRPr="00E26D69" w:rsidRDefault="00164966" w:rsidP="00164966">
            <w:pPr>
              <w:jc w:val="right"/>
              <w:rPr>
                <w:rFonts w:ascii="Arial" w:hAnsi="Arial" w:cs="Arial"/>
              </w:rPr>
            </w:pPr>
            <w:r>
              <w:rPr>
                <w:rFonts w:ascii="Arial" w:hAnsi="Arial" w:cs="Arial"/>
              </w:rPr>
              <w:t>193</w:t>
            </w:r>
          </w:p>
        </w:tc>
      </w:tr>
      <w:tr w:rsidR="00863090" w:rsidRPr="00E26D69" w14:paraId="283C0D08" w14:textId="77777777" w:rsidTr="000845C9">
        <w:trPr>
          <w:trHeight w:val="454"/>
        </w:trPr>
        <w:tc>
          <w:tcPr>
            <w:tcW w:w="5812" w:type="dxa"/>
            <w:vAlign w:val="bottom"/>
          </w:tcPr>
          <w:p w14:paraId="67AF8C87" w14:textId="77777777" w:rsidR="00164966" w:rsidRPr="00E26D69" w:rsidRDefault="00164966" w:rsidP="00164966">
            <w:pPr>
              <w:rPr>
                <w:rFonts w:ascii="Arial" w:hAnsi="Arial" w:cs="Arial"/>
              </w:rPr>
            </w:pPr>
          </w:p>
        </w:tc>
        <w:tc>
          <w:tcPr>
            <w:tcW w:w="1985" w:type="dxa"/>
            <w:noWrap/>
            <w:vAlign w:val="bottom"/>
          </w:tcPr>
          <w:p w14:paraId="54AF0184" w14:textId="77777777" w:rsidR="00164966" w:rsidRPr="00E26D69" w:rsidRDefault="00164966" w:rsidP="00164966">
            <w:pPr>
              <w:jc w:val="right"/>
              <w:rPr>
                <w:rFonts w:ascii="Arial" w:hAnsi="Arial" w:cs="Arial"/>
              </w:rPr>
            </w:pPr>
          </w:p>
        </w:tc>
        <w:tc>
          <w:tcPr>
            <w:tcW w:w="992" w:type="dxa"/>
            <w:noWrap/>
            <w:vAlign w:val="bottom"/>
          </w:tcPr>
          <w:p w14:paraId="58DA0310" w14:textId="77777777" w:rsidR="00164966" w:rsidRPr="00E26D69" w:rsidRDefault="00164966" w:rsidP="00164966">
            <w:pPr>
              <w:jc w:val="right"/>
              <w:rPr>
                <w:rFonts w:ascii="Arial" w:hAnsi="Arial" w:cs="Arial"/>
                <w:color w:val="0000FF"/>
              </w:rPr>
            </w:pPr>
          </w:p>
        </w:tc>
        <w:tc>
          <w:tcPr>
            <w:tcW w:w="1559" w:type="dxa"/>
            <w:tcBorders>
              <w:top w:val="single" w:sz="4" w:space="0" w:color="auto"/>
              <w:bottom w:val="double" w:sz="4" w:space="0" w:color="auto"/>
            </w:tcBorders>
            <w:vAlign w:val="bottom"/>
          </w:tcPr>
          <w:p w14:paraId="3EB45C0C" w14:textId="7A8E836B" w:rsidR="00164966" w:rsidRPr="00E26D69" w:rsidRDefault="00164966" w:rsidP="00164966">
            <w:pPr>
              <w:jc w:val="right"/>
              <w:rPr>
                <w:rFonts w:ascii="Arial" w:hAnsi="Arial" w:cs="Arial"/>
                <w:b/>
              </w:rPr>
            </w:pPr>
            <w:r>
              <w:rPr>
                <w:rFonts w:ascii="Arial" w:hAnsi="Arial" w:cs="Arial"/>
                <w:b/>
              </w:rPr>
              <w:t>69,383</w:t>
            </w:r>
          </w:p>
        </w:tc>
      </w:tr>
      <w:tr w:rsidR="000845C9" w:rsidRPr="00E26D69" w14:paraId="006F51FD" w14:textId="77777777" w:rsidTr="000845C9">
        <w:trPr>
          <w:trHeight w:val="57"/>
        </w:trPr>
        <w:tc>
          <w:tcPr>
            <w:tcW w:w="5812" w:type="dxa"/>
            <w:vAlign w:val="bottom"/>
          </w:tcPr>
          <w:p w14:paraId="02DCADC6" w14:textId="77777777" w:rsidR="000845C9" w:rsidRPr="00E26D69" w:rsidRDefault="000845C9" w:rsidP="00164966">
            <w:pPr>
              <w:rPr>
                <w:rFonts w:ascii="Arial" w:hAnsi="Arial" w:cs="Arial"/>
              </w:rPr>
            </w:pPr>
          </w:p>
        </w:tc>
        <w:tc>
          <w:tcPr>
            <w:tcW w:w="1985" w:type="dxa"/>
            <w:noWrap/>
            <w:vAlign w:val="bottom"/>
          </w:tcPr>
          <w:p w14:paraId="670339E7" w14:textId="77777777" w:rsidR="000845C9" w:rsidRPr="00E26D69" w:rsidRDefault="000845C9" w:rsidP="00164966">
            <w:pPr>
              <w:jc w:val="right"/>
              <w:rPr>
                <w:rFonts w:ascii="Arial" w:hAnsi="Arial" w:cs="Arial"/>
              </w:rPr>
            </w:pPr>
          </w:p>
        </w:tc>
        <w:tc>
          <w:tcPr>
            <w:tcW w:w="992" w:type="dxa"/>
            <w:noWrap/>
            <w:vAlign w:val="bottom"/>
          </w:tcPr>
          <w:p w14:paraId="01D13CDF" w14:textId="77777777" w:rsidR="000845C9" w:rsidRPr="00E26D69" w:rsidRDefault="000845C9" w:rsidP="00164966">
            <w:pPr>
              <w:jc w:val="right"/>
              <w:rPr>
                <w:rFonts w:ascii="Arial" w:hAnsi="Arial" w:cs="Arial"/>
                <w:color w:val="0000FF"/>
              </w:rPr>
            </w:pPr>
          </w:p>
        </w:tc>
        <w:tc>
          <w:tcPr>
            <w:tcW w:w="1559" w:type="dxa"/>
            <w:tcBorders>
              <w:top w:val="double" w:sz="4" w:space="0" w:color="auto"/>
            </w:tcBorders>
            <w:vAlign w:val="bottom"/>
          </w:tcPr>
          <w:p w14:paraId="5318FB58" w14:textId="77777777" w:rsidR="000845C9" w:rsidRDefault="000845C9" w:rsidP="00164966">
            <w:pPr>
              <w:jc w:val="right"/>
              <w:rPr>
                <w:rFonts w:ascii="Arial" w:hAnsi="Arial" w:cs="Arial"/>
                <w:b/>
              </w:rPr>
            </w:pPr>
          </w:p>
        </w:tc>
      </w:tr>
    </w:tbl>
    <w:p w14:paraId="6C15D125" w14:textId="77777777" w:rsidR="00EF0A64" w:rsidRDefault="00EF0A64" w:rsidP="00EF0A64">
      <w:pPr>
        <w:spacing w:line="360" w:lineRule="auto"/>
        <w:rPr>
          <w:rFonts w:ascii="Arial" w:hAnsi="Arial" w:cs="Arial"/>
        </w:rPr>
      </w:pPr>
    </w:p>
    <w:p w14:paraId="650F0167" w14:textId="628B8049" w:rsidR="00E02260" w:rsidRPr="006C3BDB" w:rsidRDefault="00E26D69" w:rsidP="00930DDA">
      <w:pPr>
        <w:spacing w:line="360" w:lineRule="auto"/>
        <w:ind w:left="-142"/>
        <w:rPr>
          <w:rFonts w:ascii="Arial" w:hAnsi="Arial" w:cs="Arial"/>
        </w:rPr>
      </w:pPr>
      <w:r w:rsidRPr="00E26D69">
        <w:rPr>
          <w:rFonts w:ascii="Arial" w:hAnsi="Arial" w:cs="Arial"/>
        </w:rPr>
        <w:lastRenderedPageBreak/>
        <w:t xml:space="preserve">More information on SEPA’s staff can be found in section 2.2 of </w:t>
      </w:r>
      <w:r w:rsidRPr="006C3BDB">
        <w:rPr>
          <w:rFonts w:ascii="Arial" w:hAnsi="Arial" w:cs="Arial"/>
        </w:rPr>
        <w:t xml:space="preserve">Remuneration and Staff </w:t>
      </w:r>
    </w:p>
    <w:p w14:paraId="5A182BDE" w14:textId="0BAC0D6B" w:rsidR="00D4467A" w:rsidRDefault="005B0245" w:rsidP="00383184">
      <w:pPr>
        <w:spacing w:line="360" w:lineRule="auto"/>
        <w:ind w:left="-142"/>
        <w:rPr>
          <w:rFonts w:ascii="Arial" w:hAnsi="Arial" w:cs="Arial"/>
        </w:rPr>
      </w:pPr>
      <w:r w:rsidRPr="006C3BDB">
        <w:rPr>
          <w:rFonts w:ascii="Arial" w:hAnsi="Arial" w:cs="Arial"/>
        </w:rPr>
        <w:t>Report.</w:t>
      </w:r>
    </w:p>
    <w:p w14:paraId="47F98D0D" w14:textId="77777777" w:rsidR="00383184" w:rsidRDefault="00383184" w:rsidP="00383184">
      <w:pPr>
        <w:spacing w:line="360" w:lineRule="auto"/>
        <w:ind w:left="-142"/>
        <w:rPr>
          <w:rFonts w:ascii="Arial" w:hAnsi="Arial" w:cs="Arial"/>
        </w:rPr>
      </w:pPr>
    </w:p>
    <w:p w14:paraId="46413FB4" w14:textId="484C6F5B" w:rsidR="005B0245" w:rsidRPr="00C960AF" w:rsidRDefault="005B0245" w:rsidP="000A1D9E">
      <w:pPr>
        <w:numPr>
          <w:ilvl w:val="0"/>
          <w:numId w:val="19"/>
        </w:numPr>
        <w:spacing w:line="360" w:lineRule="auto"/>
        <w:ind w:left="113" w:firstLine="567"/>
        <w:contextualSpacing/>
        <w:rPr>
          <w:rFonts w:ascii="Arial" w:hAnsi="Arial" w:cs="Arial"/>
          <w:b/>
        </w:rPr>
      </w:pPr>
      <w:bookmarkStart w:id="38" w:name="Note5otheroperatingcharges"/>
      <w:r w:rsidRPr="00C960AF">
        <w:rPr>
          <w:rFonts w:ascii="Arial" w:hAnsi="Arial" w:cs="Arial"/>
          <w:b/>
        </w:rPr>
        <w:t>Other operating charges</w:t>
      </w:r>
    </w:p>
    <w:tbl>
      <w:tblPr>
        <w:tblW w:w="10490" w:type="dxa"/>
        <w:tblInd w:w="-142" w:type="dxa"/>
        <w:tblLook w:val="0000" w:firstRow="0" w:lastRow="0" w:firstColumn="0" w:lastColumn="0" w:noHBand="0" w:noVBand="0"/>
      </w:tblPr>
      <w:tblGrid>
        <w:gridCol w:w="6522"/>
        <w:gridCol w:w="1918"/>
        <w:gridCol w:w="1917"/>
        <w:gridCol w:w="133"/>
      </w:tblGrid>
      <w:tr w:rsidR="00167866" w:rsidRPr="00E26D69" w14:paraId="2E3B1ECD" w14:textId="77777777" w:rsidTr="004F6785">
        <w:trPr>
          <w:trHeight w:val="340"/>
        </w:trPr>
        <w:tc>
          <w:tcPr>
            <w:tcW w:w="6521" w:type="dxa"/>
            <w:tcBorders>
              <w:top w:val="nil"/>
              <w:left w:val="nil"/>
              <w:bottom w:val="nil"/>
              <w:right w:val="nil"/>
            </w:tcBorders>
            <w:noWrap/>
            <w:vAlign w:val="bottom"/>
          </w:tcPr>
          <w:bookmarkEnd w:id="38"/>
          <w:p w14:paraId="34741B07" w14:textId="5C46FA72" w:rsidR="00E26D69" w:rsidRPr="004D1811" w:rsidRDefault="004D1811" w:rsidP="00B85B6E">
            <w:pPr>
              <w:ind w:left="-108"/>
              <w:rPr>
                <w:rFonts w:ascii="Arial" w:hAnsi="Arial" w:cs="Arial"/>
                <w:b/>
                <w:bCs/>
              </w:rPr>
            </w:pPr>
            <w:r w:rsidRPr="004D1811">
              <w:rPr>
                <w:rFonts w:ascii="Arial" w:hAnsi="Arial" w:cs="Arial"/>
                <w:b/>
                <w:bCs/>
              </w:rPr>
              <w:t>Operating charges categorised</w:t>
            </w:r>
          </w:p>
        </w:tc>
        <w:tc>
          <w:tcPr>
            <w:tcW w:w="1985" w:type="dxa"/>
            <w:tcBorders>
              <w:top w:val="nil"/>
              <w:left w:val="nil"/>
              <w:bottom w:val="nil"/>
              <w:right w:val="nil"/>
            </w:tcBorders>
            <w:shd w:val="clear" w:color="auto" w:fill="EAF1DD" w:themeFill="accent3" w:themeFillTint="33"/>
            <w:vAlign w:val="bottom"/>
          </w:tcPr>
          <w:p w14:paraId="01B54DD7" w14:textId="77777777" w:rsidR="00E26D69" w:rsidRDefault="00E26D69" w:rsidP="004F6785">
            <w:pPr>
              <w:jc w:val="right"/>
              <w:rPr>
                <w:rFonts w:ascii="Arial" w:hAnsi="Arial" w:cs="Arial"/>
                <w:b/>
                <w:bCs/>
              </w:rPr>
            </w:pPr>
            <w:r w:rsidRPr="00E26D69">
              <w:rPr>
                <w:rFonts w:ascii="Arial" w:hAnsi="Arial" w:cs="Arial"/>
                <w:b/>
                <w:bCs/>
              </w:rPr>
              <w:t>Year to</w:t>
            </w:r>
          </w:p>
          <w:p w14:paraId="74F9B673" w14:textId="13DA9D26" w:rsidR="00930DDA" w:rsidRDefault="00930DDA" w:rsidP="004F6785">
            <w:pPr>
              <w:jc w:val="right"/>
              <w:rPr>
                <w:rFonts w:ascii="Arial" w:hAnsi="Arial" w:cs="Arial"/>
                <w:b/>
                <w:bCs/>
              </w:rPr>
            </w:pPr>
            <w:r>
              <w:rPr>
                <w:rFonts w:ascii="Arial" w:hAnsi="Arial" w:cs="Arial"/>
                <w:b/>
                <w:bCs/>
              </w:rPr>
              <w:t>31 March 202</w:t>
            </w:r>
            <w:r w:rsidR="00736FDC">
              <w:rPr>
                <w:rFonts w:ascii="Arial" w:hAnsi="Arial" w:cs="Arial"/>
                <w:b/>
                <w:bCs/>
              </w:rPr>
              <w:t>2</w:t>
            </w:r>
          </w:p>
          <w:p w14:paraId="6BDC3441" w14:textId="77777777" w:rsidR="00360035" w:rsidRDefault="00360035" w:rsidP="004F6785">
            <w:pPr>
              <w:jc w:val="right"/>
              <w:rPr>
                <w:rFonts w:ascii="Arial" w:hAnsi="Arial" w:cs="Arial"/>
                <w:b/>
                <w:bCs/>
              </w:rPr>
            </w:pPr>
          </w:p>
          <w:p w14:paraId="653DAFE9" w14:textId="04CD2153" w:rsidR="00360035" w:rsidRPr="00E26D69" w:rsidRDefault="00360035" w:rsidP="004F6785">
            <w:pPr>
              <w:jc w:val="right"/>
              <w:rPr>
                <w:rFonts w:ascii="Arial" w:hAnsi="Arial" w:cs="Arial"/>
                <w:b/>
                <w:bCs/>
              </w:rPr>
            </w:pPr>
            <w:r>
              <w:rPr>
                <w:rFonts w:ascii="Arial" w:hAnsi="Arial" w:cs="Arial"/>
                <w:b/>
                <w:bCs/>
              </w:rPr>
              <w:t>£’000</w:t>
            </w:r>
          </w:p>
        </w:tc>
        <w:tc>
          <w:tcPr>
            <w:tcW w:w="1984" w:type="dxa"/>
            <w:gridSpan w:val="2"/>
            <w:tcBorders>
              <w:top w:val="nil"/>
              <w:left w:val="nil"/>
              <w:bottom w:val="nil"/>
              <w:right w:val="nil"/>
            </w:tcBorders>
            <w:vAlign w:val="bottom"/>
          </w:tcPr>
          <w:p w14:paraId="040430BE" w14:textId="77777777" w:rsidR="00E26D69" w:rsidRDefault="00E26D69" w:rsidP="004F6785">
            <w:pPr>
              <w:jc w:val="right"/>
              <w:rPr>
                <w:rFonts w:ascii="Arial" w:hAnsi="Arial" w:cs="Arial"/>
                <w:b/>
                <w:bCs/>
              </w:rPr>
            </w:pPr>
            <w:r w:rsidRPr="00E26D69">
              <w:rPr>
                <w:rFonts w:ascii="Arial" w:hAnsi="Arial" w:cs="Arial"/>
                <w:b/>
                <w:bCs/>
              </w:rPr>
              <w:t>Year to</w:t>
            </w:r>
          </w:p>
          <w:p w14:paraId="316B31AB" w14:textId="56DF238D" w:rsidR="00360035" w:rsidRDefault="00360035" w:rsidP="004F6785">
            <w:pPr>
              <w:jc w:val="right"/>
              <w:rPr>
                <w:rFonts w:ascii="Arial" w:hAnsi="Arial" w:cs="Arial"/>
                <w:b/>
                <w:bCs/>
              </w:rPr>
            </w:pPr>
            <w:r>
              <w:rPr>
                <w:rFonts w:ascii="Arial" w:hAnsi="Arial" w:cs="Arial"/>
                <w:b/>
                <w:bCs/>
              </w:rPr>
              <w:t>31 March 20</w:t>
            </w:r>
            <w:r w:rsidR="00783DBA">
              <w:rPr>
                <w:rFonts w:ascii="Arial" w:hAnsi="Arial" w:cs="Arial"/>
                <w:b/>
                <w:bCs/>
              </w:rPr>
              <w:t>2</w:t>
            </w:r>
            <w:r w:rsidR="00736FDC">
              <w:rPr>
                <w:rFonts w:ascii="Arial" w:hAnsi="Arial" w:cs="Arial"/>
                <w:b/>
                <w:bCs/>
              </w:rPr>
              <w:t>1</w:t>
            </w:r>
          </w:p>
          <w:p w14:paraId="29EBC5E8" w14:textId="77777777" w:rsidR="00CA1E57" w:rsidRDefault="00CA1E57" w:rsidP="004F6785">
            <w:pPr>
              <w:jc w:val="right"/>
              <w:rPr>
                <w:rFonts w:ascii="Arial" w:hAnsi="Arial" w:cs="Arial"/>
                <w:b/>
                <w:bCs/>
              </w:rPr>
            </w:pPr>
          </w:p>
          <w:p w14:paraId="0A926BB8" w14:textId="5E405879" w:rsidR="00CA1E57" w:rsidRPr="00E26D69" w:rsidRDefault="00CA1E57" w:rsidP="004F6785">
            <w:pPr>
              <w:jc w:val="right"/>
              <w:rPr>
                <w:rFonts w:ascii="Arial" w:hAnsi="Arial" w:cs="Arial"/>
                <w:b/>
                <w:bCs/>
              </w:rPr>
            </w:pPr>
            <w:r>
              <w:rPr>
                <w:rFonts w:ascii="Arial" w:hAnsi="Arial" w:cs="Arial"/>
                <w:b/>
                <w:bCs/>
              </w:rPr>
              <w:t>£’000</w:t>
            </w:r>
          </w:p>
        </w:tc>
      </w:tr>
      <w:tr w:rsidR="00167866" w:rsidRPr="00E26D69" w14:paraId="6C5A5CAD" w14:textId="77777777" w:rsidTr="000845C9">
        <w:trPr>
          <w:gridAfter w:val="1"/>
          <w:wAfter w:w="142" w:type="dxa"/>
          <w:trHeight w:val="454"/>
        </w:trPr>
        <w:tc>
          <w:tcPr>
            <w:tcW w:w="6521" w:type="dxa"/>
            <w:tcBorders>
              <w:top w:val="nil"/>
              <w:left w:val="nil"/>
              <w:bottom w:val="nil"/>
              <w:right w:val="nil"/>
            </w:tcBorders>
            <w:vAlign w:val="bottom"/>
          </w:tcPr>
          <w:p w14:paraId="0CC8108F" w14:textId="77777777" w:rsidR="00A801CB" w:rsidRPr="00E26D69" w:rsidRDefault="00A801CB" w:rsidP="00A801CB">
            <w:pPr>
              <w:ind w:left="-108"/>
              <w:rPr>
                <w:rFonts w:ascii="Arial" w:hAnsi="Arial" w:cs="Arial"/>
              </w:rPr>
            </w:pPr>
            <w:r w:rsidRPr="00E26D69">
              <w:rPr>
                <w:rFonts w:ascii="Arial" w:hAnsi="Arial" w:cs="Arial"/>
              </w:rPr>
              <w:t>Supplies and services</w:t>
            </w:r>
          </w:p>
        </w:tc>
        <w:tc>
          <w:tcPr>
            <w:tcW w:w="1985" w:type="dxa"/>
            <w:tcBorders>
              <w:top w:val="nil"/>
              <w:left w:val="nil"/>
              <w:bottom w:val="nil"/>
              <w:right w:val="nil"/>
            </w:tcBorders>
            <w:shd w:val="clear" w:color="auto" w:fill="EAF1DD" w:themeFill="accent3" w:themeFillTint="33"/>
            <w:vAlign w:val="bottom"/>
          </w:tcPr>
          <w:p w14:paraId="7230074D" w14:textId="2A08E5DA" w:rsidR="00A801CB" w:rsidRPr="00E26D69" w:rsidRDefault="002F0366" w:rsidP="00A801CB">
            <w:pPr>
              <w:jc w:val="right"/>
              <w:rPr>
                <w:rFonts w:ascii="Arial" w:hAnsi="Arial" w:cs="Arial"/>
              </w:rPr>
            </w:pPr>
            <w:r>
              <w:rPr>
                <w:rFonts w:ascii="Arial" w:hAnsi="Arial" w:cs="Arial"/>
              </w:rPr>
              <w:t>15,220</w:t>
            </w:r>
          </w:p>
        </w:tc>
        <w:tc>
          <w:tcPr>
            <w:tcW w:w="1984" w:type="dxa"/>
            <w:tcBorders>
              <w:top w:val="nil"/>
              <w:left w:val="nil"/>
              <w:bottom w:val="nil"/>
              <w:right w:val="nil"/>
            </w:tcBorders>
            <w:vAlign w:val="bottom"/>
          </w:tcPr>
          <w:p w14:paraId="37950E82" w14:textId="4834BAAE" w:rsidR="00A801CB" w:rsidRPr="00E26D69" w:rsidRDefault="00A801CB" w:rsidP="00A801CB">
            <w:pPr>
              <w:jc w:val="right"/>
              <w:rPr>
                <w:rFonts w:ascii="Arial" w:hAnsi="Arial" w:cs="Arial"/>
              </w:rPr>
            </w:pPr>
            <w:r>
              <w:rPr>
                <w:rFonts w:ascii="Arial" w:hAnsi="Arial" w:cs="Arial"/>
              </w:rPr>
              <w:t>11,929</w:t>
            </w:r>
          </w:p>
        </w:tc>
      </w:tr>
      <w:tr w:rsidR="00167866" w:rsidRPr="00E26D69" w14:paraId="5DC4DB82" w14:textId="77777777" w:rsidTr="000845C9">
        <w:trPr>
          <w:gridAfter w:val="1"/>
          <w:wAfter w:w="142" w:type="dxa"/>
          <w:trHeight w:val="454"/>
        </w:trPr>
        <w:tc>
          <w:tcPr>
            <w:tcW w:w="6521" w:type="dxa"/>
            <w:tcBorders>
              <w:top w:val="nil"/>
              <w:left w:val="nil"/>
              <w:bottom w:val="nil"/>
              <w:right w:val="nil"/>
            </w:tcBorders>
            <w:vAlign w:val="bottom"/>
          </w:tcPr>
          <w:p w14:paraId="61A255AD" w14:textId="77777777" w:rsidR="00A801CB" w:rsidRPr="00E26D69" w:rsidRDefault="00A801CB" w:rsidP="00A801CB">
            <w:pPr>
              <w:ind w:left="-108"/>
              <w:rPr>
                <w:rFonts w:ascii="Arial" w:hAnsi="Arial" w:cs="Arial"/>
              </w:rPr>
            </w:pPr>
            <w:r w:rsidRPr="00E26D69">
              <w:rPr>
                <w:rFonts w:ascii="Arial" w:hAnsi="Arial" w:cs="Arial"/>
              </w:rPr>
              <w:t>Property costs</w:t>
            </w:r>
          </w:p>
        </w:tc>
        <w:tc>
          <w:tcPr>
            <w:tcW w:w="1985" w:type="dxa"/>
            <w:tcBorders>
              <w:top w:val="nil"/>
              <w:left w:val="nil"/>
              <w:bottom w:val="nil"/>
              <w:right w:val="nil"/>
            </w:tcBorders>
            <w:shd w:val="clear" w:color="auto" w:fill="EAF1DD" w:themeFill="accent3" w:themeFillTint="33"/>
            <w:vAlign w:val="bottom"/>
          </w:tcPr>
          <w:p w14:paraId="2BBDBF5E" w14:textId="6B0DBA2C" w:rsidR="00A801CB" w:rsidRPr="00E26D69" w:rsidRDefault="002F0366" w:rsidP="00A801CB">
            <w:pPr>
              <w:jc w:val="right"/>
              <w:rPr>
                <w:rFonts w:ascii="Arial" w:hAnsi="Arial" w:cs="Arial"/>
              </w:rPr>
            </w:pPr>
            <w:r>
              <w:rPr>
                <w:rFonts w:ascii="Arial" w:hAnsi="Arial" w:cs="Arial"/>
              </w:rPr>
              <w:t>3,151</w:t>
            </w:r>
          </w:p>
        </w:tc>
        <w:tc>
          <w:tcPr>
            <w:tcW w:w="1984" w:type="dxa"/>
            <w:tcBorders>
              <w:top w:val="nil"/>
              <w:left w:val="nil"/>
              <w:bottom w:val="nil"/>
              <w:right w:val="nil"/>
            </w:tcBorders>
            <w:vAlign w:val="bottom"/>
          </w:tcPr>
          <w:p w14:paraId="296333BE" w14:textId="26606D25" w:rsidR="00A801CB" w:rsidRPr="00E26D69" w:rsidRDefault="00A801CB" w:rsidP="00A801CB">
            <w:pPr>
              <w:jc w:val="right"/>
              <w:rPr>
                <w:rFonts w:ascii="Arial" w:hAnsi="Arial" w:cs="Arial"/>
              </w:rPr>
            </w:pPr>
            <w:r>
              <w:rPr>
                <w:rFonts w:ascii="Arial" w:hAnsi="Arial" w:cs="Arial"/>
              </w:rPr>
              <w:t>2,209</w:t>
            </w:r>
          </w:p>
        </w:tc>
      </w:tr>
      <w:tr w:rsidR="00167866" w:rsidRPr="00E26D69" w14:paraId="55A4993E" w14:textId="77777777" w:rsidTr="000845C9">
        <w:trPr>
          <w:gridAfter w:val="1"/>
          <w:wAfter w:w="142" w:type="dxa"/>
          <w:trHeight w:val="454"/>
        </w:trPr>
        <w:tc>
          <w:tcPr>
            <w:tcW w:w="6521" w:type="dxa"/>
            <w:tcBorders>
              <w:top w:val="nil"/>
              <w:left w:val="nil"/>
              <w:bottom w:val="nil"/>
              <w:right w:val="nil"/>
            </w:tcBorders>
            <w:vAlign w:val="bottom"/>
          </w:tcPr>
          <w:p w14:paraId="6426021C" w14:textId="77777777" w:rsidR="00A801CB" w:rsidRPr="00E26D69" w:rsidRDefault="00A801CB" w:rsidP="00A801CB">
            <w:pPr>
              <w:ind w:left="-108"/>
              <w:rPr>
                <w:rFonts w:ascii="Arial" w:hAnsi="Arial" w:cs="Arial"/>
              </w:rPr>
            </w:pPr>
            <w:r w:rsidRPr="00E26D69">
              <w:rPr>
                <w:rFonts w:ascii="Arial" w:hAnsi="Arial" w:cs="Arial"/>
              </w:rPr>
              <w:t>Transport costs</w:t>
            </w:r>
          </w:p>
        </w:tc>
        <w:tc>
          <w:tcPr>
            <w:tcW w:w="1985" w:type="dxa"/>
            <w:tcBorders>
              <w:top w:val="nil"/>
              <w:left w:val="nil"/>
              <w:bottom w:val="nil"/>
              <w:right w:val="nil"/>
            </w:tcBorders>
            <w:shd w:val="clear" w:color="auto" w:fill="EAF1DD" w:themeFill="accent3" w:themeFillTint="33"/>
            <w:vAlign w:val="bottom"/>
          </w:tcPr>
          <w:p w14:paraId="212BDDFD" w14:textId="5F841614" w:rsidR="00A801CB" w:rsidRPr="00E26D69" w:rsidRDefault="002F0366" w:rsidP="00A801CB">
            <w:pPr>
              <w:jc w:val="right"/>
              <w:rPr>
                <w:rFonts w:ascii="Arial" w:hAnsi="Arial" w:cs="Arial"/>
              </w:rPr>
            </w:pPr>
            <w:r>
              <w:rPr>
                <w:rFonts w:ascii="Arial" w:hAnsi="Arial" w:cs="Arial"/>
              </w:rPr>
              <w:t>789</w:t>
            </w:r>
          </w:p>
        </w:tc>
        <w:tc>
          <w:tcPr>
            <w:tcW w:w="1984" w:type="dxa"/>
            <w:tcBorders>
              <w:top w:val="nil"/>
              <w:left w:val="nil"/>
              <w:bottom w:val="nil"/>
              <w:right w:val="nil"/>
            </w:tcBorders>
            <w:vAlign w:val="bottom"/>
          </w:tcPr>
          <w:p w14:paraId="2AF00961" w14:textId="4C3E7804" w:rsidR="00A801CB" w:rsidRPr="00E26D69" w:rsidRDefault="00A801CB" w:rsidP="00A801CB">
            <w:pPr>
              <w:jc w:val="right"/>
              <w:rPr>
                <w:rFonts w:ascii="Arial" w:hAnsi="Arial" w:cs="Arial"/>
              </w:rPr>
            </w:pPr>
            <w:r>
              <w:rPr>
                <w:rFonts w:ascii="Arial" w:hAnsi="Arial" w:cs="Arial"/>
              </w:rPr>
              <w:t>397</w:t>
            </w:r>
          </w:p>
        </w:tc>
      </w:tr>
      <w:tr w:rsidR="00167866" w:rsidRPr="00E26D69" w14:paraId="177AFFF8" w14:textId="77777777" w:rsidTr="000845C9">
        <w:trPr>
          <w:gridAfter w:val="1"/>
          <w:wAfter w:w="142" w:type="dxa"/>
          <w:trHeight w:val="454"/>
        </w:trPr>
        <w:tc>
          <w:tcPr>
            <w:tcW w:w="6521" w:type="dxa"/>
            <w:tcBorders>
              <w:top w:val="nil"/>
              <w:left w:val="nil"/>
              <w:bottom w:val="nil"/>
              <w:right w:val="nil"/>
            </w:tcBorders>
            <w:vAlign w:val="bottom"/>
          </w:tcPr>
          <w:p w14:paraId="2697B28C" w14:textId="77777777" w:rsidR="00A801CB" w:rsidRPr="00E26D69" w:rsidRDefault="00A801CB" w:rsidP="00A801CB">
            <w:pPr>
              <w:ind w:left="-108"/>
              <w:rPr>
                <w:rFonts w:ascii="Arial" w:hAnsi="Arial" w:cs="Arial"/>
              </w:rPr>
            </w:pPr>
            <w:r w:rsidRPr="00E26D69">
              <w:rPr>
                <w:rFonts w:ascii="Arial" w:hAnsi="Arial" w:cs="Arial"/>
              </w:rPr>
              <w:t>Research and development costs</w:t>
            </w:r>
          </w:p>
        </w:tc>
        <w:tc>
          <w:tcPr>
            <w:tcW w:w="1985" w:type="dxa"/>
            <w:tcBorders>
              <w:top w:val="nil"/>
              <w:left w:val="nil"/>
              <w:bottom w:val="nil"/>
              <w:right w:val="nil"/>
            </w:tcBorders>
            <w:shd w:val="clear" w:color="auto" w:fill="EAF1DD" w:themeFill="accent3" w:themeFillTint="33"/>
            <w:vAlign w:val="bottom"/>
          </w:tcPr>
          <w:p w14:paraId="24A9623A" w14:textId="3AC1CD07" w:rsidR="00A801CB" w:rsidRPr="00E26D69" w:rsidRDefault="002F0366" w:rsidP="00A801CB">
            <w:pPr>
              <w:jc w:val="right"/>
              <w:rPr>
                <w:rFonts w:ascii="Arial" w:hAnsi="Arial" w:cs="Arial"/>
              </w:rPr>
            </w:pPr>
            <w:r>
              <w:rPr>
                <w:rFonts w:ascii="Arial" w:hAnsi="Arial" w:cs="Arial"/>
              </w:rPr>
              <w:t>16</w:t>
            </w:r>
          </w:p>
        </w:tc>
        <w:tc>
          <w:tcPr>
            <w:tcW w:w="1984" w:type="dxa"/>
            <w:tcBorders>
              <w:top w:val="nil"/>
              <w:left w:val="nil"/>
              <w:bottom w:val="nil"/>
              <w:right w:val="nil"/>
            </w:tcBorders>
            <w:vAlign w:val="bottom"/>
          </w:tcPr>
          <w:p w14:paraId="112A1BD9" w14:textId="71AE2E0B" w:rsidR="00A801CB" w:rsidRPr="00E26D69" w:rsidRDefault="00A801CB" w:rsidP="00A801CB">
            <w:pPr>
              <w:jc w:val="right"/>
              <w:rPr>
                <w:rFonts w:ascii="Arial" w:hAnsi="Arial" w:cs="Arial"/>
              </w:rPr>
            </w:pPr>
            <w:r>
              <w:rPr>
                <w:rFonts w:ascii="Arial" w:hAnsi="Arial" w:cs="Arial"/>
              </w:rPr>
              <w:t>42</w:t>
            </w:r>
          </w:p>
        </w:tc>
      </w:tr>
      <w:tr w:rsidR="00167866" w:rsidRPr="00E26D69" w14:paraId="3B839D08" w14:textId="77777777" w:rsidTr="000845C9">
        <w:trPr>
          <w:gridAfter w:val="1"/>
          <w:wAfter w:w="142" w:type="dxa"/>
          <w:trHeight w:val="454"/>
        </w:trPr>
        <w:tc>
          <w:tcPr>
            <w:tcW w:w="6521" w:type="dxa"/>
            <w:tcBorders>
              <w:top w:val="nil"/>
              <w:left w:val="nil"/>
              <w:bottom w:val="nil"/>
              <w:right w:val="nil"/>
            </w:tcBorders>
            <w:vAlign w:val="bottom"/>
          </w:tcPr>
          <w:p w14:paraId="64BA800B" w14:textId="77777777" w:rsidR="00A801CB" w:rsidRPr="00E26D69" w:rsidRDefault="00A801CB" w:rsidP="00A801CB">
            <w:pPr>
              <w:ind w:left="-108"/>
              <w:rPr>
                <w:rFonts w:ascii="Arial" w:hAnsi="Arial" w:cs="Arial"/>
              </w:rPr>
            </w:pPr>
            <w:r w:rsidRPr="00C960AF">
              <w:rPr>
                <w:rFonts w:ascii="Arial" w:hAnsi="Arial" w:cs="Arial"/>
              </w:rPr>
              <w:t>Board expenses</w:t>
            </w:r>
          </w:p>
        </w:tc>
        <w:tc>
          <w:tcPr>
            <w:tcW w:w="1985" w:type="dxa"/>
            <w:tcBorders>
              <w:top w:val="nil"/>
              <w:left w:val="nil"/>
              <w:bottom w:val="nil"/>
              <w:right w:val="nil"/>
            </w:tcBorders>
            <w:shd w:val="clear" w:color="auto" w:fill="EAF1DD" w:themeFill="accent3" w:themeFillTint="33"/>
            <w:vAlign w:val="bottom"/>
          </w:tcPr>
          <w:p w14:paraId="61CF139D" w14:textId="76A3FE56" w:rsidR="00A801CB" w:rsidRPr="00E26D69" w:rsidRDefault="00C960AF" w:rsidP="00A801CB">
            <w:pPr>
              <w:jc w:val="right"/>
              <w:rPr>
                <w:rFonts w:ascii="Arial" w:hAnsi="Arial" w:cs="Arial"/>
              </w:rPr>
            </w:pPr>
            <w:r>
              <w:rPr>
                <w:rFonts w:ascii="Arial" w:hAnsi="Arial" w:cs="Arial"/>
              </w:rPr>
              <w:t>-</w:t>
            </w:r>
          </w:p>
        </w:tc>
        <w:tc>
          <w:tcPr>
            <w:tcW w:w="1984" w:type="dxa"/>
            <w:tcBorders>
              <w:top w:val="nil"/>
              <w:left w:val="nil"/>
              <w:bottom w:val="nil"/>
              <w:right w:val="nil"/>
            </w:tcBorders>
            <w:vAlign w:val="bottom"/>
          </w:tcPr>
          <w:p w14:paraId="60306445" w14:textId="484FBBDD" w:rsidR="00A801CB" w:rsidRPr="00E26D69" w:rsidRDefault="00A801CB" w:rsidP="00A801CB">
            <w:pPr>
              <w:jc w:val="right"/>
              <w:rPr>
                <w:rFonts w:ascii="Arial" w:hAnsi="Arial" w:cs="Arial"/>
              </w:rPr>
            </w:pPr>
            <w:r>
              <w:rPr>
                <w:rFonts w:ascii="Arial" w:hAnsi="Arial" w:cs="Arial"/>
              </w:rPr>
              <w:t>-</w:t>
            </w:r>
          </w:p>
        </w:tc>
      </w:tr>
      <w:tr w:rsidR="00167866" w:rsidRPr="00E26D69" w14:paraId="487C0CEC" w14:textId="77777777" w:rsidTr="000845C9">
        <w:trPr>
          <w:gridAfter w:val="1"/>
          <w:wAfter w:w="142" w:type="dxa"/>
          <w:trHeight w:val="454"/>
        </w:trPr>
        <w:tc>
          <w:tcPr>
            <w:tcW w:w="6521" w:type="dxa"/>
            <w:tcBorders>
              <w:top w:val="nil"/>
              <w:left w:val="nil"/>
              <w:bottom w:val="nil"/>
              <w:right w:val="nil"/>
            </w:tcBorders>
            <w:noWrap/>
            <w:vAlign w:val="bottom"/>
          </w:tcPr>
          <w:p w14:paraId="432C204F" w14:textId="77777777" w:rsidR="00A801CB" w:rsidRPr="00E26D69" w:rsidRDefault="00A801CB" w:rsidP="00A801CB">
            <w:pPr>
              <w:ind w:left="-108"/>
              <w:rPr>
                <w:rFonts w:ascii="Arial" w:hAnsi="Arial" w:cs="Arial"/>
              </w:rPr>
            </w:pPr>
            <w:r w:rsidRPr="00E26D69">
              <w:rPr>
                <w:rFonts w:ascii="Arial" w:hAnsi="Arial" w:cs="Arial"/>
              </w:rPr>
              <w:t>Property and vehicle leases</w:t>
            </w:r>
          </w:p>
        </w:tc>
        <w:tc>
          <w:tcPr>
            <w:tcW w:w="1985" w:type="dxa"/>
            <w:tcBorders>
              <w:top w:val="nil"/>
              <w:left w:val="nil"/>
              <w:bottom w:val="nil"/>
              <w:right w:val="nil"/>
            </w:tcBorders>
            <w:shd w:val="clear" w:color="auto" w:fill="EAF1DD" w:themeFill="accent3" w:themeFillTint="33"/>
            <w:vAlign w:val="bottom"/>
          </w:tcPr>
          <w:p w14:paraId="0EE05FD4" w14:textId="23A82DC8" w:rsidR="00A801CB" w:rsidRPr="00E26D69" w:rsidRDefault="002F0366" w:rsidP="00A801CB">
            <w:pPr>
              <w:jc w:val="right"/>
              <w:rPr>
                <w:rFonts w:ascii="Arial" w:hAnsi="Arial" w:cs="Arial"/>
              </w:rPr>
            </w:pPr>
            <w:r>
              <w:rPr>
                <w:rFonts w:ascii="Arial" w:hAnsi="Arial" w:cs="Arial"/>
              </w:rPr>
              <w:t>1,901</w:t>
            </w:r>
          </w:p>
        </w:tc>
        <w:tc>
          <w:tcPr>
            <w:tcW w:w="1984" w:type="dxa"/>
            <w:tcBorders>
              <w:top w:val="nil"/>
              <w:left w:val="nil"/>
              <w:bottom w:val="nil"/>
              <w:right w:val="nil"/>
            </w:tcBorders>
            <w:vAlign w:val="bottom"/>
          </w:tcPr>
          <w:p w14:paraId="50C8F56C" w14:textId="74A83A87" w:rsidR="00A801CB" w:rsidRPr="00E26D69" w:rsidRDefault="00A801CB" w:rsidP="00A801CB">
            <w:pPr>
              <w:jc w:val="right"/>
              <w:rPr>
                <w:rFonts w:ascii="Arial" w:hAnsi="Arial" w:cs="Arial"/>
              </w:rPr>
            </w:pPr>
            <w:r>
              <w:rPr>
                <w:rFonts w:ascii="Arial" w:hAnsi="Arial" w:cs="Arial"/>
              </w:rPr>
              <w:t>1,953</w:t>
            </w:r>
          </w:p>
        </w:tc>
      </w:tr>
      <w:tr w:rsidR="00167866" w:rsidRPr="00E26D69" w14:paraId="4566253B" w14:textId="77777777" w:rsidTr="000845C9">
        <w:trPr>
          <w:gridAfter w:val="1"/>
          <w:wAfter w:w="142" w:type="dxa"/>
          <w:trHeight w:val="454"/>
        </w:trPr>
        <w:tc>
          <w:tcPr>
            <w:tcW w:w="6521" w:type="dxa"/>
            <w:tcBorders>
              <w:top w:val="nil"/>
              <w:left w:val="nil"/>
              <w:bottom w:val="nil"/>
              <w:right w:val="nil"/>
            </w:tcBorders>
            <w:noWrap/>
            <w:vAlign w:val="bottom"/>
          </w:tcPr>
          <w:p w14:paraId="5A0887A9" w14:textId="77777777" w:rsidR="00A801CB" w:rsidRPr="00E26D69" w:rsidRDefault="00A801CB" w:rsidP="00A801CB">
            <w:pPr>
              <w:ind w:left="-108"/>
              <w:rPr>
                <w:rFonts w:ascii="Arial" w:hAnsi="Arial" w:cs="Arial"/>
              </w:rPr>
            </w:pPr>
            <w:r w:rsidRPr="00E26D69">
              <w:rPr>
                <w:rFonts w:ascii="Arial" w:hAnsi="Arial" w:cs="Arial"/>
              </w:rPr>
              <w:t>External Auditor’s remuneration – audit services</w:t>
            </w:r>
          </w:p>
        </w:tc>
        <w:tc>
          <w:tcPr>
            <w:tcW w:w="1985" w:type="dxa"/>
            <w:tcBorders>
              <w:top w:val="nil"/>
              <w:left w:val="nil"/>
              <w:bottom w:val="nil"/>
              <w:right w:val="nil"/>
            </w:tcBorders>
            <w:shd w:val="clear" w:color="auto" w:fill="EAF1DD" w:themeFill="accent3" w:themeFillTint="33"/>
            <w:vAlign w:val="bottom"/>
          </w:tcPr>
          <w:p w14:paraId="144934A4" w14:textId="0E10707B" w:rsidR="00A801CB" w:rsidRPr="00E26D69" w:rsidRDefault="002F0366" w:rsidP="00A801CB">
            <w:pPr>
              <w:jc w:val="right"/>
              <w:rPr>
                <w:rFonts w:ascii="Arial" w:hAnsi="Arial" w:cs="Arial"/>
              </w:rPr>
            </w:pPr>
            <w:r>
              <w:rPr>
                <w:rFonts w:ascii="Arial" w:hAnsi="Arial" w:cs="Arial"/>
              </w:rPr>
              <w:t>67</w:t>
            </w:r>
          </w:p>
        </w:tc>
        <w:tc>
          <w:tcPr>
            <w:tcW w:w="1984" w:type="dxa"/>
            <w:tcBorders>
              <w:top w:val="nil"/>
              <w:left w:val="nil"/>
              <w:bottom w:val="nil"/>
              <w:right w:val="nil"/>
            </w:tcBorders>
            <w:vAlign w:val="bottom"/>
          </w:tcPr>
          <w:p w14:paraId="57752DAD" w14:textId="769892A2" w:rsidR="00A801CB" w:rsidRPr="00E26D69" w:rsidRDefault="00A801CB" w:rsidP="00A801CB">
            <w:pPr>
              <w:jc w:val="right"/>
              <w:rPr>
                <w:rFonts w:ascii="Arial" w:hAnsi="Arial" w:cs="Arial"/>
              </w:rPr>
            </w:pPr>
            <w:r>
              <w:rPr>
                <w:rFonts w:ascii="Arial" w:hAnsi="Arial" w:cs="Arial"/>
              </w:rPr>
              <w:t>85</w:t>
            </w:r>
          </w:p>
        </w:tc>
      </w:tr>
      <w:tr w:rsidR="005A4491" w:rsidRPr="00E26D69" w14:paraId="17F51E90" w14:textId="77777777" w:rsidTr="000845C9">
        <w:trPr>
          <w:gridAfter w:val="1"/>
          <w:wAfter w:w="142" w:type="dxa"/>
          <w:trHeight w:val="454"/>
        </w:trPr>
        <w:tc>
          <w:tcPr>
            <w:tcW w:w="6521" w:type="dxa"/>
            <w:tcBorders>
              <w:top w:val="nil"/>
              <w:left w:val="nil"/>
              <w:bottom w:val="nil"/>
              <w:right w:val="nil"/>
            </w:tcBorders>
            <w:vAlign w:val="bottom"/>
          </w:tcPr>
          <w:p w14:paraId="7AAF2B09" w14:textId="77777777" w:rsidR="00A801CB" w:rsidRPr="00E26D69" w:rsidRDefault="00A801CB" w:rsidP="00A801CB">
            <w:pPr>
              <w:ind w:left="-108"/>
              <w:rPr>
                <w:rFonts w:ascii="Arial" w:hAnsi="Arial" w:cs="Arial"/>
              </w:rPr>
            </w:pPr>
          </w:p>
        </w:tc>
        <w:tc>
          <w:tcPr>
            <w:tcW w:w="1985" w:type="dxa"/>
            <w:tcBorders>
              <w:top w:val="single" w:sz="4" w:space="0" w:color="auto"/>
              <w:left w:val="nil"/>
              <w:bottom w:val="double" w:sz="6" w:space="0" w:color="auto"/>
              <w:right w:val="nil"/>
            </w:tcBorders>
            <w:shd w:val="clear" w:color="auto" w:fill="EAF1DD" w:themeFill="accent3" w:themeFillTint="33"/>
            <w:vAlign w:val="bottom"/>
          </w:tcPr>
          <w:p w14:paraId="2D12F9F9" w14:textId="24C3B8A6" w:rsidR="00A801CB" w:rsidRPr="00E26D69" w:rsidRDefault="002F0366" w:rsidP="00A801CB">
            <w:pPr>
              <w:jc w:val="right"/>
              <w:rPr>
                <w:rFonts w:ascii="Arial" w:hAnsi="Arial" w:cs="Arial"/>
                <w:b/>
              </w:rPr>
            </w:pPr>
            <w:r>
              <w:rPr>
                <w:rFonts w:ascii="Arial" w:hAnsi="Arial" w:cs="Arial"/>
                <w:b/>
              </w:rPr>
              <w:t>21,144</w:t>
            </w:r>
          </w:p>
        </w:tc>
        <w:tc>
          <w:tcPr>
            <w:tcW w:w="1984" w:type="dxa"/>
            <w:tcBorders>
              <w:top w:val="single" w:sz="4" w:space="0" w:color="auto"/>
              <w:left w:val="nil"/>
              <w:bottom w:val="double" w:sz="6" w:space="0" w:color="auto"/>
              <w:right w:val="nil"/>
            </w:tcBorders>
            <w:vAlign w:val="bottom"/>
          </w:tcPr>
          <w:p w14:paraId="4C0C891E" w14:textId="2D4B73C5" w:rsidR="00A801CB" w:rsidRPr="00E26D69" w:rsidRDefault="00A801CB" w:rsidP="00A801CB">
            <w:pPr>
              <w:jc w:val="right"/>
              <w:rPr>
                <w:rFonts w:ascii="Arial" w:hAnsi="Arial" w:cs="Arial"/>
                <w:b/>
              </w:rPr>
            </w:pPr>
            <w:r>
              <w:rPr>
                <w:rFonts w:ascii="Arial" w:hAnsi="Arial" w:cs="Arial"/>
                <w:b/>
              </w:rPr>
              <w:t>16,615</w:t>
            </w:r>
          </w:p>
        </w:tc>
      </w:tr>
    </w:tbl>
    <w:p w14:paraId="2BE8048F" w14:textId="77777777" w:rsidR="00C45003" w:rsidRDefault="00C45003" w:rsidP="00577133">
      <w:pPr>
        <w:pStyle w:val="ListParagraph"/>
        <w:spacing w:line="360" w:lineRule="auto"/>
        <w:ind w:left="-142"/>
        <w:rPr>
          <w:rFonts w:ascii="Arial" w:hAnsi="Arial" w:cs="Arial"/>
          <w:b/>
        </w:rPr>
      </w:pPr>
    </w:p>
    <w:p w14:paraId="02968EA6" w14:textId="3FAD5346" w:rsidR="00D4467A" w:rsidRPr="002C5D83" w:rsidRDefault="00E26D69" w:rsidP="002C5D83">
      <w:pPr>
        <w:numPr>
          <w:ilvl w:val="0"/>
          <w:numId w:val="19"/>
        </w:numPr>
        <w:spacing w:line="360" w:lineRule="auto"/>
        <w:ind w:left="113" w:firstLine="567"/>
        <w:contextualSpacing/>
        <w:rPr>
          <w:rFonts w:ascii="Arial" w:hAnsi="Arial" w:cs="Arial"/>
          <w:b/>
          <w:bCs/>
        </w:rPr>
      </w:pPr>
      <w:bookmarkStart w:id="39" w:name="Note6interestreceivableandsimilarincome"/>
      <w:r w:rsidRPr="00C960AF">
        <w:rPr>
          <w:rFonts w:ascii="Arial" w:hAnsi="Arial" w:cs="Arial"/>
          <w:b/>
          <w:bCs/>
        </w:rPr>
        <w:t>Interest receivable and similar income</w:t>
      </w:r>
    </w:p>
    <w:bookmarkEnd w:id="39"/>
    <w:tbl>
      <w:tblPr>
        <w:tblW w:w="10368" w:type="dxa"/>
        <w:tblInd w:w="-142" w:type="dxa"/>
        <w:tblLook w:val="0000" w:firstRow="0" w:lastRow="0" w:firstColumn="0" w:lastColumn="0" w:noHBand="0" w:noVBand="0"/>
      </w:tblPr>
      <w:tblGrid>
        <w:gridCol w:w="6521"/>
        <w:gridCol w:w="1915"/>
        <w:gridCol w:w="1798"/>
        <w:gridCol w:w="134"/>
      </w:tblGrid>
      <w:tr w:rsidR="00167866" w:rsidRPr="00E26D69" w14:paraId="52655F10" w14:textId="77777777" w:rsidTr="00A72250">
        <w:tc>
          <w:tcPr>
            <w:tcW w:w="6521" w:type="dxa"/>
            <w:noWrap/>
            <w:vAlign w:val="bottom"/>
          </w:tcPr>
          <w:p w14:paraId="3A46FC11" w14:textId="77777777" w:rsidR="00E26D69" w:rsidRPr="00E26D69" w:rsidRDefault="00E26D69" w:rsidP="00A72250">
            <w:pPr>
              <w:rPr>
                <w:rFonts w:ascii="Arial" w:hAnsi="Arial" w:cs="Arial"/>
                <w:b/>
                <w:bCs/>
              </w:rPr>
            </w:pPr>
          </w:p>
        </w:tc>
        <w:tc>
          <w:tcPr>
            <w:tcW w:w="1985" w:type="dxa"/>
            <w:tcBorders>
              <w:bottom w:val="single" w:sz="4" w:space="0" w:color="auto"/>
            </w:tcBorders>
            <w:shd w:val="clear" w:color="auto" w:fill="EAF1DD" w:themeFill="accent3" w:themeFillTint="33"/>
            <w:vAlign w:val="bottom"/>
          </w:tcPr>
          <w:p w14:paraId="5040EA85" w14:textId="77777777" w:rsidR="00E26D69" w:rsidRPr="00FA77C3" w:rsidRDefault="00E26D69" w:rsidP="00B85B6E">
            <w:pPr>
              <w:jc w:val="right"/>
              <w:rPr>
                <w:rFonts w:ascii="Arial" w:hAnsi="Arial" w:cs="Arial"/>
                <w:b/>
                <w:bCs/>
              </w:rPr>
            </w:pPr>
            <w:r w:rsidRPr="00FA77C3">
              <w:rPr>
                <w:rFonts w:ascii="Arial" w:hAnsi="Arial" w:cs="Arial"/>
                <w:b/>
                <w:bCs/>
              </w:rPr>
              <w:t xml:space="preserve">Year to </w:t>
            </w:r>
          </w:p>
          <w:p w14:paraId="2D610B38" w14:textId="41EBC1BC" w:rsidR="00E26D69" w:rsidRPr="00FA77C3" w:rsidRDefault="00E26D69" w:rsidP="00B85B6E">
            <w:pPr>
              <w:jc w:val="right"/>
              <w:rPr>
                <w:rFonts w:ascii="Arial" w:hAnsi="Arial" w:cs="Arial"/>
                <w:b/>
                <w:bCs/>
              </w:rPr>
            </w:pPr>
            <w:r w:rsidRPr="00FA77C3">
              <w:rPr>
                <w:rFonts w:ascii="Arial" w:hAnsi="Arial" w:cs="Arial"/>
                <w:b/>
                <w:bCs/>
              </w:rPr>
              <w:t>31 March 202</w:t>
            </w:r>
            <w:r w:rsidR="00736FDC">
              <w:rPr>
                <w:rFonts w:ascii="Arial" w:hAnsi="Arial" w:cs="Arial"/>
                <w:b/>
                <w:bCs/>
              </w:rPr>
              <w:t>2</w:t>
            </w:r>
          </w:p>
          <w:p w14:paraId="0045E5CC" w14:textId="77777777" w:rsidR="00A72250" w:rsidRPr="00FA77C3" w:rsidRDefault="00A72250" w:rsidP="00B85B6E">
            <w:pPr>
              <w:jc w:val="right"/>
              <w:rPr>
                <w:rFonts w:ascii="Arial" w:hAnsi="Arial" w:cs="Arial"/>
                <w:b/>
                <w:bCs/>
              </w:rPr>
            </w:pPr>
          </w:p>
          <w:p w14:paraId="6571E20E" w14:textId="0E1363F3" w:rsidR="00A72250" w:rsidRPr="00FA77C3" w:rsidRDefault="00A72250" w:rsidP="00B85B6E">
            <w:pPr>
              <w:jc w:val="right"/>
              <w:rPr>
                <w:rFonts w:ascii="Arial" w:hAnsi="Arial" w:cs="Arial"/>
                <w:b/>
                <w:bCs/>
              </w:rPr>
            </w:pPr>
            <w:r w:rsidRPr="00FA77C3">
              <w:rPr>
                <w:rFonts w:ascii="Arial" w:hAnsi="Arial" w:cs="Arial"/>
                <w:b/>
                <w:bCs/>
              </w:rPr>
              <w:t>£’000</w:t>
            </w:r>
          </w:p>
        </w:tc>
        <w:tc>
          <w:tcPr>
            <w:tcW w:w="1862" w:type="dxa"/>
            <w:gridSpan w:val="2"/>
            <w:tcBorders>
              <w:bottom w:val="single" w:sz="4" w:space="0" w:color="auto"/>
            </w:tcBorders>
            <w:vAlign w:val="bottom"/>
          </w:tcPr>
          <w:p w14:paraId="5CFA28F2" w14:textId="77777777" w:rsidR="00E26D69" w:rsidRPr="00FA77C3" w:rsidRDefault="00E26D69" w:rsidP="00B85B6E">
            <w:pPr>
              <w:jc w:val="right"/>
              <w:rPr>
                <w:rFonts w:ascii="Arial" w:hAnsi="Arial" w:cs="Arial"/>
                <w:b/>
                <w:bCs/>
              </w:rPr>
            </w:pPr>
            <w:r w:rsidRPr="00FA77C3">
              <w:rPr>
                <w:rFonts w:ascii="Arial" w:hAnsi="Arial" w:cs="Arial"/>
                <w:b/>
                <w:bCs/>
              </w:rPr>
              <w:t xml:space="preserve">Year to </w:t>
            </w:r>
          </w:p>
          <w:p w14:paraId="13DFB517" w14:textId="644E41D0" w:rsidR="00E26D69" w:rsidRPr="00FA77C3" w:rsidRDefault="00E26D69" w:rsidP="00B85B6E">
            <w:pPr>
              <w:jc w:val="right"/>
              <w:rPr>
                <w:rFonts w:ascii="Arial" w:hAnsi="Arial" w:cs="Arial"/>
                <w:b/>
                <w:bCs/>
              </w:rPr>
            </w:pPr>
            <w:r w:rsidRPr="00FA77C3">
              <w:rPr>
                <w:rFonts w:ascii="Arial" w:hAnsi="Arial" w:cs="Arial"/>
                <w:b/>
                <w:bCs/>
              </w:rPr>
              <w:t>31 March 20</w:t>
            </w:r>
            <w:r w:rsidR="00A72250" w:rsidRPr="00FA77C3">
              <w:rPr>
                <w:rFonts w:ascii="Arial" w:hAnsi="Arial" w:cs="Arial"/>
                <w:b/>
                <w:bCs/>
              </w:rPr>
              <w:t>2</w:t>
            </w:r>
            <w:r w:rsidR="00736FDC">
              <w:rPr>
                <w:rFonts w:ascii="Arial" w:hAnsi="Arial" w:cs="Arial"/>
                <w:b/>
                <w:bCs/>
              </w:rPr>
              <w:t>1</w:t>
            </w:r>
          </w:p>
          <w:p w14:paraId="22F5FCC9" w14:textId="77777777" w:rsidR="00A72250" w:rsidRPr="00FA77C3" w:rsidRDefault="00A72250" w:rsidP="00B85B6E">
            <w:pPr>
              <w:jc w:val="right"/>
              <w:rPr>
                <w:rFonts w:ascii="Arial" w:hAnsi="Arial" w:cs="Arial"/>
                <w:b/>
                <w:bCs/>
              </w:rPr>
            </w:pPr>
          </w:p>
          <w:p w14:paraId="0401C168" w14:textId="090428DF" w:rsidR="00A72250" w:rsidRPr="00E26D69" w:rsidRDefault="00A72250" w:rsidP="00B85B6E">
            <w:pPr>
              <w:jc w:val="right"/>
              <w:rPr>
                <w:rFonts w:ascii="Arial" w:hAnsi="Arial" w:cs="Arial"/>
                <w:b/>
                <w:bCs/>
              </w:rPr>
            </w:pPr>
            <w:r w:rsidRPr="00FA77C3">
              <w:rPr>
                <w:rFonts w:ascii="Arial" w:hAnsi="Arial" w:cs="Arial"/>
                <w:b/>
                <w:bCs/>
              </w:rPr>
              <w:t>£’000</w:t>
            </w:r>
          </w:p>
        </w:tc>
      </w:tr>
      <w:tr w:rsidR="005A4491" w:rsidRPr="00E26D69" w14:paraId="1A3C6131" w14:textId="77777777" w:rsidTr="000845C9">
        <w:trPr>
          <w:gridAfter w:val="1"/>
          <w:wAfter w:w="142" w:type="dxa"/>
          <w:trHeight w:val="454"/>
        </w:trPr>
        <w:tc>
          <w:tcPr>
            <w:tcW w:w="6521" w:type="dxa"/>
            <w:tcBorders>
              <w:left w:val="nil"/>
              <w:bottom w:val="nil"/>
            </w:tcBorders>
            <w:vAlign w:val="bottom"/>
          </w:tcPr>
          <w:p w14:paraId="2B5195DD" w14:textId="1FB7AFCA" w:rsidR="00E26D69" w:rsidRPr="00E26D69" w:rsidRDefault="00E26D69" w:rsidP="00A72250">
            <w:pPr>
              <w:ind w:left="-108"/>
              <w:rPr>
                <w:rFonts w:ascii="Arial" w:hAnsi="Arial" w:cs="Arial"/>
              </w:rPr>
            </w:pPr>
            <w:r w:rsidRPr="00E26D69">
              <w:rPr>
                <w:rFonts w:ascii="Arial" w:hAnsi="Arial" w:cs="Arial"/>
              </w:rPr>
              <w:t xml:space="preserve">Bank interest received </w:t>
            </w:r>
          </w:p>
        </w:tc>
        <w:tc>
          <w:tcPr>
            <w:tcW w:w="1985" w:type="dxa"/>
            <w:tcBorders>
              <w:top w:val="single" w:sz="4" w:space="0" w:color="auto"/>
              <w:bottom w:val="double" w:sz="4" w:space="0" w:color="auto"/>
            </w:tcBorders>
            <w:shd w:val="clear" w:color="auto" w:fill="EAF1DD" w:themeFill="accent3" w:themeFillTint="33"/>
            <w:vAlign w:val="bottom"/>
          </w:tcPr>
          <w:p w14:paraId="36339757" w14:textId="76D95B06" w:rsidR="00E26D69" w:rsidRPr="00E26D69" w:rsidRDefault="00C960AF" w:rsidP="00B85B6E">
            <w:pPr>
              <w:jc w:val="right"/>
              <w:rPr>
                <w:rFonts w:ascii="Arial" w:hAnsi="Arial" w:cs="Arial"/>
                <w:b/>
              </w:rPr>
            </w:pPr>
            <w:r>
              <w:rPr>
                <w:rFonts w:ascii="Arial" w:hAnsi="Arial" w:cs="Arial"/>
                <w:b/>
              </w:rPr>
              <w:t>1</w:t>
            </w:r>
          </w:p>
        </w:tc>
        <w:tc>
          <w:tcPr>
            <w:tcW w:w="1862" w:type="dxa"/>
            <w:tcBorders>
              <w:top w:val="single" w:sz="4" w:space="0" w:color="auto"/>
              <w:bottom w:val="double" w:sz="4" w:space="0" w:color="auto"/>
            </w:tcBorders>
            <w:vAlign w:val="bottom"/>
          </w:tcPr>
          <w:p w14:paraId="7441C556" w14:textId="0DD246B7" w:rsidR="00E26D69" w:rsidRPr="00E26D69" w:rsidRDefault="00736FDC" w:rsidP="00B85B6E">
            <w:pPr>
              <w:jc w:val="right"/>
              <w:rPr>
                <w:rFonts w:ascii="Arial" w:hAnsi="Arial" w:cs="Arial"/>
                <w:b/>
              </w:rPr>
            </w:pPr>
            <w:r>
              <w:rPr>
                <w:rFonts w:ascii="Arial" w:hAnsi="Arial" w:cs="Arial"/>
                <w:b/>
              </w:rPr>
              <w:t>3</w:t>
            </w:r>
          </w:p>
        </w:tc>
      </w:tr>
    </w:tbl>
    <w:p w14:paraId="0013735A" w14:textId="77777777" w:rsidR="00EE12D0" w:rsidRPr="00FA77C3" w:rsidRDefault="00EE12D0" w:rsidP="00E26D69">
      <w:pPr>
        <w:spacing w:line="360" w:lineRule="auto"/>
        <w:rPr>
          <w:rFonts w:ascii="Arial" w:hAnsi="Arial" w:cs="Arial"/>
          <w:b/>
          <w:bCs/>
        </w:rPr>
      </w:pPr>
    </w:p>
    <w:p w14:paraId="733AE17F" w14:textId="77777777" w:rsidR="00E26D69" w:rsidRPr="00AB56B7" w:rsidRDefault="00E26D69" w:rsidP="000A1D9E">
      <w:pPr>
        <w:numPr>
          <w:ilvl w:val="0"/>
          <w:numId w:val="19"/>
        </w:numPr>
        <w:spacing w:line="360" w:lineRule="auto"/>
        <w:ind w:left="113" w:firstLine="567"/>
        <w:contextualSpacing/>
        <w:rPr>
          <w:rFonts w:ascii="Arial" w:hAnsi="Arial" w:cs="Arial"/>
          <w:b/>
        </w:rPr>
      </w:pPr>
      <w:bookmarkStart w:id="40" w:name="Note7interestpayable"/>
      <w:r w:rsidRPr="00AB56B7">
        <w:rPr>
          <w:rFonts w:ascii="Arial" w:hAnsi="Arial" w:cs="Arial"/>
          <w:b/>
        </w:rPr>
        <w:t>Interest payable</w:t>
      </w:r>
    </w:p>
    <w:bookmarkEnd w:id="40"/>
    <w:tbl>
      <w:tblPr>
        <w:tblW w:w="10490" w:type="dxa"/>
        <w:tblInd w:w="-142" w:type="dxa"/>
        <w:tblLayout w:type="fixed"/>
        <w:tblLook w:val="0000" w:firstRow="0" w:lastRow="0" w:firstColumn="0" w:lastColumn="0" w:noHBand="0" w:noVBand="0"/>
      </w:tblPr>
      <w:tblGrid>
        <w:gridCol w:w="6521"/>
        <w:gridCol w:w="1985"/>
        <w:gridCol w:w="1984"/>
      </w:tblGrid>
      <w:tr w:rsidR="005A4491" w:rsidRPr="00E26D69" w14:paraId="12BE8177" w14:textId="77777777" w:rsidTr="001F183E">
        <w:trPr>
          <w:trHeight w:val="1061"/>
        </w:trPr>
        <w:tc>
          <w:tcPr>
            <w:tcW w:w="6521" w:type="dxa"/>
            <w:tcBorders>
              <w:top w:val="nil"/>
              <w:left w:val="nil"/>
              <w:bottom w:val="nil"/>
              <w:right w:val="nil"/>
            </w:tcBorders>
          </w:tcPr>
          <w:p w14:paraId="34E9A86B" w14:textId="77777777" w:rsidR="00EB2F58" w:rsidRPr="00E26D69" w:rsidRDefault="00EB2F58" w:rsidP="00C62C4C">
            <w:pPr>
              <w:jc w:val="right"/>
              <w:rPr>
                <w:rFonts w:ascii="Arial" w:hAnsi="Arial" w:cs="Arial"/>
              </w:rPr>
            </w:pPr>
          </w:p>
        </w:tc>
        <w:tc>
          <w:tcPr>
            <w:tcW w:w="1985" w:type="dxa"/>
            <w:tcBorders>
              <w:top w:val="nil"/>
              <w:left w:val="nil"/>
              <w:bottom w:val="single" w:sz="4" w:space="0" w:color="auto"/>
              <w:right w:val="nil"/>
            </w:tcBorders>
            <w:shd w:val="clear" w:color="auto" w:fill="EAF1DD" w:themeFill="accent3" w:themeFillTint="33"/>
            <w:vAlign w:val="bottom"/>
          </w:tcPr>
          <w:p w14:paraId="5E9E1529" w14:textId="77777777" w:rsidR="001F183E" w:rsidRDefault="005E7370" w:rsidP="008F1DE9">
            <w:pPr>
              <w:jc w:val="right"/>
              <w:rPr>
                <w:rFonts w:ascii="Arial" w:hAnsi="Arial" w:cs="Arial"/>
                <w:b/>
                <w:bCs/>
              </w:rPr>
            </w:pPr>
            <w:r>
              <w:rPr>
                <w:rFonts w:ascii="Arial" w:hAnsi="Arial" w:cs="Arial"/>
                <w:b/>
                <w:bCs/>
              </w:rPr>
              <w:t xml:space="preserve">Year to </w:t>
            </w:r>
          </w:p>
          <w:p w14:paraId="4318EC2A" w14:textId="125492DD" w:rsidR="005E7370" w:rsidRDefault="005E7370" w:rsidP="008F1DE9">
            <w:pPr>
              <w:jc w:val="right"/>
              <w:rPr>
                <w:rFonts w:ascii="Arial" w:hAnsi="Arial" w:cs="Arial"/>
                <w:b/>
                <w:bCs/>
              </w:rPr>
            </w:pPr>
            <w:r>
              <w:rPr>
                <w:rFonts w:ascii="Arial" w:hAnsi="Arial" w:cs="Arial"/>
                <w:b/>
                <w:bCs/>
              </w:rPr>
              <w:t>31 March 202</w:t>
            </w:r>
            <w:r w:rsidR="00736FDC">
              <w:rPr>
                <w:rFonts w:ascii="Arial" w:hAnsi="Arial" w:cs="Arial"/>
                <w:b/>
                <w:bCs/>
              </w:rPr>
              <w:t>2</w:t>
            </w:r>
          </w:p>
          <w:p w14:paraId="5E7EBD9B" w14:textId="3F3CBEDF" w:rsidR="005E7370" w:rsidRDefault="005E7370" w:rsidP="008F1DE9">
            <w:pPr>
              <w:jc w:val="right"/>
              <w:rPr>
                <w:rFonts w:ascii="Arial" w:hAnsi="Arial" w:cs="Arial"/>
                <w:b/>
                <w:bCs/>
              </w:rPr>
            </w:pPr>
          </w:p>
          <w:p w14:paraId="30D489ED" w14:textId="000189A2" w:rsidR="005E7370" w:rsidRPr="00E26D69" w:rsidRDefault="005E7370" w:rsidP="008F1DE9">
            <w:pPr>
              <w:jc w:val="right"/>
              <w:rPr>
                <w:rFonts w:ascii="Arial" w:hAnsi="Arial" w:cs="Arial"/>
                <w:b/>
                <w:bCs/>
              </w:rPr>
            </w:pPr>
            <w:r>
              <w:rPr>
                <w:rFonts w:ascii="Arial" w:hAnsi="Arial" w:cs="Arial"/>
                <w:b/>
                <w:bCs/>
              </w:rPr>
              <w:t>£’000</w:t>
            </w:r>
          </w:p>
        </w:tc>
        <w:tc>
          <w:tcPr>
            <w:tcW w:w="1984" w:type="dxa"/>
            <w:tcBorders>
              <w:top w:val="nil"/>
              <w:left w:val="nil"/>
              <w:bottom w:val="single" w:sz="4" w:space="0" w:color="auto"/>
              <w:right w:val="nil"/>
            </w:tcBorders>
            <w:vAlign w:val="bottom"/>
          </w:tcPr>
          <w:p w14:paraId="64BC167F" w14:textId="77777777" w:rsidR="00EB2F58" w:rsidRPr="00E26D69" w:rsidRDefault="00EB2F58" w:rsidP="008F1DE9">
            <w:pPr>
              <w:jc w:val="right"/>
              <w:rPr>
                <w:rFonts w:ascii="Arial" w:hAnsi="Arial" w:cs="Arial"/>
                <w:b/>
                <w:bCs/>
              </w:rPr>
            </w:pPr>
            <w:r w:rsidRPr="00E26D69">
              <w:rPr>
                <w:rFonts w:ascii="Arial" w:hAnsi="Arial" w:cs="Arial"/>
                <w:b/>
                <w:bCs/>
              </w:rPr>
              <w:t xml:space="preserve">Year to </w:t>
            </w:r>
          </w:p>
          <w:p w14:paraId="4A11559E" w14:textId="09DD5B53" w:rsidR="00EB2F58" w:rsidRDefault="00EB2F58" w:rsidP="008F1DE9">
            <w:pPr>
              <w:jc w:val="right"/>
              <w:rPr>
                <w:rFonts w:ascii="Arial" w:hAnsi="Arial" w:cs="Arial"/>
                <w:b/>
                <w:bCs/>
              </w:rPr>
            </w:pPr>
            <w:r w:rsidRPr="00E26D69">
              <w:rPr>
                <w:rFonts w:ascii="Arial" w:hAnsi="Arial" w:cs="Arial"/>
                <w:b/>
                <w:bCs/>
              </w:rPr>
              <w:t>31 March 20</w:t>
            </w:r>
            <w:r w:rsidR="00FD1940">
              <w:rPr>
                <w:rFonts w:ascii="Arial" w:hAnsi="Arial" w:cs="Arial"/>
                <w:b/>
                <w:bCs/>
              </w:rPr>
              <w:t>2</w:t>
            </w:r>
            <w:r w:rsidR="00736FDC">
              <w:rPr>
                <w:rFonts w:ascii="Arial" w:hAnsi="Arial" w:cs="Arial"/>
                <w:b/>
                <w:bCs/>
              </w:rPr>
              <w:t>1</w:t>
            </w:r>
          </w:p>
          <w:p w14:paraId="44E9797E" w14:textId="77777777" w:rsidR="005E7370" w:rsidRDefault="005E7370" w:rsidP="008F1DE9">
            <w:pPr>
              <w:jc w:val="right"/>
              <w:rPr>
                <w:rFonts w:ascii="Arial" w:hAnsi="Arial" w:cs="Arial"/>
                <w:b/>
                <w:bCs/>
              </w:rPr>
            </w:pPr>
          </w:p>
          <w:p w14:paraId="1EB7F854" w14:textId="533B07FA" w:rsidR="005E7370" w:rsidRPr="00E26D69" w:rsidRDefault="005E7370" w:rsidP="008F1DE9">
            <w:pPr>
              <w:jc w:val="right"/>
              <w:rPr>
                <w:rFonts w:ascii="Arial" w:hAnsi="Arial" w:cs="Arial"/>
                <w:b/>
                <w:bCs/>
              </w:rPr>
            </w:pPr>
            <w:r>
              <w:rPr>
                <w:rFonts w:ascii="Arial" w:hAnsi="Arial" w:cs="Arial"/>
                <w:b/>
                <w:bCs/>
              </w:rPr>
              <w:t>£’000</w:t>
            </w:r>
          </w:p>
        </w:tc>
      </w:tr>
      <w:tr w:rsidR="005A4491" w:rsidRPr="00E26D69" w14:paraId="17FFA04E" w14:textId="77777777" w:rsidTr="001F183E">
        <w:trPr>
          <w:trHeight w:val="429"/>
        </w:trPr>
        <w:tc>
          <w:tcPr>
            <w:tcW w:w="6521" w:type="dxa"/>
            <w:tcBorders>
              <w:top w:val="nil"/>
              <w:left w:val="nil"/>
              <w:bottom w:val="nil"/>
              <w:right w:val="nil"/>
            </w:tcBorders>
            <w:noWrap/>
            <w:vAlign w:val="bottom"/>
          </w:tcPr>
          <w:p w14:paraId="6F0A3B12" w14:textId="4FD44CC7" w:rsidR="00EB2F58" w:rsidRPr="00E26D69" w:rsidRDefault="00EB2F58" w:rsidP="00C62C4C">
            <w:pPr>
              <w:ind w:left="-108"/>
              <w:rPr>
                <w:rFonts w:ascii="Arial" w:hAnsi="Arial" w:cs="Arial"/>
              </w:rPr>
            </w:pPr>
            <w:r w:rsidRPr="00E26D69">
              <w:rPr>
                <w:rFonts w:ascii="Arial" w:hAnsi="Arial" w:cs="Arial"/>
              </w:rPr>
              <w:t>International Accounting Standards (IAS) 19 net return on pension scheme assets and liabilities (note 1</w:t>
            </w:r>
            <w:r w:rsidR="00275585">
              <w:rPr>
                <w:rFonts w:ascii="Arial" w:hAnsi="Arial" w:cs="Arial"/>
              </w:rPr>
              <w:t>5</w:t>
            </w:r>
            <w:r w:rsidRPr="00E26D69">
              <w:rPr>
                <w:rFonts w:ascii="Arial" w:hAnsi="Arial" w:cs="Arial"/>
              </w:rPr>
              <w:t>)</w:t>
            </w:r>
          </w:p>
        </w:tc>
        <w:tc>
          <w:tcPr>
            <w:tcW w:w="1985" w:type="dxa"/>
            <w:tcBorders>
              <w:top w:val="single" w:sz="4" w:space="0" w:color="auto"/>
              <w:left w:val="nil"/>
              <w:bottom w:val="double" w:sz="4" w:space="0" w:color="auto"/>
              <w:right w:val="nil"/>
            </w:tcBorders>
            <w:shd w:val="clear" w:color="auto" w:fill="EAF1DD" w:themeFill="accent3" w:themeFillTint="33"/>
            <w:noWrap/>
            <w:vAlign w:val="bottom"/>
          </w:tcPr>
          <w:p w14:paraId="02B88C31" w14:textId="77777777" w:rsidR="00EB2F58" w:rsidRPr="00E26D69" w:rsidRDefault="00EB2F58" w:rsidP="008F1DE9">
            <w:pPr>
              <w:jc w:val="right"/>
              <w:rPr>
                <w:rFonts w:ascii="Arial" w:hAnsi="Arial" w:cs="Arial"/>
                <w:b/>
              </w:rPr>
            </w:pPr>
          </w:p>
          <w:p w14:paraId="7CE6D597" w14:textId="3BC87B79" w:rsidR="00EB2F58" w:rsidRPr="00E26D69" w:rsidRDefault="00FA77C3" w:rsidP="00FA77C3">
            <w:pPr>
              <w:jc w:val="right"/>
              <w:rPr>
                <w:rFonts w:ascii="Arial" w:hAnsi="Arial" w:cs="Arial"/>
                <w:b/>
              </w:rPr>
            </w:pPr>
            <w:r>
              <w:rPr>
                <w:rFonts w:ascii="Arial" w:hAnsi="Arial" w:cs="Arial"/>
                <w:b/>
              </w:rPr>
              <w:t>(</w:t>
            </w:r>
            <w:r w:rsidR="00AB56B7">
              <w:rPr>
                <w:rFonts w:ascii="Arial" w:hAnsi="Arial" w:cs="Arial"/>
                <w:b/>
              </w:rPr>
              <w:t>3</w:t>
            </w:r>
            <w:r>
              <w:rPr>
                <w:rFonts w:ascii="Arial" w:hAnsi="Arial" w:cs="Arial"/>
                <w:b/>
              </w:rPr>
              <w:t>,</w:t>
            </w:r>
            <w:r w:rsidR="00AB56B7">
              <w:rPr>
                <w:rFonts w:ascii="Arial" w:hAnsi="Arial" w:cs="Arial"/>
                <w:b/>
              </w:rPr>
              <w:t>949</w:t>
            </w:r>
            <w:r>
              <w:rPr>
                <w:rFonts w:ascii="Arial" w:hAnsi="Arial" w:cs="Arial"/>
                <w:b/>
              </w:rPr>
              <w:t>)</w:t>
            </w:r>
          </w:p>
        </w:tc>
        <w:tc>
          <w:tcPr>
            <w:tcW w:w="1984" w:type="dxa"/>
            <w:tcBorders>
              <w:top w:val="single" w:sz="4" w:space="0" w:color="auto"/>
              <w:left w:val="nil"/>
              <w:bottom w:val="double" w:sz="4" w:space="0" w:color="auto"/>
              <w:right w:val="nil"/>
            </w:tcBorders>
            <w:vAlign w:val="bottom"/>
          </w:tcPr>
          <w:p w14:paraId="3E9CFEFD" w14:textId="77777777" w:rsidR="00EB2F58" w:rsidRPr="00E26D69" w:rsidRDefault="00EB2F58" w:rsidP="008F1DE9">
            <w:pPr>
              <w:jc w:val="right"/>
              <w:rPr>
                <w:rFonts w:ascii="Arial" w:hAnsi="Arial" w:cs="Arial"/>
                <w:b/>
              </w:rPr>
            </w:pPr>
          </w:p>
          <w:p w14:paraId="27EF0781" w14:textId="5E71EC7A" w:rsidR="00EB2F58" w:rsidRPr="00E26D69" w:rsidRDefault="00165FDA" w:rsidP="008F1DE9">
            <w:pPr>
              <w:jc w:val="right"/>
              <w:rPr>
                <w:rFonts w:ascii="Arial" w:hAnsi="Arial" w:cs="Arial"/>
                <w:b/>
              </w:rPr>
            </w:pPr>
            <w:r>
              <w:rPr>
                <w:rFonts w:ascii="Arial" w:hAnsi="Arial" w:cs="Arial"/>
                <w:b/>
              </w:rPr>
              <w:t>(</w:t>
            </w:r>
            <w:r w:rsidR="00736FDC">
              <w:rPr>
                <w:rFonts w:ascii="Arial" w:hAnsi="Arial" w:cs="Arial"/>
                <w:b/>
              </w:rPr>
              <w:t>2,761</w:t>
            </w:r>
            <w:r w:rsidR="008C1F15">
              <w:rPr>
                <w:rFonts w:ascii="Arial" w:hAnsi="Arial" w:cs="Arial"/>
                <w:b/>
              </w:rPr>
              <w:t>)</w:t>
            </w:r>
          </w:p>
        </w:tc>
      </w:tr>
    </w:tbl>
    <w:p w14:paraId="7E21E0A2" w14:textId="77777777" w:rsidR="00AE68AF" w:rsidRDefault="00AE68AF" w:rsidP="00E02260">
      <w:pPr>
        <w:spacing w:line="360" w:lineRule="auto"/>
        <w:ind w:right="-710"/>
        <w:rPr>
          <w:rFonts w:ascii="Arial" w:hAnsi="Arial" w:cs="Arial"/>
        </w:rPr>
      </w:pPr>
    </w:p>
    <w:p w14:paraId="66FCFC38" w14:textId="0BCA6697" w:rsidR="00E02260" w:rsidRDefault="00E26D69" w:rsidP="004907E4">
      <w:pPr>
        <w:spacing w:line="360" w:lineRule="auto"/>
        <w:ind w:left="-142" w:right="-141"/>
        <w:rPr>
          <w:rFonts w:ascii="Arial" w:hAnsi="Arial" w:cs="Arial"/>
        </w:rPr>
      </w:pPr>
      <w:r w:rsidRPr="00E26D69">
        <w:rPr>
          <w:rFonts w:ascii="Arial" w:hAnsi="Arial" w:cs="Arial"/>
        </w:rPr>
        <w:t>The negative net return position on pension assets at 31 March 20</w:t>
      </w:r>
      <w:r w:rsidR="008F48AB">
        <w:rPr>
          <w:rFonts w:ascii="Arial" w:hAnsi="Arial" w:cs="Arial"/>
        </w:rPr>
        <w:t>2</w:t>
      </w:r>
      <w:r w:rsidR="00EA63FD">
        <w:rPr>
          <w:rFonts w:ascii="Arial" w:hAnsi="Arial" w:cs="Arial"/>
        </w:rPr>
        <w:t>2</w:t>
      </w:r>
      <w:r w:rsidR="008F48AB">
        <w:rPr>
          <w:rFonts w:ascii="Arial" w:hAnsi="Arial" w:cs="Arial"/>
        </w:rPr>
        <w:t xml:space="preserve">, </w:t>
      </w:r>
      <w:r w:rsidRPr="00E26D69">
        <w:rPr>
          <w:rFonts w:ascii="Arial" w:hAnsi="Arial" w:cs="Arial"/>
        </w:rPr>
        <w:t xml:space="preserve">is as a result of the actual interest on assets of </w:t>
      </w:r>
      <w:r w:rsidRPr="00756EDE">
        <w:rPr>
          <w:rFonts w:ascii="Arial" w:hAnsi="Arial" w:cs="Arial"/>
        </w:rPr>
        <w:t>£</w:t>
      </w:r>
      <w:r w:rsidR="00567EBE">
        <w:rPr>
          <w:rFonts w:ascii="Arial" w:hAnsi="Arial" w:cs="Arial"/>
        </w:rPr>
        <w:t>7.</w:t>
      </w:r>
      <w:r w:rsidR="00E22FC9">
        <w:rPr>
          <w:rFonts w:ascii="Arial" w:hAnsi="Arial" w:cs="Arial"/>
        </w:rPr>
        <w:t>5</w:t>
      </w:r>
      <w:r w:rsidR="00567EBE">
        <w:rPr>
          <w:rFonts w:ascii="Arial" w:hAnsi="Arial" w:cs="Arial"/>
        </w:rPr>
        <w:t>m</w:t>
      </w:r>
      <w:r w:rsidRPr="00756EDE">
        <w:rPr>
          <w:rFonts w:ascii="Arial" w:hAnsi="Arial" w:cs="Arial"/>
        </w:rPr>
        <w:t xml:space="preserve"> being significantly less than the interest on liabilities of £</w:t>
      </w:r>
      <w:r w:rsidR="00FE2794">
        <w:rPr>
          <w:rFonts w:ascii="Arial" w:hAnsi="Arial" w:cs="Arial"/>
        </w:rPr>
        <w:t>11</w:t>
      </w:r>
      <w:r w:rsidR="00567EBE">
        <w:rPr>
          <w:rFonts w:ascii="Arial" w:hAnsi="Arial" w:cs="Arial"/>
        </w:rPr>
        <w:t>.</w:t>
      </w:r>
      <w:r w:rsidR="00FE2794">
        <w:rPr>
          <w:rFonts w:ascii="Arial" w:hAnsi="Arial" w:cs="Arial"/>
        </w:rPr>
        <w:t>4</w:t>
      </w:r>
      <w:r w:rsidR="00567EBE">
        <w:rPr>
          <w:rFonts w:ascii="Arial" w:hAnsi="Arial" w:cs="Arial"/>
        </w:rPr>
        <w:t>m</w:t>
      </w:r>
      <w:r w:rsidRPr="00756EDE">
        <w:rPr>
          <w:rFonts w:ascii="Arial" w:hAnsi="Arial" w:cs="Arial"/>
        </w:rPr>
        <w:t xml:space="preserve"> (</w:t>
      </w:r>
      <w:hyperlink w:anchor="Note15IAS19Pensionassetandliabilities" w:history="1">
        <w:r w:rsidRPr="00296C62">
          <w:rPr>
            <w:rStyle w:val="Hyperlink"/>
            <w:rFonts w:ascii="Arial" w:hAnsi="Arial" w:cs="Arial"/>
          </w:rPr>
          <w:t>note 15</w:t>
        </w:r>
      </w:hyperlink>
      <w:r w:rsidRPr="00756EDE">
        <w:rPr>
          <w:rFonts w:ascii="Arial" w:hAnsi="Arial" w:cs="Arial"/>
        </w:rPr>
        <w:t xml:space="preserve"> refers).</w:t>
      </w:r>
    </w:p>
    <w:p w14:paraId="1110CB92" w14:textId="77777777" w:rsidR="00EE12D0" w:rsidRPr="00E02260" w:rsidRDefault="00EE12D0" w:rsidP="00E02260">
      <w:pPr>
        <w:spacing w:line="360" w:lineRule="auto"/>
        <w:ind w:right="-710"/>
        <w:rPr>
          <w:rFonts w:ascii="Arial" w:hAnsi="Arial" w:cs="Arial"/>
        </w:rPr>
      </w:pPr>
    </w:p>
    <w:p w14:paraId="6E68775C" w14:textId="1D427E82" w:rsidR="00E26D69" w:rsidRPr="00AB56B7" w:rsidRDefault="00E26D69" w:rsidP="000A1D9E">
      <w:pPr>
        <w:numPr>
          <w:ilvl w:val="0"/>
          <w:numId w:val="19"/>
        </w:numPr>
        <w:spacing w:line="360" w:lineRule="auto"/>
        <w:ind w:left="113" w:firstLine="567"/>
        <w:contextualSpacing/>
        <w:rPr>
          <w:rFonts w:ascii="Arial" w:hAnsi="Arial" w:cs="Arial"/>
          <w:b/>
        </w:rPr>
      </w:pPr>
      <w:bookmarkStart w:id="41" w:name="Note8taxation"/>
      <w:r w:rsidRPr="00E26D69">
        <w:rPr>
          <w:rFonts w:ascii="Arial" w:hAnsi="Arial" w:cs="Arial"/>
          <w:b/>
        </w:rPr>
        <w:t xml:space="preserve"> </w:t>
      </w:r>
      <w:r w:rsidRPr="00AB56B7">
        <w:rPr>
          <w:rFonts w:ascii="Arial" w:hAnsi="Arial" w:cs="Arial"/>
          <w:b/>
        </w:rPr>
        <w:t>Taxation</w:t>
      </w:r>
    </w:p>
    <w:bookmarkEnd w:id="41"/>
    <w:p w14:paraId="38B7F677" w14:textId="583F4E2D" w:rsidR="00E26D69" w:rsidRPr="00E26D69" w:rsidRDefault="00E26D69" w:rsidP="004907E4">
      <w:pPr>
        <w:spacing w:line="360" w:lineRule="auto"/>
        <w:ind w:left="-284" w:firstLine="142"/>
        <w:rPr>
          <w:rFonts w:ascii="Arial" w:hAnsi="Arial" w:cs="Arial"/>
          <w:bCs/>
        </w:rPr>
      </w:pPr>
      <w:r w:rsidRPr="00D21F12">
        <w:rPr>
          <w:rFonts w:ascii="Arial" w:hAnsi="Arial" w:cs="Arial"/>
          <w:bCs/>
        </w:rPr>
        <w:t>SEPA is not liable to corporation tax for 20</w:t>
      </w:r>
      <w:r w:rsidR="004907E4" w:rsidRPr="00D21F12">
        <w:rPr>
          <w:rFonts w:ascii="Arial" w:hAnsi="Arial" w:cs="Arial"/>
          <w:bCs/>
        </w:rPr>
        <w:t>2</w:t>
      </w:r>
      <w:r w:rsidR="00AB56B7">
        <w:rPr>
          <w:rFonts w:ascii="Arial" w:hAnsi="Arial" w:cs="Arial"/>
          <w:bCs/>
        </w:rPr>
        <w:t>1/</w:t>
      </w:r>
      <w:r w:rsidR="004907E4" w:rsidRPr="00D21F12">
        <w:rPr>
          <w:rFonts w:ascii="Arial" w:hAnsi="Arial" w:cs="Arial"/>
          <w:bCs/>
        </w:rPr>
        <w:t>2</w:t>
      </w:r>
      <w:r w:rsidR="00AB56B7">
        <w:rPr>
          <w:rFonts w:ascii="Arial" w:hAnsi="Arial" w:cs="Arial"/>
          <w:bCs/>
        </w:rPr>
        <w:t>2</w:t>
      </w:r>
      <w:r w:rsidRPr="00D21F12">
        <w:rPr>
          <w:rFonts w:ascii="Arial" w:hAnsi="Arial" w:cs="Arial"/>
          <w:bCs/>
        </w:rPr>
        <w:t xml:space="preserve"> (nil for 20</w:t>
      </w:r>
      <w:r w:rsidR="00AB56B7">
        <w:rPr>
          <w:rFonts w:ascii="Arial" w:hAnsi="Arial" w:cs="Arial"/>
          <w:bCs/>
        </w:rPr>
        <w:t>20</w:t>
      </w:r>
      <w:r w:rsidRPr="00D21F12">
        <w:rPr>
          <w:rFonts w:ascii="Arial" w:hAnsi="Arial" w:cs="Arial"/>
          <w:bCs/>
        </w:rPr>
        <w:t>/</w:t>
      </w:r>
      <w:r w:rsidR="004907E4" w:rsidRPr="00D21F12">
        <w:rPr>
          <w:rFonts w:ascii="Arial" w:hAnsi="Arial" w:cs="Arial"/>
          <w:bCs/>
        </w:rPr>
        <w:t>2</w:t>
      </w:r>
      <w:r w:rsidR="00AB56B7">
        <w:rPr>
          <w:rFonts w:ascii="Arial" w:hAnsi="Arial" w:cs="Arial"/>
          <w:bCs/>
        </w:rPr>
        <w:t>1</w:t>
      </w:r>
      <w:r w:rsidRPr="00D21F12">
        <w:rPr>
          <w:rFonts w:ascii="Arial" w:hAnsi="Arial" w:cs="Arial"/>
          <w:bCs/>
        </w:rPr>
        <w:t>).</w:t>
      </w:r>
    </w:p>
    <w:p w14:paraId="0476F865" w14:textId="77777777" w:rsidR="00E26D69" w:rsidRPr="00E26D69" w:rsidRDefault="00E26D69" w:rsidP="004907E4">
      <w:pPr>
        <w:spacing w:line="360" w:lineRule="auto"/>
        <w:ind w:left="-284" w:firstLine="142"/>
        <w:rPr>
          <w:rFonts w:ascii="Arial" w:hAnsi="Arial" w:cs="Arial"/>
          <w:bCs/>
          <w:highlight w:val="cyan"/>
        </w:rPr>
        <w:sectPr w:rsidR="00E26D69" w:rsidRPr="00E26D69" w:rsidSect="00DE4FC6">
          <w:pgSz w:w="11906" w:h="16838" w:code="9"/>
          <w:pgMar w:top="1135" w:right="849" w:bottom="426" w:left="851" w:header="624" w:footer="283" w:gutter="0"/>
          <w:cols w:space="708"/>
          <w:docGrid w:linePitch="360"/>
        </w:sectPr>
      </w:pPr>
    </w:p>
    <w:p w14:paraId="144FF3CE" w14:textId="0DED58BB" w:rsidR="00577C96" w:rsidRPr="0021362F" w:rsidRDefault="00651396" w:rsidP="000A1D9E">
      <w:pPr>
        <w:numPr>
          <w:ilvl w:val="0"/>
          <w:numId w:val="19"/>
        </w:numPr>
        <w:spacing w:line="360" w:lineRule="auto"/>
        <w:ind w:left="0" w:firstLine="0"/>
        <w:contextualSpacing/>
        <w:rPr>
          <w:rFonts w:ascii="Arial" w:hAnsi="Arial" w:cs="Arial"/>
          <w:b/>
        </w:rPr>
      </w:pPr>
      <w:bookmarkStart w:id="42" w:name="Note9noncurrentassets"/>
      <w:r>
        <w:rPr>
          <w:rFonts w:ascii="Arial" w:hAnsi="Arial" w:cs="Arial"/>
          <w:b/>
        </w:rPr>
        <w:lastRenderedPageBreak/>
        <w:t xml:space="preserve"> </w:t>
      </w:r>
      <w:r w:rsidR="00E26D69" w:rsidRPr="0021362F">
        <w:rPr>
          <w:rFonts w:ascii="Arial" w:hAnsi="Arial" w:cs="Arial"/>
          <w:b/>
        </w:rPr>
        <w:t>Non-current assets</w:t>
      </w:r>
      <w:r w:rsidR="00584705" w:rsidRPr="0021362F">
        <w:rPr>
          <w:rFonts w:ascii="Arial" w:hAnsi="Arial" w:cs="Arial"/>
          <w:b/>
        </w:rPr>
        <w:t xml:space="preserve"> to March 202</w:t>
      </w:r>
      <w:r w:rsidR="007849DD" w:rsidRPr="0021362F">
        <w:rPr>
          <w:rFonts w:ascii="Arial" w:hAnsi="Arial" w:cs="Arial"/>
          <w:b/>
        </w:rPr>
        <w:t>2</w:t>
      </w:r>
    </w:p>
    <w:bookmarkEnd w:id="42"/>
    <w:tbl>
      <w:tblPr>
        <w:tblW w:w="23106" w:type="dxa"/>
        <w:tblInd w:w="-719" w:type="dxa"/>
        <w:shd w:val="clear" w:color="auto" w:fill="EAF1DD" w:themeFill="accent3" w:themeFillTint="33"/>
        <w:tblLayout w:type="fixed"/>
        <w:tblLook w:val="04A0" w:firstRow="1" w:lastRow="0" w:firstColumn="1" w:lastColumn="0" w:noHBand="0" w:noVBand="1"/>
      </w:tblPr>
      <w:tblGrid>
        <w:gridCol w:w="2410"/>
        <w:gridCol w:w="993"/>
        <w:gridCol w:w="1417"/>
        <w:gridCol w:w="1276"/>
        <w:gridCol w:w="1134"/>
        <w:gridCol w:w="1701"/>
        <w:gridCol w:w="992"/>
        <w:gridCol w:w="1276"/>
        <w:gridCol w:w="1276"/>
        <w:gridCol w:w="1701"/>
        <w:gridCol w:w="1559"/>
        <w:gridCol w:w="1559"/>
        <w:gridCol w:w="1559"/>
        <w:gridCol w:w="1560"/>
        <w:gridCol w:w="1701"/>
        <w:gridCol w:w="992"/>
      </w:tblGrid>
      <w:tr w:rsidR="000224BB" w:rsidRPr="00DD5591" w14:paraId="0DA9521E" w14:textId="77777777" w:rsidTr="00FD64E6">
        <w:trPr>
          <w:trHeight w:val="563"/>
        </w:trPr>
        <w:tc>
          <w:tcPr>
            <w:tcW w:w="2410" w:type="dxa"/>
            <w:tcBorders>
              <w:top w:val="single" w:sz="8" w:space="0" w:color="000000"/>
              <w:left w:val="single" w:sz="8" w:space="0" w:color="auto"/>
              <w:bottom w:val="single" w:sz="8" w:space="0" w:color="auto"/>
              <w:right w:val="nil"/>
            </w:tcBorders>
            <w:shd w:val="clear" w:color="auto" w:fill="EAF1DD" w:themeFill="accent3" w:themeFillTint="33"/>
          </w:tcPr>
          <w:p w14:paraId="433D4A8C" w14:textId="77777777" w:rsidR="003E0914" w:rsidRPr="002639C2" w:rsidRDefault="003E0914" w:rsidP="003B49BD">
            <w:pPr>
              <w:rPr>
                <w:rFonts w:ascii="Arial" w:hAnsi="Arial" w:cs="Arial"/>
                <w:b/>
                <w:bCs/>
                <w:sz w:val="22"/>
                <w:szCs w:val="22"/>
              </w:rPr>
            </w:pPr>
          </w:p>
        </w:tc>
        <w:tc>
          <w:tcPr>
            <w:tcW w:w="13325" w:type="dxa"/>
            <w:gridSpan w:val="10"/>
            <w:tcBorders>
              <w:top w:val="single" w:sz="8" w:space="0" w:color="000000"/>
              <w:left w:val="single" w:sz="8" w:space="0" w:color="auto"/>
              <w:bottom w:val="single" w:sz="8" w:space="0" w:color="auto"/>
              <w:right w:val="single" w:sz="8" w:space="0" w:color="auto"/>
            </w:tcBorders>
            <w:shd w:val="clear" w:color="auto" w:fill="EAF1DD" w:themeFill="accent3" w:themeFillTint="33"/>
          </w:tcPr>
          <w:p w14:paraId="69260946" w14:textId="74299363" w:rsidR="003E0914" w:rsidRPr="0021362F" w:rsidRDefault="003E0914" w:rsidP="003B49BD">
            <w:pPr>
              <w:jc w:val="center"/>
              <w:rPr>
                <w:rFonts w:ascii="Arial" w:hAnsi="Arial" w:cs="Arial"/>
                <w:b/>
                <w:bCs/>
                <w:sz w:val="22"/>
                <w:szCs w:val="22"/>
              </w:rPr>
            </w:pPr>
            <w:r w:rsidRPr="0021362F">
              <w:rPr>
                <w:rFonts w:ascii="Arial" w:hAnsi="Arial" w:cs="Arial"/>
                <w:b/>
                <w:bCs/>
                <w:sz w:val="22"/>
                <w:szCs w:val="22"/>
              </w:rPr>
              <w:t>Tangible assets</w:t>
            </w:r>
          </w:p>
        </w:tc>
        <w:tc>
          <w:tcPr>
            <w:tcW w:w="4678" w:type="dxa"/>
            <w:gridSpan w:val="3"/>
            <w:tcBorders>
              <w:top w:val="single" w:sz="8" w:space="0" w:color="000000"/>
              <w:left w:val="nil"/>
              <w:bottom w:val="single" w:sz="8" w:space="0" w:color="auto"/>
              <w:right w:val="single" w:sz="4" w:space="0" w:color="auto"/>
            </w:tcBorders>
            <w:shd w:val="clear" w:color="auto" w:fill="EAF1DD" w:themeFill="accent3" w:themeFillTint="33"/>
          </w:tcPr>
          <w:p w14:paraId="1CE703C7" w14:textId="6FC66502" w:rsidR="003E0914" w:rsidRPr="002639C2" w:rsidRDefault="003E0914" w:rsidP="003B49BD">
            <w:pPr>
              <w:jc w:val="center"/>
              <w:rPr>
                <w:rFonts w:ascii="Arial" w:hAnsi="Arial" w:cs="Arial"/>
                <w:b/>
                <w:bCs/>
                <w:sz w:val="22"/>
                <w:szCs w:val="22"/>
              </w:rPr>
            </w:pPr>
            <w:r w:rsidRPr="002639C2">
              <w:rPr>
                <w:rFonts w:ascii="Arial" w:hAnsi="Arial" w:cs="Arial"/>
                <w:b/>
                <w:bCs/>
                <w:sz w:val="22"/>
                <w:szCs w:val="22"/>
              </w:rPr>
              <w:t>Intangible assets</w:t>
            </w:r>
          </w:p>
        </w:tc>
        <w:tc>
          <w:tcPr>
            <w:tcW w:w="1701" w:type="dxa"/>
            <w:tcBorders>
              <w:top w:val="single" w:sz="8" w:space="0" w:color="000000"/>
              <w:left w:val="single" w:sz="4" w:space="0" w:color="auto"/>
              <w:bottom w:val="single" w:sz="4" w:space="0" w:color="auto"/>
              <w:right w:val="single" w:sz="4" w:space="0" w:color="auto"/>
            </w:tcBorders>
            <w:shd w:val="clear" w:color="auto" w:fill="EAF1DD" w:themeFill="accent3" w:themeFillTint="33"/>
          </w:tcPr>
          <w:p w14:paraId="6588BDF6" w14:textId="00BE92C6" w:rsidR="003E0914" w:rsidRPr="002639C2" w:rsidRDefault="003E0914" w:rsidP="00753FD9">
            <w:pPr>
              <w:jc w:val="center"/>
              <w:rPr>
                <w:rFonts w:ascii="Arial" w:hAnsi="Arial" w:cs="Arial"/>
                <w:b/>
                <w:bCs/>
                <w:sz w:val="22"/>
                <w:szCs w:val="22"/>
              </w:rPr>
            </w:pPr>
            <w:r w:rsidRPr="002639C2">
              <w:rPr>
                <w:rFonts w:ascii="Arial" w:hAnsi="Arial" w:cs="Arial"/>
                <w:b/>
                <w:bCs/>
                <w:sz w:val="22"/>
                <w:szCs w:val="22"/>
              </w:rPr>
              <w:t>Assets</w:t>
            </w:r>
          </w:p>
        </w:tc>
        <w:tc>
          <w:tcPr>
            <w:tcW w:w="992" w:type="dxa"/>
            <w:tcBorders>
              <w:top w:val="single" w:sz="8" w:space="0" w:color="000000"/>
              <w:left w:val="single" w:sz="4" w:space="0" w:color="auto"/>
              <w:bottom w:val="single" w:sz="4" w:space="0" w:color="auto"/>
              <w:right w:val="single" w:sz="4" w:space="0" w:color="auto"/>
            </w:tcBorders>
            <w:shd w:val="clear" w:color="auto" w:fill="EAF1DD" w:themeFill="accent3" w:themeFillTint="33"/>
          </w:tcPr>
          <w:p w14:paraId="49EC69F2" w14:textId="09F5532C" w:rsidR="003E0914" w:rsidRPr="002639C2" w:rsidRDefault="003E0914" w:rsidP="003B49BD">
            <w:pPr>
              <w:jc w:val="center"/>
              <w:rPr>
                <w:rFonts w:ascii="Arial" w:hAnsi="Arial" w:cs="Arial"/>
                <w:b/>
                <w:bCs/>
                <w:sz w:val="22"/>
                <w:szCs w:val="22"/>
              </w:rPr>
            </w:pPr>
          </w:p>
        </w:tc>
      </w:tr>
      <w:tr w:rsidR="008D50CD" w:rsidRPr="00DD5591" w14:paraId="2C19D63A" w14:textId="39CEB1AC" w:rsidTr="00FD64E6">
        <w:trPr>
          <w:trHeight w:val="563"/>
        </w:trPr>
        <w:tc>
          <w:tcPr>
            <w:tcW w:w="2410" w:type="dxa"/>
            <w:tcBorders>
              <w:top w:val="single" w:sz="8" w:space="0" w:color="000000"/>
              <w:left w:val="single" w:sz="8" w:space="0" w:color="auto"/>
              <w:bottom w:val="single" w:sz="8" w:space="0" w:color="auto"/>
              <w:right w:val="nil"/>
            </w:tcBorders>
            <w:shd w:val="clear" w:color="auto" w:fill="EAF1DD" w:themeFill="accent3" w:themeFillTint="33"/>
            <w:hideMark/>
          </w:tcPr>
          <w:p w14:paraId="611CC8FF" w14:textId="681838A1" w:rsidR="003B49BD" w:rsidRPr="0013525C" w:rsidRDefault="003B49BD" w:rsidP="003B49BD">
            <w:pPr>
              <w:rPr>
                <w:rFonts w:ascii="Arial" w:hAnsi="Arial" w:cs="Arial"/>
                <w:b/>
                <w:bCs/>
                <w:sz w:val="20"/>
                <w:szCs w:val="20"/>
              </w:rPr>
            </w:pPr>
            <w:r w:rsidRPr="0013525C">
              <w:rPr>
                <w:rFonts w:ascii="Arial" w:hAnsi="Arial" w:cs="Arial"/>
                <w:b/>
                <w:bCs/>
                <w:sz w:val="20"/>
                <w:szCs w:val="20"/>
              </w:rPr>
              <w:t>Year to 31 March 202</w:t>
            </w:r>
            <w:r w:rsidR="007849DD" w:rsidRPr="0013525C">
              <w:rPr>
                <w:rFonts w:ascii="Arial" w:hAnsi="Arial" w:cs="Arial"/>
                <w:b/>
                <w:bCs/>
                <w:sz w:val="20"/>
                <w:szCs w:val="20"/>
              </w:rPr>
              <w:t>2</w:t>
            </w:r>
          </w:p>
        </w:tc>
        <w:tc>
          <w:tcPr>
            <w:tcW w:w="993" w:type="dxa"/>
            <w:tcBorders>
              <w:top w:val="single" w:sz="8" w:space="0" w:color="000000"/>
              <w:left w:val="single" w:sz="8" w:space="0" w:color="auto"/>
              <w:bottom w:val="single" w:sz="8" w:space="0" w:color="auto"/>
              <w:right w:val="single" w:sz="8" w:space="0" w:color="auto"/>
            </w:tcBorders>
            <w:shd w:val="clear" w:color="auto" w:fill="EAF1DD" w:themeFill="accent3" w:themeFillTint="33"/>
            <w:hideMark/>
          </w:tcPr>
          <w:p w14:paraId="2857BCC0" w14:textId="77777777" w:rsidR="003B49BD" w:rsidRPr="0013525C" w:rsidRDefault="003B49BD" w:rsidP="003B49BD">
            <w:pPr>
              <w:ind w:left="-100" w:right="-113"/>
              <w:jc w:val="center"/>
              <w:rPr>
                <w:rFonts w:ascii="Arial" w:hAnsi="Arial" w:cs="Arial"/>
                <w:b/>
                <w:bCs/>
                <w:sz w:val="20"/>
                <w:szCs w:val="20"/>
              </w:rPr>
            </w:pPr>
            <w:r w:rsidRPr="0013525C">
              <w:rPr>
                <w:rFonts w:ascii="Arial" w:hAnsi="Arial" w:cs="Arial"/>
                <w:b/>
                <w:bCs/>
                <w:sz w:val="20"/>
                <w:szCs w:val="20"/>
              </w:rPr>
              <w:t>Land</w:t>
            </w:r>
          </w:p>
        </w:tc>
        <w:tc>
          <w:tcPr>
            <w:tcW w:w="1417" w:type="dxa"/>
            <w:tcBorders>
              <w:top w:val="single" w:sz="8" w:space="0" w:color="000000"/>
              <w:left w:val="nil"/>
              <w:bottom w:val="single" w:sz="8" w:space="0" w:color="auto"/>
              <w:right w:val="nil"/>
            </w:tcBorders>
            <w:shd w:val="clear" w:color="auto" w:fill="EAF1DD" w:themeFill="accent3" w:themeFillTint="33"/>
            <w:hideMark/>
          </w:tcPr>
          <w:p w14:paraId="48F0CA9F" w14:textId="6CEB5004" w:rsidR="003B49BD" w:rsidRPr="0021362F" w:rsidRDefault="003B49BD" w:rsidP="003B49BD">
            <w:pPr>
              <w:jc w:val="center"/>
              <w:rPr>
                <w:rFonts w:ascii="Arial" w:hAnsi="Arial" w:cs="Arial"/>
                <w:b/>
                <w:bCs/>
                <w:sz w:val="20"/>
                <w:szCs w:val="20"/>
              </w:rPr>
            </w:pPr>
            <w:r w:rsidRPr="0021362F">
              <w:rPr>
                <w:rFonts w:ascii="Arial" w:hAnsi="Arial" w:cs="Arial"/>
                <w:b/>
                <w:bCs/>
                <w:sz w:val="20"/>
                <w:szCs w:val="20"/>
              </w:rPr>
              <w:t>Buil</w:t>
            </w:r>
            <w:r w:rsidR="003E0914" w:rsidRPr="0021362F">
              <w:rPr>
                <w:rFonts w:ascii="Arial" w:hAnsi="Arial" w:cs="Arial"/>
                <w:b/>
                <w:bCs/>
                <w:sz w:val="20"/>
                <w:szCs w:val="20"/>
              </w:rPr>
              <w:t>d</w:t>
            </w:r>
            <w:r w:rsidRPr="0021362F">
              <w:rPr>
                <w:rFonts w:ascii="Arial" w:hAnsi="Arial" w:cs="Arial"/>
                <w:b/>
                <w:bCs/>
                <w:sz w:val="20"/>
                <w:szCs w:val="20"/>
              </w:rPr>
              <w:t xml:space="preserve">ings </w:t>
            </w:r>
          </w:p>
        </w:tc>
        <w:tc>
          <w:tcPr>
            <w:tcW w:w="1276" w:type="dxa"/>
            <w:tcBorders>
              <w:top w:val="single" w:sz="8" w:space="0" w:color="000000"/>
              <w:left w:val="single" w:sz="8" w:space="0" w:color="auto"/>
              <w:bottom w:val="single" w:sz="8" w:space="0" w:color="auto"/>
              <w:right w:val="single" w:sz="4" w:space="0" w:color="auto"/>
            </w:tcBorders>
            <w:shd w:val="clear" w:color="auto" w:fill="EAF1DD" w:themeFill="accent3" w:themeFillTint="33"/>
            <w:hideMark/>
          </w:tcPr>
          <w:p w14:paraId="589A0A6E" w14:textId="318E5B8D"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Leaseho</w:t>
            </w:r>
            <w:r w:rsidR="003E0914" w:rsidRPr="0013525C">
              <w:rPr>
                <w:rFonts w:ascii="Arial" w:hAnsi="Arial" w:cs="Arial"/>
                <w:b/>
                <w:bCs/>
                <w:sz w:val="20"/>
                <w:szCs w:val="20"/>
              </w:rPr>
              <w:t>l</w:t>
            </w:r>
            <w:r w:rsidRPr="0013525C">
              <w:rPr>
                <w:rFonts w:ascii="Arial" w:hAnsi="Arial" w:cs="Arial"/>
                <w:b/>
                <w:bCs/>
                <w:sz w:val="20"/>
                <w:szCs w:val="20"/>
              </w:rPr>
              <w:t>d build</w:t>
            </w:r>
            <w:r w:rsidR="003E0914" w:rsidRPr="0013525C">
              <w:rPr>
                <w:rFonts w:ascii="Arial" w:hAnsi="Arial" w:cs="Arial"/>
                <w:b/>
                <w:bCs/>
                <w:sz w:val="20"/>
                <w:szCs w:val="20"/>
              </w:rPr>
              <w:t>ings</w:t>
            </w:r>
          </w:p>
        </w:tc>
        <w:tc>
          <w:tcPr>
            <w:tcW w:w="1134" w:type="dxa"/>
            <w:tcBorders>
              <w:top w:val="single" w:sz="8" w:space="0" w:color="000000"/>
              <w:left w:val="single" w:sz="4" w:space="0" w:color="auto"/>
              <w:bottom w:val="single" w:sz="8" w:space="0" w:color="auto"/>
              <w:right w:val="single" w:sz="4" w:space="0" w:color="auto"/>
            </w:tcBorders>
            <w:shd w:val="clear" w:color="auto" w:fill="EAF1DD" w:themeFill="accent3" w:themeFillTint="33"/>
          </w:tcPr>
          <w:p w14:paraId="288F018B" w14:textId="773BAE4E"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Gauging stat</w:t>
            </w:r>
            <w:r w:rsidR="00327E12" w:rsidRPr="0013525C">
              <w:rPr>
                <w:rFonts w:ascii="Arial" w:hAnsi="Arial" w:cs="Arial"/>
                <w:b/>
                <w:bCs/>
                <w:sz w:val="20"/>
                <w:szCs w:val="20"/>
              </w:rPr>
              <w:t>io</w:t>
            </w:r>
            <w:r w:rsidRPr="0013525C">
              <w:rPr>
                <w:rFonts w:ascii="Arial" w:hAnsi="Arial" w:cs="Arial"/>
                <w:b/>
                <w:bCs/>
                <w:sz w:val="20"/>
                <w:szCs w:val="20"/>
              </w:rPr>
              <w:t>ns</w:t>
            </w:r>
          </w:p>
        </w:tc>
        <w:tc>
          <w:tcPr>
            <w:tcW w:w="1701" w:type="dxa"/>
            <w:tcBorders>
              <w:top w:val="single" w:sz="8" w:space="0" w:color="000000"/>
              <w:left w:val="single" w:sz="4" w:space="0" w:color="auto"/>
              <w:bottom w:val="single" w:sz="8" w:space="0" w:color="auto"/>
              <w:right w:val="nil"/>
            </w:tcBorders>
            <w:shd w:val="clear" w:color="auto" w:fill="EAF1DD" w:themeFill="accent3" w:themeFillTint="33"/>
            <w:hideMark/>
          </w:tcPr>
          <w:p w14:paraId="113AF456" w14:textId="2ED16B60"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 xml:space="preserve">Plant &amp; </w:t>
            </w:r>
            <w:r w:rsidR="003E0914" w:rsidRPr="0013525C">
              <w:rPr>
                <w:rFonts w:ascii="Arial" w:hAnsi="Arial" w:cs="Arial"/>
                <w:b/>
                <w:bCs/>
                <w:sz w:val="20"/>
                <w:szCs w:val="20"/>
              </w:rPr>
              <w:t>machinery</w:t>
            </w:r>
          </w:p>
        </w:tc>
        <w:tc>
          <w:tcPr>
            <w:tcW w:w="992" w:type="dxa"/>
            <w:tcBorders>
              <w:top w:val="single" w:sz="8" w:space="0" w:color="000000"/>
              <w:left w:val="single" w:sz="8" w:space="0" w:color="auto"/>
              <w:bottom w:val="single" w:sz="8" w:space="0" w:color="auto"/>
              <w:right w:val="single" w:sz="8" w:space="0" w:color="auto"/>
            </w:tcBorders>
            <w:shd w:val="clear" w:color="auto" w:fill="EAF1DD" w:themeFill="accent3" w:themeFillTint="33"/>
            <w:hideMark/>
          </w:tcPr>
          <w:p w14:paraId="1DBC3B9F" w14:textId="39FC4EBC"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Vessel</w:t>
            </w:r>
          </w:p>
        </w:tc>
        <w:tc>
          <w:tcPr>
            <w:tcW w:w="1276" w:type="dxa"/>
            <w:tcBorders>
              <w:top w:val="single" w:sz="8" w:space="0" w:color="000000"/>
              <w:left w:val="nil"/>
              <w:bottom w:val="single" w:sz="8" w:space="0" w:color="auto"/>
              <w:right w:val="nil"/>
            </w:tcBorders>
            <w:shd w:val="clear" w:color="auto" w:fill="EAF1DD" w:themeFill="accent3" w:themeFillTint="33"/>
            <w:hideMark/>
          </w:tcPr>
          <w:p w14:paraId="5947F4F6"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Computer equipment</w:t>
            </w:r>
          </w:p>
        </w:tc>
        <w:tc>
          <w:tcPr>
            <w:tcW w:w="1276" w:type="dxa"/>
            <w:tcBorders>
              <w:top w:val="single" w:sz="8" w:space="0" w:color="000000"/>
              <w:left w:val="single" w:sz="8" w:space="0" w:color="auto"/>
              <w:bottom w:val="single" w:sz="8" w:space="0" w:color="auto"/>
              <w:right w:val="single" w:sz="8" w:space="0" w:color="auto"/>
            </w:tcBorders>
            <w:shd w:val="clear" w:color="auto" w:fill="EAF1DD" w:themeFill="accent3" w:themeFillTint="33"/>
            <w:hideMark/>
          </w:tcPr>
          <w:p w14:paraId="388D7608"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Motor vehicles</w:t>
            </w:r>
          </w:p>
        </w:tc>
        <w:tc>
          <w:tcPr>
            <w:tcW w:w="1701" w:type="dxa"/>
            <w:tcBorders>
              <w:top w:val="single" w:sz="8" w:space="0" w:color="000000"/>
              <w:left w:val="nil"/>
              <w:bottom w:val="single" w:sz="8" w:space="0" w:color="auto"/>
              <w:right w:val="single" w:sz="8" w:space="0" w:color="000000"/>
            </w:tcBorders>
            <w:shd w:val="clear" w:color="auto" w:fill="EAF1DD" w:themeFill="accent3" w:themeFillTint="33"/>
            <w:hideMark/>
          </w:tcPr>
          <w:p w14:paraId="25F5E3A1" w14:textId="5B24F5F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Fixtures fittings, tools &amp; equipment</w:t>
            </w:r>
          </w:p>
        </w:tc>
        <w:tc>
          <w:tcPr>
            <w:tcW w:w="1559" w:type="dxa"/>
            <w:tcBorders>
              <w:top w:val="single" w:sz="8" w:space="0" w:color="000000"/>
              <w:left w:val="single" w:sz="8" w:space="0" w:color="000000"/>
              <w:bottom w:val="single" w:sz="8" w:space="0" w:color="auto"/>
              <w:right w:val="single" w:sz="8" w:space="0" w:color="auto"/>
            </w:tcBorders>
            <w:shd w:val="clear" w:color="auto" w:fill="EAF1DD" w:themeFill="accent3" w:themeFillTint="33"/>
            <w:hideMark/>
          </w:tcPr>
          <w:p w14:paraId="652A5F58"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Total tangible assets</w:t>
            </w:r>
          </w:p>
        </w:tc>
        <w:tc>
          <w:tcPr>
            <w:tcW w:w="1559" w:type="dxa"/>
            <w:tcBorders>
              <w:top w:val="single" w:sz="8" w:space="0" w:color="000000"/>
              <w:left w:val="nil"/>
              <w:bottom w:val="single" w:sz="8" w:space="0" w:color="auto"/>
              <w:right w:val="single" w:sz="4" w:space="0" w:color="auto"/>
            </w:tcBorders>
            <w:shd w:val="clear" w:color="auto" w:fill="EAF1DD" w:themeFill="accent3" w:themeFillTint="33"/>
            <w:hideMark/>
          </w:tcPr>
          <w:p w14:paraId="2598943A"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Software developed in-house</w:t>
            </w:r>
          </w:p>
        </w:tc>
        <w:tc>
          <w:tcPr>
            <w:tcW w:w="1559" w:type="dxa"/>
            <w:tcBorders>
              <w:top w:val="single" w:sz="8" w:space="0" w:color="000000"/>
              <w:left w:val="single" w:sz="4" w:space="0" w:color="auto"/>
              <w:bottom w:val="single" w:sz="4" w:space="0" w:color="auto"/>
              <w:right w:val="single" w:sz="4" w:space="0" w:color="auto"/>
            </w:tcBorders>
            <w:shd w:val="clear" w:color="auto" w:fill="EAF1DD" w:themeFill="accent3" w:themeFillTint="33"/>
            <w:hideMark/>
          </w:tcPr>
          <w:p w14:paraId="697B4611"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Purchased software</w:t>
            </w:r>
          </w:p>
        </w:tc>
        <w:tc>
          <w:tcPr>
            <w:tcW w:w="1560" w:type="dxa"/>
            <w:tcBorders>
              <w:top w:val="single" w:sz="8" w:space="0" w:color="000000"/>
              <w:left w:val="single" w:sz="4" w:space="0" w:color="auto"/>
              <w:bottom w:val="single" w:sz="8" w:space="0" w:color="auto"/>
              <w:right w:val="single" w:sz="4" w:space="0" w:color="auto"/>
            </w:tcBorders>
            <w:shd w:val="clear" w:color="auto" w:fill="EAF1DD" w:themeFill="accent3" w:themeFillTint="33"/>
            <w:hideMark/>
          </w:tcPr>
          <w:p w14:paraId="393BE194" w14:textId="77777777"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Total intangible assets</w:t>
            </w:r>
          </w:p>
        </w:tc>
        <w:tc>
          <w:tcPr>
            <w:tcW w:w="1701" w:type="dxa"/>
            <w:tcBorders>
              <w:top w:val="single" w:sz="8" w:space="0" w:color="000000"/>
              <w:left w:val="single" w:sz="4" w:space="0" w:color="auto"/>
              <w:bottom w:val="single" w:sz="4" w:space="0" w:color="auto"/>
              <w:right w:val="single" w:sz="4" w:space="0" w:color="auto"/>
            </w:tcBorders>
            <w:shd w:val="clear" w:color="auto" w:fill="EAF1DD" w:themeFill="accent3" w:themeFillTint="33"/>
          </w:tcPr>
          <w:p w14:paraId="4949B7B7" w14:textId="4C8040FC" w:rsidR="003B49BD" w:rsidRPr="0013525C" w:rsidRDefault="007C1E96" w:rsidP="009809C5">
            <w:pPr>
              <w:jc w:val="center"/>
              <w:rPr>
                <w:rFonts w:ascii="Arial" w:hAnsi="Arial" w:cs="Arial"/>
                <w:b/>
                <w:bCs/>
                <w:sz w:val="20"/>
                <w:szCs w:val="20"/>
              </w:rPr>
            </w:pPr>
            <w:r w:rsidRPr="0013525C">
              <w:rPr>
                <w:rFonts w:ascii="Arial" w:hAnsi="Arial" w:cs="Arial"/>
                <w:b/>
                <w:bCs/>
                <w:sz w:val="20"/>
                <w:szCs w:val="20"/>
              </w:rPr>
              <w:t xml:space="preserve">Under </w:t>
            </w:r>
            <w:r w:rsidR="00327E12" w:rsidRPr="0013525C">
              <w:rPr>
                <w:rFonts w:ascii="Arial" w:hAnsi="Arial" w:cs="Arial"/>
                <w:b/>
                <w:bCs/>
                <w:sz w:val="20"/>
                <w:szCs w:val="20"/>
              </w:rPr>
              <w:t>c</w:t>
            </w:r>
            <w:r w:rsidRPr="0013525C">
              <w:rPr>
                <w:rFonts w:ascii="Arial" w:hAnsi="Arial" w:cs="Arial"/>
                <w:b/>
                <w:bCs/>
                <w:sz w:val="20"/>
                <w:szCs w:val="20"/>
              </w:rPr>
              <w:t>onstruction</w:t>
            </w:r>
          </w:p>
        </w:tc>
        <w:tc>
          <w:tcPr>
            <w:tcW w:w="992" w:type="dxa"/>
            <w:tcBorders>
              <w:top w:val="single" w:sz="8" w:space="0" w:color="000000"/>
              <w:left w:val="single" w:sz="4" w:space="0" w:color="auto"/>
              <w:bottom w:val="single" w:sz="4" w:space="0" w:color="auto"/>
              <w:right w:val="single" w:sz="4" w:space="0" w:color="auto"/>
            </w:tcBorders>
            <w:shd w:val="clear" w:color="auto" w:fill="EAF1DD" w:themeFill="accent3" w:themeFillTint="33"/>
          </w:tcPr>
          <w:p w14:paraId="4982EE26" w14:textId="26944E94"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Total</w:t>
            </w:r>
          </w:p>
        </w:tc>
      </w:tr>
      <w:tr w:rsidR="008D50CD" w:rsidRPr="00DD5591" w14:paraId="603C3971" w14:textId="32D52874" w:rsidTr="00FD64E6">
        <w:trPr>
          <w:cantSplit/>
          <w:trHeight w:val="340"/>
        </w:trPr>
        <w:tc>
          <w:tcPr>
            <w:tcW w:w="2410" w:type="dxa"/>
            <w:tcBorders>
              <w:top w:val="nil"/>
              <w:left w:val="single" w:sz="8" w:space="0" w:color="auto"/>
              <w:bottom w:val="single" w:sz="8" w:space="0" w:color="000000"/>
              <w:right w:val="single" w:sz="8" w:space="0" w:color="auto"/>
            </w:tcBorders>
            <w:shd w:val="clear" w:color="auto" w:fill="EAF1DD" w:themeFill="accent3" w:themeFillTint="33"/>
          </w:tcPr>
          <w:p w14:paraId="763C3460" w14:textId="77777777" w:rsidR="003B49BD" w:rsidRPr="0013525C" w:rsidRDefault="003B49BD" w:rsidP="003B49BD">
            <w:pPr>
              <w:rPr>
                <w:rFonts w:ascii="Arial" w:hAnsi="Arial" w:cs="Arial"/>
                <w:sz w:val="20"/>
                <w:szCs w:val="20"/>
              </w:rPr>
            </w:pPr>
            <w:r w:rsidRPr="0013525C">
              <w:rPr>
                <w:rFonts w:ascii="Arial" w:hAnsi="Arial" w:cs="Arial"/>
                <w:b/>
                <w:bCs/>
                <w:sz w:val="20"/>
                <w:szCs w:val="20"/>
              </w:rPr>
              <w:t>Cost or valuation</w:t>
            </w:r>
          </w:p>
        </w:tc>
        <w:tc>
          <w:tcPr>
            <w:tcW w:w="993" w:type="dxa"/>
            <w:tcBorders>
              <w:top w:val="single" w:sz="4" w:space="0" w:color="auto"/>
              <w:left w:val="nil"/>
              <w:bottom w:val="single" w:sz="8" w:space="0" w:color="auto"/>
              <w:right w:val="single" w:sz="8" w:space="0" w:color="auto"/>
            </w:tcBorders>
            <w:shd w:val="clear" w:color="auto" w:fill="EAF1DD" w:themeFill="accent3" w:themeFillTint="33"/>
          </w:tcPr>
          <w:p w14:paraId="7EB247C0" w14:textId="77777777" w:rsidR="003B49BD" w:rsidRPr="0013525C" w:rsidRDefault="003B49BD" w:rsidP="003B49BD">
            <w:pPr>
              <w:ind w:right="-113"/>
              <w:jc w:val="center"/>
              <w:rPr>
                <w:rFonts w:ascii="Arial" w:hAnsi="Arial" w:cs="Arial"/>
                <w:b/>
                <w:bCs/>
                <w:sz w:val="20"/>
                <w:szCs w:val="20"/>
              </w:rPr>
            </w:pPr>
            <w:r w:rsidRPr="0013525C">
              <w:rPr>
                <w:rFonts w:ascii="Arial" w:hAnsi="Arial" w:cs="Arial"/>
                <w:b/>
                <w:bCs/>
                <w:sz w:val="20"/>
                <w:szCs w:val="20"/>
              </w:rPr>
              <w:t>£’000</w:t>
            </w:r>
          </w:p>
        </w:tc>
        <w:tc>
          <w:tcPr>
            <w:tcW w:w="1417" w:type="dxa"/>
            <w:tcBorders>
              <w:top w:val="single" w:sz="4" w:space="0" w:color="auto"/>
              <w:left w:val="nil"/>
              <w:bottom w:val="single" w:sz="8" w:space="0" w:color="auto"/>
              <w:right w:val="nil"/>
            </w:tcBorders>
            <w:shd w:val="clear" w:color="auto" w:fill="EAF1DD" w:themeFill="accent3" w:themeFillTint="33"/>
          </w:tcPr>
          <w:p w14:paraId="18777AC7"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276" w:type="dxa"/>
            <w:tcBorders>
              <w:top w:val="single" w:sz="4" w:space="0" w:color="auto"/>
              <w:left w:val="single" w:sz="8" w:space="0" w:color="auto"/>
              <w:bottom w:val="single" w:sz="8" w:space="0" w:color="auto"/>
              <w:right w:val="single" w:sz="4" w:space="0" w:color="auto"/>
            </w:tcBorders>
            <w:shd w:val="clear" w:color="auto" w:fill="EAF1DD" w:themeFill="accent3" w:themeFillTint="33"/>
          </w:tcPr>
          <w:p w14:paraId="3AADD8AB"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134" w:type="dxa"/>
            <w:tcBorders>
              <w:top w:val="single" w:sz="4" w:space="0" w:color="auto"/>
              <w:left w:val="single" w:sz="4" w:space="0" w:color="auto"/>
              <w:bottom w:val="single" w:sz="8" w:space="0" w:color="auto"/>
              <w:right w:val="single" w:sz="4" w:space="0" w:color="auto"/>
            </w:tcBorders>
            <w:shd w:val="clear" w:color="auto" w:fill="EAF1DD" w:themeFill="accent3" w:themeFillTint="33"/>
          </w:tcPr>
          <w:p w14:paraId="3A5DF0B0"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701" w:type="dxa"/>
            <w:tcBorders>
              <w:top w:val="single" w:sz="4" w:space="0" w:color="auto"/>
              <w:left w:val="single" w:sz="4" w:space="0" w:color="auto"/>
              <w:bottom w:val="single" w:sz="8" w:space="0" w:color="auto"/>
              <w:right w:val="nil"/>
            </w:tcBorders>
            <w:shd w:val="clear" w:color="auto" w:fill="EAF1DD" w:themeFill="accent3" w:themeFillTint="33"/>
          </w:tcPr>
          <w:p w14:paraId="40E75E3D"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992" w:type="dxa"/>
            <w:tcBorders>
              <w:top w:val="single" w:sz="4" w:space="0" w:color="auto"/>
              <w:left w:val="single" w:sz="8" w:space="0" w:color="auto"/>
              <w:bottom w:val="single" w:sz="8" w:space="0" w:color="auto"/>
              <w:right w:val="single" w:sz="8" w:space="0" w:color="auto"/>
            </w:tcBorders>
            <w:shd w:val="clear" w:color="auto" w:fill="EAF1DD" w:themeFill="accent3" w:themeFillTint="33"/>
          </w:tcPr>
          <w:p w14:paraId="07171CE3"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276" w:type="dxa"/>
            <w:tcBorders>
              <w:top w:val="single" w:sz="4" w:space="0" w:color="auto"/>
              <w:left w:val="nil"/>
              <w:bottom w:val="single" w:sz="8" w:space="0" w:color="auto"/>
              <w:right w:val="nil"/>
            </w:tcBorders>
            <w:shd w:val="clear" w:color="auto" w:fill="EAF1DD" w:themeFill="accent3" w:themeFillTint="33"/>
          </w:tcPr>
          <w:p w14:paraId="1CBBD1F6"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276" w:type="dxa"/>
            <w:tcBorders>
              <w:top w:val="single" w:sz="4" w:space="0" w:color="auto"/>
              <w:left w:val="single" w:sz="8" w:space="0" w:color="auto"/>
              <w:bottom w:val="single" w:sz="8" w:space="0" w:color="auto"/>
              <w:right w:val="single" w:sz="8" w:space="0" w:color="auto"/>
            </w:tcBorders>
            <w:shd w:val="clear" w:color="auto" w:fill="EAF1DD" w:themeFill="accent3" w:themeFillTint="33"/>
          </w:tcPr>
          <w:p w14:paraId="6C728542"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701" w:type="dxa"/>
            <w:tcBorders>
              <w:top w:val="single" w:sz="4" w:space="0" w:color="auto"/>
              <w:left w:val="nil"/>
              <w:bottom w:val="single" w:sz="8" w:space="0" w:color="auto"/>
              <w:right w:val="single" w:sz="8" w:space="0" w:color="000000"/>
            </w:tcBorders>
            <w:shd w:val="clear" w:color="auto" w:fill="EAF1DD" w:themeFill="accent3" w:themeFillTint="33"/>
          </w:tcPr>
          <w:p w14:paraId="006F2C57"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559" w:type="dxa"/>
            <w:tcBorders>
              <w:top w:val="single" w:sz="4" w:space="0" w:color="auto"/>
              <w:left w:val="single" w:sz="8" w:space="0" w:color="000000"/>
              <w:bottom w:val="single" w:sz="8" w:space="0" w:color="auto"/>
              <w:right w:val="nil"/>
            </w:tcBorders>
            <w:shd w:val="clear" w:color="auto" w:fill="EAF1DD" w:themeFill="accent3" w:themeFillTint="33"/>
          </w:tcPr>
          <w:p w14:paraId="4404C6B8"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559" w:type="dxa"/>
            <w:tcBorders>
              <w:top w:val="single" w:sz="4" w:space="0" w:color="auto"/>
              <w:left w:val="single" w:sz="8" w:space="0" w:color="auto"/>
              <w:bottom w:val="single" w:sz="8" w:space="0" w:color="auto"/>
              <w:right w:val="single" w:sz="4" w:space="0" w:color="auto"/>
            </w:tcBorders>
            <w:shd w:val="clear" w:color="auto" w:fill="EAF1DD" w:themeFill="accent3" w:themeFillTint="33"/>
          </w:tcPr>
          <w:p w14:paraId="064854C5"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559" w:type="dxa"/>
            <w:tcBorders>
              <w:top w:val="single" w:sz="4" w:space="0" w:color="auto"/>
              <w:left w:val="single" w:sz="4" w:space="0" w:color="auto"/>
              <w:bottom w:val="single" w:sz="8" w:space="0" w:color="auto"/>
              <w:right w:val="single" w:sz="4" w:space="0" w:color="auto"/>
            </w:tcBorders>
            <w:shd w:val="clear" w:color="auto" w:fill="EAF1DD" w:themeFill="accent3" w:themeFillTint="33"/>
          </w:tcPr>
          <w:p w14:paraId="1FE8B2EE"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560" w:type="dxa"/>
            <w:tcBorders>
              <w:top w:val="single" w:sz="4" w:space="0" w:color="auto"/>
              <w:left w:val="single" w:sz="4" w:space="0" w:color="auto"/>
              <w:bottom w:val="single" w:sz="8" w:space="0" w:color="auto"/>
              <w:right w:val="single" w:sz="8" w:space="0" w:color="auto"/>
            </w:tcBorders>
            <w:shd w:val="clear" w:color="auto" w:fill="EAF1DD" w:themeFill="accent3" w:themeFillTint="33"/>
          </w:tcPr>
          <w:p w14:paraId="3D251221" w14:textId="77777777" w:rsidR="003B49BD" w:rsidRPr="0013525C" w:rsidRDefault="003B49BD" w:rsidP="003B49BD">
            <w:pPr>
              <w:jc w:val="center"/>
              <w:rPr>
                <w:rFonts w:ascii="Arial" w:hAnsi="Arial" w:cs="Arial"/>
                <w:sz w:val="20"/>
                <w:szCs w:val="20"/>
              </w:rPr>
            </w:pPr>
            <w:r w:rsidRPr="0013525C">
              <w:rPr>
                <w:rFonts w:ascii="Arial" w:hAnsi="Arial" w:cs="Arial"/>
                <w:b/>
                <w:bCs/>
                <w:sz w:val="20"/>
                <w:szCs w:val="20"/>
              </w:rPr>
              <w:t>£’000</w:t>
            </w:r>
          </w:p>
        </w:tc>
        <w:tc>
          <w:tcPr>
            <w:tcW w:w="1701" w:type="dxa"/>
            <w:tcBorders>
              <w:top w:val="single" w:sz="4" w:space="0" w:color="auto"/>
              <w:left w:val="single" w:sz="8" w:space="0" w:color="000000"/>
              <w:bottom w:val="single" w:sz="8" w:space="0" w:color="auto"/>
              <w:right w:val="single" w:sz="8" w:space="0" w:color="auto"/>
            </w:tcBorders>
            <w:shd w:val="clear" w:color="auto" w:fill="EAF1DD" w:themeFill="accent3" w:themeFillTint="33"/>
          </w:tcPr>
          <w:p w14:paraId="52354245" w14:textId="5BF96DB6" w:rsidR="003B49BD" w:rsidRPr="0013525C" w:rsidRDefault="00F515E3" w:rsidP="003B49BD">
            <w:pPr>
              <w:jc w:val="center"/>
              <w:rPr>
                <w:rFonts w:ascii="Arial" w:hAnsi="Arial" w:cs="Arial"/>
                <w:sz w:val="20"/>
                <w:szCs w:val="20"/>
              </w:rPr>
            </w:pPr>
            <w:r w:rsidRPr="0013525C">
              <w:rPr>
                <w:rFonts w:ascii="Arial" w:hAnsi="Arial" w:cs="Arial"/>
                <w:b/>
                <w:bCs/>
                <w:sz w:val="20"/>
                <w:szCs w:val="20"/>
              </w:rPr>
              <w:t>£’000</w:t>
            </w:r>
          </w:p>
        </w:tc>
        <w:tc>
          <w:tcPr>
            <w:tcW w:w="992" w:type="dxa"/>
            <w:tcBorders>
              <w:top w:val="single" w:sz="4" w:space="0" w:color="auto"/>
              <w:left w:val="single" w:sz="8" w:space="0" w:color="000000"/>
              <w:bottom w:val="single" w:sz="8" w:space="0" w:color="auto"/>
              <w:right w:val="single" w:sz="8" w:space="0" w:color="auto"/>
            </w:tcBorders>
            <w:shd w:val="clear" w:color="auto" w:fill="EAF1DD" w:themeFill="accent3" w:themeFillTint="33"/>
          </w:tcPr>
          <w:p w14:paraId="367DB585" w14:textId="2297549E" w:rsidR="003B49BD" w:rsidRPr="0013525C" w:rsidRDefault="003B49BD" w:rsidP="003B49BD">
            <w:pPr>
              <w:jc w:val="center"/>
              <w:rPr>
                <w:rFonts w:ascii="Arial" w:hAnsi="Arial" w:cs="Arial"/>
                <w:b/>
                <w:bCs/>
                <w:sz w:val="20"/>
                <w:szCs w:val="20"/>
              </w:rPr>
            </w:pPr>
            <w:r w:rsidRPr="0013525C">
              <w:rPr>
                <w:rFonts w:ascii="Arial" w:hAnsi="Arial" w:cs="Arial"/>
                <w:b/>
                <w:bCs/>
                <w:sz w:val="20"/>
                <w:szCs w:val="20"/>
              </w:rPr>
              <w:t>£’000</w:t>
            </w:r>
          </w:p>
        </w:tc>
      </w:tr>
      <w:tr w:rsidR="008D50CD" w:rsidRPr="00DD5591" w14:paraId="3D1AD14B" w14:textId="7716B05E" w:rsidTr="00FD64E6">
        <w:trPr>
          <w:cantSplit/>
          <w:trHeight w:val="340"/>
        </w:trPr>
        <w:tc>
          <w:tcPr>
            <w:tcW w:w="2410" w:type="dxa"/>
            <w:tcBorders>
              <w:top w:val="single" w:sz="8" w:space="0" w:color="000000"/>
              <w:left w:val="single" w:sz="8" w:space="0" w:color="auto"/>
              <w:bottom w:val="nil"/>
              <w:right w:val="single" w:sz="8" w:space="0" w:color="auto"/>
            </w:tcBorders>
            <w:shd w:val="clear" w:color="auto" w:fill="EAF1DD" w:themeFill="accent3" w:themeFillTint="33"/>
            <w:vAlign w:val="bottom"/>
            <w:hideMark/>
          </w:tcPr>
          <w:p w14:paraId="2E188E15" w14:textId="77777777" w:rsidR="00136DC8" w:rsidRPr="000D4EDC" w:rsidRDefault="00136DC8" w:rsidP="003B49BD">
            <w:pPr>
              <w:rPr>
                <w:rFonts w:ascii="Arial" w:hAnsi="Arial" w:cs="Arial"/>
                <w:sz w:val="20"/>
                <w:szCs w:val="20"/>
              </w:rPr>
            </w:pPr>
          </w:p>
          <w:p w14:paraId="01747EDE" w14:textId="59E42A75" w:rsidR="00136DC8" w:rsidRPr="000D4EDC" w:rsidRDefault="003B49BD" w:rsidP="003B49BD">
            <w:pPr>
              <w:rPr>
                <w:rFonts w:ascii="Arial" w:hAnsi="Arial" w:cs="Arial"/>
                <w:sz w:val="20"/>
                <w:szCs w:val="20"/>
              </w:rPr>
            </w:pPr>
            <w:r w:rsidRPr="000D4EDC">
              <w:rPr>
                <w:rFonts w:ascii="Arial" w:hAnsi="Arial" w:cs="Arial"/>
                <w:sz w:val="20"/>
                <w:szCs w:val="20"/>
              </w:rPr>
              <w:t>1 April 202</w:t>
            </w:r>
            <w:r w:rsidR="00937F30" w:rsidRPr="000D4EDC">
              <w:rPr>
                <w:rFonts w:ascii="Arial" w:hAnsi="Arial" w:cs="Arial"/>
                <w:sz w:val="20"/>
                <w:szCs w:val="20"/>
              </w:rPr>
              <w:t>1</w:t>
            </w:r>
          </w:p>
        </w:tc>
        <w:tc>
          <w:tcPr>
            <w:tcW w:w="993" w:type="dxa"/>
            <w:tcBorders>
              <w:top w:val="single" w:sz="8" w:space="0" w:color="auto"/>
              <w:left w:val="single" w:sz="8" w:space="0" w:color="auto"/>
              <w:right w:val="single" w:sz="8" w:space="0" w:color="auto"/>
            </w:tcBorders>
            <w:shd w:val="clear" w:color="auto" w:fill="EAF1DD" w:themeFill="accent3" w:themeFillTint="33"/>
            <w:vAlign w:val="bottom"/>
          </w:tcPr>
          <w:p w14:paraId="6D33C3D1" w14:textId="61B04557" w:rsidR="003B49BD" w:rsidRPr="000D4EDC" w:rsidRDefault="00847583" w:rsidP="003B49BD">
            <w:pPr>
              <w:jc w:val="center"/>
              <w:rPr>
                <w:rFonts w:ascii="Arial" w:hAnsi="Arial" w:cs="Arial"/>
                <w:bCs/>
                <w:sz w:val="20"/>
                <w:szCs w:val="20"/>
              </w:rPr>
            </w:pPr>
            <w:r w:rsidRPr="000D4EDC">
              <w:rPr>
                <w:rFonts w:ascii="Arial" w:hAnsi="Arial" w:cs="Arial"/>
                <w:bCs/>
                <w:sz w:val="20"/>
                <w:szCs w:val="20"/>
              </w:rPr>
              <w:t>832</w:t>
            </w:r>
          </w:p>
        </w:tc>
        <w:tc>
          <w:tcPr>
            <w:tcW w:w="1417" w:type="dxa"/>
            <w:tcBorders>
              <w:top w:val="single" w:sz="8" w:space="0" w:color="auto"/>
              <w:left w:val="single" w:sz="8" w:space="0" w:color="auto"/>
              <w:right w:val="single" w:sz="8" w:space="0" w:color="auto"/>
            </w:tcBorders>
            <w:shd w:val="clear" w:color="auto" w:fill="EAF1DD" w:themeFill="accent3" w:themeFillTint="33"/>
            <w:vAlign w:val="bottom"/>
          </w:tcPr>
          <w:p w14:paraId="75EC1977" w14:textId="415A6A3F" w:rsidR="003B49BD" w:rsidRPr="000D4EDC" w:rsidRDefault="00847583" w:rsidP="003B49BD">
            <w:pPr>
              <w:jc w:val="center"/>
              <w:rPr>
                <w:rFonts w:ascii="Arial" w:hAnsi="Arial" w:cs="Arial"/>
                <w:bCs/>
                <w:sz w:val="20"/>
                <w:szCs w:val="20"/>
              </w:rPr>
            </w:pPr>
            <w:r w:rsidRPr="000D4EDC">
              <w:rPr>
                <w:rFonts w:ascii="Arial" w:hAnsi="Arial" w:cs="Arial"/>
                <w:bCs/>
                <w:sz w:val="20"/>
                <w:szCs w:val="20"/>
              </w:rPr>
              <w:t>3,935</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7D99EF3A" w14:textId="46E5B781" w:rsidR="003B49BD" w:rsidRPr="000D4EDC" w:rsidRDefault="00847583" w:rsidP="003B49BD">
            <w:pPr>
              <w:jc w:val="center"/>
              <w:rPr>
                <w:rFonts w:ascii="Arial" w:hAnsi="Arial" w:cs="Arial"/>
                <w:bCs/>
                <w:sz w:val="20"/>
                <w:szCs w:val="20"/>
              </w:rPr>
            </w:pPr>
            <w:r w:rsidRPr="000D4EDC">
              <w:rPr>
                <w:rFonts w:ascii="Arial" w:hAnsi="Arial" w:cs="Arial"/>
                <w:bCs/>
                <w:sz w:val="20"/>
                <w:szCs w:val="20"/>
              </w:rPr>
              <w:t>9,892</w:t>
            </w:r>
          </w:p>
        </w:tc>
        <w:tc>
          <w:tcPr>
            <w:tcW w:w="1134" w:type="dxa"/>
            <w:tcBorders>
              <w:top w:val="single" w:sz="8" w:space="0" w:color="auto"/>
              <w:left w:val="single" w:sz="8" w:space="0" w:color="auto"/>
              <w:right w:val="single" w:sz="8" w:space="0" w:color="auto"/>
            </w:tcBorders>
            <w:shd w:val="clear" w:color="auto" w:fill="EAF1DD" w:themeFill="accent3" w:themeFillTint="33"/>
            <w:vAlign w:val="bottom"/>
          </w:tcPr>
          <w:p w14:paraId="157B6DCC" w14:textId="23FB6A76" w:rsidR="003B49BD" w:rsidRPr="000D4EDC" w:rsidRDefault="0060217B" w:rsidP="003B49BD">
            <w:pPr>
              <w:jc w:val="center"/>
              <w:rPr>
                <w:rFonts w:ascii="Arial" w:hAnsi="Arial" w:cs="Arial"/>
                <w:bCs/>
                <w:sz w:val="20"/>
                <w:szCs w:val="20"/>
              </w:rPr>
            </w:pPr>
            <w:r w:rsidRPr="000D4EDC">
              <w:rPr>
                <w:rFonts w:ascii="Arial" w:hAnsi="Arial" w:cs="Arial"/>
                <w:bCs/>
                <w:sz w:val="20"/>
                <w:szCs w:val="20"/>
              </w:rPr>
              <w:t>19,203</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3B2FE9FA" w14:textId="64A1F4A2" w:rsidR="003B49BD" w:rsidRPr="000D4EDC" w:rsidRDefault="0060217B" w:rsidP="003B49BD">
            <w:pPr>
              <w:jc w:val="center"/>
              <w:rPr>
                <w:rFonts w:ascii="Arial" w:hAnsi="Arial" w:cs="Arial"/>
                <w:bCs/>
                <w:sz w:val="20"/>
                <w:szCs w:val="20"/>
              </w:rPr>
            </w:pPr>
            <w:r w:rsidRPr="000D4EDC">
              <w:rPr>
                <w:rFonts w:ascii="Arial" w:hAnsi="Arial" w:cs="Arial"/>
                <w:bCs/>
                <w:sz w:val="20"/>
                <w:szCs w:val="20"/>
              </w:rPr>
              <w:t>11,884</w:t>
            </w:r>
          </w:p>
        </w:tc>
        <w:tc>
          <w:tcPr>
            <w:tcW w:w="992" w:type="dxa"/>
            <w:tcBorders>
              <w:top w:val="single" w:sz="8" w:space="0" w:color="auto"/>
              <w:left w:val="single" w:sz="8" w:space="0" w:color="auto"/>
              <w:right w:val="single" w:sz="8" w:space="0" w:color="auto"/>
            </w:tcBorders>
            <w:shd w:val="clear" w:color="auto" w:fill="EAF1DD" w:themeFill="accent3" w:themeFillTint="33"/>
            <w:vAlign w:val="bottom"/>
          </w:tcPr>
          <w:p w14:paraId="382FDE82" w14:textId="18AA3C82" w:rsidR="003B49BD" w:rsidRPr="000D4EDC" w:rsidRDefault="0060217B" w:rsidP="003B49BD">
            <w:pPr>
              <w:jc w:val="center"/>
              <w:rPr>
                <w:rFonts w:ascii="Arial" w:hAnsi="Arial" w:cs="Arial"/>
                <w:bCs/>
                <w:sz w:val="20"/>
                <w:szCs w:val="20"/>
              </w:rPr>
            </w:pPr>
            <w:r w:rsidRPr="000D4EDC">
              <w:rPr>
                <w:rFonts w:ascii="Arial" w:hAnsi="Arial" w:cs="Arial"/>
                <w:bCs/>
                <w:sz w:val="20"/>
                <w:szCs w:val="20"/>
              </w:rPr>
              <w:t>735</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1F77EE08" w14:textId="4EC46F61" w:rsidR="003B49BD" w:rsidRPr="000D4EDC" w:rsidRDefault="0060217B" w:rsidP="003B49BD">
            <w:pPr>
              <w:jc w:val="center"/>
              <w:rPr>
                <w:rFonts w:ascii="Arial" w:hAnsi="Arial" w:cs="Arial"/>
                <w:bCs/>
                <w:sz w:val="20"/>
                <w:szCs w:val="20"/>
              </w:rPr>
            </w:pPr>
            <w:r w:rsidRPr="000D4EDC">
              <w:rPr>
                <w:rFonts w:ascii="Arial" w:hAnsi="Arial" w:cs="Arial"/>
                <w:bCs/>
                <w:sz w:val="20"/>
                <w:szCs w:val="20"/>
              </w:rPr>
              <w:t>3,303</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56F36359" w14:textId="153F19C8" w:rsidR="003B49BD" w:rsidRPr="000D4EDC" w:rsidRDefault="0052095A" w:rsidP="003B49BD">
            <w:pPr>
              <w:jc w:val="center"/>
              <w:rPr>
                <w:rFonts w:ascii="Arial" w:hAnsi="Arial" w:cs="Arial"/>
                <w:bCs/>
                <w:sz w:val="20"/>
                <w:szCs w:val="20"/>
              </w:rPr>
            </w:pPr>
            <w:r w:rsidRPr="000D4EDC">
              <w:rPr>
                <w:rFonts w:ascii="Arial" w:hAnsi="Arial" w:cs="Arial"/>
                <w:bCs/>
                <w:sz w:val="20"/>
                <w:szCs w:val="20"/>
              </w:rPr>
              <w:t>770</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5237413F" w14:textId="547FBC9A" w:rsidR="003B49BD" w:rsidRPr="000D4EDC" w:rsidRDefault="0052095A" w:rsidP="003B49BD">
            <w:pPr>
              <w:jc w:val="center"/>
              <w:rPr>
                <w:rFonts w:ascii="Arial" w:hAnsi="Arial" w:cs="Arial"/>
                <w:bCs/>
                <w:sz w:val="20"/>
                <w:szCs w:val="20"/>
              </w:rPr>
            </w:pPr>
            <w:r w:rsidRPr="000D4EDC">
              <w:rPr>
                <w:rFonts w:ascii="Arial" w:hAnsi="Arial" w:cs="Arial"/>
                <w:bCs/>
                <w:sz w:val="20"/>
                <w:szCs w:val="20"/>
              </w:rPr>
              <w:t>270</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2CCEE7A7" w14:textId="501C917A" w:rsidR="003B49BD" w:rsidRPr="000D4EDC" w:rsidRDefault="0052095A" w:rsidP="003B49BD">
            <w:pPr>
              <w:jc w:val="center"/>
              <w:rPr>
                <w:rFonts w:ascii="Arial" w:hAnsi="Arial" w:cs="Arial"/>
                <w:bCs/>
                <w:sz w:val="20"/>
                <w:szCs w:val="20"/>
              </w:rPr>
            </w:pPr>
            <w:r w:rsidRPr="000D4EDC">
              <w:rPr>
                <w:rFonts w:ascii="Arial" w:hAnsi="Arial" w:cs="Arial"/>
                <w:bCs/>
                <w:sz w:val="20"/>
                <w:szCs w:val="20"/>
              </w:rPr>
              <w:t>50,824</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1899BC60" w14:textId="3FB36DEF" w:rsidR="003B49BD" w:rsidRPr="000D4EDC" w:rsidRDefault="0052095A" w:rsidP="003B49BD">
            <w:pPr>
              <w:jc w:val="center"/>
              <w:rPr>
                <w:rFonts w:ascii="Arial" w:hAnsi="Arial" w:cs="Arial"/>
                <w:bCs/>
                <w:sz w:val="20"/>
                <w:szCs w:val="20"/>
              </w:rPr>
            </w:pPr>
            <w:r w:rsidRPr="000D4EDC">
              <w:rPr>
                <w:rFonts w:ascii="Arial" w:hAnsi="Arial" w:cs="Arial"/>
                <w:bCs/>
                <w:sz w:val="20"/>
                <w:szCs w:val="20"/>
              </w:rPr>
              <w:t>1,077</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5CDC6605" w14:textId="58138D47" w:rsidR="003B49BD" w:rsidRPr="000D4EDC" w:rsidRDefault="0052095A" w:rsidP="003B49BD">
            <w:pPr>
              <w:jc w:val="center"/>
              <w:rPr>
                <w:rFonts w:ascii="Arial" w:hAnsi="Arial" w:cs="Arial"/>
                <w:bCs/>
                <w:sz w:val="20"/>
                <w:szCs w:val="20"/>
              </w:rPr>
            </w:pPr>
            <w:r w:rsidRPr="000D4EDC">
              <w:rPr>
                <w:rFonts w:ascii="Arial" w:hAnsi="Arial" w:cs="Arial"/>
                <w:bCs/>
                <w:sz w:val="20"/>
                <w:szCs w:val="20"/>
              </w:rPr>
              <w:t>3,965</w:t>
            </w:r>
          </w:p>
        </w:tc>
        <w:tc>
          <w:tcPr>
            <w:tcW w:w="1560" w:type="dxa"/>
            <w:tcBorders>
              <w:top w:val="single" w:sz="8" w:space="0" w:color="auto"/>
              <w:left w:val="single" w:sz="8" w:space="0" w:color="auto"/>
              <w:right w:val="single" w:sz="8" w:space="0" w:color="auto"/>
            </w:tcBorders>
            <w:shd w:val="clear" w:color="auto" w:fill="EAF1DD" w:themeFill="accent3" w:themeFillTint="33"/>
            <w:vAlign w:val="bottom"/>
          </w:tcPr>
          <w:p w14:paraId="0E42C209" w14:textId="4A139516" w:rsidR="003B49BD" w:rsidRPr="000D4EDC" w:rsidRDefault="0052095A" w:rsidP="003B49BD">
            <w:pPr>
              <w:jc w:val="center"/>
              <w:rPr>
                <w:rFonts w:ascii="Arial" w:hAnsi="Arial" w:cs="Arial"/>
                <w:bCs/>
                <w:sz w:val="20"/>
                <w:szCs w:val="20"/>
              </w:rPr>
            </w:pPr>
            <w:r w:rsidRPr="000D4EDC">
              <w:rPr>
                <w:rFonts w:ascii="Arial" w:hAnsi="Arial" w:cs="Arial"/>
                <w:bCs/>
                <w:sz w:val="20"/>
                <w:szCs w:val="20"/>
              </w:rPr>
              <w:t>5,042</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321A7C2E" w14:textId="64399D34" w:rsidR="003B49BD" w:rsidRPr="000D4EDC" w:rsidRDefault="0052095A" w:rsidP="003B49BD">
            <w:pPr>
              <w:jc w:val="center"/>
              <w:rPr>
                <w:rFonts w:ascii="Arial" w:hAnsi="Arial" w:cs="Arial"/>
                <w:bCs/>
                <w:sz w:val="20"/>
                <w:szCs w:val="20"/>
              </w:rPr>
            </w:pPr>
            <w:r w:rsidRPr="000D4EDC">
              <w:rPr>
                <w:rFonts w:ascii="Arial" w:hAnsi="Arial" w:cs="Arial"/>
                <w:bCs/>
                <w:sz w:val="20"/>
                <w:szCs w:val="20"/>
              </w:rPr>
              <w:t>384</w:t>
            </w:r>
          </w:p>
        </w:tc>
        <w:tc>
          <w:tcPr>
            <w:tcW w:w="992" w:type="dxa"/>
            <w:tcBorders>
              <w:top w:val="single" w:sz="8" w:space="0" w:color="auto"/>
              <w:left w:val="single" w:sz="8" w:space="0" w:color="auto"/>
              <w:right w:val="single" w:sz="8" w:space="0" w:color="auto"/>
            </w:tcBorders>
            <w:shd w:val="clear" w:color="auto" w:fill="EAF1DD" w:themeFill="accent3" w:themeFillTint="33"/>
            <w:vAlign w:val="bottom"/>
          </w:tcPr>
          <w:p w14:paraId="3C78ED7A" w14:textId="729C9A09" w:rsidR="003B49BD" w:rsidRPr="000D4EDC" w:rsidRDefault="00953EAA" w:rsidP="003B49BD">
            <w:pPr>
              <w:jc w:val="center"/>
              <w:rPr>
                <w:rFonts w:ascii="Arial" w:hAnsi="Arial" w:cs="Arial"/>
                <w:bCs/>
                <w:sz w:val="20"/>
                <w:szCs w:val="20"/>
              </w:rPr>
            </w:pPr>
            <w:r w:rsidRPr="000D4EDC">
              <w:rPr>
                <w:rFonts w:ascii="Arial" w:hAnsi="Arial" w:cs="Arial"/>
                <w:bCs/>
                <w:sz w:val="20"/>
                <w:szCs w:val="20"/>
              </w:rPr>
              <w:t>56,250</w:t>
            </w:r>
          </w:p>
        </w:tc>
      </w:tr>
      <w:tr w:rsidR="008D50CD" w:rsidRPr="00DD5591" w14:paraId="7C918647" w14:textId="77777777" w:rsidTr="00FD64E6">
        <w:trPr>
          <w:cantSplit/>
          <w:trHeight w:val="680"/>
        </w:trPr>
        <w:tc>
          <w:tcPr>
            <w:tcW w:w="2410" w:type="dxa"/>
            <w:tcBorders>
              <w:top w:val="single" w:sz="8" w:space="0" w:color="000000"/>
              <w:left w:val="single" w:sz="8" w:space="0" w:color="auto"/>
              <w:bottom w:val="nil"/>
              <w:right w:val="single" w:sz="8" w:space="0" w:color="auto"/>
            </w:tcBorders>
            <w:shd w:val="clear" w:color="auto" w:fill="EAF1DD" w:themeFill="accent3" w:themeFillTint="33"/>
            <w:vAlign w:val="bottom"/>
          </w:tcPr>
          <w:p w14:paraId="6D563838" w14:textId="21AEAFD0" w:rsidR="00136DC8" w:rsidRPr="000D4EDC" w:rsidRDefault="00136DC8" w:rsidP="000845C9">
            <w:pPr>
              <w:rPr>
                <w:rFonts w:ascii="Arial" w:hAnsi="Arial" w:cs="Arial"/>
                <w:sz w:val="20"/>
                <w:szCs w:val="20"/>
              </w:rPr>
            </w:pPr>
            <w:r w:rsidRPr="000D4EDC">
              <w:rPr>
                <w:rFonts w:ascii="Arial" w:hAnsi="Arial" w:cs="Arial"/>
                <w:sz w:val="20"/>
                <w:szCs w:val="20"/>
              </w:rPr>
              <w:t xml:space="preserve">Opening </w:t>
            </w:r>
            <w:r w:rsidR="000845C9">
              <w:rPr>
                <w:rFonts w:ascii="Arial" w:hAnsi="Arial" w:cs="Arial"/>
                <w:sz w:val="20"/>
                <w:szCs w:val="20"/>
              </w:rPr>
              <w:t>b</w:t>
            </w:r>
            <w:r w:rsidRPr="000D4EDC">
              <w:rPr>
                <w:rFonts w:ascii="Arial" w:hAnsi="Arial" w:cs="Arial"/>
                <w:sz w:val="20"/>
                <w:szCs w:val="20"/>
              </w:rPr>
              <w:t>al</w:t>
            </w:r>
            <w:r w:rsidR="009F363F">
              <w:rPr>
                <w:rFonts w:ascii="Arial" w:hAnsi="Arial" w:cs="Arial"/>
                <w:sz w:val="20"/>
                <w:szCs w:val="20"/>
              </w:rPr>
              <w:t xml:space="preserve">ance </w:t>
            </w:r>
            <w:r w:rsidR="000845C9">
              <w:rPr>
                <w:rFonts w:ascii="Arial" w:hAnsi="Arial" w:cs="Arial"/>
                <w:sz w:val="20"/>
                <w:szCs w:val="20"/>
              </w:rPr>
              <w:t>a</w:t>
            </w:r>
            <w:r w:rsidRPr="000D4EDC">
              <w:rPr>
                <w:rFonts w:ascii="Arial" w:hAnsi="Arial" w:cs="Arial"/>
                <w:sz w:val="20"/>
                <w:szCs w:val="20"/>
              </w:rPr>
              <w:t>djustment</w:t>
            </w:r>
          </w:p>
        </w:tc>
        <w:tc>
          <w:tcPr>
            <w:tcW w:w="993" w:type="dxa"/>
            <w:tcBorders>
              <w:top w:val="single" w:sz="8" w:space="0" w:color="auto"/>
              <w:left w:val="single" w:sz="8" w:space="0" w:color="auto"/>
              <w:right w:val="single" w:sz="8" w:space="0" w:color="auto"/>
            </w:tcBorders>
            <w:shd w:val="clear" w:color="auto" w:fill="EAF1DD" w:themeFill="accent3" w:themeFillTint="33"/>
            <w:vAlign w:val="bottom"/>
          </w:tcPr>
          <w:p w14:paraId="1FB7BD86" w14:textId="5B6E3D14"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417" w:type="dxa"/>
            <w:tcBorders>
              <w:top w:val="single" w:sz="8" w:space="0" w:color="auto"/>
              <w:left w:val="single" w:sz="8" w:space="0" w:color="auto"/>
              <w:right w:val="single" w:sz="8" w:space="0" w:color="auto"/>
            </w:tcBorders>
            <w:shd w:val="clear" w:color="auto" w:fill="EAF1DD" w:themeFill="accent3" w:themeFillTint="33"/>
            <w:vAlign w:val="bottom"/>
          </w:tcPr>
          <w:p w14:paraId="66EE76D9" w14:textId="741275AB"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6552535F" w14:textId="3CE9E152"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134" w:type="dxa"/>
            <w:tcBorders>
              <w:top w:val="single" w:sz="8" w:space="0" w:color="auto"/>
              <w:left w:val="single" w:sz="8" w:space="0" w:color="auto"/>
              <w:right w:val="single" w:sz="8" w:space="0" w:color="auto"/>
            </w:tcBorders>
            <w:shd w:val="clear" w:color="auto" w:fill="EAF1DD" w:themeFill="accent3" w:themeFillTint="33"/>
            <w:vAlign w:val="bottom"/>
          </w:tcPr>
          <w:p w14:paraId="22555CF9" w14:textId="3CD0D597" w:rsidR="00136DC8" w:rsidRPr="000D4EDC" w:rsidRDefault="00136DC8" w:rsidP="000845C9">
            <w:pPr>
              <w:jc w:val="center"/>
              <w:rPr>
                <w:rFonts w:ascii="Arial" w:hAnsi="Arial" w:cs="Arial"/>
                <w:bCs/>
                <w:sz w:val="20"/>
                <w:szCs w:val="20"/>
              </w:rPr>
            </w:pPr>
            <w:r w:rsidRPr="000D4EDC">
              <w:rPr>
                <w:rFonts w:ascii="Arial" w:hAnsi="Arial" w:cs="Arial"/>
                <w:bCs/>
                <w:sz w:val="20"/>
                <w:szCs w:val="20"/>
              </w:rPr>
              <w:t>17</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3FDC80CB" w14:textId="074F2B95"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992" w:type="dxa"/>
            <w:tcBorders>
              <w:top w:val="single" w:sz="8" w:space="0" w:color="auto"/>
              <w:left w:val="single" w:sz="8" w:space="0" w:color="auto"/>
              <w:right w:val="single" w:sz="8" w:space="0" w:color="auto"/>
            </w:tcBorders>
            <w:shd w:val="clear" w:color="auto" w:fill="EAF1DD" w:themeFill="accent3" w:themeFillTint="33"/>
            <w:vAlign w:val="bottom"/>
          </w:tcPr>
          <w:p w14:paraId="0945B867" w14:textId="3BEADB05"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52BFF3ED" w14:textId="45C0D620"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28FDA0E4" w14:textId="6B00C554"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251223D8" w14:textId="3B5DD610"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43F5E737" w14:textId="5268B716" w:rsidR="00136DC8" w:rsidRPr="000D4EDC" w:rsidRDefault="001B397A" w:rsidP="000845C9">
            <w:pPr>
              <w:jc w:val="center"/>
              <w:rPr>
                <w:rFonts w:ascii="Arial" w:hAnsi="Arial" w:cs="Arial"/>
                <w:bCs/>
                <w:sz w:val="20"/>
                <w:szCs w:val="20"/>
              </w:rPr>
            </w:pPr>
            <w:r>
              <w:rPr>
                <w:rFonts w:ascii="Arial" w:hAnsi="Arial" w:cs="Arial"/>
                <w:bCs/>
                <w:sz w:val="20"/>
                <w:szCs w:val="20"/>
              </w:rPr>
              <w:t>17</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4BB40956" w14:textId="3229FE0D"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top w:val="single" w:sz="8" w:space="0" w:color="auto"/>
              <w:left w:val="single" w:sz="8" w:space="0" w:color="auto"/>
              <w:right w:val="single" w:sz="8" w:space="0" w:color="auto"/>
            </w:tcBorders>
            <w:shd w:val="clear" w:color="auto" w:fill="EAF1DD" w:themeFill="accent3" w:themeFillTint="33"/>
            <w:vAlign w:val="bottom"/>
          </w:tcPr>
          <w:p w14:paraId="54D718B5" w14:textId="1194D978"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560" w:type="dxa"/>
            <w:tcBorders>
              <w:top w:val="single" w:sz="8" w:space="0" w:color="auto"/>
              <w:left w:val="single" w:sz="8" w:space="0" w:color="auto"/>
              <w:right w:val="single" w:sz="8" w:space="0" w:color="auto"/>
            </w:tcBorders>
            <w:shd w:val="clear" w:color="auto" w:fill="EAF1DD" w:themeFill="accent3" w:themeFillTint="33"/>
            <w:vAlign w:val="bottom"/>
          </w:tcPr>
          <w:p w14:paraId="5ADBCA3E" w14:textId="4F102B2A"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1701" w:type="dxa"/>
            <w:tcBorders>
              <w:top w:val="single" w:sz="8" w:space="0" w:color="auto"/>
              <w:left w:val="single" w:sz="8" w:space="0" w:color="auto"/>
              <w:right w:val="single" w:sz="8" w:space="0" w:color="auto"/>
            </w:tcBorders>
            <w:shd w:val="clear" w:color="auto" w:fill="EAF1DD" w:themeFill="accent3" w:themeFillTint="33"/>
            <w:vAlign w:val="bottom"/>
          </w:tcPr>
          <w:p w14:paraId="3CEA9B58" w14:textId="098888B3" w:rsidR="00136DC8" w:rsidRPr="000D4EDC" w:rsidRDefault="00F15D67" w:rsidP="000845C9">
            <w:pPr>
              <w:jc w:val="center"/>
              <w:rPr>
                <w:rFonts w:ascii="Arial" w:hAnsi="Arial" w:cs="Arial"/>
                <w:bCs/>
                <w:sz w:val="20"/>
                <w:szCs w:val="20"/>
              </w:rPr>
            </w:pPr>
            <w:r>
              <w:rPr>
                <w:rFonts w:ascii="Arial" w:hAnsi="Arial" w:cs="Arial"/>
                <w:bCs/>
                <w:sz w:val="20"/>
                <w:szCs w:val="20"/>
              </w:rPr>
              <w:t>-</w:t>
            </w:r>
          </w:p>
        </w:tc>
        <w:tc>
          <w:tcPr>
            <w:tcW w:w="992" w:type="dxa"/>
            <w:tcBorders>
              <w:top w:val="single" w:sz="8" w:space="0" w:color="auto"/>
              <w:left w:val="single" w:sz="8" w:space="0" w:color="auto"/>
              <w:right w:val="single" w:sz="8" w:space="0" w:color="auto"/>
            </w:tcBorders>
            <w:shd w:val="clear" w:color="auto" w:fill="EAF1DD" w:themeFill="accent3" w:themeFillTint="33"/>
            <w:vAlign w:val="bottom"/>
          </w:tcPr>
          <w:p w14:paraId="0F564B40" w14:textId="5637EDDC" w:rsidR="00136DC8" w:rsidRPr="000D4EDC" w:rsidRDefault="001B397A" w:rsidP="000845C9">
            <w:pPr>
              <w:jc w:val="center"/>
              <w:rPr>
                <w:rFonts w:ascii="Arial" w:hAnsi="Arial" w:cs="Arial"/>
                <w:bCs/>
                <w:sz w:val="20"/>
                <w:szCs w:val="20"/>
              </w:rPr>
            </w:pPr>
            <w:r>
              <w:rPr>
                <w:rFonts w:ascii="Arial" w:hAnsi="Arial" w:cs="Arial"/>
                <w:bCs/>
                <w:sz w:val="20"/>
                <w:szCs w:val="20"/>
              </w:rPr>
              <w:t>17</w:t>
            </w:r>
          </w:p>
        </w:tc>
      </w:tr>
      <w:tr w:rsidR="008D50CD" w:rsidRPr="00DD5591" w14:paraId="0C021854" w14:textId="2CFD11EF" w:rsidTr="006D1E08">
        <w:trPr>
          <w:cantSplit/>
          <w:trHeight w:val="454"/>
        </w:trPr>
        <w:tc>
          <w:tcPr>
            <w:tcW w:w="2410" w:type="dxa"/>
            <w:tcBorders>
              <w:top w:val="nil"/>
              <w:left w:val="single" w:sz="8" w:space="0" w:color="auto"/>
              <w:bottom w:val="nil"/>
              <w:right w:val="single" w:sz="8" w:space="0" w:color="auto"/>
            </w:tcBorders>
            <w:shd w:val="clear" w:color="auto" w:fill="EAF1DD" w:themeFill="accent3" w:themeFillTint="33"/>
            <w:vAlign w:val="bottom"/>
          </w:tcPr>
          <w:p w14:paraId="2ACCDD5E" w14:textId="77777777" w:rsidR="00507EB9" w:rsidRDefault="00507EB9" w:rsidP="000845C9">
            <w:pPr>
              <w:rPr>
                <w:rFonts w:ascii="Arial" w:hAnsi="Arial" w:cs="Arial"/>
                <w:sz w:val="20"/>
                <w:szCs w:val="20"/>
              </w:rPr>
            </w:pPr>
          </w:p>
          <w:p w14:paraId="48DC0941" w14:textId="03836C21" w:rsidR="00507EB9" w:rsidRPr="000D4EDC" w:rsidRDefault="003B49BD" w:rsidP="000845C9">
            <w:pPr>
              <w:rPr>
                <w:rFonts w:ascii="Arial" w:hAnsi="Arial" w:cs="Arial"/>
                <w:sz w:val="20"/>
                <w:szCs w:val="20"/>
              </w:rPr>
            </w:pPr>
            <w:r w:rsidRPr="000D4EDC">
              <w:rPr>
                <w:rFonts w:ascii="Arial" w:hAnsi="Arial" w:cs="Arial"/>
                <w:sz w:val="20"/>
                <w:szCs w:val="20"/>
              </w:rPr>
              <w:t>Purchases</w:t>
            </w:r>
          </w:p>
        </w:tc>
        <w:tc>
          <w:tcPr>
            <w:tcW w:w="993" w:type="dxa"/>
            <w:tcBorders>
              <w:left w:val="nil"/>
              <w:bottom w:val="nil"/>
              <w:right w:val="single" w:sz="8" w:space="0" w:color="auto"/>
            </w:tcBorders>
            <w:shd w:val="clear" w:color="auto" w:fill="EAF1DD" w:themeFill="accent3" w:themeFillTint="33"/>
            <w:vAlign w:val="bottom"/>
          </w:tcPr>
          <w:p w14:paraId="3C5BE8BE" w14:textId="4D4F4852"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417" w:type="dxa"/>
            <w:tcBorders>
              <w:left w:val="nil"/>
              <w:bottom w:val="nil"/>
              <w:right w:val="nil"/>
            </w:tcBorders>
            <w:shd w:val="clear" w:color="auto" w:fill="EAF1DD" w:themeFill="accent3" w:themeFillTint="33"/>
            <w:vAlign w:val="bottom"/>
          </w:tcPr>
          <w:p w14:paraId="2CFC8A9B" w14:textId="033919AF"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left w:val="single" w:sz="8" w:space="0" w:color="auto"/>
              <w:bottom w:val="nil"/>
              <w:right w:val="single" w:sz="4" w:space="0" w:color="auto"/>
            </w:tcBorders>
            <w:shd w:val="clear" w:color="auto" w:fill="EAF1DD" w:themeFill="accent3" w:themeFillTint="33"/>
            <w:vAlign w:val="bottom"/>
          </w:tcPr>
          <w:p w14:paraId="6F5E1E05" w14:textId="15CC6D27" w:rsidR="003B49BD" w:rsidRPr="000D4EDC" w:rsidRDefault="00FC53BC" w:rsidP="000845C9">
            <w:pPr>
              <w:jc w:val="center"/>
              <w:rPr>
                <w:rFonts w:ascii="Arial" w:hAnsi="Arial" w:cs="Arial"/>
                <w:bCs/>
                <w:sz w:val="20"/>
                <w:szCs w:val="20"/>
              </w:rPr>
            </w:pPr>
            <w:r w:rsidRPr="000D4EDC">
              <w:rPr>
                <w:rFonts w:ascii="Arial" w:hAnsi="Arial" w:cs="Arial"/>
                <w:bCs/>
                <w:sz w:val="20"/>
                <w:szCs w:val="20"/>
              </w:rPr>
              <w:t>75</w:t>
            </w:r>
          </w:p>
        </w:tc>
        <w:tc>
          <w:tcPr>
            <w:tcW w:w="1134" w:type="dxa"/>
            <w:tcBorders>
              <w:left w:val="single" w:sz="4" w:space="0" w:color="auto"/>
              <w:bottom w:val="nil"/>
              <w:right w:val="single" w:sz="4" w:space="0" w:color="auto"/>
            </w:tcBorders>
            <w:shd w:val="clear" w:color="auto" w:fill="EAF1DD" w:themeFill="accent3" w:themeFillTint="33"/>
            <w:vAlign w:val="bottom"/>
          </w:tcPr>
          <w:p w14:paraId="08B28B20" w14:textId="384C9A16" w:rsidR="003B49BD" w:rsidRPr="000D4EDC" w:rsidRDefault="00FC53BC" w:rsidP="000845C9">
            <w:pPr>
              <w:jc w:val="center"/>
              <w:rPr>
                <w:rFonts w:ascii="Arial" w:hAnsi="Arial" w:cs="Arial"/>
                <w:bCs/>
                <w:sz w:val="20"/>
                <w:szCs w:val="20"/>
              </w:rPr>
            </w:pPr>
            <w:r w:rsidRPr="000D4EDC">
              <w:rPr>
                <w:rFonts w:ascii="Arial" w:hAnsi="Arial" w:cs="Arial"/>
                <w:bCs/>
                <w:sz w:val="20"/>
                <w:szCs w:val="20"/>
              </w:rPr>
              <w:t>539</w:t>
            </w:r>
          </w:p>
        </w:tc>
        <w:tc>
          <w:tcPr>
            <w:tcW w:w="1701" w:type="dxa"/>
            <w:tcBorders>
              <w:left w:val="single" w:sz="4" w:space="0" w:color="auto"/>
              <w:bottom w:val="nil"/>
              <w:right w:val="nil"/>
            </w:tcBorders>
            <w:shd w:val="clear" w:color="auto" w:fill="EAF1DD" w:themeFill="accent3" w:themeFillTint="33"/>
            <w:vAlign w:val="bottom"/>
          </w:tcPr>
          <w:p w14:paraId="448FEDEB" w14:textId="5557CC52" w:rsidR="003B49BD" w:rsidRPr="000D4EDC" w:rsidRDefault="00FC53BC" w:rsidP="000845C9">
            <w:pPr>
              <w:jc w:val="center"/>
              <w:rPr>
                <w:rFonts w:ascii="Arial" w:hAnsi="Arial" w:cs="Arial"/>
                <w:bCs/>
                <w:sz w:val="20"/>
                <w:szCs w:val="20"/>
              </w:rPr>
            </w:pPr>
            <w:r w:rsidRPr="000D4EDC">
              <w:rPr>
                <w:rFonts w:ascii="Arial" w:hAnsi="Arial" w:cs="Arial"/>
                <w:bCs/>
                <w:sz w:val="20"/>
                <w:szCs w:val="20"/>
              </w:rPr>
              <w:t>1,442</w:t>
            </w:r>
          </w:p>
        </w:tc>
        <w:tc>
          <w:tcPr>
            <w:tcW w:w="992" w:type="dxa"/>
            <w:tcBorders>
              <w:left w:val="single" w:sz="8" w:space="0" w:color="auto"/>
              <w:bottom w:val="nil"/>
              <w:right w:val="single" w:sz="8" w:space="0" w:color="auto"/>
            </w:tcBorders>
            <w:shd w:val="clear" w:color="auto" w:fill="EAF1DD" w:themeFill="accent3" w:themeFillTint="33"/>
            <w:vAlign w:val="bottom"/>
          </w:tcPr>
          <w:p w14:paraId="60A7190D" w14:textId="3BE11A92"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left w:val="nil"/>
              <w:bottom w:val="nil"/>
              <w:right w:val="nil"/>
            </w:tcBorders>
            <w:shd w:val="clear" w:color="auto" w:fill="EAF1DD" w:themeFill="accent3" w:themeFillTint="33"/>
            <w:vAlign w:val="bottom"/>
          </w:tcPr>
          <w:p w14:paraId="0578E8E9" w14:textId="702B55A8" w:rsidR="003B49BD" w:rsidRPr="000D4EDC" w:rsidRDefault="00FC53BC" w:rsidP="000845C9">
            <w:pPr>
              <w:jc w:val="center"/>
              <w:rPr>
                <w:rFonts w:ascii="Arial" w:hAnsi="Arial" w:cs="Arial"/>
                <w:bCs/>
                <w:sz w:val="20"/>
                <w:szCs w:val="20"/>
              </w:rPr>
            </w:pPr>
            <w:r w:rsidRPr="000D4EDC">
              <w:rPr>
                <w:rFonts w:ascii="Arial" w:hAnsi="Arial" w:cs="Arial"/>
                <w:bCs/>
                <w:sz w:val="20"/>
                <w:szCs w:val="20"/>
              </w:rPr>
              <w:t>1,337</w:t>
            </w:r>
          </w:p>
        </w:tc>
        <w:tc>
          <w:tcPr>
            <w:tcW w:w="1276" w:type="dxa"/>
            <w:tcBorders>
              <w:left w:val="single" w:sz="8" w:space="0" w:color="auto"/>
              <w:bottom w:val="nil"/>
              <w:right w:val="single" w:sz="8" w:space="0" w:color="auto"/>
            </w:tcBorders>
            <w:shd w:val="clear" w:color="auto" w:fill="EAF1DD" w:themeFill="accent3" w:themeFillTint="33"/>
            <w:vAlign w:val="bottom"/>
          </w:tcPr>
          <w:p w14:paraId="0A8BD650" w14:textId="179F1297"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701" w:type="dxa"/>
            <w:tcBorders>
              <w:left w:val="nil"/>
              <w:bottom w:val="nil"/>
              <w:right w:val="single" w:sz="8" w:space="0" w:color="000000"/>
            </w:tcBorders>
            <w:shd w:val="clear" w:color="auto" w:fill="EAF1DD" w:themeFill="accent3" w:themeFillTint="33"/>
            <w:vAlign w:val="bottom"/>
          </w:tcPr>
          <w:p w14:paraId="31A98039" w14:textId="19E9FE1B"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left w:val="single" w:sz="8" w:space="0" w:color="000000"/>
              <w:bottom w:val="nil"/>
              <w:right w:val="nil"/>
            </w:tcBorders>
            <w:shd w:val="clear" w:color="auto" w:fill="EAF1DD" w:themeFill="accent3" w:themeFillTint="33"/>
            <w:vAlign w:val="bottom"/>
          </w:tcPr>
          <w:p w14:paraId="4EA8D748" w14:textId="74129BB2" w:rsidR="003B49BD" w:rsidRPr="000D4EDC" w:rsidRDefault="00FC53BC" w:rsidP="000845C9">
            <w:pPr>
              <w:jc w:val="center"/>
              <w:rPr>
                <w:rFonts w:ascii="Arial" w:hAnsi="Arial" w:cs="Arial"/>
                <w:bCs/>
                <w:sz w:val="20"/>
                <w:szCs w:val="20"/>
              </w:rPr>
            </w:pPr>
            <w:r w:rsidRPr="000D4EDC">
              <w:rPr>
                <w:rFonts w:ascii="Arial" w:hAnsi="Arial" w:cs="Arial"/>
                <w:bCs/>
                <w:sz w:val="20"/>
                <w:szCs w:val="20"/>
              </w:rPr>
              <w:t>3,3</w:t>
            </w:r>
            <w:r w:rsidR="00332164">
              <w:rPr>
                <w:rFonts w:ascii="Arial" w:hAnsi="Arial" w:cs="Arial"/>
                <w:bCs/>
                <w:sz w:val="20"/>
                <w:szCs w:val="20"/>
              </w:rPr>
              <w:t>93</w:t>
            </w:r>
          </w:p>
        </w:tc>
        <w:tc>
          <w:tcPr>
            <w:tcW w:w="1559" w:type="dxa"/>
            <w:tcBorders>
              <w:left w:val="single" w:sz="8" w:space="0" w:color="auto"/>
              <w:bottom w:val="nil"/>
              <w:right w:val="single" w:sz="4" w:space="0" w:color="auto"/>
            </w:tcBorders>
            <w:shd w:val="clear" w:color="auto" w:fill="EAF1DD" w:themeFill="accent3" w:themeFillTint="33"/>
            <w:vAlign w:val="bottom"/>
          </w:tcPr>
          <w:p w14:paraId="3E57D76C" w14:textId="1003FE7C"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left w:val="single" w:sz="4" w:space="0" w:color="auto"/>
              <w:bottom w:val="nil"/>
              <w:right w:val="single" w:sz="4" w:space="0" w:color="auto"/>
            </w:tcBorders>
            <w:shd w:val="clear" w:color="auto" w:fill="EAF1DD" w:themeFill="accent3" w:themeFillTint="33"/>
            <w:vAlign w:val="bottom"/>
          </w:tcPr>
          <w:p w14:paraId="4AF02426" w14:textId="0D8C0618" w:rsidR="003B49BD" w:rsidRPr="000D4EDC" w:rsidRDefault="00974586" w:rsidP="000845C9">
            <w:pPr>
              <w:jc w:val="center"/>
              <w:rPr>
                <w:rFonts w:ascii="Arial" w:hAnsi="Arial" w:cs="Arial"/>
                <w:bCs/>
                <w:sz w:val="20"/>
                <w:szCs w:val="20"/>
              </w:rPr>
            </w:pPr>
            <w:r w:rsidRPr="000D4EDC">
              <w:rPr>
                <w:rFonts w:ascii="Arial" w:hAnsi="Arial" w:cs="Arial"/>
                <w:bCs/>
                <w:sz w:val="20"/>
                <w:szCs w:val="20"/>
              </w:rPr>
              <w:t>809</w:t>
            </w:r>
          </w:p>
        </w:tc>
        <w:tc>
          <w:tcPr>
            <w:tcW w:w="1560" w:type="dxa"/>
            <w:tcBorders>
              <w:left w:val="single" w:sz="4" w:space="0" w:color="auto"/>
              <w:bottom w:val="nil"/>
              <w:right w:val="single" w:sz="8" w:space="0" w:color="auto"/>
            </w:tcBorders>
            <w:shd w:val="clear" w:color="auto" w:fill="EAF1DD" w:themeFill="accent3" w:themeFillTint="33"/>
            <w:vAlign w:val="bottom"/>
          </w:tcPr>
          <w:p w14:paraId="79A79E71" w14:textId="643B4E5B" w:rsidR="003B49BD" w:rsidRPr="000D4EDC" w:rsidRDefault="0021362F" w:rsidP="000845C9">
            <w:pPr>
              <w:jc w:val="center"/>
              <w:rPr>
                <w:rFonts w:ascii="Arial" w:hAnsi="Arial" w:cs="Arial"/>
                <w:bCs/>
                <w:sz w:val="20"/>
                <w:szCs w:val="20"/>
              </w:rPr>
            </w:pPr>
            <w:r w:rsidRPr="000D4EDC">
              <w:rPr>
                <w:rFonts w:ascii="Arial" w:hAnsi="Arial" w:cs="Arial"/>
                <w:bCs/>
                <w:sz w:val="20"/>
                <w:szCs w:val="20"/>
              </w:rPr>
              <w:t>809</w:t>
            </w:r>
          </w:p>
        </w:tc>
        <w:tc>
          <w:tcPr>
            <w:tcW w:w="1701" w:type="dxa"/>
            <w:tcBorders>
              <w:left w:val="single" w:sz="8" w:space="0" w:color="000000"/>
              <w:bottom w:val="nil"/>
              <w:right w:val="single" w:sz="8" w:space="0" w:color="auto"/>
            </w:tcBorders>
            <w:shd w:val="clear" w:color="auto" w:fill="EAF1DD" w:themeFill="accent3" w:themeFillTint="33"/>
            <w:vAlign w:val="bottom"/>
          </w:tcPr>
          <w:p w14:paraId="2E7650AF" w14:textId="46AB9358" w:rsidR="003B49BD" w:rsidRPr="000D4EDC" w:rsidRDefault="0021362F" w:rsidP="000845C9">
            <w:pPr>
              <w:jc w:val="center"/>
              <w:rPr>
                <w:rFonts w:ascii="Arial" w:hAnsi="Arial" w:cs="Arial"/>
                <w:bCs/>
                <w:sz w:val="20"/>
                <w:szCs w:val="20"/>
              </w:rPr>
            </w:pPr>
            <w:r w:rsidRPr="000D4EDC">
              <w:rPr>
                <w:rFonts w:ascii="Arial" w:hAnsi="Arial" w:cs="Arial"/>
                <w:bCs/>
                <w:sz w:val="20"/>
                <w:szCs w:val="20"/>
              </w:rPr>
              <w:t>1,037</w:t>
            </w:r>
          </w:p>
        </w:tc>
        <w:tc>
          <w:tcPr>
            <w:tcW w:w="992" w:type="dxa"/>
            <w:tcBorders>
              <w:left w:val="single" w:sz="8" w:space="0" w:color="000000"/>
              <w:bottom w:val="nil"/>
              <w:right w:val="single" w:sz="8" w:space="0" w:color="auto"/>
            </w:tcBorders>
            <w:shd w:val="clear" w:color="auto" w:fill="EAF1DD" w:themeFill="accent3" w:themeFillTint="33"/>
            <w:vAlign w:val="bottom"/>
          </w:tcPr>
          <w:p w14:paraId="03A5B5E0" w14:textId="03CFD978" w:rsidR="003B49BD" w:rsidRPr="000D4EDC" w:rsidRDefault="00D87E8E" w:rsidP="000845C9">
            <w:pPr>
              <w:jc w:val="center"/>
              <w:rPr>
                <w:rFonts w:ascii="Arial" w:hAnsi="Arial" w:cs="Arial"/>
                <w:bCs/>
                <w:sz w:val="20"/>
                <w:szCs w:val="20"/>
              </w:rPr>
            </w:pPr>
            <w:r w:rsidRPr="000D4EDC">
              <w:rPr>
                <w:rFonts w:ascii="Arial" w:hAnsi="Arial" w:cs="Arial"/>
                <w:bCs/>
                <w:sz w:val="20"/>
                <w:szCs w:val="20"/>
              </w:rPr>
              <w:t>5,23</w:t>
            </w:r>
            <w:r w:rsidR="00C266A8">
              <w:rPr>
                <w:rFonts w:ascii="Arial" w:hAnsi="Arial" w:cs="Arial"/>
                <w:bCs/>
                <w:sz w:val="20"/>
                <w:szCs w:val="20"/>
              </w:rPr>
              <w:t>9</w:t>
            </w:r>
          </w:p>
        </w:tc>
      </w:tr>
      <w:tr w:rsidR="008D50CD" w:rsidRPr="00DD5591" w14:paraId="702DBA35" w14:textId="77777777" w:rsidTr="00FD64E6">
        <w:trPr>
          <w:cantSplit/>
          <w:trHeight w:val="684"/>
        </w:trPr>
        <w:tc>
          <w:tcPr>
            <w:tcW w:w="2410" w:type="dxa"/>
            <w:tcBorders>
              <w:top w:val="nil"/>
              <w:left w:val="single" w:sz="8" w:space="0" w:color="auto"/>
              <w:bottom w:val="nil"/>
              <w:right w:val="single" w:sz="8" w:space="0" w:color="auto"/>
            </w:tcBorders>
            <w:shd w:val="clear" w:color="auto" w:fill="EAF1DD" w:themeFill="accent3" w:themeFillTint="33"/>
            <w:vAlign w:val="bottom"/>
          </w:tcPr>
          <w:p w14:paraId="619F65A8" w14:textId="4D9892C7" w:rsidR="001D7792" w:rsidRPr="000D4EDC" w:rsidRDefault="001D7792" w:rsidP="000845C9">
            <w:pPr>
              <w:rPr>
                <w:rFonts w:ascii="Arial" w:hAnsi="Arial" w:cs="Arial"/>
                <w:sz w:val="20"/>
                <w:szCs w:val="20"/>
              </w:rPr>
            </w:pPr>
            <w:r w:rsidRPr="000D4EDC">
              <w:rPr>
                <w:rFonts w:ascii="Arial" w:hAnsi="Arial" w:cs="Arial"/>
                <w:sz w:val="20"/>
                <w:szCs w:val="20"/>
              </w:rPr>
              <w:t xml:space="preserve">Brought into </w:t>
            </w:r>
            <w:r w:rsidR="000845C9">
              <w:rPr>
                <w:rFonts w:ascii="Arial" w:hAnsi="Arial" w:cs="Arial"/>
                <w:sz w:val="20"/>
                <w:szCs w:val="20"/>
              </w:rPr>
              <w:t>o</w:t>
            </w:r>
            <w:r w:rsidRPr="000D4EDC">
              <w:rPr>
                <w:rFonts w:ascii="Arial" w:hAnsi="Arial" w:cs="Arial"/>
                <w:sz w:val="20"/>
                <w:szCs w:val="20"/>
              </w:rPr>
              <w:t xml:space="preserve">perational </w:t>
            </w:r>
            <w:r w:rsidR="000845C9">
              <w:rPr>
                <w:rFonts w:ascii="Arial" w:hAnsi="Arial" w:cs="Arial"/>
                <w:sz w:val="20"/>
                <w:szCs w:val="20"/>
              </w:rPr>
              <w:t>u</w:t>
            </w:r>
            <w:r w:rsidRPr="000D4EDC">
              <w:rPr>
                <w:rFonts w:ascii="Arial" w:hAnsi="Arial" w:cs="Arial"/>
                <w:sz w:val="20"/>
                <w:szCs w:val="20"/>
              </w:rPr>
              <w:t>se</w:t>
            </w:r>
          </w:p>
        </w:tc>
        <w:tc>
          <w:tcPr>
            <w:tcW w:w="993" w:type="dxa"/>
            <w:tcBorders>
              <w:left w:val="nil"/>
              <w:bottom w:val="nil"/>
              <w:right w:val="single" w:sz="8" w:space="0" w:color="auto"/>
            </w:tcBorders>
            <w:shd w:val="clear" w:color="auto" w:fill="EAF1DD" w:themeFill="accent3" w:themeFillTint="33"/>
            <w:vAlign w:val="bottom"/>
          </w:tcPr>
          <w:p w14:paraId="3B0BBE2A" w14:textId="75965477" w:rsidR="001D7792"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417" w:type="dxa"/>
            <w:tcBorders>
              <w:left w:val="nil"/>
              <w:bottom w:val="nil"/>
              <w:right w:val="nil"/>
            </w:tcBorders>
            <w:shd w:val="clear" w:color="auto" w:fill="EAF1DD" w:themeFill="accent3" w:themeFillTint="33"/>
            <w:vAlign w:val="bottom"/>
          </w:tcPr>
          <w:p w14:paraId="4C8B2CD2" w14:textId="409B0C17"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left w:val="single" w:sz="8" w:space="0" w:color="auto"/>
              <w:bottom w:val="nil"/>
              <w:right w:val="single" w:sz="4" w:space="0" w:color="auto"/>
            </w:tcBorders>
            <w:shd w:val="clear" w:color="auto" w:fill="EAF1DD" w:themeFill="accent3" w:themeFillTint="33"/>
            <w:vAlign w:val="bottom"/>
          </w:tcPr>
          <w:p w14:paraId="12434CC8" w14:textId="7375EE30"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134" w:type="dxa"/>
            <w:tcBorders>
              <w:left w:val="single" w:sz="4" w:space="0" w:color="auto"/>
              <w:bottom w:val="nil"/>
              <w:right w:val="single" w:sz="4" w:space="0" w:color="auto"/>
            </w:tcBorders>
            <w:shd w:val="clear" w:color="auto" w:fill="EAF1DD" w:themeFill="accent3" w:themeFillTint="33"/>
            <w:vAlign w:val="bottom"/>
          </w:tcPr>
          <w:p w14:paraId="3AE55BFD" w14:textId="1CB564B8"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701" w:type="dxa"/>
            <w:tcBorders>
              <w:left w:val="single" w:sz="4" w:space="0" w:color="auto"/>
              <w:bottom w:val="nil"/>
              <w:right w:val="nil"/>
            </w:tcBorders>
            <w:shd w:val="clear" w:color="auto" w:fill="EAF1DD" w:themeFill="accent3" w:themeFillTint="33"/>
            <w:vAlign w:val="bottom"/>
          </w:tcPr>
          <w:p w14:paraId="0C06CFC1" w14:textId="0347A09D"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992" w:type="dxa"/>
            <w:tcBorders>
              <w:left w:val="single" w:sz="8" w:space="0" w:color="auto"/>
              <w:bottom w:val="nil"/>
              <w:right w:val="single" w:sz="8" w:space="0" w:color="auto"/>
            </w:tcBorders>
            <w:shd w:val="clear" w:color="auto" w:fill="EAF1DD" w:themeFill="accent3" w:themeFillTint="33"/>
            <w:vAlign w:val="bottom"/>
          </w:tcPr>
          <w:p w14:paraId="7C5CE697" w14:textId="45C51F04"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left w:val="nil"/>
              <w:bottom w:val="nil"/>
              <w:right w:val="nil"/>
            </w:tcBorders>
            <w:shd w:val="clear" w:color="auto" w:fill="EAF1DD" w:themeFill="accent3" w:themeFillTint="33"/>
            <w:vAlign w:val="bottom"/>
          </w:tcPr>
          <w:p w14:paraId="13073A00" w14:textId="11E3639E"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276" w:type="dxa"/>
            <w:tcBorders>
              <w:left w:val="single" w:sz="8" w:space="0" w:color="auto"/>
              <w:bottom w:val="nil"/>
              <w:right w:val="single" w:sz="8" w:space="0" w:color="auto"/>
            </w:tcBorders>
            <w:shd w:val="clear" w:color="auto" w:fill="EAF1DD" w:themeFill="accent3" w:themeFillTint="33"/>
            <w:vAlign w:val="bottom"/>
          </w:tcPr>
          <w:p w14:paraId="1748D151" w14:textId="4C98F40F"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701" w:type="dxa"/>
            <w:tcBorders>
              <w:left w:val="nil"/>
              <w:bottom w:val="nil"/>
              <w:right w:val="single" w:sz="8" w:space="0" w:color="000000"/>
            </w:tcBorders>
            <w:shd w:val="clear" w:color="auto" w:fill="EAF1DD" w:themeFill="accent3" w:themeFillTint="33"/>
            <w:vAlign w:val="bottom"/>
          </w:tcPr>
          <w:p w14:paraId="5F92D68F" w14:textId="40C60090"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left w:val="single" w:sz="8" w:space="0" w:color="000000"/>
              <w:bottom w:val="nil"/>
              <w:right w:val="nil"/>
            </w:tcBorders>
            <w:shd w:val="clear" w:color="auto" w:fill="EAF1DD" w:themeFill="accent3" w:themeFillTint="33"/>
            <w:vAlign w:val="bottom"/>
          </w:tcPr>
          <w:p w14:paraId="1F3E0664" w14:textId="77777777" w:rsidR="001D7792" w:rsidRPr="000D4EDC" w:rsidRDefault="001D7792" w:rsidP="000845C9">
            <w:pPr>
              <w:jc w:val="center"/>
              <w:rPr>
                <w:rFonts w:ascii="Arial" w:hAnsi="Arial" w:cs="Arial"/>
                <w:bCs/>
                <w:sz w:val="20"/>
                <w:szCs w:val="20"/>
              </w:rPr>
            </w:pPr>
          </w:p>
        </w:tc>
        <w:tc>
          <w:tcPr>
            <w:tcW w:w="1559" w:type="dxa"/>
            <w:tcBorders>
              <w:left w:val="single" w:sz="8" w:space="0" w:color="auto"/>
              <w:bottom w:val="nil"/>
              <w:right w:val="single" w:sz="4" w:space="0" w:color="auto"/>
            </w:tcBorders>
            <w:shd w:val="clear" w:color="auto" w:fill="EAF1DD" w:themeFill="accent3" w:themeFillTint="33"/>
            <w:vAlign w:val="bottom"/>
          </w:tcPr>
          <w:p w14:paraId="2987E706" w14:textId="044692A6" w:rsidR="001D7792"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left w:val="single" w:sz="4" w:space="0" w:color="auto"/>
              <w:bottom w:val="nil"/>
              <w:right w:val="single" w:sz="4" w:space="0" w:color="auto"/>
            </w:tcBorders>
            <w:shd w:val="clear" w:color="auto" w:fill="EAF1DD" w:themeFill="accent3" w:themeFillTint="33"/>
            <w:vAlign w:val="bottom"/>
          </w:tcPr>
          <w:p w14:paraId="5DB68999" w14:textId="45A054D5" w:rsidR="001D7792" w:rsidRPr="000D4EDC" w:rsidRDefault="00974586" w:rsidP="000845C9">
            <w:pPr>
              <w:jc w:val="center"/>
              <w:rPr>
                <w:rFonts w:ascii="Arial" w:hAnsi="Arial" w:cs="Arial"/>
                <w:bCs/>
                <w:sz w:val="20"/>
                <w:szCs w:val="20"/>
              </w:rPr>
            </w:pPr>
            <w:r w:rsidRPr="000D4EDC">
              <w:rPr>
                <w:rFonts w:ascii="Arial" w:hAnsi="Arial" w:cs="Arial"/>
                <w:bCs/>
                <w:sz w:val="20"/>
                <w:szCs w:val="20"/>
              </w:rPr>
              <w:t>117</w:t>
            </w:r>
          </w:p>
        </w:tc>
        <w:tc>
          <w:tcPr>
            <w:tcW w:w="1560" w:type="dxa"/>
            <w:tcBorders>
              <w:left w:val="single" w:sz="4" w:space="0" w:color="auto"/>
              <w:bottom w:val="nil"/>
              <w:right w:val="single" w:sz="8" w:space="0" w:color="auto"/>
            </w:tcBorders>
            <w:shd w:val="clear" w:color="auto" w:fill="EAF1DD" w:themeFill="accent3" w:themeFillTint="33"/>
            <w:vAlign w:val="bottom"/>
          </w:tcPr>
          <w:p w14:paraId="3EC9AA2B" w14:textId="6E9609C6" w:rsidR="001D7792" w:rsidRPr="000D4EDC" w:rsidRDefault="0021362F" w:rsidP="000845C9">
            <w:pPr>
              <w:jc w:val="center"/>
              <w:rPr>
                <w:rFonts w:ascii="Arial" w:hAnsi="Arial" w:cs="Arial"/>
                <w:bCs/>
                <w:sz w:val="20"/>
                <w:szCs w:val="20"/>
              </w:rPr>
            </w:pPr>
            <w:r w:rsidRPr="000D4EDC">
              <w:rPr>
                <w:rFonts w:ascii="Arial" w:hAnsi="Arial" w:cs="Arial"/>
                <w:bCs/>
                <w:sz w:val="20"/>
                <w:szCs w:val="20"/>
              </w:rPr>
              <w:t>117</w:t>
            </w:r>
          </w:p>
        </w:tc>
        <w:tc>
          <w:tcPr>
            <w:tcW w:w="1701" w:type="dxa"/>
            <w:tcBorders>
              <w:left w:val="single" w:sz="8" w:space="0" w:color="000000"/>
              <w:bottom w:val="nil"/>
              <w:right w:val="single" w:sz="8" w:space="0" w:color="auto"/>
            </w:tcBorders>
            <w:shd w:val="clear" w:color="auto" w:fill="EAF1DD" w:themeFill="accent3" w:themeFillTint="33"/>
            <w:vAlign w:val="bottom"/>
          </w:tcPr>
          <w:p w14:paraId="59920990" w14:textId="79C7E2AA" w:rsidR="001D7792" w:rsidRPr="000D4EDC" w:rsidRDefault="0021362F" w:rsidP="000845C9">
            <w:pPr>
              <w:jc w:val="center"/>
              <w:rPr>
                <w:rFonts w:ascii="Arial" w:hAnsi="Arial" w:cs="Arial"/>
                <w:bCs/>
                <w:sz w:val="20"/>
                <w:szCs w:val="20"/>
              </w:rPr>
            </w:pPr>
            <w:r w:rsidRPr="000D4EDC">
              <w:rPr>
                <w:rFonts w:ascii="Arial" w:hAnsi="Arial" w:cs="Arial"/>
                <w:bCs/>
                <w:sz w:val="20"/>
                <w:szCs w:val="20"/>
              </w:rPr>
              <w:t>(117)</w:t>
            </w:r>
          </w:p>
        </w:tc>
        <w:tc>
          <w:tcPr>
            <w:tcW w:w="992" w:type="dxa"/>
            <w:tcBorders>
              <w:left w:val="single" w:sz="8" w:space="0" w:color="000000"/>
              <w:bottom w:val="nil"/>
              <w:right w:val="single" w:sz="8" w:space="0" w:color="auto"/>
            </w:tcBorders>
            <w:shd w:val="clear" w:color="auto" w:fill="EAF1DD" w:themeFill="accent3" w:themeFillTint="33"/>
            <w:vAlign w:val="bottom"/>
          </w:tcPr>
          <w:p w14:paraId="5285C043" w14:textId="044F813B" w:rsidR="001D7792" w:rsidRPr="000D4EDC" w:rsidRDefault="0021362F" w:rsidP="000845C9">
            <w:pPr>
              <w:jc w:val="center"/>
              <w:rPr>
                <w:rFonts w:ascii="Arial" w:hAnsi="Arial" w:cs="Arial"/>
                <w:bCs/>
                <w:sz w:val="20"/>
                <w:szCs w:val="20"/>
              </w:rPr>
            </w:pPr>
            <w:r w:rsidRPr="000D4EDC">
              <w:rPr>
                <w:rFonts w:ascii="Arial" w:hAnsi="Arial" w:cs="Arial"/>
                <w:bCs/>
                <w:sz w:val="20"/>
                <w:szCs w:val="20"/>
              </w:rPr>
              <w:t>0</w:t>
            </w:r>
          </w:p>
        </w:tc>
      </w:tr>
      <w:tr w:rsidR="008D50CD" w:rsidRPr="00DD5591" w14:paraId="65D61F9F" w14:textId="6293F679" w:rsidTr="00D550FB">
        <w:trPr>
          <w:cantSplit/>
          <w:trHeight w:val="454"/>
        </w:trPr>
        <w:tc>
          <w:tcPr>
            <w:tcW w:w="2410" w:type="dxa"/>
            <w:tcBorders>
              <w:top w:val="nil"/>
              <w:left w:val="single" w:sz="8" w:space="0" w:color="auto"/>
              <w:bottom w:val="nil"/>
              <w:right w:val="single" w:sz="8" w:space="0" w:color="auto"/>
            </w:tcBorders>
            <w:shd w:val="clear" w:color="auto" w:fill="EAF1DD" w:themeFill="accent3" w:themeFillTint="33"/>
            <w:vAlign w:val="bottom"/>
          </w:tcPr>
          <w:p w14:paraId="476BFE52" w14:textId="77777777" w:rsidR="003B49BD" w:rsidRPr="000D4EDC" w:rsidRDefault="003B49BD" w:rsidP="000845C9">
            <w:pPr>
              <w:rPr>
                <w:rFonts w:ascii="Arial" w:hAnsi="Arial" w:cs="Arial"/>
                <w:sz w:val="20"/>
                <w:szCs w:val="20"/>
              </w:rPr>
            </w:pPr>
            <w:r w:rsidRPr="000D4EDC">
              <w:rPr>
                <w:rFonts w:ascii="Arial" w:hAnsi="Arial" w:cs="Arial"/>
                <w:sz w:val="20"/>
                <w:szCs w:val="20"/>
              </w:rPr>
              <w:t>Decommission provision</w:t>
            </w:r>
          </w:p>
        </w:tc>
        <w:tc>
          <w:tcPr>
            <w:tcW w:w="993" w:type="dxa"/>
            <w:tcBorders>
              <w:top w:val="nil"/>
              <w:left w:val="nil"/>
              <w:bottom w:val="nil"/>
              <w:right w:val="single" w:sz="8" w:space="0" w:color="auto"/>
            </w:tcBorders>
            <w:shd w:val="clear" w:color="auto" w:fill="EAF1DD" w:themeFill="accent3" w:themeFillTint="33"/>
            <w:vAlign w:val="bottom"/>
          </w:tcPr>
          <w:p w14:paraId="15086549" w14:textId="233361E7"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417" w:type="dxa"/>
            <w:tcBorders>
              <w:top w:val="nil"/>
              <w:left w:val="nil"/>
              <w:bottom w:val="nil"/>
              <w:right w:val="nil"/>
            </w:tcBorders>
            <w:shd w:val="clear" w:color="auto" w:fill="EAF1DD" w:themeFill="accent3" w:themeFillTint="33"/>
            <w:vAlign w:val="bottom"/>
          </w:tcPr>
          <w:p w14:paraId="7E225EA8" w14:textId="172BAD12"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4" w:space="0" w:color="auto"/>
            </w:tcBorders>
            <w:shd w:val="clear" w:color="auto" w:fill="EAF1DD" w:themeFill="accent3" w:themeFillTint="33"/>
            <w:vAlign w:val="bottom"/>
          </w:tcPr>
          <w:p w14:paraId="07965BA1" w14:textId="52095ECF" w:rsidR="003B49BD" w:rsidRPr="000D4EDC" w:rsidRDefault="00D87E8E" w:rsidP="000845C9">
            <w:pPr>
              <w:jc w:val="center"/>
              <w:rPr>
                <w:rFonts w:ascii="Arial" w:hAnsi="Arial" w:cs="Arial"/>
                <w:sz w:val="20"/>
                <w:szCs w:val="20"/>
              </w:rPr>
            </w:pPr>
            <w:r w:rsidRPr="000D4EDC">
              <w:rPr>
                <w:rFonts w:ascii="Arial" w:hAnsi="Arial" w:cs="Arial"/>
                <w:sz w:val="20"/>
                <w:szCs w:val="20"/>
              </w:rPr>
              <w:t>64</w:t>
            </w:r>
            <w:r w:rsidR="008F0BC7">
              <w:rPr>
                <w:rFonts w:ascii="Arial" w:hAnsi="Arial" w:cs="Arial"/>
                <w:sz w:val="20"/>
                <w:szCs w:val="20"/>
              </w:rPr>
              <w:t>7</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2E45E810" w14:textId="75E5ADF3"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701" w:type="dxa"/>
            <w:tcBorders>
              <w:top w:val="nil"/>
              <w:left w:val="single" w:sz="4" w:space="0" w:color="auto"/>
              <w:bottom w:val="nil"/>
              <w:right w:val="nil"/>
            </w:tcBorders>
            <w:shd w:val="clear" w:color="auto" w:fill="EAF1DD" w:themeFill="accent3" w:themeFillTint="33"/>
            <w:vAlign w:val="bottom"/>
          </w:tcPr>
          <w:p w14:paraId="4AE4669C" w14:textId="6DE96453"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auto"/>
              <w:bottom w:val="nil"/>
              <w:right w:val="single" w:sz="8" w:space="0" w:color="auto"/>
            </w:tcBorders>
            <w:shd w:val="clear" w:color="auto" w:fill="EAF1DD" w:themeFill="accent3" w:themeFillTint="33"/>
            <w:vAlign w:val="bottom"/>
          </w:tcPr>
          <w:p w14:paraId="37413C60" w14:textId="3643BD56"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nil"/>
              <w:bottom w:val="nil"/>
              <w:right w:val="nil"/>
            </w:tcBorders>
            <w:shd w:val="clear" w:color="auto" w:fill="EAF1DD" w:themeFill="accent3" w:themeFillTint="33"/>
            <w:vAlign w:val="bottom"/>
          </w:tcPr>
          <w:p w14:paraId="5CB5F036" w14:textId="5B715DA4"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8" w:space="0" w:color="auto"/>
            </w:tcBorders>
            <w:shd w:val="clear" w:color="auto" w:fill="EAF1DD" w:themeFill="accent3" w:themeFillTint="33"/>
            <w:vAlign w:val="bottom"/>
          </w:tcPr>
          <w:p w14:paraId="4ACD3071" w14:textId="22D7CF0C"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701" w:type="dxa"/>
            <w:tcBorders>
              <w:top w:val="nil"/>
              <w:left w:val="nil"/>
              <w:bottom w:val="nil"/>
              <w:right w:val="single" w:sz="8" w:space="0" w:color="000000"/>
            </w:tcBorders>
            <w:shd w:val="clear" w:color="auto" w:fill="EAF1DD" w:themeFill="accent3" w:themeFillTint="33"/>
            <w:vAlign w:val="bottom"/>
          </w:tcPr>
          <w:p w14:paraId="3CC83D50" w14:textId="07107B58"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59" w:type="dxa"/>
            <w:tcBorders>
              <w:top w:val="nil"/>
              <w:left w:val="single" w:sz="8" w:space="0" w:color="000000"/>
              <w:bottom w:val="nil"/>
              <w:right w:val="nil"/>
            </w:tcBorders>
            <w:shd w:val="clear" w:color="auto" w:fill="EAF1DD" w:themeFill="accent3" w:themeFillTint="33"/>
            <w:vAlign w:val="bottom"/>
          </w:tcPr>
          <w:p w14:paraId="68E4ECDE" w14:textId="64E75A30" w:rsidR="003B49BD" w:rsidRPr="000D4EDC" w:rsidRDefault="009D650B" w:rsidP="000845C9">
            <w:pPr>
              <w:jc w:val="center"/>
              <w:rPr>
                <w:rFonts w:ascii="Arial" w:hAnsi="Arial" w:cs="Arial"/>
                <w:sz w:val="20"/>
                <w:szCs w:val="20"/>
              </w:rPr>
            </w:pPr>
            <w:r>
              <w:rPr>
                <w:rFonts w:ascii="Arial" w:hAnsi="Arial" w:cs="Arial"/>
                <w:sz w:val="20"/>
                <w:szCs w:val="20"/>
              </w:rPr>
              <w:t>647</w:t>
            </w:r>
          </w:p>
        </w:tc>
        <w:tc>
          <w:tcPr>
            <w:tcW w:w="1559" w:type="dxa"/>
            <w:tcBorders>
              <w:top w:val="nil"/>
              <w:left w:val="single" w:sz="8" w:space="0" w:color="auto"/>
              <w:bottom w:val="nil"/>
              <w:right w:val="single" w:sz="4" w:space="0" w:color="auto"/>
            </w:tcBorders>
            <w:shd w:val="clear" w:color="auto" w:fill="EAF1DD" w:themeFill="accent3" w:themeFillTint="33"/>
            <w:vAlign w:val="bottom"/>
          </w:tcPr>
          <w:p w14:paraId="315FF371" w14:textId="2274953E"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59" w:type="dxa"/>
            <w:tcBorders>
              <w:top w:val="nil"/>
              <w:left w:val="single" w:sz="4" w:space="0" w:color="auto"/>
              <w:bottom w:val="nil"/>
              <w:right w:val="single" w:sz="4" w:space="0" w:color="auto"/>
            </w:tcBorders>
            <w:shd w:val="clear" w:color="auto" w:fill="EAF1DD" w:themeFill="accent3" w:themeFillTint="33"/>
            <w:vAlign w:val="bottom"/>
          </w:tcPr>
          <w:p w14:paraId="490AF404" w14:textId="16678ECA"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60" w:type="dxa"/>
            <w:tcBorders>
              <w:top w:val="nil"/>
              <w:left w:val="single" w:sz="4" w:space="0" w:color="auto"/>
              <w:bottom w:val="nil"/>
              <w:right w:val="single" w:sz="8" w:space="0" w:color="auto"/>
            </w:tcBorders>
            <w:shd w:val="clear" w:color="auto" w:fill="EAF1DD" w:themeFill="accent3" w:themeFillTint="33"/>
            <w:vAlign w:val="bottom"/>
          </w:tcPr>
          <w:p w14:paraId="44401F9C" w14:textId="3A54C453"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6B097B8F" w14:textId="55F0FC37"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vAlign w:val="bottom"/>
          </w:tcPr>
          <w:p w14:paraId="2C5E5F85" w14:textId="77777777" w:rsidR="00F515E3" w:rsidRDefault="00F515E3" w:rsidP="000845C9">
            <w:pPr>
              <w:jc w:val="center"/>
              <w:rPr>
                <w:rFonts w:ascii="Arial" w:hAnsi="Arial" w:cs="Arial"/>
                <w:sz w:val="20"/>
                <w:szCs w:val="20"/>
              </w:rPr>
            </w:pPr>
          </w:p>
          <w:p w14:paraId="61635B11" w14:textId="2EACCF3C" w:rsidR="004A08C7" w:rsidRPr="000D4EDC" w:rsidRDefault="004A08C7" w:rsidP="000845C9">
            <w:pPr>
              <w:jc w:val="center"/>
              <w:rPr>
                <w:rFonts w:ascii="Arial" w:hAnsi="Arial" w:cs="Arial"/>
                <w:sz w:val="20"/>
                <w:szCs w:val="20"/>
              </w:rPr>
            </w:pPr>
            <w:r>
              <w:rPr>
                <w:rFonts w:ascii="Arial" w:hAnsi="Arial" w:cs="Arial"/>
                <w:sz w:val="20"/>
                <w:szCs w:val="20"/>
              </w:rPr>
              <w:t>647</w:t>
            </w:r>
          </w:p>
        </w:tc>
      </w:tr>
      <w:tr w:rsidR="008D50CD" w:rsidRPr="00DD5591" w14:paraId="61FBB131" w14:textId="267AB009" w:rsidTr="00D550FB">
        <w:trPr>
          <w:cantSplit/>
          <w:trHeight w:val="454"/>
        </w:trPr>
        <w:tc>
          <w:tcPr>
            <w:tcW w:w="2410" w:type="dxa"/>
            <w:tcBorders>
              <w:top w:val="nil"/>
              <w:left w:val="single" w:sz="8" w:space="0" w:color="auto"/>
              <w:bottom w:val="nil"/>
              <w:right w:val="single" w:sz="8" w:space="0" w:color="auto"/>
            </w:tcBorders>
            <w:shd w:val="clear" w:color="auto" w:fill="EAF1DD" w:themeFill="accent3" w:themeFillTint="33"/>
            <w:vAlign w:val="bottom"/>
            <w:hideMark/>
          </w:tcPr>
          <w:p w14:paraId="62880E92" w14:textId="77777777" w:rsidR="003B49BD" w:rsidRPr="000D4EDC" w:rsidRDefault="003B49BD" w:rsidP="000845C9">
            <w:pPr>
              <w:rPr>
                <w:rFonts w:ascii="Arial" w:hAnsi="Arial" w:cs="Arial"/>
                <w:sz w:val="20"/>
                <w:szCs w:val="20"/>
              </w:rPr>
            </w:pPr>
            <w:r w:rsidRPr="000D4EDC">
              <w:rPr>
                <w:rFonts w:ascii="Arial" w:hAnsi="Arial" w:cs="Arial"/>
                <w:sz w:val="20"/>
                <w:szCs w:val="20"/>
              </w:rPr>
              <w:t>Disposals/ Impairments</w:t>
            </w:r>
          </w:p>
        </w:tc>
        <w:tc>
          <w:tcPr>
            <w:tcW w:w="993" w:type="dxa"/>
            <w:tcBorders>
              <w:top w:val="nil"/>
              <w:left w:val="nil"/>
              <w:bottom w:val="nil"/>
              <w:right w:val="single" w:sz="8" w:space="0" w:color="auto"/>
            </w:tcBorders>
            <w:shd w:val="clear" w:color="auto" w:fill="EAF1DD" w:themeFill="accent3" w:themeFillTint="33"/>
            <w:vAlign w:val="bottom"/>
          </w:tcPr>
          <w:p w14:paraId="18A3E1E4" w14:textId="053F9A63"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417" w:type="dxa"/>
            <w:tcBorders>
              <w:top w:val="nil"/>
              <w:left w:val="nil"/>
              <w:bottom w:val="nil"/>
              <w:right w:val="nil"/>
            </w:tcBorders>
            <w:shd w:val="clear" w:color="auto" w:fill="EAF1DD" w:themeFill="accent3" w:themeFillTint="33"/>
            <w:vAlign w:val="bottom"/>
          </w:tcPr>
          <w:p w14:paraId="621D9C0D" w14:textId="019B4670"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4" w:space="0" w:color="auto"/>
            </w:tcBorders>
            <w:shd w:val="clear" w:color="auto" w:fill="EAF1DD" w:themeFill="accent3" w:themeFillTint="33"/>
            <w:vAlign w:val="bottom"/>
          </w:tcPr>
          <w:p w14:paraId="24F88FB7" w14:textId="0E3FA638"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6EAE3605" w14:textId="6F7C3E8C" w:rsidR="003B49BD" w:rsidRPr="000D4EDC" w:rsidRDefault="00464366" w:rsidP="000845C9">
            <w:pPr>
              <w:jc w:val="center"/>
              <w:rPr>
                <w:rFonts w:ascii="Arial" w:hAnsi="Arial" w:cs="Arial"/>
                <w:sz w:val="20"/>
                <w:szCs w:val="20"/>
              </w:rPr>
            </w:pPr>
            <w:r w:rsidRPr="000D4EDC">
              <w:rPr>
                <w:rFonts w:ascii="Arial" w:hAnsi="Arial" w:cs="Arial"/>
                <w:sz w:val="20"/>
                <w:szCs w:val="20"/>
              </w:rPr>
              <w:t>(24)</w:t>
            </w:r>
          </w:p>
        </w:tc>
        <w:tc>
          <w:tcPr>
            <w:tcW w:w="1701" w:type="dxa"/>
            <w:tcBorders>
              <w:top w:val="nil"/>
              <w:left w:val="single" w:sz="4" w:space="0" w:color="auto"/>
              <w:bottom w:val="nil"/>
              <w:right w:val="nil"/>
            </w:tcBorders>
            <w:shd w:val="clear" w:color="auto" w:fill="EAF1DD" w:themeFill="accent3" w:themeFillTint="33"/>
            <w:vAlign w:val="bottom"/>
          </w:tcPr>
          <w:p w14:paraId="2C5B5627" w14:textId="2DBAB453"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auto"/>
              <w:bottom w:val="nil"/>
              <w:right w:val="single" w:sz="8" w:space="0" w:color="auto"/>
            </w:tcBorders>
            <w:shd w:val="clear" w:color="auto" w:fill="EAF1DD" w:themeFill="accent3" w:themeFillTint="33"/>
            <w:vAlign w:val="bottom"/>
          </w:tcPr>
          <w:p w14:paraId="4704E538" w14:textId="5FC360C2"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nil"/>
              <w:bottom w:val="nil"/>
              <w:right w:val="nil"/>
            </w:tcBorders>
            <w:shd w:val="clear" w:color="auto" w:fill="EAF1DD" w:themeFill="accent3" w:themeFillTint="33"/>
            <w:vAlign w:val="bottom"/>
          </w:tcPr>
          <w:p w14:paraId="21DA6106" w14:textId="15C856F2" w:rsidR="003B49BD" w:rsidRPr="000D4EDC" w:rsidRDefault="00464366" w:rsidP="000845C9">
            <w:pPr>
              <w:jc w:val="center"/>
              <w:rPr>
                <w:rFonts w:ascii="Arial" w:hAnsi="Arial" w:cs="Arial"/>
                <w:sz w:val="20"/>
                <w:szCs w:val="20"/>
              </w:rPr>
            </w:pPr>
            <w:r w:rsidRPr="000D4EDC">
              <w:rPr>
                <w:rFonts w:ascii="Arial" w:hAnsi="Arial" w:cs="Arial"/>
                <w:sz w:val="20"/>
                <w:szCs w:val="20"/>
              </w:rPr>
              <w:t>(</w:t>
            </w:r>
            <w:r w:rsidR="001B397A">
              <w:rPr>
                <w:rFonts w:ascii="Arial" w:hAnsi="Arial" w:cs="Arial"/>
                <w:sz w:val="20"/>
                <w:szCs w:val="20"/>
              </w:rPr>
              <w:t>114)</w:t>
            </w:r>
          </w:p>
        </w:tc>
        <w:tc>
          <w:tcPr>
            <w:tcW w:w="1276" w:type="dxa"/>
            <w:tcBorders>
              <w:top w:val="nil"/>
              <w:left w:val="single" w:sz="8" w:space="0" w:color="auto"/>
              <w:bottom w:val="nil"/>
              <w:right w:val="single" w:sz="8" w:space="0" w:color="auto"/>
            </w:tcBorders>
            <w:shd w:val="clear" w:color="auto" w:fill="EAF1DD" w:themeFill="accent3" w:themeFillTint="33"/>
            <w:vAlign w:val="bottom"/>
          </w:tcPr>
          <w:p w14:paraId="51C8E830" w14:textId="03C4ACBE" w:rsidR="003B49BD" w:rsidRPr="000D4EDC" w:rsidRDefault="00904276" w:rsidP="000845C9">
            <w:pPr>
              <w:jc w:val="center"/>
              <w:rPr>
                <w:rFonts w:ascii="Arial" w:hAnsi="Arial" w:cs="Arial"/>
                <w:sz w:val="20"/>
                <w:szCs w:val="20"/>
              </w:rPr>
            </w:pPr>
            <w:r>
              <w:rPr>
                <w:rFonts w:ascii="Arial" w:hAnsi="Arial" w:cs="Arial"/>
                <w:sz w:val="20"/>
                <w:szCs w:val="20"/>
              </w:rPr>
              <w:t>(18)</w:t>
            </w:r>
          </w:p>
        </w:tc>
        <w:tc>
          <w:tcPr>
            <w:tcW w:w="1701" w:type="dxa"/>
            <w:tcBorders>
              <w:top w:val="nil"/>
              <w:left w:val="nil"/>
              <w:bottom w:val="nil"/>
              <w:right w:val="single" w:sz="8" w:space="0" w:color="000000"/>
            </w:tcBorders>
            <w:shd w:val="clear" w:color="auto" w:fill="EAF1DD" w:themeFill="accent3" w:themeFillTint="33"/>
            <w:vAlign w:val="bottom"/>
          </w:tcPr>
          <w:p w14:paraId="23805E71" w14:textId="1E588915"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59" w:type="dxa"/>
            <w:tcBorders>
              <w:top w:val="nil"/>
              <w:left w:val="single" w:sz="8" w:space="0" w:color="000000"/>
              <w:bottom w:val="nil"/>
              <w:right w:val="nil"/>
            </w:tcBorders>
            <w:shd w:val="clear" w:color="auto" w:fill="EAF1DD" w:themeFill="accent3" w:themeFillTint="33"/>
            <w:vAlign w:val="bottom"/>
          </w:tcPr>
          <w:p w14:paraId="0EB3E933" w14:textId="5E8BEF2E" w:rsidR="003B49BD" w:rsidRPr="000D4EDC" w:rsidRDefault="00464366" w:rsidP="000845C9">
            <w:pPr>
              <w:jc w:val="center"/>
              <w:rPr>
                <w:rFonts w:ascii="Arial" w:hAnsi="Arial" w:cs="Arial"/>
                <w:sz w:val="20"/>
                <w:szCs w:val="20"/>
              </w:rPr>
            </w:pPr>
            <w:r w:rsidRPr="000D4EDC">
              <w:rPr>
                <w:rFonts w:ascii="Arial" w:hAnsi="Arial" w:cs="Arial"/>
                <w:sz w:val="20"/>
                <w:szCs w:val="20"/>
              </w:rPr>
              <w:t>(</w:t>
            </w:r>
            <w:r w:rsidR="009D650B">
              <w:rPr>
                <w:rFonts w:ascii="Arial" w:hAnsi="Arial" w:cs="Arial"/>
                <w:sz w:val="20"/>
                <w:szCs w:val="20"/>
              </w:rPr>
              <w:t>156)</w:t>
            </w:r>
          </w:p>
        </w:tc>
        <w:tc>
          <w:tcPr>
            <w:tcW w:w="1559" w:type="dxa"/>
            <w:tcBorders>
              <w:top w:val="nil"/>
              <w:left w:val="single" w:sz="8" w:space="0" w:color="auto"/>
              <w:bottom w:val="nil"/>
              <w:right w:val="single" w:sz="4" w:space="0" w:color="auto"/>
            </w:tcBorders>
            <w:shd w:val="clear" w:color="auto" w:fill="EAF1DD" w:themeFill="accent3" w:themeFillTint="33"/>
            <w:vAlign w:val="bottom"/>
          </w:tcPr>
          <w:p w14:paraId="2705FC55" w14:textId="6D8E2212"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59" w:type="dxa"/>
            <w:tcBorders>
              <w:top w:val="nil"/>
              <w:left w:val="single" w:sz="4" w:space="0" w:color="auto"/>
              <w:bottom w:val="nil"/>
              <w:right w:val="single" w:sz="4" w:space="0" w:color="auto"/>
            </w:tcBorders>
            <w:shd w:val="clear" w:color="auto" w:fill="EAF1DD" w:themeFill="accent3" w:themeFillTint="33"/>
            <w:vAlign w:val="bottom"/>
          </w:tcPr>
          <w:p w14:paraId="2BAE0233" w14:textId="1DDD9139"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560" w:type="dxa"/>
            <w:tcBorders>
              <w:top w:val="nil"/>
              <w:left w:val="single" w:sz="4" w:space="0" w:color="auto"/>
              <w:bottom w:val="nil"/>
              <w:right w:val="single" w:sz="8" w:space="0" w:color="auto"/>
            </w:tcBorders>
            <w:shd w:val="clear" w:color="auto" w:fill="EAF1DD" w:themeFill="accent3" w:themeFillTint="33"/>
            <w:vAlign w:val="bottom"/>
          </w:tcPr>
          <w:p w14:paraId="4D9736A4" w14:textId="60FC645D"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3D1822CC" w14:textId="1908A4DF"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vAlign w:val="bottom"/>
          </w:tcPr>
          <w:p w14:paraId="68A011B2" w14:textId="77777777" w:rsidR="00D56D30" w:rsidRPr="000D4EDC" w:rsidRDefault="00D56D30" w:rsidP="000845C9">
            <w:pPr>
              <w:jc w:val="center"/>
              <w:rPr>
                <w:rFonts w:ascii="Arial" w:hAnsi="Arial" w:cs="Arial"/>
                <w:sz w:val="20"/>
                <w:szCs w:val="20"/>
              </w:rPr>
            </w:pPr>
          </w:p>
          <w:p w14:paraId="4BBFFF98" w14:textId="51B119FB" w:rsidR="00BD58C5" w:rsidRPr="000D4EDC" w:rsidRDefault="00BD58C5" w:rsidP="000845C9">
            <w:pPr>
              <w:jc w:val="center"/>
              <w:rPr>
                <w:rFonts w:ascii="Arial" w:hAnsi="Arial" w:cs="Arial"/>
                <w:sz w:val="20"/>
                <w:szCs w:val="20"/>
              </w:rPr>
            </w:pPr>
            <w:r w:rsidRPr="000D4EDC">
              <w:rPr>
                <w:rFonts w:ascii="Arial" w:hAnsi="Arial" w:cs="Arial"/>
                <w:sz w:val="20"/>
                <w:szCs w:val="20"/>
              </w:rPr>
              <w:t>(</w:t>
            </w:r>
            <w:r w:rsidR="004A08C7">
              <w:rPr>
                <w:rFonts w:ascii="Arial" w:hAnsi="Arial" w:cs="Arial"/>
                <w:sz w:val="20"/>
                <w:szCs w:val="20"/>
              </w:rPr>
              <w:t>156)</w:t>
            </w:r>
          </w:p>
        </w:tc>
      </w:tr>
      <w:tr w:rsidR="008D50CD" w:rsidRPr="00DD5591" w14:paraId="176F9DC3" w14:textId="11234B0A" w:rsidTr="00D550FB">
        <w:trPr>
          <w:cantSplit/>
          <w:trHeight w:val="454"/>
        </w:trPr>
        <w:tc>
          <w:tcPr>
            <w:tcW w:w="2410"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0FC990C7" w14:textId="77777777" w:rsidR="003B49BD" w:rsidRPr="000D4EDC" w:rsidRDefault="003B49BD" w:rsidP="000845C9">
            <w:pPr>
              <w:rPr>
                <w:rFonts w:ascii="Arial" w:hAnsi="Arial" w:cs="Arial"/>
                <w:sz w:val="20"/>
                <w:szCs w:val="20"/>
              </w:rPr>
            </w:pPr>
            <w:r w:rsidRPr="000D4EDC">
              <w:rPr>
                <w:rFonts w:ascii="Arial" w:hAnsi="Arial" w:cs="Arial"/>
                <w:sz w:val="20"/>
                <w:szCs w:val="20"/>
              </w:rPr>
              <w:t>Revaluations</w:t>
            </w:r>
          </w:p>
        </w:tc>
        <w:tc>
          <w:tcPr>
            <w:tcW w:w="993" w:type="dxa"/>
            <w:tcBorders>
              <w:top w:val="nil"/>
              <w:left w:val="nil"/>
              <w:bottom w:val="single" w:sz="8" w:space="0" w:color="auto"/>
              <w:right w:val="single" w:sz="8" w:space="0" w:color="auto"/>
            </w:tcBorders>
            <w:shd w:val="clear" w:color="auto" w:fill="EAF1DD" w:themeFill="accent3" w:themeFillTint="33"/>
            <w:vAlign w:val="bottom"/>
          </w:tcPr>
          <w:p w14:paraId="42C3CBF4" w14:textId="6541B584" w:rsidR="003B49BD" w:rsidRPr="000D4EDC" w:rsidRDefault="00BD58C5" w:rsidP="000845C9">
            <w:pPr>
              <w:jc w:val="center"/>
              <w:rPr>
                <w:rFonts w:ascii="Arial" w:hAnsi="Arial" w:cs="Arial"/>
                <w:bCs/>
                <w:sz w:val="20"/>
                <w:szCs w:val="20"/>
              </w:rPr>
            </w:pPr>
            <w:r w:rsidRPr="000D4EDC">
              <w:rPr>
                <w:rFonts w:ascii="Arial" w:hAnsi="Arial" w:cs="Arial"/>
                <w:bCs/>
                <w:sz w:val="20"/>
                <w:szCs w:val="20"/>
              </w:rPr>
              <w:t>15</w:t>
            </w:r>
          </w:p>
        </w:tc>
        <w:tc>
          <w:tcPr>
            <w:tcW w:w="1417" w:type="dxa"/>
            <w:tcBorders>
              <w:top w:val="nil"/>
              <w:left w:val="nil"/>
              <w:bottom w:val="nil"/>
              <w:right w:val="nil"/>
            </w:tcBorders>
            <w:shd w:val="clear" w:color="auto" w:fill="EAF1DD" w:themeFill="accent3" w:themeFillTint="33"/>
            <w:vAlign w:val="bottom"/>
          </w:tcPr>
          <w:p w14:paraId="6C74292D" w14:textId="0F48032A" w:rsidR="003B49BD" w:rsidRPr="000D4EDC" w:rsidRDefault="00BD58C5" w:rsidP="000845C9">
            <w:pPr>
              <w:jc w:val="center"/>
              <w:rPr>
                <w:rFonts w:ascii="Arial" w:hAnsi="Arial" w:cs="Arial"/>
                <w:bCs/>
                <w:sz w:val="20"/>
                <w:szCs w:val="20"/>
              </w:rPr>
            </w:pPr>
            <w:r w:rsidRPr="000D4EDC">
              <w:rPr>
                <w:rFonts w:ascii="Arial" w:hAnsi="Arial" w:cs="Arial"/>
                <w:bCs/>
                <w:sz w:val="20"/>
                <w:szCs w:val="20"/>
              </w:rPr>
              <w:t>35</w:t>
            </w:r>
          </w:p>
        </w:tc>
        <w:tc>
          <w:tcPr>
            <w:tcW w:w="1276" w:type="dxa"/>
            <w:tcBorders>
              <w:top w:val="nil"/>
              <w:left w:val="single" w:sz="8" w:space="0" w:color="auto"/>
              <w:bottom w:val="single" w:sz="8" w:space="0" w:color="auto"/>
              <w:right w:val="single" w:sz="4" w:space="0" w:color="auto"/>
            </w:tcBorders>
            <w:shd w:val="clear" w:color="auto" w:fill="EAF1DD" w:themeFill="accent3" w:themeFillTint="33"/>
            <w:vAlign w:val="bottom"/>
          </w:tcPr>
          <w:p w14:paraId="3F5CA5E0" w14:textId="3AD872B5"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60544609" w14:textId="2F41354D" w:rsidR="003B49BD" w:rsidRPr="000D4EDC" w:rsidRDefault="0064397C" w:rsidP="000845C9">
            <w:pPr>
              <w:jc w:val="center"/>
              <w:rPr>
                <w:rFonts w:ascii="Arial" w:hAnsi="Arial" w:cs="Arial"/>
                <w:bCs/>
                <w:sz w:val="20"/>
                <w:szCs w:val="20"/>
              </w:rPr>
            </w:pPr>
            <w:r w:rsidRPr="000D4EDC">
              <w:rPr>
                <w:rFonts w:ascii="Arial" w:hAnsi="Arial" w:cs="Arial"/>
                <w:bCs/>
                <w:sz w:val="20"/>
                <w:szCs w:val="20"/>
              </w:rPr>
              <w:t>4,840</w:t>
            </w:r>
          </w:p>
        </w:tc>
        <w:tc>
          <w:tcPr>
            <w:tcW w:w="1701" w:type="dxa"/>
            <w:tcBorders>
              <w:top w:val="nil"/>
              <w:left w:val="single" w:sz="4" w:space="0" w:color="auto"/>
              <w:bottom w:val="nil"/>
              <w:right w:val="nil"/>
            </w:tcBorders>
            <w:shd w:val="clear" w:color="auto" w:fill="EAF1DD" w:themeFill="accent3" w:themeFillTint="33"/>
            <w:vAlign w:val="bottom"/>
          </w:tcPr>
          <w:p w14:paraId="1C0FA1EF" w14:textId="6EA49B68"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992"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1EC41F6C" w14:textId="6563EE7B" w:rsidR="003B49BD" w:rsidRPr="000D4EDC" w:rsidRDefault="00F15D67" w:rsidP="000845C9">
            <w:pPr>
              <w:jc w:val="center"/>
              <w:rPr>
                <w:rFonts w:ascii="Arial" w:hAnsi="Arial" w:cs="Arial"/>
                <w:sz w:val="20"/>
                <w:szCs w:val="20"/>
              </w:rPr>
            </w:pPr>
            <w:r>
              <w:rPr>
                <w:rFonts w:ascii="Arial" w:hAnsi="Arial" w:cs="Arial"/>
                <w:sz w:val="20"/>
                <w:szCs w:val="20"/>
              </w:rPr>
              <w:t>-</w:t>
            </w:r>
          </w:p>
        </w:tc>
        <w:tc>
          <w:tcPr>
            <w:tcW w:w="1276" w:type="dxa"/>
            <w:tcBorders>
              <w:top w:val="nil"/>
              <w:left w:val="nil"/>
              <w:bottom w:val="nil"/>
              <w:right w:val="nil"/>
            </w:tcBorders>
            <w:shd w:val="clear" w:color="auto" w:fill="EAF1DD" w:themeFill="accent3" w:themeFillTint="33"/>
            <w:vAlign w:val="bottom"/>
          </w:tcPr>
          <w:p w14:paraId="64F644A7" w14:textId="27225417"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276"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56B4B360" w14:textId="4C2ED2E7"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701" w:type="dxa"/>
            <w:tcBorders>
              <w:top w:val="nil"/>
              <w:left w:val="nil"/>
              <w:bottom w:val="nil"/>
              <w:right w:val="single" w:sz="8" w:space="0" w:color="000000"/>
            </w:tcBorders>
            <w:shd w:val="clear" w:color="auto" w:fill="EAF1DD" w:themeFill="accent3" w:themeFillTint="33"/>
            <w:vAlign w:val="bottom"/>
          </w:tcPr>
          <w:p w14:paraId="6D525B9D" w14:textId="458FA140"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1559" w:type="dxa"/>
            <w:tcBorders>
              <w:top w:val="nil"/>
              <w:left w:val="single" w:sz="8" w:space="0" w:color="000000"/>
              <w:bottom w:val="nil"/>
              <w:right w:val="nil"/>
            </w:tcBorders>
            <w:shd w:val="clear" w:color="auto" w:fill="EAF1DD" w:themeFill="accent3" w:themeFillTint="33"/>
            <w:vAlign w:val="bottom"/>
          </w:tcPr>
          <w:p w14:paraId="0B918BE7" w14:textId="15F64713" w:rsidR="003B49BD" w:rsidRPr="000D4EDC" w:rsidRDefault="0064397C" w:rsidP="000845C9">
            <w:pPr>
              <w:jc w:val="center"/>
              <w:rPr>
                <w:rFonts w:ascii="Arial" w:hAnsi="Arial" w:cs="Arial"/>
                <w:bCs/>
                <w:sz w:val="20"/>
                <w:szCs w:val="20"/>
              </w:rPr>
            </w:pPr>
            <w:r w:rsidRPr="000D4EDC">
              <w:rPr>
                <w:rFonts w:ascii="Arial" w:hAnsi="Arial" w:cs="Arial"/>
                <w:bCs/>
                <w:sz w:val="20"/>
                <w:szCs w:val="20"/>
              </w:rPr>
              <w:t>4,890</w:t>
            </w:r>
          </w:p>
        </w:tc>
        <w:tc>
          <w:tcPr>
            <w:tcW w:w="1559" w:type="dxa"/>
            <w:tcBorders>
              <w:top w:val="nil"/>
              <w:left w:val="single" w:sz="8" w:space="0" w:color="auto"/>
              <w:bottom w:val="single" w:sz="8" w:space="0" w:color="auto"/>
              <w:right w:val="single" w:sz="4" w:space="0" w:color="auto"/>
            </w:tcBorders>
            <w:shd w:val="clear" w:color="auto" w:fill="EAF1DD" w:themeFill="accent3" w:themeFillTint="33"/>
            <w:vAlign w:val="bottom"/>
          </w:tcPr>
          <w:p w14:paraId="69B0C5C0" w14:textId="00BDEF60"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559" w:type="dxa"/>
            <w:tcBorders>
              <w:top w:val="nil"/>
              <w:left w:val="single" w:sz="4" w:space="0" w:color="auto"/>
              <w:bottom w:val="single" w:sz="4" w:space="0" w:color="auto"/>
              <w:right w:val="single" w:sz="4" w:space="0" w:color="auto"/>
            </w:tcBorders>
            <w:shd w:val="clear" w:color="auto" w:fill="EAF1DD" w:themeFill="accent3" w:themeFillTint="33"/>
            <w:vAlign w:val="bottom"/>
          </w:tcPr>
          <w:p w14:paraId="3D9F56BA" w14:textId="5818EB85"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560" w:type="dxa"/>
            <w:tcBorders>
              <w:top w:val="nil"/>
              <w:left w:val="single" w:sz="4" w:space="0" w:color="auto"/>
              <w:bottom w:val="single" w:sz="8" w:space="0" w:color="auto"/>
              <w:right w:val="single" w:sz="8" w:space="0" w:color="auto"/>
            </w:tcBorders>
            <w:shd w:val="clear" w:color="auto" w:fill="EAF1DD" w:themeFill="accent3" w:themeFillTint="33"/>
            <w:vAlign w:val="bottom"/>
          </w:tcPr>
          <w:p w14:paraId="24CF00B4" w14:textId="4DA3372D" w:rsidR="003B49BD" w:rsidRPr="000D4EDC" w:rsidRDefault="00F15D67" w:rsidP="000845C9">
            <w:pPr>
              <w:jc w:val="center"/>
              <w:rPr>
                <w:rFonts w:ascii="Arial" w:hAnsi="Arial" w:cs="Arial"/>
                <w:b/>
                <w:bCs/>
                <w:sz w:val="20"/>
                <w:szCs w:val="20"/>
              </w:rPr>
            </w:pPr>
            <w:r>
              <w:rPr>
                <w:rFonts w:ascii="Arial" w:hAnsi="Arial" w:cs="Arial"/>
                <w:b/>
                <w:bCs/>
                <w:sz w:val="20"/>
                <w:szCs w:val="20"/>
              </w:rPr>
              <w:t>-</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345AB8C8" w14:textId="7BA9BF26" w:rsidR="003B49BD" w:rsidRPr="000D4EDC" w:rsidRDefault="00F15D67" w:rsidP="000845C9">
            <w:pPr>
              <w:jc w:val="center"/>
              <w:rPr>
                <w:rFonts w:ascii="Arial" w:hAnsi="Arial" w:cs="Arial"/>
                <w:bCs/>
                <w:sz w:val="20"/>
                <w:szCs w:val="20"/>
              </w:rPr>
            </w:pPr>
            <w:r>
              <w:rPr>
                <w:rFonts w:ascii="Arial" w:hAnsi="Arial" w:cs="Arial"/>
                <w:bCs/>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vAlign w:val="bottom"/>
          </w:tcPr>
          <w:p w14:paraId="13CAD024" w14:textId="77777777" w:rsidR="0064397C" w:rsidRPr="000D4EDC" w:rsidRDefault="0064397C" w:rsidP="000845C9">
            <w:pPr>
              <w:jc w:val="center"/>
              <w:rPr>
                <w:rFonts w:ascii="Arial" w:hAnsi="Arial" w:cs="Arial"/>
                <w:bCs/>
                <w:sz w:val="20"/>
                <w:szCs w:val="20"/>
              </w:rPr>
            </w:pPr>
          </w:p>
          <w:p w14:paraId="120277A8" w14:textId="55255215" w:rsidR="004F5573" w:rsidRPr="000D4EDC" w:rsidRDefault="0064397C" w:rsidP="000845C9">
            <w:pPr>
              <w:jc w:val="center"/>
              <w:rPr>
                <w:rFonts w:ascii="Arial" w:hAnsi="Arial" w:cs="Arial"/>
                <w:bCs/>
                <w:sz w:val="20"/>
                <w:szCs w:val="20"/>
              </w:rPr>
            </w:pPr>
            <w:r w:rsidRPr="000D4EDC">
              <w:rPr>
                <w:rFonts w:ascii="Arial" w:hAnsi="Arial" w:cs="Arial"/>
                <w:bCs/>
                <w:sz w:val="20"/>
                <w:szCs w:val="20"/>
              </w:rPr>
              <w:t>4,890</w:t>
            </w:r>
          </w:p>
        </w:tc>
      </w:tr>
      <w:tr w:rsidR="008D50CD" w:rsidRPr="00DD5591" w14:paraId="2A5D50DE" w14:textId="6A828526" w:rsidTr="00FD64E6">
        <w:trPr>
          <w:cantSplit/>
          <w:trHeight w:val="340"/>
        </w:trPr>
        <w:tc>
          <w:tcPr>
            <w:tcW w:w="2410"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3003F1CC" w14:textId="0D1433D0" w:rsidR="003B49BD" w:rsidRPr="000D4EDC" w:rsidRDefault="003B49BD" w:rsidP="003B49BD">
            <w:pPr>
              <w:rPr>
                <w:rFonts w:ascii="Arial" w:hAnsi="Arial" w:cs="Arial"/>
                <w:b/>
                <w:bCs/>
                <w:sz w:val="20"/>
                <w:szCs w:val="20"/>
              </w:rPr>
            </w:pPr>
            <w:r w:rsidRPr="000D4EDC">
              <w:rPr>
                <w:rFonts w:ascii="Arial" w:hAnsi="Arial" w:cs="Arial"/>
                <w:b/>
                <w:bCs/>
                <w:sz w:val="20"/>
                <w:szCs w:val="20"/>
              </w:rPr>
              <w:t>At 31 March 202</w:t>
            </w:r>
            <w:r w:rsidR="00937F30" w:rsidRPr="000D4EDC">
              <w:rPr>
                <w:rFonts w:ascii="Arial" w:hAnsi="Arial" w:cs="Arial"/>
                <w:b/>
                <w:bCs/>
                <w:sz w:val="20"/>
                <w:szCs w:val="20"/>
              </w:rPr>
              <w:t>2</w:t>
            </w:r>
          </w:p>
        </w:tc>
        <w:tc>
          <w:tcPr>
            <w:tcW w:w="993" w:type="dxa"/>
            <w:tcBorders>
              <w:top w:val="nil"/>
              <w:left w:val="nil"/>
              <w:bottom w:val="single" w:sz="8" w:space="0" w:color="auto"/>
              <w:right w:val="single" w:sz="8" w:space="0" w:color="auto"/>
            </w:tcBorders>
            <w:shd w:val="clear" w:color="auto" w:fill="EAF1DD" w:themeFill="accent3" w:themeFillTint="33"/>
            <w:vAlign w:val="bottom"/>
          </w:tcPr>
          <w:p w14:paraId="225FDC2E" w14:textId="707F173E" w:rsidR="003B49BD" w:rsidRPr="000D4EDC" w:rsidRDefault="002639C2" w:rsidP="003B49BD">
            <w:pPr>
              <w:jc w:val="center"/>
              <w:rPr>
                <w:rFonts w:ascii="Arial" w:hAnsi="Arial" w:cs="Arial"/>
                <w:b/>
                <w:bCs/>
                <w:sz w:val="20"/>
                <w:szCs w:val="20"/>
              </w:rPr>
            </w:pPr>
            <w:r w:rsidRPr="000D4EDC">
              <w:rPr>
                <w:rFonts w:ascii="Arial" w:hAnsi="Arial" w:cs="Arial"/>
                <w:b/>
                <w:bCs/>
                <w:sz w:val="20"/>
                <w:szCs w:val="20"/>
              </w:rPr>
              <w:t>847</w:t>
            </w:r>
          </w:p>
        </w:tc>
        <w:tc>
          <w:tcPr>
            <w:tcW w:w="1417" w:type="dxa"/>
            <w:tcBorders>
              <w:top w:val="single" w:sz="8" w:space="0" w:color="auto"/>
              <w:left w:val="nil"/>
              <w:bottom w:val="single" w:sz="8" w:space="0" w:color="auto"/>
              <w:right w:val="single" w:sz="8" w:space="0" w:color="auto"/>
            </w:tcBorders>
            <w:shd w:val="clear" w:color="auto" w:fill="EAF1DD" w:themeFill="accent3" w:themeFillTint="33"/>
            <w:vAlign w:val="bottom"/>
          </w:tcPr>
          <w:p w14:paraId="528E859C" w14:textId="63BE37A7" w:rsidR="003B49BD" w:rsidRPr="000D4EDC" w:rsidRDefault="002639C2" w:rsidP="003B49BD">
            <w:pPr>
              <w:jc w:val="center"/>
              <w:rPr>
                <w:rFonts w:ascii="Arial" w:hAnsi="Arial" w:cs="Arial"/>
                <w:b/>
                <w:bCs/>
                <w:sz w:val="20"/>
                <w:szCs w:val="20"/>
              </w:rPr>
            </w:pPr>
            <w:r w:rsidRPr="000D4EDC">
              <w:rPr>
                <w:rFonts w:ascii="Arial" w:hAnsi="Arial" w:cs="Arial"/>
                <w:b/>
                <w:bCs/>
                <w:sz w:val="20"/>
                <w:szCs w:val="20"/>
              </w:rPr>
              <w:t>3,970</w:t>
            </w:r>
          </w:p>
        </w:tc>
        <w:tc>
          <w:tcPr>
            <w:tcW w:w="1276" w:type="dxa"/>
            <w:tcBorders>
              <w:top w:val="nil"/>
              <w:left w:val="nil"/>
              <w:bottom w:val="single" w:sz="8" w:space="0" w:color="auto"/>
              <w:right w:val="single" w:sz="4" w:space="0" w:color="auto"/>
            </w:tcBorders>
            <w:shd w:val="clear" w:color="auto" w:fill="EAF1DD" w:themeFill="accent3" w:themeFillTint="33"/>
            <w:vAlign w:val="bottom"/>
          </w:tcPr>
          <w:p w14:paraId="40A894A7" w14:textId="76377B81" w:rsidR="003B49BD" w:rsidRPr="000D4EDC" w:rsidRDefault="002639C2" w:rsidP="003B49BD">
            <w:pPr>
              <w:jc w:val="center"/>
              <w:rPr>
                <w:rFonts w:ascii="Arial" w:hAnsi="Arial" w:cs="Arial"/>
                <w:b/>
                <w:bCs/>
                <w:sz w:val="20"/>
                <w:szCs w:val="20"/>
              </w:rPr>
            </w:pPr>
            <w:r w:rsidRPr="000D4EDC">
              <w:rPr>
                <w:rFonts w:ascii="Arial" w:hAnsi="Arial" w:cs="Arial"/>
                <w:b/>
                <w:bCs/>
                <w:sz w:val="20"/>
                <w:szCs w:val="20"/>
              </w:rPr>
              <w:t>10,61</w:t>
            </w:r>
            <w:r w:rsidR="008F0BC7">
              <w:rPr>
                <w:rFonts w:ascii="Arial" w:hAnsi="Arial" w:cs="Arial"/>
                <w:b/>
                <w:bCs/>
                <w:sz w:val="20"/>
                <w:szCs w:val="20"/>
              </w:rPr>
              <w:t>4</w:t>
            </w:r>
          </w:p>
        </w:tc>
        <w:tc>
          <w:tcPr>
            <w:tcW w:w="1134" w:type="dxa"/>
            <w:tcBorders>
              <w:top w:val="single" w:sz="8" w:space="0" w:color="auto"/>
              <w:left w:val="single" w:sz="4" w:space="0" w:color="auto"/>
              <w:bottom w:val="single" w:sz="8" w:space="0" w:color="auto"/>
              <w:right w:val="single" w:sz="4" w:space="0" w:color="auto"/>
            </w:tcBorders>
            <w:shd w:val="clear" w:color="auto" w:fill="EAF1DD" w:themeFill="accent3" w:themeFillTint="33"/>
            <w:vAlign w:val="bottom"/>
          </w:tcPr>
          <w:p w14:paraId="1E5BA27C" w14:textId="7E20D5B4" w:rsidR="003B49BD" w:rsidRPr="000D4EDC" w:rsidRDefault="002639C2" w:rsidP="003B49BD">
            <w:pPr>
              <w:jc w:val="center"/>
              <w:rPr>
                <w:rFonts w:ascii="Arial" w:hAnsi="Arial" w:cs="Arial"/>
                <w:b/>
                <w:bCs/>
                <w:sz w:val="20"/>
                <w:szCs w:val="20"/>
              </w:rPr>
            </w:pPr>
            <w:r w:rsidRPr="000D4EDC">
              <w:rPr>
                <w:rFonts w:ascii="Arial" w:hAnsi="Arial" w:cs="Arial"/>
                <w:b/>
                <w:bCs/>
                <w:sz w:val="20"/>
                <w:szCs w:val="20"/>
              </w:rPr>
              <w:t>24,575</w:t>
            </w:r>
          </w:p>
        </w:tc>
        <w:tc>
          <w:tcPr>
            <w:tcW w:w="1701" w:type="dxa"/>
            <w:tcBorders>
              <w:top w:val="single" w:sz="8" w:space="0" w:color="auto"/>
              <w:left w:val="single" w:sz="4" w:space="0" w:color="auto"/>
              <w:bottom w:val="single" w:sz="8" w:space="0" w:color="auto"/>
              <w:right w:val="single" w:sz="8" w:space="0" w:color="auto"/>
            </w:tcBorders>
            <w:shd w:val="clear" w:color="auto" w:fill="EAF1DD" w:themeFill="accent3" w:themeFillTint="33"/>
            <w:vAlign w:val="bottom"/>
          </w:tcPr>
          <w:p w14:paraId="3C754464" w14:textId="44360B7B" w:rsidR="003B49BD" w:rsidRPr="000D4EDC" w:rsidRDefault="002639C2" w:rsidP="003B49BD">
            <w:pPr>
              <w:jc w:val="center"/>
              <w:rPr>
                <w:rFonts w:ascii="Arial" w:hAnsi="Arial" w:cs="Arial"/>
                <w:b/>
                <w:bCs/>
                <w:sz w:val="20"/>
                <w:szCs w:val="20"/>
              </w:rPr>
            </w:pPr>
            <w:r w:rsidRPr="000D4EDC">
              <w:rPr>
                <w:rFonts w:ascii="Arial" w:hAnsi="Arial" w:cs="Arial"/>
                <w:b/>
                <w:bCs/>
                <w:sz w:val="20"/>
                <w:szCs w:val="20"/>
              </w:rPr>
              <w:t>13,32</w:t>
            </w:r>
            <w:r w:rsidR="00FA5AEB">
              <w:rPr>
                <w:rFonts w:ascii="Arial" w:hAnsi="Arial" w:cs="Arial"/>
                <w:b/>
                <w:bCs/>
                <w:sz w:val="20"/>
                <w:szCs w:val="20"/>
              </w:rPr>
              <w:t>6</w:t>
            </w:r>
          </w:p>
        </w:tc>
        <w:tc>
          <w:tcPr>
            <w:tcW w:w="992" w:type="dxa"/>
            <w:tcBorders>
              <w:top w:val="nil"/>
              <w:left w:val="nil"/>
              <w:bottom w:val="single" w:sz="8" w:space="0" w:color="auto"/>
              <w:right w:val="single" w:sz="8" w:space="0" w:color="auto"/>
            </w:tcBorders>
            <w:shd w:val="clear" w:color="auto" w:fill="EAF1DD" w:themeFill="accent3" w:themeFillTint="33"/>
            <w:vAlign w:val="bottom"/>
          </w:tcPr>
          <w:p w14:paraId="79CD85E5" w14:textId="53491E48"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735</w:t>
            </w:r>
          </w:p>
        </w:tc>
        <w:tc>
          <w:tcPr>
            <w:tcW w:w="1276" w:type="dxa"/>
            <w:tcBorders>
              <w:top w:val="single" w:sz="8" w:space="0" w:color="auto"/>
              <w:left w:val="nil"/>
              <w:bottom w:val="single" w:sz="8" w:space="0" w:color="auto"/>
              <w:right w:val="single" w:sz="8" w:space="0" w:color="auto"/>
            </w:tcBorders>
            <w:shd w:val="clear" w:color="auto" w:fill="EAF1DD" w:themeFill="accent3" w:themeFillTint="33"/>
            <w:vAlign w:val="bottom"/>
          </w:tcPr>
          <w:p w14:paraId="5C968CAA" w14:textId="08F8EA5B"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4,</w:t>
            </w:r>
            <w:r w:rsidR="00B0626C">
              <w:rPr>
                <w:rFonts w:ascii="Arial" w:hAnsi="Arial" w:cs="Arial"/>
                <w:b/>
                <w:bCs/>
                <w:sz w:val="20"/>
                <w:szCs w:val="20"/>
              </w:rPr>
              <w:t>526</w:t>
            </w:r>
          </w:p>
        </w:tc>
        <w:tc>
          <w:tcPr>
            <w:tcW w:w="1276" w:type="dxa"/>
            <w:tcBorders>
              <w:top w:val="nil"/>
              <w:left w:val="nil"/>
              <w:bottom w:val="single" w:sz="8" w:space="0" w:color="auto"/>
              <w:right w:val="single" w:sz="8" w:space="0" w:color="auto"/>
            </w:tcBorders>
            <w:shd w:val="clear" w:color="auto" w:fill="EAF1DD" w:themeFill="accent3" w:themeFillTint="33"/>
            <w:vAlign w:val="bottom"/>
          </w:tcPr>
          <w:p w14:paraId="169F33F2" w14:textId="5C669CCF"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7</w:t>
            </w:r>
            <w:r w:rsidR="00904276">
              <w:rPr>
                <w:rFonts w:ascii="Arial" w:hAnsi="Arial" w:cs="Arial"/>
                <w:b/>
                <w:bCs/>
                <w:sz w:val="20"/>
                <w:szCs w:val="20"/>
              </w:rPr>
              <w:t>52</w:t>
            </w:r>
          </w:p>
        </w:tc>
        <w:tc>
          <w:tcPr>
            <w:tcW w:w="1701" w:type="dxa"/>
            <w:tcBorders>
              <w:top w:val="single" w:sz="8" w:space="0" w:color="auto"/>
              <w:left w:val="nil"/>
              <w:bottom w:val="single" w:sz="8" w:space="0" w:color="auto"/>
              <w:right w:val="single" w:sz="8" w:space="0" w:color="000000"/>
            </w:tcBorders>
            <w:shd w:val="clear" w:color="auto" w:fill="EAF1DD" w:themeFill="accent3" w:themeFillTint="33"/>
            <w:vAlign w:val="bottom"/>
          </w:tcPr>
          <w:p w14:paraId="74988AC0" w14:textId="7118BC6F"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270</w:t>
            </w:r>
          </w:p>
        </w:tc>
        <w:tc>
          <w:tcPr>
            <w:tcW w:w="1559" w:type="dxa"/>
            <w:tcBorders>
              <w:top w:val="single" w:sz="8" w:space="0" w:color="auto"/>
              <w:left w:val="single" w:sz="8" w:space="0" w:color="000000"/>
              <w:bottom w:val="single" w:sz="8" w:space="0" w:color="auto"/>
              <w:right w:val="single" w:sz="8" w:space="0" w:color="auto"/>
            </w:tcBorders>
            <w:shd w:val="clear" w:color="auto" w:fill="EAF1DD" w:themeFill="accent3" w:themeFillTint="33"/>
            <w:vAlign w:val="bottom"/>
          </w:tcPr>
          <w:p w14:paraId="1B0FDEAA" w14:textId="2ADFF6EA"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59,</w:t>
            </w:r>
            <w:r w:rsidR="009D650B">
              <w:rPr>
                <w:rFonts w:ascii="Arial" w:hAnsi="Arial" w:cs="Arial"/>
                <w:b/>
                <w:bCs/>
                <w:sz w:val="20"/>
                <w:szCs w:val="20"/>
              </w:rPr>
              <w:t>61</w:t>
            </w:r>
            <w:r w:rsidR="00D673C7">
              <w:rPr>
                <w:rFonts w:ascii="Arial" w:hAnsi="Arial" w:cs="Arial"/>
                <w:b/>
                <w:bCs/>
                <w:sz w:val="20"/>
                <w:szCs w:val="20"/>
              </w:rPr>
              <w:t>5</w:t>
            </w:r>
          </w:p>
        </w:tc>
        <w:tc>
          <w:tcPr>
            <w:tcW w:w="1559" w:type="dxa"/>
            <w:tcBorders>
              <w:top w:val="nil"/>
              <w:left w:val="nil"/>
              <w:bottom w:val="single" w:sz="8" w:space="0" w:color="auto"/>
              <w:right w:val="single" w:sz="8" w:space="0" w:color="auto"/>
            </w:tcBorders>
            <w:shd w:val="clear" w:color="auto" w:fill="EAF1DD" w:themeFill="accent3" w:themeFillTint="33"/>
            <w:vAlign w:val="bottom"/>
          </w:tcPr>
          <w:p w14:paraId="4ADDDD6C" w14:textId="6F33DCD6"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1,077</w:t>
            </w:r>
          </w:p>
        </w:tc>
        <w:tc>
          <w:tcPr>
            <w:tcW w:w="1559" w:type="dxa"/>
            <w:tcBorders>
              <w:top w:val="single" w:sz="4" w:space="0" w:color="auto"/>
              <w:left w:val="nil"/>
              <w:bottom w:val="single" w:sz="8" w:space="0" w:color="auto"/>
              <w:right w:val="single" w:sz="8" w:space="0" w:color="auto"/>
            </w:tcBorders>
            <w:shd w:val="clear" w:color="auto" w:fill="EAF1DD" w:themeFill="accent3" w:themeFillTint="33"/>
            <w:vAlign w:val="bottom"/>
          </w:tcPr>
          <w:p w14:paraId="3C8464E2" w14:textId="03DAA4F9" w:rsidR="003B49BD" w:rsidRPr="000D4EDC" w:rsidRDefault="00003319" w:rsidP="003B49BD">
            <w:pPr>
              <w:jc w:val="center"/>
              <w:rPr>
                <w:rFonts w:ascii="Arial" w:hAnsi="Arial" w:cs="Arial"/>
                <w:b/>
                <w:bCs/>
                <w:sz w:val="20"/>
                <w:szCs w:val="20"/>
              </w:rPr>
            </w:pPr>
            <w:r w:rsidRPr="000D4EDC">
              <w:rPr>
                <w:rFonts w:ascii="Arial" w:hAnsi="Arial" w:cs="Arial"/>
                <w:b/>
                <w:bCs/>
                <w:sz w:val="20"/>
                <w:szCs w:val="20"/>
              </w:rPr>
              <w:t>4,891</w:t>
            </w:r>
          </w:p>
        </w:tc>
        <w:tc>
          <w:tcPr>
            <w:tcW w:w="1560" w:type="dxa"/>
            <w:tcBorders>
              <w:top w:val="nil"/>
              <w:left w:val="nil"/>
              <w:bottom w:val="single" w:sz="8" w:space="0" w:color="auto"/>
              <w:right w:val="single" w:sz="8" w:space="0" w:color="auto"/>
            </w:tcBorders>
            <w:shd w:val="clear" w:color="auto" w:fill="EAF1DD" w:themeFill="accent3" w:themeFillTint="33"/>
            <w:vAlign w:val="bottom"/>
          </w:tcPr>
          <w:p w14:paraId="3E1EF41D" w14:textId="35BF68CC" w:rsidR="003B49BD" w:rsidRPr="000D4EDC" w:rsidRDefault="001D20FF" w:rsidP="003B49BD">
            <w:pPr>
              <w:jc w:val="center"/>
              <w:rPr>
                <w:rFonts w:ascii="Arial" w:hAnsi="Arial" w:cs="Arial"/>
                <w:b/>
                <w:bCs/>
                <w:sz w:val="20"/>
                <w:szCs w:val="20"/>
              </w:rPr>
            </w:pPr>
            <w:r w:rsidRPr="000D4EDC">
              <w:rPr>
                <w:rFonts w:ascii="Arial" w:hAnsi="Arial" w:cs="Arial"/>
                <w:b/>
                <w:bCs/>
                <w:sz w:val="20"/>
                <w:szCs w:val="20"/>
              </w:rPr>
              <w:t>5,968</w:t>
            </w:r>
          </w:p>
        </w:tc>
        <w:tc>
          <w:tcPr>
            <w:tcW w:w="1701" w:type="dxa"/>
            <w:tcBorders>
              <w:top w:val="single" w:sz="8" w:space="0" w:color="auto"/>
              <w:left w:val="single" w:sz="8" w:space="0" w:color="000000"/>
              <w:bottom w:val="single" w:sz="8" w:space="0" w:color="auto"/>
              <w:right w:val="single" w:sz="8" w:space="0" w:color="auto"/>
            </w:tcBorders>
            <w:shd w:val="clear" w:color="auto" w:fill="EAF1DD" w:themeFill="accent3" w:themeFillTint="33"/>
            <w:vAlign w:val="bottom"/>
          </w:tcPr>
          <w:p w14:paraId="4487D759" w14:textId="5AD2CE19" w:rsidR="003B49BD" w:rsidRPr="000D4EDC" w:rsidRDefault="001D20FF" w:rsidP="003B49BD">
            <w:pPr>
              <w:jc w:val="center"/>
              <w:rPr>
                <w:rFonts w:ascii="Arial" w:hAnsi="Arial" w:cs="Arial"/>
                <w:b/>
                <w:bCs/>
                <w:sz w:val="20"/>
                <w:szCs w:val="20"/>
              </w:rPr>
            </w:pPr>
            <w:r w:rsidRPr="000D4EDC">
              <w:rPr>
                <w:rFonts w:ascii="Arial" w:hAnsi="Arial" w:cs="Arial"/>
                <w:b/>
                <w:bCs/>
                <w:sz w:val="20"/>
                <w:szCs w:val="20"/>
              </w:rPr>
              <w:t>1,304</w:t>
            </w:r>
          </w:p>
        </w:tc>
        <w:tc>
          <w:tcPr>
            <w:tcW w:w="992" w:type="dxa"/>
            <w:tcBorders>
              <w:top w:val="single" w:sz="8" w:space="0" w:color="auto"/>
              <w:left w:val="single" w:sz="8" w:space="0" w:color="000000"/>
              <w:bottom w:val="single" w:sz="8" w:space="0" w:color="auto"/>
              <w:right w:val="single" w:sz="8" w:space="0" w:color="auto"/>
            </w:tcBorders>
            <w:shd w:val="clear" w:color="auto" w:fill="EAF1DD" w:themeFill="accent3" w:themeFillTint="33"/>
          </w:tcPr>
          <w:p w14:paraId="3D259715" w14:textId="77777777" w:rsidR="001D20FF" w:rsidRPr="000D4EDC" w:rsidRDefault="001D20FF" w:rsidP="003B49BD">
            <w:pPr>
              <w:jc w:val="center"/>
              <w:rPr>
                <w:rFonts w:ascii="Arial" w:hAnsi="Arial" w:cs="Arial"/>
                <w:b/>
                <w:bCs/>
                <w:sz w:val="20"/>
                <w:szCs w:val="20"/>
              </w:rPr>
            </w:pPr>
          </w:p>
          <w:p w14:paraId="3948DBFA" w14:textId="77777777" w:rsidR="001D20FF" w:rsidRPr="000D4EDC" w:rsidRDefault="001D20FF" w:rsidP="003B49BD">
            <w:pPr>
              <w:jc w:val="center"/>
              <w:rPr>
                <w:rFonts w:ascii="Arial" w:hAnsi="Arial" w:cs="Arial"/>
                <w:b/>
                <w:bCs/>
                <w:sz w:val="20"/>
                <w:szCs w:val="20"/>
              </w:rPr>
            </w:pPr>
          </w:p>
          <w:p w14:paraId="2C3AFCDD" w14:textId="3CA4A34B" w:rsidR="004F5573" w:rsidRPr="000D4EDC" w:rsidRDefault="001D20FF" w:rsidP="003B49BD">
            <w:pPr>
              <w:jc w:val="center"/>
              <w:rPr>
                <w:rFonts w:ascii="Arial" w:hAnsi="Arial" w:cs="Arial"/>
                <w:b/>
                <w:bCs/>
                <w:sz w:val="20"/>
                <w:szCs w:val="20"/>
              </w:rPr>
            </w:pPr>
            <w:r w:rsidRPr="000D4EDC">
              <w:rPr>
                <w:rFonts w:ascii="Arial" w:hAnsi="Arial" w:cs="Arial"/>
                <w:b/>
                <w:bCs/>
                <w:sz w:val="20"/>
                <w:szCs w:val="20"/>
              </w:rPr>
              <w:t>6</w:t>
            </w:r>
            <w:r w:rsidR="005D0F8E">
              <w:rPr>
                <w:rFonts w:ascii="Arial" w:hAnsi="Arial" w:cs="Arial"/>
                <w:b/>
                <w:bCs/>
                <w:sz w:val="20"/>
                <w:szCs w:val="20"/>
              </w:rPr>
              <w:t>6</w:t>
            </w:r>
            <w:r w:rsidRPr="000D4EDC">
              <w:rPr>
                <w:rFonts w:ascii="Arial" w:hAnsi="Arial" w:cs="Arial"/>
                <w:b/>
                <w:bCs/>
                <w:sz w:val="20"/>
                <w:szCs w:val="20"/>
              </w:rPr>
              <w:t>,</w:t>
            </w:r>
            <w:r w:rsidR="005D0F8E">
              <w:rPr>
                <w:rFonts w:ascii="Arial" w:hAnsi="Arial" w:cs="Arial"/>
                <w:b/>
                <w:bCs/>
                <w:sz w:val="20"/>
                <w:szCs w:val="20"/>
              </w:rPr>
              <w:t>88</w:t>
            </w:r>
            <w:r w:rsidR="00092A8D">
              <w:rPr>
                <w:rFonts w:ascii="Arial" w:hAnsi="Arial" w:cs="Arial"/>
                <w:b/>
                <w:bCs/>
                <w:sz w:val="20"/>
                <w:szCs w:val="20"/>
              </w:rPr>
              <w:t>7</w:t>
            </w:r>
          </w:p>
        </w:tc>
      </w:tr>
      <w:tr w:rsidR="008D50CD" w:rsidRPr="00DD5591" w14:paraId="60202A44" w14:textId="51E22A16" w:rsidTr="00FD64E6">
        <w:trPr>
          <w:cantSplit/>
          <w:trHeight w:val="567"/>
        </w:trPr>
        <w:tc>
          <w:tcPr>
            <w:tcW w:w="2410" w:type="dxa"/>
            <w:tcBorders>
              <w:top w:val="single" w:sz="8" w:space="0" w:color="auto"/>
              <w:left w:val="single" w:sz="8" w:space="0" w:color="auto"/>
              <w:bottom w:val="single" w:sz="4" w:space="0" w:color="auto"/>
              <w:right w:val="single" w:sz="8" w:space="0" w:color="auto"/>
            </w:tcBorders>
            <w:shd w:val="clear" w:color="auto" w:fill="EAF1DD" w:themeFill="accent3" w:themeFillTint="33"/>
            <w:vAlign w:val="bottom"/>
            <w:hideMark/>
          </w:tcPr>
          <w:p w14:paraId="58F41ED4" w14:textId="77777777" w:rsidR="003B49BD" w:rsidRPr="000D4EDC" w:rsidRDefault="003B49BD" w:rsidP="003B49BD">
            <w:pPr>
              <w:rPr>
                <w:rFonts w:ascii="Arial" w:hAnsi="Arial" w:cs="Arial"/>
                <w:b/>
                <w:bCs/>
                <w:sz w:val="20"/>
                <w:szCs w:val="20"/>
              </w:rPr>
            </w:pPr>
            <w:r w:rsidRPr="000D4EDC">
              <w:rPr>
                <w:rFonts w:ascii="Arial" w:hAnsi="Arial" w:cs="Arial"/>
                <w:b/>
                <w:bCs/>
                <w:sz w:val="20"/>
                <w:szCs w:val="20"/>
              </w:rPr>
              <w:t>Depreciation</w:t>
            </w:r>
          </w:p>
        </w:tc>
        <w:tc>
          <w:tcPr>
            <w:tcW w:w="993" w:type="dxa"/>
            <w:tcBorders>
              <w:top w:val="nil"/>
              <w:left w:val="nil"/>
              <w:bottom w:val="nil"/>
              <w:right w:val="single" w:sz="8" w:space="0" w:color="auto"/>
            </w:tcBorders>
            <w:shd w:val="clear" w:color="auto" w:fill="EAF1DD" w:themeFill="accent3" w:themeFillTint="33"/>
            <w:vAlign w:val="bottom"/>
          </w:tcPr>
          <w:p w14:paraId="284F7E1D" w14:textId="77777777" w:rsidR="003B49BD" w:rsidRPr="000D4EDC" w:rsidRDefault="003B49BD" w:rsidP="003B49BD">
            <w:pPr>
              <w:jc w:val="center"/>
              <w:rPr>
                <w:rFonts w:ascii="Arial" w:hAnsi="Arial" w:cs="Arial"/>
                <w:sz w:val="20"/>
                <w:szCs w:val="20"/>
              </w:rPr>
            </w:pPr>
          </w:p>
        </w:tc>
        <w:tc>
          <w:tcPr>
            <w:tcW w:w="1417" w:type="dxa"/>
            <w:tcBorders>
              <w:top w:val="nil"/>
              <w:left w:val="nil"/>
              <w:bottom w:val="nil"/>
              <w:right w:val="nil"/>
            </w:tcBorders>
            <w:shd w:val="clear" w:color="auto" w:fill="EAF1DD" w:themeFill="accent3" w:themeFillTint="33"/>
            <w:vAlign w:val="bottom"/>
          </w:tcPr>
          <w:p w14:paraId="0CA5E2E0" w14:textId="77777777" w:rsidR="003B49BD" w:rsidRPr="000D4EDC" w:rsidRDefault="003B49BD" w:rsidP="003B49BD">
            <w:pPr>
              <w:jc w:val="center"/>
              <w:rPr>
                <w:rFonts w:ascii="Arial" w:hAnsi="Arial" w:cs="Arial"/>
                <w:sz w:val="20"/>
                <w:szCs w:val="20"/>
              </w:rPr>
            </w:pPr>
          </w:p>
        </w:tc>
        <w:tc>
          <w:tcPr>
            <w:tcW w:w="1276" w:type="dxa"/>
            <w:tcBorders>
              <w:top w:val="nil"/>
              <w:left w:val="single" w:sz="8" w:space="0" w:color="auto"/>
              <w:bottom w:val="nil"/>
              <w:right w:val="single" w:sz="4" w:space="0" w:color="auto"/>
            </w:tcBorders>
            <w:shd w:val="clear" w:color="auto" w:fill="EAF1DD" w:themeFill="accent3" w:themeFillTint="33"/>
            <w:vAlign w:val="bottom"/>
          </w:tcPr>
          <w:p w14:paraId="52FD51AA" w14:textId="756B7BEF" w:rsidR="003B49BD" w:rsidRPr="000D4EDC" w:rsidRDefault="003B49BD" w:rsidP="003B49BD">
            <w:pPr>
              <w:jc w:val="center"/>
              <w:rPr>
                <w:rFonts w:ascii="Arial" w:hAnsi="Arial" w:cs="Arial"/>
                <w:sz w:val="20"/>
                <w:szCs w:val="20"/>
              </w:rPr>
            </w:pP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5B32B9A1" w14:textId="1C0E8E08" w:rsidR="003B49BD" w:rsidRPr="000D4EDC" w:rsidRDefault="003B49BD" w:rsidP="003B49BD">
            <w:pPr>
              <w:jc w:val="center"/>
              <w:rPr>
                <w:rFonts w:ascii="Arial" w:hAnsi="Arial" w:cs="Arial"/>
                <w:sz w:val="20"/>
                <w:szCs w:val="20"/>
              </w:rPr>
            </w:pPr>
          </w:p>
        </w:tc>
        <w:tc>
          <w:tcPr>
            <w:tcW w:w="1701" w:type="dxa"/>
            <w:tcBorders>
              <w:top w:val="nil"/>
              <w:left w:val="single" w:sz="4" w:space="0" w:color="auto"/>
              <w:bottom w:val="nil"/>
              <w:right w:val="nil"/>
            </w:tcBorders>
            <w:shd w:val="clear" w:color="auto" w:fill="EAF1DD" w:themeFill="accent3" w:themeFillTint="33"/>
            <w:vAlign w:val="bottom"/>
          </w:tcPr>
          <w:p w14:paraId="44082B48" w14:textId="033ED218" w:rsidR="003B49BD" w:rsidRPr="000D4EDC" w:rsidRDefault="003B49BD" w:rsidP="003B49BD">
            <w:pPr>
              <w:jc w:val="center"/>
              <w:rPr>
                <w:rFonts w:ascii="Arial" w:hAnsi="Arial" w:cs="Arial"/>
                <w:sz w:val="20"/>
                <w:szCs w:val="20"/>
              </w:rPr>
            </w:pPr>
          </w:p>
        </w:tc>
        <w:tc>
          <w:tcPr>
            <w:tcW w:w="992" w:type="dxa"/>
            <w:tcBorders>
              <w:top w:val="nil"/>
              <w:left w:val="single" w:sz="8" w:space="0" w:color="auto"/>
              <w:bottom w:val="nil"/>
              <w:right w:val="single" w:sz="8" w:space="0" w:color="auto"/>
            </w:tcBorders>
            <w:shd w:val="clear" w:color="auto" w:fill="EAF1DD" w:themeFill="accent3" w:themeFillTint="33"/>
            <w:vAlign w:val="bottom"/>
          </w:tcPr>
          <w:p w14:paraId="0871422D" w14:textId="77777777" w:rsidR="003B49BD" w:rsidRPr="000D4EDC" w:rsidRDefault="003B49BD" w:rsidP="003B49BD">
            <w:pPr>
              <w:jc w:val="center"/>
              <w:rPr>
                <w:rFonts w:ascii="Arial" w:hAnsi="Arial" w:cs="Arial"/>
                <w:sz w:val="20"/>
                <w:szCs w:val="20"/>
              </w:rPr>
            </w:pPr>
          </w:p>
        </w:tc>
        <w:tc>
          <w:tcPr>
            <w:tcW w:w="1276" w:type="dxa"/>
            <w:tcBorders>
              <w:top w:val="nil"/>
              <w:left w:val="nil"/>
              <w:bottom w:val="nil"/>
              <w:right w:val="nil"/>
            </w:tcBorders>
            <w:shd w:val="clear" w:color="auto" w:fill="EAF1DD" w:themeFill="accent3" w:themeFillTint="33"/>
            <w:vAlign w:val="bottom"/>
          </w:tcPr>
          <w:p w14:paraId="7C0463BA" w14:textId="77777777" w:rsidR="003B49BD" w:rsidRPr="000D4EDC" w:rsidRDefault="003B49BD" w:rsidP="003B49BD">
            <w:pPr>
              <w:jc w:val="center"/>
              <w:rPr>
                <w:rFonts w:ascii="Arial" w:hAnsi="Arial" w:cs="Arial"/>
                <w:sz w:val="20"/>
                <w:szCs w:val="20"/>
              </w:rPr>
            </w:pPr>
          </w:p>
        </w:tc>
        <w:tc>
          <w:tcPr>
            <w:tcW w:w="1276" w:type="dxa"/>
            <w:tcBorders>
              <w:top w:val="nil"/>
              <w:left w:val="single" w:sz="8" w:space="0" w:color="auto"/>
              <w:bottom w:val="nil"/>
              <w:right w:val="single" w:sz="8" w:space="0" w:color="auto"/>
            </w:tcBorders>
            <w:shd w:val="clear" w:color="auto" w:fill="EAF1DD" w:themeFill="accent3" w:themeFillTint="33"/>
            <w:vAlign w:val="bottom"/>
          </w:tcPr>
          <w:p w14:paraId="4F72DD4A" w14:textId="77777777" w:rsidR="003B49BD" w:rsidRPr="000D4EDC" w:rsidRDefault="003B49BD" w:rsidP="003B49BD">
            <w:pPr>
              <w:jc w:val="center"/>
              <w:rPr>
                <w:rFonts w:ascii="Arial" w:hAnsi="Arial" w:cs="Arial"/>
                <w:sz w:val="20"/>
                <w:szCs w:val="20"/>
              </w:rPr>
            </w:pPr>
          </w:p>
        </w:tc>
        <w:tc>
          <w:tcPr>
            <w:tcW w:w="1701" w:type="dxa"/>
            <w:tcBorders>
              <w:top w:val="nil"/>
              <w:left w:val="nil"/>
              <w:bottom w:val="nil"/>
              <w:right w:val="single" w:sz="8" w:space="0" w:color="000000"/>
            </w:tcBorders>
            <w:shd w:val="clear" w:color="auto" w:fill="EAF1DD" w:themeFill="accent3" w:themeFillTint="33"/>
            <w:vAlign w:val="bottom"/>
          </w:tcPr>
          <w:p w14:paraId="04A05081" w14:textId="77777777" w:rsidR="003B49BD" w:rsidRPr="000D4EDC" w:rsidRDefault="003B49BD" w:rsidP="003B49BD">
            <w:pPr>
              <w:jc w:val="center"/>
              <w:rPr>
                <w:rFonts w:ascii="Arial" w:hAnsi="Arial" w:cs="Arial"/>
                <w:sz w:val="20"/>
                <w:szCs w:val="20"/>
              </w:rPr>
            </w:pPr>
          </w:p>
        </w:tc>
        <w:tc>
          <w:tcPr>
            <w:tcW w:w="1559" w:type="dxa"/>
            <w:tcBorders>
              <w:top w:val="nil"/>
              <w:left w:val="single" w:sz="8" w:space="0" w:color="000000"/>
              <w:bottom w:val="nil"/>
              <w:right w:val="single" w:sz="8" w:space="0" w:color="auto"/>
            </w:tcBorders>
            <w:shd w:val="clear" w:color="auto" w:fill="EAF1DD" w:themeFill="accent3" w:themeFillTint="33"/>
            <w:vAlign w:val="bottom"/>
          </w:tcPr>
          <w:p w14:paraId="153D1891" w14:textId="77777777" w:rsidR="003B49BD" w:rsidRPr="000D4EDC" w:rsidRDefault="003B49BD" w:rsidP="003B49BD">
            <w:pPr>
              <w:jc w:val="center"/>
              <w:rPr>
                <w:rFonts w:ascii="Arial" w:hAnsi="Arial" w:cs="Arial"/>
                <w:sz w:val="20"/>
                <w:szCs w:val="20"/>
              </w:rPr>
            </w:pPr>
          </w:p>
        </w:tc>
        <w:tc>
          <w:tcPr>
            <w:tcW w:w="1559" w:type="dxa"/>
            <w:tcBorders>
              <w:top w:val="nil"/>
              <w:left w:val="nil"/>
              <w:bottom w:val="nil"/>
              <w:right w:val="single" w:sz="8" w:space="0" w:color="auto"/>
            </w:tcBorders>
            <w:shd w:val="clear" w:color="auto" w:fill="EAF1DD" w:themeFill="accent3" w:themeFillTint="33"/>
            <w:noWrap/>
            <w:vAlign w:val="bottom"/>
          </w:tcPr>
          <w:p w14:paraId="63E432E3" w14:textId="77777777" w:rsidR="003B49BD" w:rsidRPr="000D4EDC" w:rsidRDefault="003B49BD" w:rsidP="003B49BD">
            <w:pPr>
              <w:jc w:val="center"/>
              <w:rPr>
                <w:rFonts w:ascii="Arial" w:hAnsi="Arial" w:cs="Arial"/>
                <w:b/>
                <w:bCs/>
                <w:sz w:val="20"/>
                <w:szCs w:val="20"/>
              </w:rPr>
            </w:pPr>
          </w:p>
        </w:tc>
        <w:tc>
          <w:tcPr>
            <w:tcW w:w="1559" w:type="dxa"/>
            <w:tcBorders>
              <w:top w:val="nil"/>
              <w:left w:val="nil"/>
              <w:bottom w:val="nil"/>
              <w:right w:val="nil"/>
            </w:tcBorders>
            <w:shd w:val="clear" w:color="auto" w:fill="EAF1DD" w:themeFill="accent3" w:themeFillTint="33"/>
            <w:noWrap/>
            <w:vAlign w:val="bottom"/>
          </w:tcPr>
          <w:p w14:paraId="448121DB" w14:textId="77777777" w:rsidR="003B49BD" w:rsidRPr="000D4EDC" w:rsidRDefault="003B49BD" w:rsidP="003B49BD">
            <w:pPr>
              <w:jc w:val="center"/>
              <w:rPr>
                <w:rFonts w:ascii="Arial" w:hAnsi="Arial" w:cs="Arial"/>
                <w:b/>
                <w:bCs/>
                <w:sz w:val="20"/>
                <w:szCs w:val="20"/>
              </w:rPr>
            </w:pPr>
          </w:p>
        </w:tc>
        <w:tc>
          <w:tcPr>
            <w:tcW w:w="1560" w:type="dxa"/>
            <w:tcBorders>
              <w:top w:val="nil"/>
              <w:left w:val="single" w:sz="8" w:space="0" w:color="auto"/>
              <w:bottom w:val="nil"/>
              <w:right w:val="single" w:sz="8" w:space="0" w:color="auto"/>
            </w:tcBorders>
            <w:shd w:val="clear" w:color="auto" w:fill="EAF1DD" w:themeFill="accent3" w:themeFillTint="33"/>
            <w:noWrap/>
            <w:vAlign w:val="bottom"/>
          </w:tcPr>
          <w:p w14:paraId="28FC9DE9" w14:textId="77777777" w:rsidR="003B49BD" w:rsidRPr="000D4EDC" w:rsidRDefault="003B49BD" w:rsidP="003B49BD">
            <w:pPr>
              <w:jc w:val="center"/>
              <w:rPr>
                <w:rFonts w:ascii="Arial" w:hAnsi="Arial" w:cs="Arial"/>
                <w:b/>
                <w:bCs/>
                <w:sz w:val="20"/>
                <w:szCs w:val="20"/>
              </w:rPr>
            </w:pPr>
          </w:p>
        </w:tc>
        <w:tc>
          <w:tcPr>
            <w:tcW w:w="1701" w:type="dxa"/>
            <w:tcBorders>
              <w:top w:val="nil"/>
              <w:left w:val="single" w:sz="8" w:space="0" w:color="000000"/>
              <w:bottom w:val="nil"/>
              <w:right w:val="single" w:sz="8" w:space="0" w:color="auto"/>
            </w:tcBorders>
            <w:shd w:val="clear" w:color="auto" w:fill="EAF1DD" w:themeFill="accent3" w:themeFillTint="33"/>
            <w:noWrap/>
            <w:vAlign w:val="bottom"/>
          </w:tcPr>
          <w:p w14:paraId="7E42B4D4" w14:textId="77777777" w:rsidR="003B49BD" w:rsidRPr="000D4EDC" w:rsidRDefault="003B49BD" w:rsidP="003B49BD">
            <w:pPr>
              <w:jc w:val="center"/>
              <w:rPr>
                <w:rFonts w:ascii="Arial" w:hAnsi="Arial" w:cs="Arial"/>
                <w:b/>
                <w:bCs/>
                <w:sz w:val="20"/>
                <w:szCs w:val="20"/>
              </w:rPr>
            </w:pPr>
          </w:p>
        </w:tc>
        <w:tc>
          <w:tcPr>
            <w:tcW w:w="992" w:type="dxa"/>
            <w:tcBorders>
              <w:top w:val="nil"/>
              <w:left w:val="single" w:sz="8" w:space="0" w:color="000000"/>
              <w:bottom w:val="nil"/>
              <w:right w:val="single" w:sz="8" w:space="0" w:color="auto"/>
            </w:tcBorders>
            <w:shd w:val="clear" w:color="auto" w:fill="EAF1DD" w:themeFill="accent3" w:themeFillTint="33"/>
          </w:tcPr>
          <w:p w14:paraId="6C7574F1" w14:textId="77777777" w:rsidR="003B49BD" w:rsidRPr="000D4EDC" w:rsidRDefault="003B49BD" w:rsidP="003B49BD">
            <w:pPr>
              <w:jc w:val="center"/>
              <w:rPr>
                <w:rFonts w:ascii="Arial" w:hAnsi="Arial" w:cs="Arial"/>
                <w:b/>
                <w:bCs/>
                <w:sz w:val="20"/>
                <w:szCs w:val="20"/>
              </w:rPr>
            </w:pPr>
          </w:p>
        </w:tc>
      </w:tr>
      <w:tr w:rsidR="008D50CD" w:rsidRPr="00DD5591" w14:paraId="38A4307F" w14:textId="7F535E30" w:rsidTr="00FD64E6">
        <w:trPr>
          <w:cantSplit/>
          <w:trHeight w:val="227"/>
        </w:trPr>
        <w:tc>
          <w:tcPr>
            <w:tcW w:w="2410" w:type="dxa"/>
            <w:tcBorders>
              <w:top w:val="single" w:sz="4" w:space="0" w:color="auto"/>
              <w:left w:val="single" w:sz="8" w:space="0" w:color="auto"/>
              <w:bottom w:val="nil"/>
              <w:right w:val="single" w:sz="8" w:space="0" w:color="auto"/>
            </w:tcBorders>
            <w:shd w:val="clear" w:color="auto" w:fill="EAF1DD" w:themeFill="accent3" w:themeFillTint="33"/>
            <w:vAlign w:val="bottom"/>
          </w:tcPr>
          <w:p w14:paraId="4D025948" w14:textId="3A30AD12" w:rsidR="003B49BD" w:rsidRPr="000D4EDC" w:rsidRDefault="003B49BD" w:rsidP="003B49BD">
            <w:pPr>
              <w:rPr>
                <w:rFonts w:ascii="Arial" w:hAnsi="Arial" w:cs="Arial"/>
                <w:sz w:val="20"/>
                <w:szCs w:val="20"/>
              </w:rPr>
            </w:pPr>
            <w:r w:rsidRPr="000D4EDC">
              <w:rPr>
                <w:rFonts w:ascii="Arial" w:hAnsi="Arial" w:cs="Arial"/>
                <w:sz w:val="20"/>
                <w:szCs w:val="20"/>
              </w:rPr>
              <w:t>1 April 202</w:t>
            </w:r>
            <w:r w:rsidR="00937F30" w:rsidRPr="000D4EDC">
              <w:rPr>
                <w:rFonts w:ascii="Arial" w:hAnsi="Arial" w:cs="Arial"/>
                <w:sz w:val="20"/>
                <w:szCs w:val="20"/>
              </w:rPr>
              <w:t>1</w:t>
            </w:r>
          </w:p>
        </w:tc>
        <w:tc>
          <w:tcPr>
            <w:tcW w:w="993" w:type="dxa"/>
            <w:tcBorders>
              <w:top w:val="single" w:sz="8" w:space="0" w:color="auto"/>
              <w:left w:val="single" w:sz="8" w:space="0" w:color="auto"/>
              <w:right w:val="single" w:sz="8" w:space="0" w:color="auto"/>
            </w:tcBorders>
            <w:shd w:val="clear" w:color="auto" w:fill="EAF1DD" w:themeFill="accent3" w:themeFillTint="33"/>
            <w:vAlign w:val="bottom"/>
          </w:tcPr>
          <w:p w14:paraId="6E27EC2E" w14:textId="2143D3AC" w:rsidR="003B49BD" w:rsidRPr="000D4EDC" w:rsidRDefault="00CD3316" w:rsidP="003B49BD">
            <w:pPr>
              <w:jc w:val="center"/>
              <w:rPr>
                <w:rFonts w:ascii="Arial" w:hAnsi="Arial" w:cs="Arial"/>
                <w:sz w:val="20"/>
                <w:szCs w:val="20"/>
              </w:rPr>
            </w:pPr>
            <w:r w:rsidRPr="000D4EDC">
              <w:rPr>
                <w:rFonts w:ascii="Arial" w:hAnsi="Arial" w:cs="Arial"/>
                <w:sz w:val="20"/>
                <w:szCs w:val="20"/>
              </w:rPr>
              <w:t>0</w:t>
            </w:r>
          </w:p>
        </w:tc>
        <w:tc>
          <w:tcPr>
            <w:tcW w:w="1417" w:type="dxa"/>
            <w:tcBorders>
              <w:top w:val="single" w:sz="8" w:space="0" w:color="auto"/>
              <w:left w:val="nil"/>
              <w:right w:val="nil"/>
            </w:tcBorders>
            <w:shd w:val="clear" w:color="auto" w:fill="EAF1DD" w:themeFill="accent3" w:themeFillTint="33"/>
            <w:vAlign w:val="bottom"/>
          </w:tcPr>
          <w:p w14:paraId="0C9C966D" w14:textId="421C2F6C" w:rsidR="003B49BD" w:rsidRPr="000D4EDC" w:rsidRDefault="00CD3316" w:rsidP="003B49BD">
            <w:pPr>
              <w:jc w:val="center"/>
              <w:rPr>
                <w:rFonts w:ascii="Arial" w:hAnsi="Arial" w:cs="Arial"/>
                <w:bCs/>
                <w:sz w:val="20"/>
                <w:szCs w:val="20"/>
              </w:rPr>
            </w:pPr>
            <w:r w:rsidRPr="000D4EDC">
              <w:rPr>
                <w:rFonts w:ascii="Arial" w:hAnsi="Arial" w:cs="Arial"/>
                <w:bCs/>
                <w:sz w:val="20"/>
                <w:szCs w:val="20"/>
              </w:rPr>
              <w:t>0</w:t>
            </w:r>
          </w:p>
        </w:tc>
        <w:tc>
          <w:tcPr>
            <w:tcW w:w="1276" w:type="dxa"/>
            <w:tcBorders>
              <w:top w:val="single" w:sz="8" w:space="0" w:color="auto"/>
              <w:left w:val="single" w:sz="8" w:space="0" w:color="auto"/>
              <w:right w:val="single" w:sz="4" w:space="0" w:color="auto"/>
            </w:tcBorders>
            <w:shd w:val="clear" w:color="auto" w:fill="EAF1DD" w:themeFill="accent3" w:themeFillTint="33"/>
            <w:vAlign w:val="bottom"/>
          </w:tcPr>
          <w:p w14:paraId="6E4394DC" w14:textId="319B18C7" w:rsidR="003B49BD" w:rsidRPr="000D4EDC" w:rsidRDefault="00824B61" w:rsidP="003B49BD">
            <w:pPr>
              <w:jc w:val="center"/>
              <w:rPr>
                <w:rFonts w:ascii="Arial" w:hAnsi="Arial" w:cs="Arial"/>
                <w:bCs/>
                <w:sz w:val="20"/>
                <w:szCs w:val="20"/>
              </w:rPr>
            </w:pPr>
            <w:r w:rsidRPr="000D4EDC">
              <w:rPr>
                <w:rFonts w:ascii="Arial" w:hAnsi="Arial" w:cs="Arial"/>
                <w:bCs/>
                <w:sz w:val="20"/>
                <w:szCs w:val="20"/>
              </w:rPr>
              <w:t>3,527</w:t>
            </w:r>
          </w:p>
        </w:tc>
        <w:tc>
          <w:tcPr>
            <w:tcW w:w="1134" w:type="dxa"/>
            <w:tcBorders>
              <w:top w:val="single" w:sz="8" w:space="0" w:color="auto"/>
              <w:left w:val="single" w:sz="4" w:space="0" w:color="auto"/>
              <w:right w:val="single" w:sz="4" w:space="0" w:color="auto"/>
            </w:tcBorders>
            <w:shd w:val="clear" w:color="auto" w:fill="EAF1DD" w:themeFill="accent3" w:themeFillTint="33"/>
            <w:vAlign w:val="bottom"/>
          </w:tcPr>
          <w:p w14:paraId="31B29DC8" w14:textId="22B95ABF" w:rsidR="003B49BD" w:rsidRPr="000D4EDC" w:rsidRDefault="00824B61" w:rsidP="003B49BD">
            <w:pPr>
              <w:jc w:val="center"/>
              <w:rPr>
                <w:rFonts w:ascii="Arial" w:hAnsi="Arial" w:cs="Arial"/>
                <w:bCs/>
                <w:sz w:val="20"/>
                <w:szCs w:val="20"/>
              </w:rPr>
            </w:pPr>
            <w:r w:rsidRPr="000D4EDC">
              <w:rPr>
                <w:rFonts w:ascii="Arial" w:hAnsi="Arial" w:cs="Arial"/>
                <w:bCs/>
                <w:sz w:val="20"/>
                <w:szCs w:val="20"/>
              </w:rPr>
              <w:t>1,964</w:t>
            </w:r>
          </w:p>
        </w:tc>
        <w:tc>
          <w:tcPr>
            <w:tcW w:w="1701" w:type="dxa"/>
            <w:tcBorders>
              <w:top w:val="single" w:sz="8" w:space="0" w:color="auto"/>
              <w:left w:val="single" w:sz="4" w:space="0" w:color="auto"/>
              <w:right w:val="single" w:sz="8" w:space="0" w:color="auto"/>
            </w:tcBorders>
            <w:shd w:val="clear" w:color="auto" w:fill="EAF1DD" w:themeFill="accent3" w:themeFillTint="33"/>
            <w:vAlign w:val="bottom"/>
          </w:tcPr>
          <w:p w14:paraId="2C5BBDD3" w14:textId="6F8F70AC" w:rsidR="003B49BD" w:rsidRPr="000D4EDC" w:rsidRDefault="00824B61" w:rsidP="003B49BD">
            <w:pPr>
              <w:jc w:val="center"/>
              <w:rPr>
                <w:rFonts w:ascii="Arial" w:hAnsi="Arial" w:cs="Arial"/>
                <w:bCs/>
                <w:sz w:val="20"/>
                <w:szCs w:val="20"/>
              </w:rPr>
            </w:pPr>
            <w:r w:rsidRPr="000D4EDC">
              <w:rPr>
                <w:rFonts w:ascii="Arial" w:hAnsi="Arial" w:cs="Arial"/>
                <w:bCs/>
                <w:sz w:val="20"/>
                <w:szCs w:val="20"/>
              </w:rPr>
              <w:t>7,977</w:t>
            </w:r>
          </w:p>
        </w:tc>
        <w:tc>
          <w:tcPr>
            <w:tcW w:w="992" w:type="dxa"/>
            <w:tcBorders>
              <w:top w:val="single" w:sz="8" w:space="0" w:color="auto"/>
              <w:left w:val="nil"/>
              <w:right w:val="nil"/>
            </w:tcBorders>
            <w:shd w:val="clear" w:color="auto" w:fill="EAF1DD" w:themeFill="accent3" w:themeFillTint="33"/>
            <w:vAlign w:val="bottom"/>
          </w:tcPr>
          <w:p w14:paraId="568E1C05" w14:textId="4E541614" w:rsidR="003B49BD" w:rsidRPr="000D4EDC" w:rsidRDefault="00CD3316" w:rsidP="003B49BD">
            <w:pPr>
              <w:jc w:val="center"/>
              <w:rPr>
                <w:rFonts w:ascii="Arial" w:hAnsi="Arial" w:cs="Arial"/>
                <w:bCs/>
                <w:sz w:val="20"/>
                <w:szCs w:val="20"/>
              </w:rPr>
            </w:pPr>
            <w:r w:rsidRPr="000D4EDC">
              <w:rPr>
                <w:rFonts w:ascii="Arial" w:hAnsi="Arial" w:cs="Arial"/>
                <w:bCs/>
                <w:sz w:val="20"/>
                <w:szCs w:val="20"/>
              </w:rPr>
              <w:t>0</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24D5D9E3" w14:textId="6DCCFE14" w:rsidR="003B49BD" w:rsidRPr="000D4EDC" w:rsidRDefault="00CD3316" w:rsidP="003B49BD">
            <w:pPr>
              <w:jc w:val="center"/>
              <w:rPr>
                <w:rFonts w:ascii="Arial" w:hAnsi="Arial" w:cs="Arial"/>
                <w:bCs/>
                <w:sz w:val="20"/>
                <w:szCs w:val="20"/>
              </w:rPr>
            </w:pPr>
            <w:r w:rsidRPr="000D4EDC">
              <w:rPr>
                <w:rFonts w:ascii="Arial" w:hAnsi="Arial" w:cs="Arial"/>
                <w:bCs/>
                <w:sz w:val="20"/>
                <w:szCs w:val="20"/>
              </w:rPr>
              <w:t>1,883</w:t>
            </w:r>
          </w:p>
        </w:tc>
        <w:tc>
          <w:tcPr>
            <w:tcW w:w="1276" w:type="dxa"/>
            <w:tcBorders>
              <w:top w:val="single" w:sz="8" w:space="0" w:color="auto"/>
              <w:left w:val="nil"/>
              <w:right w:val="nil"/>
            </w:tcBorders>
            <w:shd w:val="clear" w:color="auto" w:fill="EAF1DD" w:themeFill="accent3" w:themeFillTint="33"/>
            <w:vAlign w:val="bottom"/>
          </w:tcPr>
          <w:p w14:paraId="3B14ACC9" w14:textId="5888B217" w:rsidR="003B49BD" w:rsidRPr="000D4EDC" w:rsidRDefault="00CD3316" w:rsidP="003B49BD">
            <w:pPr>
              <w:jc w:val="center"/>
              <w:rPr>
                <w:rFonts w:ascii="Arial" w:hAnsi="Arial" w:cs="Arial"/>
                <w:bCs/>
                <w:sz w:val="20"/>
                <w:szCs w:val="20"/>
              </w:rPr>
            </w:pPr>
            <w:r w:rsidRPr="000D4EDC">
              <w:rPr>
                <w:rFonts w:ascii="Arial" w:hAnsi="Arial" w:cs="Arial"/>
                <w:bCs/>
                <w:sz w:val="20"/>
                <w:szCs w:val="20"/>
              </w:rPr>
              <w:t>438</w:t>
            </w:r>
          </w:p>
        </w:tc>
        <w:tc>
          <w:tcPr>
            <w:tcW w:w="1701" w:type="dxa"/>
            <w:tcBorders>
              <w:top w:val="single" w:sz="8" w:space="0" w:color="auto"/>
              <w:left w:val="single" w:sz="8" w:space="0" w:color="auto"/>
              <w:right w:val="single" w:sz="8" w:space="0" w:color="000000"/>
            </w:tcBorders>
            <w:shd w:val="clear" w:color="auto" w:fill="EAF1DD" w:themeFill="accent3" w:themeFillTint="33"/>
            <w:vAlign w:val="bottom"/>
          </w:tcPr>
          <w:p w14:paraId="23357443" w14:textId="2EB28B17" w:rsidR="003B49BD" w:rsidRPr="000D4EDC" w:rsidRDefault="00CD3316" w:rsidP="003B49BD">
            <w:pPr>
              <w:jc w:val="center"/>
              <w:rPr>
                <w:rFonts w:ascii="Arial" w:hAnsi="Arial" w:cs="Arial"/>
                <w:bCs/>
                <w:sz w:val="20"/>
                <w:szCs w:val="20"/>
              </w:rPr>
            </w:pPr>
            <w:r w:rsidRPr="000D4EDC">
              <w:rPr>
                <w:rFonts w:ascii="Arial" w:hAnsi="Arial" w:cs="Arial"/>
                <w:bCs/>
                <w:sz w:val="20"/>
                <w:szCs w:val="20"/>
              </w:rPr>
              <w:t>193</w:t>
            </w:r>
          </w:p>
        </w:tc>
        <w:tc>
          <w:tcPr>
            <w:tcW w:w="1559" w:type="dxa"/>
            <w:tcBorders>
              <w:top w:val="single" w:sz="8" w:space="0" w:color="auto"/>
              <w:left w:val="single" w:sz="8" w:space="0" w:color="000000"/>
              <w:right w:val="nil"/>
            </w:tcBorders>
            <w:shd w:val="clear" w:color="auto" w:fill="EAF1DD" w:themeFill="accent3" w:themeFillTint="33"/>
            <w:vAlign w:val="bottom"/>
          </w:tcPr>
          <w:p w14:paraId="54B9EEA1" w14:textId="660C7386" w:rsidR="003B49BD" w:rsidRPr="000D4EDC" w:rsidRDefault="00CD3316" w:rsidP="003B49BD">
            <w:pPr>
              <w:jc w:val="center"/>
              <w:rPr>
                <w:rFonts w:ascii="Arial" w:hAnsi="Arial" w:cs="Arial"/>
                <w:bCs/>
                <w:sz w:val="20"/>
                <w:szCs w:val="20"/>
              </w:rPr>
            </w:pPr>
            <w:r w:rsidRPr="000D4EDC">
              <w:rPr>
                <w:rFonts w:ascii="Arial" w:hAnsi="Arial" w:cs="Arial"/>
                <w:bCs/>
                <w:sz w:val="20"/>
                <w:szCs w:val="20"/>
              </w:rPr>
              <w:t>15,982</w:t>
            </w:r>
          </w:p>
        </w:tc>
        <w:tc>
          <w:tcPr>
            <w:tcW w:w="1559" w:type="dxa"/>
            <w:tcBorders>
              <w:top w:val="single" w:sz="4" w:space="0" w:color="auto"/>
              <w:left w:val="single" w:sz="8" w:space="0" w:color="auto"/>
              <w:right w:val="single" w:sz="8" w:space="0" w:color="auto"/>
            </w:tcBorders>
            <w:shd w:val="clear" w:color="auto" w:fill="EAF1DD" w:themeFill="accent3" w:themeFillTint="33"/>
            <w:vAlign w:val="bottom"/>
          </w:tcPr>
          <w:p w14:paraId="7C046A7B" w14:textId="61B2C7FF" w:rsidR="003B49BD" w:rsidRPr="000D4EDC" w:rsidRDefault="00CD3316" w:rsidP="003B49BD">
            <w:pPr>
              <w:jc w:val="center"/>
              <w:rPr>
                <w:rFonts w:ascii="Arial" w:hAnsi="Arial" w:cs="Arial"/>
                <w:bCs/>
                <w:sz w:val="20"/>
                <w:szCs w:val="20"/>
              </w:rPr>
            </w:pPr>
            <w:r w:rsidRPr="000D4EDC">
              <w:rPr>
                <w:rFonts w:ascii="Arial" w:hAnsi="Arial" w:cs="Arial"/>
                <w:bCs/>
                <w:sz w:val="20"/>
                <w:szCs w:val="20"/>
              </w:rPr>
              <w:t>914</w:t>
            </w:r>
          </w:p>
        </w:tc>
        <w:tc>
          <w:tcPr>
            <w:tcW w:w="1559" w:type="dxa"/>
            <w:tcBorders>
              <w:top w:val="single" w:sz="8" w:space="0" w:color="auto"/>
              <w:left w:val="nil"/>
              <w:right w:val="nil"/>
            </w:tcBorders>
            <w:shd w:val="clear" w:color="auto" w:fill="EAF1DD" w:themeFill="accent3" w:themeFillTint="33"/>
            <w:vAlign w:val="bottom"/>
          </w:tcPr>
          <w:p w14:paraId="5075E246" w14:textId="48C389B2" w:rsidR="003B49BD" w:rsidRPr="000D4EDC" w:rsidRDefault="00CD3316" w:rsidP="003B49BD">
            <w:pPr>
              <w:jc w:val="center"/>
              <w:rPr>
                <w:rFonts w:ascii="Arial" w:hAnsi="Arial" w:cs="Arial"/>
                <w:bCs/>
                <w:sz w:val="20"/>
                <w:szCs w:val="20"/>
              </w:rPr>
            </w:pPr>
            <w:r w:rsidRPr="000D4EDC">
              <w:rPr>
                <w:rFonts w:ascii="Arial" w:hAnsi="Arial" w:cs="Arial"/>
                <w:bCs/>
                <w:sz w:val="20"/>
                <w:szCs w:val="20"/>
              </w:rPr>
              <w:t>3,531</w:t>
            </w:r>
          </w:p>
        </w:tc>
        <w:tc>
          <w:tcPr>
            <w:tcW w:w="1560" w:type="dxa"/>
            <w:tcBorders>
              <w:top w:val="single" w:sz="8" w:space="0" w:color="auto"/>
              <w:left w:val="single" w:sz="8" w:space="0" w:color="auto"/>
              <w:right w:val="single" w:sz="8" w:space="0" w:color="auto"/>
            </w:tcBorders>
            <w:shd w:val="clear" w:color="auto" w:fill="EAF1DD" w:themeFill="accent3" w:themeFillTint="33"/>
            <w:vAlign w:val="bottom"/>
          </w:tcPr>
          <w:p w14:paraId="55767F5B" w14:textId="1199E636" w:rsidR="003B49BD" w:rsidRPr="000D4EDC" w:rsidRDefault="001F643D" w:rsidP="003B49BD">
            <w:pPr>
              <w:jc w:val="center"/>
              <w:rPr>
                <w:rFonts w:ascii="Arial" w:hAnsi="Arial" w:cs="Arial"/>
                <w:bCs/>
                <w:sz w:val="20"/>
                <w:szCs w:val="20"/>
              </w:rPr>
            </w:pPr>
            <w:r w:rsidRPr="000D4EDC">
              <w:rPr>
                <w:rFonts w:ascii="Arial" w:hAnsi="Arial" w:cs="Arial"/>
                <w:bCs/>
                <w:sz w:val="20"/>
                <w:szCs w:val="20"/>
              </w:rPr>
              <w:t>4,445</w:t>
            </w:r>
          </w:p>
        </w:tc>
        <w:tc>
          <w:tcPr>
            <w:tcW w:w="1701" w:type="dxa"/>
            <w:tcBorders>
              <w:top w:val="single" w:sz="8" w:space="0" w:color="auto"/>
              <w:left w:val="single" w:sz="8" w:space="0" w:color="000000"/>
              <w:right w:val="single" w:sz="8" w:space="0" w:color="auto"/>
            </w:tcBorders>
            <w:shd w:val="clear" w:color="auto" w:fill="EAF1DD" w:themeFill="accent3" w:themeFillTint="33"/>
            <w:vAlign w:val="bottom"/>
          </w:tcPr>
          <w:p w14:paraId="3E009D6D" w14:textId="582158B8" w:rsidR="003B49BD" w:rsidRPr="000D4EDC" w:rsidRDefault="001F643D" w:rsidP="003B49BD">
            <w:pPr>
              <w:jc w:val="center"/>
              <w:rPr>
                <w:rFonts w:ascii="Arial" w:hAnsi="Arial" w:cs="Arial"/>
                <w:bCs/>
                <w:sz w:val="20"/>
                <w:szCs w:val="20"/>
              </w:rPr>
            </w:pPr>
            <w:r w:rsidRPr="000D4EDC">
              <w:rPr>
                <w:rFonts w:ascii="Arial" w:hAnsi="Arial" w:cs="Arial"/>
                <w:bCs/>
                <w:sz w:val="20"/>
                <w:szCs w:val="20"/>
              </w:rPr>
              <w:t>0</w:t>
            </w:r>
          </w:p>
        </w:tc>
        <w:tc>
          <w:tcPr>
            <w:tcW w:w="992" w:type="dxa"/>
            <w:tcBorders>
              <w:top w:val="single" w:sz="8" w:space="0" w:color="auto"/>
              <w:left w:val="single" w:sz="8" w:space="0" w:color="000000"/>
              <w:right w:val="single" w:sz="8" w:space="0" w:color="auto"/>
            </w:tcBorders>
            <w:shd w:val="clear" w:color="auto" w:fill="EAF1DD" w:themeFill="accent3" w:themeFillTint="33"/>
          </w:tcPr>
          <w:p w14:paraId="70522743" w14:textId="77777777" w:rsidR="004F5573" w:rsidRPr="000D4EDC" w:rsidRDefault="004F5573" w:rsidP="003B49BD">
            <w:pPr>
              <w:jc w:val="center"/>
              <w:rPr>
                <w:rFonts w:ascii="Arial" w:hAnsi="Arial" w:cs="Arial"/>
                <w:bCs/>
                <w:sz w:val="20"/>
                <w:szCs w:val="20"/>
              </w:rPr>
            </w:pPr>
          </w:p>
          <w:p w14:paraId="4C427E85" w14:textId="77777777" w:rsidR="001F643D" w:rsidRPr="000D4EDC" w:rsidRDefault="001F643D" w:rsidP="003B49BD">
            <w:pPr>
              <w:jc w:val="center"/>
              <w:rPr>
                <w:rFonts w:ascii="Arial" w:hAnsi="Arial" w:cs="Arial"/>
                <w:bCs/>
                <w:sz w:val="20"/>
                <w:szCs w:val="20"/>
              </w:rPr>
            </w:pPr>
          </w:p>
          <w:p w14:paraId="3C5149EE" w14:textId="69BDDFDB" w:rsidR="001F643D" w:rsidRPr="000D4EDC" w:rsidRDefault="001F643D" w:rsidP="003B49BD">
            <w:pPr>
              <w:jc w:val="center"/>
              <w:rPr>
                <w:rFonts w:ascii="Arial" w:hAnsi="Arial" w:cs="Arial"/>
                <w:bCs/>
                <w:sz w:val="20"/>
                <w:szCs w:val="20"/>
              </w:rPr>
            </w:pPr>
            <w:r w:rsidRPr="000D4EDC">
              <w:rPr>
                <w:rFonts w:ascii="Arial" w:hAnsi="Arial" w:cs="Arial"/>
                <w:bCs/>
                <w:sz w:val="20"/>
                <w:szCs w:val="20"/>
              </w:rPr>
              <w:t>20,427</w:t>
            </w:r>
          </w:p>
        </w:tc>
      </w:tr>
      <w:tr w:rsidR="008D50CD" w:rsidRPr="00DD5591" w14:paraId="6C8967CE" w14:textId="77777777" w:rsidTr="00D70089">
        <w:trPr>
          <w:cantSplit/>
          <w:trHeight w:val="680"/>
        </w:trPr>
        <w:tc>
          <w:tcPr>
            <w:tcW w:w="2410" w:type="dxa"/>
            <w:tcBorders>
              <w:top w:val="single" w:sz="4" w:space="0" w:color="auto"/>
              <w:left w:val="single" w:sz="8" w:space="0" w:color="auto"/>
              <w:bottom w:val="nil"/>
              <w:right w:val="single" w:sz="8" w:space="0" w:color="auto"/>
            </w:tcBorders>
            <w:shd w:val="clear" w:color="auto" w:fill="EAF1DD" w:themeFill="accent3" w:themeFillTint="33"/>
            <w:vAlign w:val="bottom"/>
          </w:tcPr>
          <w:p w14:paraId="14BE3DC2" w14:textId="74B27E0F" w:rsidR="001F643D" w:rsidRPr="000D4EDC" w:rsidRDefault="001F643D" w:rsidP="003B49BD">
            <w:pPr>
              <w:rPr>
                <w:rFonts w:ascii="Arial" w:hAnsi="Arial" w:cs="Arial"/>
                <w:sz w:val="20"/>
                <w:szCs w:val="20"/>
              </w:rPr>
            </w:pPr>
            <w:r w:rsidRPr="000D4EDC">
              <w:rPr>
                <w:rFonts w:ascii="Arial" w:hAnsi="Arial" w:cs="Arial"/>
                <w:sz w:val="20"/>
                <w:szCs w:val="20"/>
              </w:rPr>
              <w:t xml:space="preserve">Opening </w:t>
            </w:r>
            <w:r w:rsidR="000845C9">
              <w:rPr>
                <w:rFonts w:ascii="Arial" w:hAnsi="Arial" w:cs="Arial"/>
                <w:sz w:val="20"/>
                <w:szCs w:val="20"/>
              </w:rPr>
              <w:t>b</w:t>
            </w:r>
            <w:r w:rsidRPr="000D4EDC">
              <w:rPr>
                <w:rFonts w:ascii="Arial" w:hAnsi="Arial" w:cs="Arial"/>
                <w:sz w:val="20"/>
                <w:szCs w:val="20"/>
              </w:rPr>
              <w:t>al</w:t>
            </w:r>
            <w:r w:rsidR="009F363F">
              <w:rPr>
                <w:rFonts w:ascii="Arial" w:hAnsi="Arial" w:cs="Arial"/>
                <w:sz w:val="20"/>
                <w:szCs w:val="20"/>
              </w:rPr>
              <w:t xml:space="preserve">ance </w:t>
            </w:r>
            <w:r w:rsidR="000845C9">
              <w:rPr>
                <w:rFonts w:ascii="Arial" w:hAnsi="Arial" w:cs="Arial"/>
                <w:sz w:val="20"/>
                <w:szCs w:val="20"/>
              </w:rPr>
              <w:t>a</w:t>
            </w:r>
            <w:r w:rsidRPr="000D4EDC">
              <w:rPr>
                <w:rFonts w:ascii="Arial" w:hAnsi="Arial" w:cs="Arial"/>
                <w:sz w:val="20"/>
                <w:szCs w:val="20"/>
              </w:rPr>
              <w:t>djustment</w:t>
            </w:r>
          </w:p>
        </w:tc>
        <w:tc>
          <w:tcPr>
            <w:tcW w:w="993" w:type="dxa"/>
            <w:tcBorders>
              <w:top w:val="single" w:sz="8" w:space="0" w:color="auto"/>
              <w:left w:val="single" w:sz="8" w:space="0" w:color="auto"/>
              <w:right w:val="single" w:sz="8" w:space="0" w:color="auto"/>
            </w:tcBorders>
            <w:shd w:val="clear" w:color="auto" w:fill="EAF1DD" w:themeFill="accent3" w:themeFillTint="33"/>
            <w:vAlign w:val="bottom"/>
          </w:tcPr>
          <w:p w14:paraId="6153FAF0" w14:textId="3A17013A" w:rsidR="001F643D" w:rsidRPr="000D4EDC" w:rsidRDefault="00F15D67" w:rsidP="003B49BD">
            <w:pPr>
              <w:jc w:val="center"/>
              <w:rPr>
                <w:rFonts w:ascii="Arial" w:hAnsi="Arial" w:cs="Arial"/>
                <w:sz w:val="20"/>
                <w:szCs w:val="20"/>
              </w:rPr>
            </w:pPr>
            <w:r>
              <w:rPr>
                <w:rFonts w:ascii="Arial" w:hAnsi="Arial" w:cs="Arial"/>
                <w:sz w:val="20"/>
                <w:szCs w:val="20"/>
              </w:rPr>
              <w:t>-</w:t>
            </w:r>
          </w:p>
        </w:tc>
        <w:tc>
          <w:tcPr>
            <w:tcW w:w="1417" w:type="dxa"/>
            <w:tcBorders>
              <w:top w:val="single" w:sz="8" w:space="0" w:color="auto"/>
              <w:left w:val="nil"/>
              <w:right w:val="nil"/>
            </w:tcBorders>
            <w:shd w:val="clear" w:color="auto" w:fill="EAF1DD" w:themeFill="accent3" w:themeFillTint="33"/>
            <w:vAlign w:val="bottom"/>
          </w:tcPr>
          <w:p w14:paraId="6DCEC39E" w14:textId="554E7A31"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single" w:sz="8" w:space="0" w:color="auto"/>
              <w:right w:val="single" w:sz="4" w:space="0" w:color="auto"/>
            </w:tcBorders>
            <w:shd w:val="clear" w:color="auto" w:fill="EAF1DD" w:themeFill="accent3" w:themeFillTint="33"/>
            <w:vAlign w:val="bottom"/>
          </w:tcPr>
          <w:p w14:paraId="30337CF6" w14:textId="64791955"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134" w:type="dxa"/>
            <w:tcBorders>
              <w:top w:val="single" w:sz="8" w:space="0" w:color="auto"/>
              <w:left w:val="single" w:sz="4" w:space="0" w:color="auto"/>
              <w:right w:val="single" w:sz="4" w:space="0" w:color="auto"/>
            </w:tcBorders>
            <w:shd w:val="clear" w:color="auto" w:fill="EAF1DD" w:themeFill="accent3" w:themeFillTint="33"/>
            <w:vAlign w:val="bottom"/>
          </w:tcPr>
          <w:p w14:paraId="424DA6E2" w14:textId="7AD10964" w:rsidR="001F643D" w:rsidRPr="000D4EDC" w:rsidRDefault="001F643D" w:rsidP="003B49BD">
            <w:pPr>
              <w:jc w:val="center"/>
              <w:rPr>
                <w:rFonts w:ascii="Arial" w:hAnsi="Arial" w:cs="Arial"/>
                <w:bCs/>
                <w:sz w:val="20"/>
                <w:szCs w:val="20"/>
              </w:rPr>
            </w:pPr>
            <w:r w:rsidRPr="000D4EDC">
              <w:rPr>
                <w:rFonts w:ascii="Arial" w:hAnsi="Arial" w:cs="Arial"/>
                <w:bCs/>
                <w:sz w:val="20"/>
                <w:szCs w:val="20"/>
              </w:rPr>
              <w:t>17</w:t>
            </w:r>
          </w:p>
        </w:tc>
        <w:tc>
          <w:tcPr>
            <w:tcW w:w="1701" w:type="dxa"/>
            <w:tcBorders>
              <w:top w:val="single" w:sz="8" w:space="0" w:color="auto"/>
              <w:left w:val="single" w:sz="4" w:space="0" w:color="auto"/>
              <w:right w:val="single" w:sz="8" w:space="0" w:color="auto"/>
            </w:tcBorders>
            <w:shd w:val="clear" w:color="auto" w:fill="EAF1DD" w:themeFill="accent3" w:themeFillTint="33"/>
            <w:vAlign w:val="bottom"/>
          </w:tcPr>
          <w:p w14:paraId="38080AD0" w14:textId="472BE938"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992" w:type="dxa"/>
            <w:tcBorders>
              <w:top w:val="single" w:sz="8" w:space="0" w:color="auto"/>
              <w:left w:val="nil"/>
              <w:right w:val="nil"/>
            </w:tcBorders>
            <w:shd w:val="clear" w:color="auto" w:fill="EAF1DD" w:themeFill="accent3" w:themeFillTint="33"/>
            <w:vAlign w:val="bottom"/>
          </w:tcPr>
          <w:p w14:paraId="279397D1" w14:textId="55BCF72C"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643406FD" w14:textId="47A424F7"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276" w:type="dxa"/>
            <w:tcBorders>
              <w:top w:val="single" w:sz="8" w:space="0" w:color="auto"/>
              <w:left w:val="nil"/>
              <w:right w:val="nil"/>
            </w:tcBorders>
            <w:shd w:val="clear" w:color="auto" w:fill="EAF1DD" w:themeFill="accent3" w:themeFillTint="33"/>
            <w:vAlign w:val="bottom"/>
          </w:tcPr>
          <w:p w14:paraId="3AFCFE7D" w14:textId="2B09DC2A"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701" w:type="dxa"/>
            <w:tcBorders>
              <w:top w:val="single" w:sz="8" w:space="0" w:color="auto"/>
              <w:left w:val="single" w:sz="8" w:space="0" w:color="auto"/>
              <w:right w:val="single" w:sz="8" w:space="0" w:color="000000"/>
            </w:tcBorders>
            <w:shd w:val="clear" w:color="auto" w:fill="EAF1DD" w:themeFill="accent3" w:themeFillTint="33"/>
            <w:vAlign w:val="bottom"/>
          </w:tcPr>
          <w:p w14:paraId="16BBCE70" w14:textId="7C84D695"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559" w:type="dxa"/>
            <w:tcBorders>
              <w:top w:val="single" w:sz="8" w:space="0" w:color="auto"/>
              <w:left w:val="single" w:sz="8" w:space="0" w:color="000000"/>
              <w:right w:val="nil"/>
            </w:tcBorders>
            <w:shd w:val="clear" w:color="auto" w:fill="EAF1DD" w:themeFill="accent3" w:themeFillTint="33"/>
            <w:vAlign w:val="bottom"/>
          </w:tcPr>
          <w:p w14:paraId="3DEB6E09" w14:textId="3B805FD6" w:rsidR="001F643D" w:rsidRPr="000D4EDC" w:rsidRDefault="009D650B" w:rsidP="003B49BD">
            <w:pPr>
              <w:jc w:val="center"/>
              <w:rPr>
                <w:rFonts w:ascii="Arial" w:hAnsi="Arial" w:cs="Arial"/>
                <w:bCs/>
                <w:sz w:val="20"/>
                <w:szCs w:val="20"/>
              </w:rPr>
            </w:pPr>
            <w:r>
              <w:rPr>
                <w:rFonts w:ascii="Arial" w:hAnsi="Arial" w:cs="Arial"/>
                <w:bCs/>
                <w:sz w:val="20"/>
                <w:szCs w:val="20"/>
              </w:rPr>
              <w:t>17</w:t>
            </w:r>
          </w:p>
        </w:tc>
        <w:tc>
          <w:tcPr>
            <w:tcW w:w="1559" w:type="dxa"/>
            <w:tcBorders>
              <w:top w:val="single" w:sz="4" w:space="0" w:color="auto"/>
              <w:left w:val="single" w:sz="8" w:space="0" w:color="auto"/>
              <w:right w:val="single" w:sz="8" w:space="0" w:color="auto"/>
            </w:tcBorders>
            <w:shd w:val="clear" w:color="auto" w:fill="EAF1DD" w:themeFill="accent3" w:themeFillTint="33"/>
            <w:vAlign w:val="bottom"/>
          </w:tcPr>
          <w:p w14:paraId="0BE936D3" w14:textId="1B94AC22"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559" w:type="dxa"/>
            <w:tcBorders>
              <w:top w:val="single" w:sz="8" w:space="0" w:color="auto"/>
              <w:left w:val="nil"/>
              <w:right w:val="nil"/>
            </w:tcBorders>
            <w:shd w:val="clear" w:color="auto" w:fill="EAF1DD" w:themeFill="accent3" w:themeFillTint="33"/>
            <w:vAlign w:val="bottom"/>
          </w:tcPr>
          <w:p w14:paraId="0CE8F12E" w14:textId="22277198"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560" w:type="dxa"/>
            <w:tcBorders>
              <w:top w:val="single" w:sz="8" w:space="0" w:color="auto"/>
              <w:left w:val="single" w:sz="8" w:space="0" w:color="auto"/>
              <w:right w:val="single" w:sz="8" w:space="0" w:color="auto"/>
            </w:tcBorders>
            <w:shd w:val="clear" w:color="auto" w:fill="EAF1DD" w:themeFill="accent3" w:themeFillTint="33"/>
            <w:vAlign w:val="bottom"/>
          </w:tcPr>
          <w:p w14:paraId="5F7931D9" w14:textId="3C19F4D6"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1701" w:type="dxa"/>
            <w:tcBorders>
              <w:top w:val="single" w:sz="8" w:space="0" w:color="auto"/>
              <w:left w:val="single" w:sz="8" w:space="0" w:color="000000"/>
              <w:right w:val="single" w:sz="8" w:space="0" w:color="auto"/>
            </w:tcBorders>
            <w:shd w:val="clear" w:color="auto" w:fill="EAF1DD" w:themeFill="accent3" w:themeFillTint="33"/>
            <w:vAlign w:val="bottom"/>
          </w:tcPr>
          <w:p w14:paraId="477A3E41" w14:textId="791D409A" w:rsidR="001F643D" w:rsidRPr="000D4EDC" w:rsidRDefault="00F15D67" w:rsidP="003B49BD">
            <w:pPr>
              <w:jc w:val="center"/>
              <w:rPr>
                <w:rFonts w:ascii="Arial" w:hAnsi="Arial" w:cs="Arial"/>
                <w:bCs/>
                <w:sz w:val="20"/>
                <w:szCs w:val="20"/>
              </w:rPr>
            </w:pPr>
            <w:r>
              <w:rPr>
                <w:rFonts w:ascii="Arial" w:hAnsi="Arial" w:cs="Arial"/>
                <w:bCs/>
                <w:sz w:val="20"/>
                <w:szCs w:val="20"/>
              </w:rPr>
              <w:t>-</w:t>
            </w:r>
          </w:p>
        </w:tc>
        <w:tc>
          <w:tcPr>
            <w:tcW w:w="992" w:type="dxa"/>
            <w:tcBorders>
              <w:top w:val="single" w:sz="8" w:space="0" w:color="auto"/>
              <w:left w:val="single" w:sz="8" w:space="0" w:color="000000"/>
              <w:right w:val="single" w:sz="8" w:space="0" w:color="auto"/>
            </w:tcBorders>
            <w:shd w:val="clear" w:color="auto" w:fill="EAF1DD" w:themeFill="accent3" w:themeFillTint="33"/>
            <w:vAlign w:val="bottom"/>
          </w:tcPr>
          <w:p w14:paraId="5A61B608" w14:textId="77777777" w:rsidR="001F643D" w:rsidRPr="000D4EDC" w:rsidRDefault="001F643D" w:rsidP="00D70089">
            <w:pPr>
              <w:jc w:val="center"/>
              <w:rPr>
                <w:rFonts w:ascii="Arial" w:hAnsi="Arial" w:cs="Arial"/>
                <w:bCs/>
                <w:sz w:val="20"/>
                <w:szCs w:val="20"/>
              </w:rPr>
            </w:pPr>
          </w:p>
          <w:p w14:paraId="37B31716" w14:textId="7B2B9BC9" w:rsidR="001F643D" w:rsidRPr="000D4EDC" w:rsidRDefault="005D0F8E" w:rsidP="00D70089">
            <w:pPr>
              <w:jc w:val="center"/>
              <w:rPr>
                <w:rFonts w:ascii="Arial" w:hAnsi="Arial" w:cs="Arial"/>
                <w:bCs/>
                <w:sz w:val="20"/>
                <w:szCs w:val="20"/>
              </w:rPr>
            </w:pPr>
            <w:r>
              <w:rPr>
                <w:rFonts w:ascii="Arial" w:hAnsi="Arial" w:cs="Arial"/>
                <w:bCs/>
                <w:sz w:val="20"/>
                <w:szCs w:val="20"/>
              </w:rPr>
              <w:t>17</w:t>
            </w:r>
          </w:p>
        </w:tc>
      </w:tr>
      <w:tr w:rsidR="008D50CD" w:rsidRPr="00DD5591" w14:paraId="6CD3A776" w14:textId="20DABCB3" w:rsidTr="007D76A9">
        <w:trPr>
          <w:cantSplit/>
          <w:trHeight w:val="454"/>
        </w:trPr>
        <w:tc>
          <w:tcPr>
            <w:tcW w:w="2410" w:type="dxa"/>
            <w:tcBorders>
              <w:top w:val="nil"/>
              <w:left w:val="single" w:sz="8" w:space="0" w:color="auto"/>
              <w:bottom w:val="nil"/>
              <w:right w:val="single" w:sz="8" w:space="0" w:color="auto"/>
            </w:tcBorders>
            <w:shd w:val="clear" w:color="auto" w:fill="EAF1DD" w:themeFill="accent3" w:themeFillTint="33"/>
            <w:vAlign w:val="bottom"/>
            <w:hideMark/>
          </w:tcPr>
          <w:p w14:paraId="0DE54012" w14:textId="77777777" w:rsidR="003B49BD" w:rsidRPr="000D4EDC" w:rsidRDefault="003B49BD" w:rsidP="003B49BD">
            <w:pPr>
              <w:rPr>
                <w:rFonts w:ascii="Arial" w:hAnsi="Arial" w:cs="Arial"/>
                <w:sz w:val="20"/>
                <w:szCs w:val="20"/>
              </w:rPr>
            </w:pPr>
            <w:r w:rsidRPr="000D4EDC">
              <w:rPr>
                <w:rFonts w:ascii="Arial" w:hAnsi="Arial" w:cs="Arial"/>
                <w:sz w:val="20"/>
                <w:szCs w:val="20"/>
              </w:rPr>
              <w:t>Charge for year</w:t>
            </w:r>
          </w:p>
        </w:tc>
        <w:tc>
          <w:tcPr>
            <w:tcW w:w="993" w:type="dxa"/>
            <w:tcBorders>
              <w:top w:val="nil"/>
              <w:left w:val="nil"/>
              <w:bottom w:val="nil"/>
              <w:right w:val="single" w:sz="8" w:space="0" w:color="auto"/>
            </w:tcBorders>
            <w:shd w:val="clear" w:color="auto" w:fill="EAF1DD" w:themeFill="accent3" w:themeFillTint="33"/>
            <w:vAlign w:val="bottom"/>
          </w:tcPr>
          <w:p w14:paraId="2ED7B467" w14:textId="1F96E19E"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417" w:type="dxa"/>
            <w:tcBorders>
              <w:top w:val="nil"/>
              <w:left w:val="nil"/>
              <w:bottom w:val="nil"/>
              <w:right w:val="nil"/>
            </w:tcBorders>
            <w:shd w:val="clear" w:color="auto" w:fill="EAF1DD" w:themeFill="accent3" w:themeFillTint="33"/>
            <w:vAlign w:val="bottom"/>
          </w:tcPr>
          <w:p w14:paraId="2430A04C" w14:textId="61DF9A82" w:rsidR="003B49BD" w:rsidRPr="000D4EDC" w:rsidRDefault="00944F52" w:rsidP="003B49BD">
            <w:pPr>
              <w:jc w:val="center"/>
              <w:rPr>
                <w:rFonts w:ascii="Arial" w:hAnsi="Arial" w:cs="Arial"/>
                <w:sz w:val="20"/>
                <w:szCs w:val="20"/>
              </w:rPr>
            </w:pPr>
            <w:r w:rsidRPr="000D4EDC">
              <w:rPr>
                <w:rFonts w:ascii="Arial" w:hAnsi="Arial" w:cs="Arial"/>
                <w:sz w:val="20"/>
                <w:szCs w:val="20"/>
              </w:rPr>
              <w:t>211</w:t>
            </w:r>
          </w:p>
        </w:tc>
        <w:tc>
          <w:tcPr>
            <w:tcW w:w="1276" w:type="dxa"/>
            <w:tcBorders>
              <w:top w:val="nil"/>
              <w:left w:val="single" w:sz="8" w:space="0" w:color="auto"/>
              <w:bottom w:val="nil"/>
              <w:right w:val="single" w:sz="4" w:space="0" w:color="auto"/>
            </w:tcBorders>
            <w:shd w:val="clear" w:color="auto" w:fill="EAF1DD" w:themeFill="accent3" w:themeFillTint="33"/>
            <w:vAlign w:val="bottom"/>
          </w:tcPr>
          <w:p w14:paraId="78824505" w14:textId="6AE94475" w:rsidR="003B49BD" w:rsidRPr="000D4EDC" w:rsidRDefault="00944F52" w:rsidP="003B49BD">
            <w:pPr>
              <w:jc w:val="center"/>
              <w:rPr>
                <w:rFonts w:ascii="Arial" w:hAnsi="Arial" w:cs="Arial"/>
                <w:sz w:val="20"/>
                <w:szCs w:val="20"/>
              </w:rPr>
            </w:pPr>
            <w:r w:rsidRPr="000D4EDC">
              <w:rPr>
                <w:rFonts w:ascii="Arial" w:hAnsi="Arial" w:cs="Arial"/>
                <w:sz w:val="20"/>
                <w:szCs w:val="20"/>
              </w:rPr>
              <w:t>764</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389EC09C" w14:textId="2DA6A9F9" w:rsidR="003B49BD" w:rsidRPr="000D4EDC" w:rsidRDefault="00944F52" w:rsidP="003B49BD">
            <w:pPr>
              <w:jc w:val="center"/>
              <w:rPr>
                <w:rFonts w:ascii="Arial" w:hAnsi="Arial" w:cs="Arial"/>
                <w:sz w:val="20"/>
                <w:szCs w:val="20"/>
              </w:rPr>
            </w:pPr>
            <w:r w:rsidRPr="000D4EDC">
              <w:rPr>
                <w:rFonts w:ascii="Arial" w:hAnsi="Arial" w:cs="Arial"/>
                <w:sz w:val="20"/>
                <w:szCs w:val="20"/>
              </w:rPr>
              <w:t>688</w:t>
            </w:r>
          </w:p>
        </w:tc>
        <w:tc>
          <w:tcPr>
            <w:tcW w:w="1701" w:type="dxa"/>
            <w:tcBorders>
              <w:top w:val="nil"/>
              <w:left w:val="single" w:sz="4" w:space="0" w:color="auto"/>
              <w:bottom w:val="nil"/>
              <w:right w:val="single" w:sz="8" w:space="0" w:color="auto"/>
            </w:tcBorders>
            <w:shd w:val="clear" w:color="auto" w:fill="EAF1DD" w:themeFill="accent3" w:themeFillTint="33"/>
            <w:vAlign w:val="bottom"/>
          </w:tcPr>
          <w:p w14:paraId="3D4FFAD0" w14:textId="5B126121" w:rsidR="003B49BD" w:rsidRPr="000D4EDC" w:rsidRDefault="00944F52" w:rsidP="003B49BD">
            <w:pPr>
              <w:jc w:val="center"/>
              <w:rPr>
                <w:rFonts w:ascii="Arial" w:hAnsi="Arial" w:cs="Arial"/>
                <w:sz w:val="20"/>
                <w:szCs w:val="20"/>
              </w:rPr>
            </w:pPr>
            <w:r w:rsidRPr="000D4EDC">
              <w:rPr>
                <w:rFonts w:ascii="Arial" w:hAnsi="Arial" w:cs="Arial"/>
                <w:sz w:val="20"/>
                <w:szCs w:val="20"/>
              </w:rPr>
              <w:t>785</w:t>
            </w:r>
          </w:p>
        </w:tc>
        <w:tc>
          <w:tcPr>
            <w:tcW w:w="992" w:type="dxa"/>
            <w:tcBorders>
              <w:top w:val="nil"/>
              <w:left w:val="nil"/>
              <w:bottom w:val="nil"/>
              <w:right w:val="nil"/>
            </w:tcBorders>
            <w:shd w:val="clear" w:color="auto" w:fill="EAF1DD" w:themeFill="accent3" w:themeFillTint="33"/>
            <w:vAlign w:val="bottom"/>
          </w:tcPr>
          <w:p w14:paraId="4055C4BF" w14:textId="092F0367" w:rsidR="003B49BD" w:rsidRPr="000D4EDC" w:rsidRDefault="00944F52" w:rsidP="003B49BD">
            <w:pPr>
              <w:jc w:val="center"/>
              <w:rPr>
                <w:rFonts w:ascii="Arial" w:hAnsi="Arial" w:cs="Arial"/>
                <w:sz w:val="20"/>
                <w:szCs w:val="20"/>
              </w:rPr>
            </w:pPr>
            <w:r w:rsidRPr="000D4EDC">
              <w:rPr>
                <w:rFonts w:ascii="Arial" w:hAnsi="Arial" w:cs="Arial"/>
                <w:sz w:val="20"/>
                <w:szCs w:val="20"/>
              </w:rPr>
              <w:t>61</w:t>
            </w:r>
          </w:p>
        </w:tc>
        <w:tc>
          <w:tcPr>
            <w:tcW w:w="1276" w:type="dxa"/>
            <w:tcBorders>
              <w:top w:val="nil"/>
              <w:left w:val="single" w:sz="8" w:space="0" w:color="auto"/>
              <w:bottom w:val="nil"/>
              <w:right w:val="single" w:sz="8" w:space="0" w:color="auto"/>
            </w:tcBorders>
            <w:shd w:val="clear" w:color="auto" w:fill="EAF1DD" w:themeFill="accent3" w:themeFillTint="33"/>
            <w:vAlign w:val="bottom"/>
          </w:tcPr>
          <w:p w14:paraId="35699C4B" w14:textId="4975BC86" w:rsidR="003B49BD" w:rsidRPr="000D4EDC" w:rsidRDefault="00944F52" w:rsidP="003B49BD">
            <w:pPr>
              <w:jc w:val="center"/>
              <w:rPr>
                <w:rFonts w:ascii="Arial" w:hAnsi="Arial" w:cs="Arial"/>
                <w:sz w:val="20"/>
                <w:szCs w:val="20"/>
              </w:rPr>
            </w:pPr>
            <w:r w:rsidRPr="000D4EDC">
              <w:rPr>
                <w:rFonts w:ascii="Arial" w:hAnsi="Arial" w:cs="Arial"/>
                <w:sz w:val="20"/>
                <w:szCs w:val="20"/>
              </w:rPr>
              <w:t>498</w:t>
            </w:r>
          </w:p>
        </w:tc>
        <w:tc>
          <w:tcPr>
            <w:tcW w:w="1276" w:type="dxa"/>
            <w:tcBorders>
              <w:top w:val="nil"/>
              <w:left w:val="nil"/>
              <w:bottom w:val="nil"/>
              <w:right w:val="nil"/>
            </w:tcBorders>
            <w:shd w:val="clear" w:color="auto" w:fill="EAF1DD" w:themeFill="accent3" w:themeFillTint="33"/>
            <w:vAlign w:val="bottom"/>
          </w:tcPr>
          <w:p w14:paraId="2F9DB8F9" w14:textId="387C5CE9" w:rsidR="003B49BD" w:rsidRPr="000D4EDC" w:rsidRDefault="00944F52" w:rsidP="003B49BD">
            <w:pPr>
              <w:jc w:val="center"/>
              <w:rPr>
                <w:rFonts w:ascii="Arial" w:hAnsi="Arial" w:cs="Arial"/>
                <w:sz w:val="20"/>
                <w:szCs w:val="20"/>
              </w:rPr>
            </w:pPr>
            <w:r w:rsidRPr="000D4EDC">
              <w:rPr>
                <w:rFonts w:ascii="Arial" w:hAnsi="Arial" w:cs="Arial"/>
                <w:sz w:val="20"/>
                <w:szCs w:val="20"/>
              </w:rPr>
              <w:t>77</w:t>
            </w:r>
          </w:p>
        </w:tc>
        <w:tc>
          <w:tcPr>
            <w:tcW w:w="1701" w:type="dxa"/>
            <w:tcBorders>
              <w:top w:val="nil"/>
              <w:left w:val="single" w:sz="8" w:space="0" w:color="auto"/>
              <w:bottom w:val="nil"/>
              <w:right w:val="single" w:sz="8" w:space="0" w:color="000000"/>
            </w:tcBorders>
            <w:shd w:val="clear" w:color="auto" w:fill="EAF1DD" w:themeFill="accent3" w:themeFillTint="33"/>
            <w:vAlign w:val="bottom"/>
          </w:tcPr>
          <w:p w14:paraId="50CDE61F" w14:textId="5D22593F" w:rsidR="003B49BD" w:rsidRPr="000D4EDC" w:rsidRDefault="00944F52" w:rsidP="003B49BD">
            <w:pPr>
              <w:jc w:val="center"/>
              <w:rPr>
                <w:rFonts w:ascii="Arial" w:hAnsi="Arial" w:cs="Arial"/>
                <w:sz w:val="20"/>
                <w:szCs w:val="20"/>
              </w:rPr>
            </w:pPr>
            <w:r w:rsidRPr="000D4EDC">
              <w:rPr>
                <w:rFonts w:ascii="Arial" w:hAnsi="Arial" w:cs="Arial"/>
                <w:sz w:val="20"/>
                <w:szCs w:val="20"/>
              </w:rPr>
              <w:t>12</w:t>
            </w:r>
          </w:p>
        </w:tc>
        <w:tc>
          <w:tcPr>
            <w:tcW w:w="1559" w:type="dxa"/>
            <w:tcBorders>
              <w:top w:val="nil"/>
              <w:left w:val="single" w:sz="8" w:space="0" w:color="000000"/>
              <w:bottom w:val="nil"/>
              <w:right w:val="nil"/>
            </w:tcBorders>
            <w:shd w:val="clear" w:color="auto" w:fill="EAF1DD" w:themeFill="accent3" w:themeFillTint="33"/>
            <w:vAlign w:val="bottom"/>
          </w:tcPr>
          <w:p w14:paraId="06021FE9" w14:textId="09C6B700" w:rsidR="003B49BD" w:rsidRPr="000D4EDC" w:rsidRDefault="00944F52" w:rsidP="003B49BD">
            <w:pPr>
              <w:jc w:val="center"/>
              <w:rPr>
                <w:rFonts w:ascii="Arial" w:hAnsi="Arial" w:cs="Arial"/>
                <w:sz w:val="20"/>
                <w:szCs w:val="20"/>
              </w:rPr>
            </w:pPr>
            <w:r w:rsidRPr="000D4EDC">
              <w:rPr>
                <w:rFonts w:ascii="Arial" w:hAnsi="Arial" w:cs="Arial"/>
                <w:sz w:val="20"/>
                <w:szCs w:val="20"/>
              </w:rPr>
              <w:t>3,09</w:t>
            </w:r>
            <w:r w:rsidR="007514E1">
              <w:rPr>
                <w:rFonts w:ascii="Arial" w:hAnsi="Arial" w:cs="Arial"/>
                <w:sz w:val="20"/>
                <w:szCs w:val="20"/>
              </w:rPr>
              <w:t>6</w:t>
            </w:r>
          </w:p>
        </w:tc>
        <w:tc>
          <w:tcPr>
            <w:tcW w:w="1559" w:type="dxa"/>
            <w:tcBorders>
              <w:top w:val="nil"/>
              <w:left w:val="single" w:sz="8" w:space="0" w:color="auto"/>
              <w:bottom w:val="nil"/>
              <w:right w:val="single" w:sz="8" w:space="0" w:color="auto"/>
            </w:tcBorders>
            <w:shd w:val="clear" w:color="auto" w:fill="EAF1DD" w:themeFill="accent3" w:themeFillTint="33"/>
            <w:vAlign w:val="bottom"/>
          </w:tcPr>
          <w:p w14:paraId="1A8EEFA9" w14:textId="1E74F622" w:rsidR="003B49BD" w:rsidRPr="000D4EDC" w:rsidRDefault="00944F52" w:rsidP="003B49BD">
            <w:pPr>
              <w:jc w:val="center"/>
              <w:rPr>
                <w:rFonts w:ascii="Arial" w:hAnsi="Arial" w:cs="Arial"/>
                <w:sz w:val="20"/>
                <w:szCs w:val="20"/>
              </w:rPr>
            </w:pPr>
            <w:r w:rsidRPr="000D4EDC">
              <w:rPr>
                <w:rFonts w:ascii="Arial" w:hAnsi="Arial" w:cs="Arial"/>
                <w:sz w:val="20"/>
                <w:szCs w:val="20"/>
              </w:rPr>
              <w:t>73</w:t>
            </w:r>
          </w:p>
        </w:tc>
        <w:tc>
          <w:tcPr>
            <w:tcW w:w="1559" w:type="dxa"/>
            <w:tcBorders>
              <w:top w:val="nil"/>
              <w:left w:val="nil"/>
              <w:bottom w:val="nil"/>
              <w:right w:val="nil"/>
            </w:tcBorders>
            <w:shd w:val="clear" w:color="auto" w:fill="EAF1DD" w:themeFill="accent3" w:themeFillTint="33"/>
            <w:vAlign w:val="bottom"/>
          </w:tcPr>
          <w:p w14:paraId="788CDAD7" w14:textId="0E2F684E" w:rsidR="003B49BD" w:rsidRPr="000D4EDC" w:rsidRDefault="00944F52" w:rsidP="003B49BD">
            <w:pPr>
              <w:jc w:val="center"/>
              <w:rPr>
                <w:rFonts w:ascii="Arial" w:hAnsi="Arial" w:cs="Arial"/>
                <w:sz w:val="20"/>
                <w:szCs w:val="20"/>
              </w:rPr>
            </w:pPr>
            <w:r w:rsidRPr="000D4EDC">
              <w:rPr>
                <w:rFonts w:ascii="Arial" w:hAnsi="Arial" w:cs="Arial"/>
                <w:sz w:val="20"/>
                <w:szCs w:val="20"/>
              </w:rPr>
              <w:t>151</w:t>
            </w:r>
          </w:p>
        </w:tc>
        <w:tc>
          <w:tcPr>
            <w:tcW w:w="1560" w:type="dxa"/>
            <w:tcBorders>
              <w:top w:val="nil"/>
              <w:left w:val="single" w:sz="8" w:space="0" w:color="auto"/>
              <w:bottom w:val="nil"/>
              <w:right w:val="single" w:sz="8" w:space="0" w:color="auto"/>
            </w:tcBorders>
            <w:shd w:val="clear" w:color="auto" w:fill="EAF1DD" w:themeFill="accent3" w:themeFillTint="33"/>
            <w:vAlign w:val="bottom"/>
          </w:tcPr>
          <w:p w14:paraId="4EB47000" w14:textId="0C275557" w:rsidR="003B49BD" w:rsidRPr="000D4EDC" w:rsidRDefault="00944F52" w:rsidP="003B49BD">
            <w:pPr>
              <w:jc w:val="center"/>
              <w:rPr>
                <w:rFonts w:ascii="Arial" w:hAnsi="Arial" w:cs="Arial"/>
                <w:sz w:val="20"/>
                <w:szCs w:val="20"/>
              </w:rPr>
            </w:pPr>
            <w:r w:rsidRPr="000D4EDC">
              <w:rPr>
                <w:rFonts w:ascii="Arial" w:hAnsi="Arial" w:cs="Arial"/>
                <w:sz w:val="20"/>
                <w:szCs w:val="20"/>
              </w:rPr>
              <w:t>224</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7B39A09D" w14:textId="72444755"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tcPr>
          <w:p w14:paraId="6106C838" w14:textId="77777777" w:rsidR="00F503CD" w:rsidRPr="000D4EDC" w:rsidRDefault="00F503CD" w:rsidP="007D76A9">
            <w:pPr>
              <w:rPr>
                <w:rFonts w:ascii="Arial" w:hAnsi="Arial" w:cs="Arial"/>
                <w:sz w:val="20"/>
                <w:szCs w:val="20"/>
              </w:rPr>
            </w:pPr>
          </w:p>
          <w:p w14:paraId="0285E312" w14:textId="779B892B" w:rsidR="00F503CD" w:rsidRPr="000D4EDC" w:rsidRDefault="00F503CD" w:rsidP="003B49BD">
            <w:pPr>
              <w:jc w:val="center"/>
              <w:rPr>
                <w:rFonts w:ascii="Arial" w:hAnsi="Arial" w:cs="Arial"/>
                <w:sz w:val="20"/>
                <w:szCs w:val="20"/>
              </w:rPr>
            </w:pPr>
            <w:r w:rsidRPr="000D4EDC">
              <w:rPr>
                <w:rFonts w:ascii="Arial" w:hAnsi="Arial" w:cs="Arial"/>
                <w:sz w:val="20"/>
                <w:szCs w:val="20"/>
              </w:rPr>
              <w:t>3,32</w:t>
            </w:r>
            <w:r w:rsidR="007C01FE">
              <w:rPr>
                <w:rFonts w:ascii="Arial" w:hAnsi="Arial" w:cs="Arial"/>
                <w:sz w:val="20"/>
                <w:szCs w:val="20"/>
              </w:rPr>
              <w:t>0</w:t>
            </w:r>
          </w:p>
        </w:tc>
      </w:tr>
      <w:tr w:rsidR="008D50CD" w:rsidRPr="00DD5591" w14:paraId="71F1A798" w14:textId="12E4705F" w:rsidTr="007D76A9">
        <w:trPr>
          <w:cantSplit/>
          <w:trHeight w:val="454"/>
        </w:trPr>
        <w:tc>
          <w:tcPr>
            <w:tcW w:w="2410" w:type="dxa"/>
            <w:tcBorders>
              <w:top w:val="nil"/>
              <w:left w:val="single" w:sz="8" w:space="0" w:color="auto"/>
              <w:bottom w:val="nil"/>
              <w:right w:val="single" w:sz="8" w:space="0" w:color="auto"/>
            </w:tcBorders>
            <w:shd w:val="clear" w:color="auto" w:fill="EAF1DD" w:themeFill="accent3" w:themeFillTint="33"/>
            <w:noWrap/>
            <w:vAlign w:val="bottom"/>
            <w:hideMark/>
          </w:tcPr>
          <w:p w14:paraId="0ECC4099" w14:textId="77777777" w:rsidR="003B49BD" w:rsidRPr="000D4EDC" w:rsidRDefault="003B49BD" w:rsidP="003B49BD">
            <w:pPr>
              <w:rPr>
                <w:rFonts w:ascii="Arial" w:hAnsi="Arial" w:cs="Arial"/>
                <w:sz w:val="20"/>
                <w:szCs w:val="20"/>
              </w:rPr>
            </w:pPr>
            <w:r w:rsidRPr="000D4EDC">
              <w:rPr>
                <w:rFonts w:ascii="Arial" w:hAnsi="Arial" w:cs="Arial"/>
                <w:sz w:val="20"/>
                <w:szCs w:val="20"/>
              </w:rPr>
              <w:t>Disposals/ Impairments</w:t>
            </w:r>
          </w:p>
        </w:tc>
        <w:tc>
          <w:tcPr>
            <w:tcW w:w="993" w:type="dxa"/>
            <w:tcBorders>
              <w:top w:val="nil"/>
              <w:left w:val="nil"/>
              <w:bottom w:val="nil"/>
              <w:right w:val="single" w:sz="8" w:space="0" w:color="auto"/>
            </w:tcBorders>
            <w:shd w:val="clear" w:color="auto" w:fill="EAF1DD" w:themeFill="accent3" w:themeFillTint="33"/>
            <w:noWrap/>
            <w:vAlign w:val="bottom"/>
          </w:tcPr>
          <w:p w14:paraId="4CD6E242" w14:textId="7A5A322D"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417" w:type="dxa"/>
            <w:tcBorders>
              <w:top w:val="nil"/>
              <w:left w:val="nil"/>
              <w:bottom w:val="nil"/>
              <w:right w:val="nil"/>
            </w:tcBorders>
            <w:shd w:val="clear" w:color="auto" w:fill="EAF1DD" w:themeFill="accent3" w:themeFillTint="33"/>
            <w:noWrap/>
            <w:vAlign w:val="bottom"/>
          </w:tcPr>
          <w:p w14:paraId="6AB2CC0D" w14:textId="3EB297DF"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4" w:space="0" w:color="auto"/>
            </w:tcBorders>
            <w:shd w:val="clear" w:color="auto" w:fill="EAF1DD" w:themeFill="accent3" w:themeFillTint="33"/>
            <w:noWrap/>
            <w:vAlign w:val="bottom"/>
          </w:tcPr>
          <w:p w14:paraId="684AF2E6" w14:textId="14CDAB1F"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1E555C24" w14:textId="6FDD2F44" w:rsidR="003B49BD" w:rsidRPr="000D4EDC" w:rsidRDefault="00F503CD" w:rsidP="003B49BD">
            <w:pPr>
              <w:jc w:val="center"/>
              <w:rPr>
                <w:rFonts w:ascii="Arial" w:hAnsi="Arial" w:cs="Arial"/>
                <w:sz w:val="20"/>
                <w:szCs w:val="20"/>
              </w:rPr>
            </w:pPr>
            <w:r w:rsidRPr="000D4EDC">
              <w:rPr>
                <w:rFonts w:ascii="Arial" w:hAnsi="Arial" w:cs="Arial"/>
                <w:sz w:val="20"/>
                <w:szCs w:val="20"/>
              </w:rPr>
              <w:t>(3)</w:t>
            </w:r>
          </w:p>
        </w:tc>
        <w:tc>
          <w:tcPr>
            <w:tcW w:w="1701" w:type="dxa"/>
            <w:tcBorders>
              <w:top w:val="nil"/>
              <w:left w:val="single" w:sz="4" w:space="0" w:color="auto"/>
              <w:bottom w:val="nil"/>
              <w:right w:val="single" w:sz="8" w:space="0" w:color="auto"/>
            </w:tcBorders>
            <w:shd w:val="clear" w:color="auto" w:fill="EAF1DD" w:themeFill="accent3" w:themeFillTint="33"/>
            <w:noWrap/>
            <w:vAlign w:val="bottom"/>
          </w:tcPr>
          <w:p w14:paraId="4BBC8AD9" w14:textId="7A9ED492"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992" w:type="dxa"/>
            <w:tcBorders>
              <w:top w:val="nil"/>
              <w:left w:val="nil"/>
              <w:bottom w:val="nil"/>
              <w:right w:val="nil"/>
            </w:tcBorders>
            <w:shd w:val="clear" w:color="auto" w:fill="EAF1DD" w:themeFill="accent3" w:themeFillTint="33"/>
            <w:noWrap/>
            <w:vAlign w:val="bottom"/>
          </w:tcPr>
          <w:p w14:paraId="1B278266" w14:textId="4D632BD9"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8" w:space="0" w:color="auto"/>
            </w:tcBorders>
            <w:shd w:val="clear" w:color="auto" w:fill="EAF1DD" w:themeFill="accent3" w:themeFillTint="33"/>
            <w:noWrap/>
            <w:vAlign w:val="bottom"/>
          </w:tcPr>
          <w:p w14:paraId="55C2352E" w14:textId="4D4C1781" w:rsidR="003B49BD" w:rsidRPr="000D4EDC" w:rsidRDefault="00B0626C" w:rsidP="003B49BD">
            <w:pPr>
              <w:jc w:val="center"/>
              <w:rPr>
                <w:rFonts w:ascii="Arial" w:hAnsi="Arial" w:cs="Arial"/>
                <w:sz w:val="20"/>
                <w:szCs w:val="20"/>
              </w:rPr>
            </w:pPr>
            <w:r>
              <w:rPr>
                <w:rFonts w:ascii="Arial" w:hAnsi="Arial" w:cs="Arial"/>
                <w:sz w:val="20"/>
                <w:szCs w:val="20"/>
              </w:rPr>
              <w:t>(114)</w:t>
            </w:r>
          </w:p>
        </w:tc>
        <w:tc>
          <w:tcPr>
            <w:tcW w:w="1276" w:type="dxa"/>
            <w:tcBorders>
              <w:top w:val="nil"/>
              <w:left w:val="nil"/>
              <w:bottom w:val="nil"/>
              <w:right w:val="nil"/>
            </w:tcBorders>
            <w:shd w:val="clear" w:color="auto" w:fill="EAF1DD" w:themeFill="accent3" w:themeFillTint="33"/>
            <w:noWrap/>
            <w:vAlign w:val="bottom"/>
          </w:tcPr>
          <w:p w14:paraId="167F1369" w14:textId="46B2F65E" w:rsidR="003B49BD" w:rsidRPr="000D4EDC" w:rsidRDefault="008C4797" w:rsidP="003B49BD">
            <w:pPr>
              <w:jc w:val="center"/>
              <w:rPr>
                <w:rFonts w:ascii="Arial" w:hAnsi="Arial" w:cs="Arial"/>
                <w:sz w:val="20"/>
                <w:szCs w:val="20"/>
              </w:rPr>
            </w:pPr>
            <w:r w:rsidRPr="000D4EDC">
              <w:rPr>
                <w:rFonts w:ascii="Arial" w:hAnsi="Arial" w:cs="Arial"/>
                <w:sz w:val="20"/>
                <w:szCs w:val="20"/>
              </w:rPr>
              <w:t>(18)</w:t>
            </w:r>
          </w:p>
        </w:tc>
        <w:tc>
          <w:tcPr>
            <w:tcW w:w="1701" w:type="dxa"/>
            <w:tcBorders>
              <w:top w:val="nil"/>
              <w:left w:val="single" w:sz="8" w:space="0" w:color="auto"/>
              <w:bottom w:val="nil"/>
              <w:right w:val="single" w:sz="8" w:space="0" w:color="000000"/>
            </w:tcBorders>
            <w:shd w:val="clear" w:color="auto" w:fill="EAF1DD" w:themeFill="accent3" w:themeFillTint="33"/>
            <w:noWrap/>
            <w:vAlign w:val="bottom"/>
          </w:tcPr>
          <w:p w14:paraId="241853A0" w14:textId="0F290380"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59" w:type="dxa"/>
            <w:tcBorders>
              <w:top w:val="nil"/>
              <w:left w:val="single" w:sz="8" w:space="0" w:color="000000"/>
              <w:bottom w:val="nil"/>
              <w:right w:val="nil"/>
            </w:tcBorders>
            <w:shd w:val="clear" w:color="auto" w:fill="EAF1DD" w:themeFill="accent3" w:themeFillTint="33"/>
            <w:noWrap/>
            <w:vAlign w:val="bottom"/>
          </w:tcPr>
          <w:p w14:paraId="544CE89B" w14:textId="2C6915C2" w:rsidR="003B49BD" w:rsidRPr="000D4EDC" w:rsidRDefault="008C4797" w:rsidP="003B49BD">
            <w:pPr>
              <w:jc w:val="center"/>
              <w:rPr>
                <w:rFonts w:ascii="Arial" w:hAnsi="Arial" w:cs="Arial"/>
                <w:sz w:val="20"/>
                <w:szCs w:val="20"/>
              </w:rPr>
            </w:pPr>
            <w:r w:rsidRPr="000D4EDC">
              <w:rPr>
                <w:rFonts w:ascii="Arial" w:hAnsi="Arial" w:cs="Arial"/>
                <w:sz w:val="20"/>
                <w:szCs w:val="20"/>
              </w:rPr>
              <w:t>(</w:t>
            </w:r>
            <w:r w:rsidR="009D650B">
              <w:rPr>
                <w:rFonts w:ascii="Arial" w:hAnsi="Arial" w:cs="Arial"/>
                <w:sz w:val="20"/>
                <w:szCs w:val="20"/>
              </w:rPr>
              <w:t>135</w:t>
            </w:r>
            <w:r w:rsidRPr="000D4EDC">
              <w:rPr>
                <w:rFonts w:ascii="Arial" w:hAnsi="Arial" w:cs="Arial"/>
                <w:sz w:val="20"/>
                <w:szCs w:val="20"/>
              </w:rPr>
              <w:t>)</w:t>
            </w:r>
          </w:p>
        </w:tc>
        <w:tc>
          <w:tcPr>
            <w:tcW w:w="1559" w:type="dxa"/>
            <w:tcBorders>
              <w:top w:val="nil"/>
              <w:left w:val="single" w:sz="8" w:space="0" w:color="auto"/>
              <w:bottom w:val="nil"/>
              <w:right w:val="single" w:sz="8" w:space="0" w:color="auto"/>
            </w:tcBorders>
            <w:shd w:val="clear" w:color="auto" w:fill="EAF1DD" w:themeFill="accent3" w:themeFillTint="33"/>
            <w:vAlign w:val="bottom"/>
          </w:tcPr>
          <w:p w14:paraId="25846717" w14:textId="319C6101"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59" w:type="dxa"/>
            <w:tcBorders>
              <w:top w:val="nil"/>
              <w:left w:val="nil"/>
              <w:bottom w:val="nil"/>
              <w:right w:val="nil"/>
            </w:tcBorders>
            <w:shd w:val="clear" w:color="auto" w:fill="EAF1DD" w:themeFill="accent3" w:themeFillTint="33"/>
            <w:noWrap/>
            <w:vAlign w:val="bottom"/>
          </w:tcPr>
          <w:p w14:paraId="63739C98" w14:textId="5E3D86DE"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60" w:type="dxa"/>
            <w:tcBorders>
              <w:top w:val="nil"/>
              <w:left w:val="single" w:sz="8" w:space="0" w:color="auto"/>
              <w:bottom w:val="nil"/>
              <w:right w:val="single" w:sz="8" w:space="0" w:color="auto"/>
            </w:tcBorders>
            <w:shd w:val="clear" w:color="auto" w:fill="EAF1DD" w:themeFill="accent3" w:themeFillTint="33"/>
            <w:noWrap/>
            <w:vAlign w:val="bottom"/>
          </w:tcPr>
          <w:p w14:paraId="654B58BF" w14:textId="4AD27FFF"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169875F3" w14:textId="40717D97"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tcPr>
          <w:p w14:paraId="427A3D83" w14:textId="77777777" w:rsidR="008C4797" w:rsidRPr="000D4EDC" w:rsidRDefault="008C4797" w:rsidP="007D76A9">
            <w:pPr>
              <w:rPr>
                <w:rFonts w:ascii="Arial" w:hAnsi="Arial" w:cs="Arial"/>
                <w:sz w:val="20"/>
                <w:szCs w:val="20"/>
              </w:rPr>
            </w:pPr>
          </w:p>
          <w:p w14:paraId="60B7A41B" w14:textId="64AEF3AA" w:rsidR="008C4797" w:rsidRPr="000D4EDC" w:rsidRDefault="008C4797" w:rsidP="003B49BD">
            <w:pPr>
              <w:jc w:val="center"/>
              <w:rPr>
                <w:rFonts w:ascii="Arial" w:hAnsi="Arial" w:cs="Arial"/>
                <w:sz w:val="20"/>
                <w:szCs w:val="20"/>
              </w:rPr>
            </w:pPr>
            <w:r w:rsidRPr="000D4EDC">
              <w:rPr>
                <w:rFonts w:ascii="Arial" w:hAnsi="Arial" w:cs="Arial"/>
                <w:sz w:val="20"/>
                <w:szCs w:val="20"/>
              </w:rPr>
              <w:t>(</w:t>
            </w:r>
            <w:r w:rsidR="005D0F8E">
              <w:rPr>
                <w:rFonts w:ascii="Arial" w:hAnsi="Arial" w:cs="Arial"/>
                <w:sz w:val="20"/>
                <w:szCs w:val="20"/>
              </w:rPr>
              <w:t>135)</w:t>
            </w:r>
          </w:p>
        </w:tc>
      </w:tr>
      <w:tr w:rsidR="008D50CD" w:rsidRPr="00DD5591" w14:paraId="2050808E" w14:textId="1DAD3EB3" w:rsidTr="007D76A9">
        <w:trPr>
          <w:cantSplit/>
          <w:trHeight w:val="454"/>
        </w:trPr>
        <w:tc>
          <w:tcPr>
            <w:tcW w:w="2410" w:type="dxa"/>
            <w:tcBorders>
              <w:top w:val="nil"/>
              <w:left w:val="single" w:sz="8" w:space="0" w:color="auto"/>
              <w:bottom w:val="single" w:sz="4" w:space="0" w:color="auto"/>
              <w:right w:val="single" w:sz="8" w:space="0" w:color="auto"/>
            </w:tcBorders>
            <w:shd w:val="clear" w:color="auto" w:fill="EAF1DD" w:themeFill="accent3" w:themeFillTint="33"/>
            <w:vAlign w:val="bottom"/>
            <w:hideMark/>
          </w:tcPr>
          <w:p w14:paraId="5EB75486" w14:textId="77777777" w:rsidR="003B49BD" w:rsidRPr="000D4EDC" w:rsidRDefault="003B49BD" w:rsidP="003B49BD">
            <w:pPr>
              <w:rPr>
                <w:rFonts w:ascii="Arial" w:hAnsi="Arial" w:cs="Arial"/>
                <w:sz w:val="20"/>
                <w:szCs w:val="20"/>
              </w:rPr>
            </w:pPr>
            <w:r w:rsidRPr="000D4EDC">
              <w:rPr>
                <w:rFonts w:ascii="Arial" w:hAnsi="Arial" w:cs="Arial"/>
                <w:sz w:val="20"/>
                <w:szCs w:val="20"/>
              </w:rPr>
              <w:t>Revaluations</w:t>
            </w:r>
          </w:p>
        </w:tc>
        <w:tc>
          <w:tcPr>
            <w:tcW w:w="993" w:type="dxa"/>
            <w:tcBorders>
              <w:top w:val="nil"/>
              <w:left w:val="nil"/>
              <w:bottom w:val="nil"/>
              <w:right w:val="single" w:sz="8" w:space="0" w:color="auto"/>
            </w:tcBorders>
            <w:shd w:val="clear" w:color="auto" w:fill="EAF1DD" w:themeFill="accent3" w:themeFillTint="33"/>
            <w:vAlign w:val="bottom"/>
          </w:tcPr>
          <w:p w14:paraId="3A327E82" w14:textId="7143E8FF"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417" w:type="dxa"/>
            <w:tcBorders>
              <w:top w:val="nil"/>
              <w:left w:val="nil"/>
              <w:bottom w:val="nil"/>
              <w:right w:val="nil"/>
            </w:tcBorders>
            <w:shd w:val="clear" w:color="auto" w:fill="EAF1DD" w:themeFill="accent3" w:themeFillTint="33"/>
            <w:noWrap/>
            <w:vAlign w:val="bottom"/>
          </w:tcPr>
          <w:p w14:paraId="3E2C154C" w14:textId="0CB13D81" w:rsidR="003B49BD" w:rsidRPr="000D4EDC" w:rsidRDefault="008C4797" w:rsidP="003B49BD">
            <w:pPr>
              <w:jc w:val="center"/>
              <w:rPr>
                <w:rFonts w:ascii="Arial" w:hAnsi="Arial" w:cs="Arial"/>
                <w:sz w:val="20"/>
                <w:szCs w:val="20"/>
              </w:rPr>
            </w:pPr>
            <w:r w:rsidRPr="000D4EDC">
              <w:rPr>
                <w:rFonts w:ascii="Arial" w:hAnsi="Arial" w:cs="Arial"/>
                <w:sz w:val="20"/>
                <w:szCs w:val="20"/>
              </w:rPr>
              <w:t>(211)</w:t>
            </w:r>
          </w:p>
        </w:tc>
        <w:tc>
          <w:tcPr>
            <w:tcW w:w="1276" w:type="dxa"/>
            <w:tcBorders>
              <w:top w:val="nil"/>
              <w:left w:val="single" w:sz="8" w:space="0" w:color="auto"/>
              <w:bottom w:val="nil"/>
              <w:right w:val="single" w:sz="4" w:space="0" w:color="auto"/>
            </w:tcBorders>
            <w:shd w:val="clear" w:color="auto" w:fill="EAF1DD" w:themeFill="accent3" w:themeFillTint="33"/>
            <w:noWrap/>
            <w:vAlign w:val="bottom"/>
          </w:tcPr>
          <w:p w14:paraId="3C39D6CE" w14:textId="312A848D"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134" w:type="dxa"/>
            <w:tcBorders>
              <w:top w:val="nil"/>
              <w:left w:val="single" w:sz="4" w:space="0" w:color="auto"/>
              <w:bottom w:val="nil"/>
              <w:right w:val="single" w:sz="4" w:space="0" w:color="auto"/>
            </w:tcBorders>
            <w:shd w:val="clear" w:color="auto" w:fill="EAF1DD" w:themeFill="accent3" w:themeFillTint="33"/>
            <w:vAlign w:val="bottom"/>
          </w:tcPr>
          <w:p w14:paraId="11F280A5" w14:textId="2DE048A1" w:rsidR="003B49BD" w:rsidRPr="000D4EDC" w:rsidRDefault="008C4797" w:rsidP="003B49BD">
            <w:pPr>
              <w:jc w:val="center"/>
              <w:rPr>
                <w:rFonts w:ascii="Arial" w:hAnsi="Arial" w:cs="Arial"/>
                <w:sz w:val="20"/>
                <w:szCs w:val="20"/>
              </w:rPr>
            </w:pPr>
            <w:r w:rsidRPr="000D4EDC">
              <w:rPr>
                <w:rFonts w:ascii="Arial" w:hAnsi="Arial" w:cs="Arial"/>
                <w:sz w:val="20"/>
                <w:szCs w:val="20"/>
              </w:rPr>
              <w:t>654</w:t>
            </w:r>
          </w:p>
        </w:tc>
        <w:tc>
          <w:tcPr>
            <w:tcW w:w="1701" w:type="dxa"/>
            <w:tcBorders>
              <w:top w:val="nil"/>
              <w:left w:val="single" w:sz="4" w:space="0" w:color="auto"/>
              <w:bottom w:val="nil"/>
              <w:right w:val="single" w:sz="8" w:space="0" w:color="auto"/>
            </w:tcBorders>
            <w:shd w:val="clear" w:color="auto" w:fill="EAF1DD" w:themeFill="accent3" w:themeFillTint="33"/>
            <w:noWrap/>
            <w:vAlign w:val="bottom"/>
          </w:tcPr>
          <w:p w14:paraId="1F3DEB52" w14:textId="3A4DCCF7"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992" w:type="dxa"/>
            <w:tcBorders>
              <w:top w:val="nil"/>
              <w:left w:val="nil"/>
              <w:bottom w:val="nil"/>
              <w:right w:val="nil"/>
            </w:tcBorders>
            <w:shd w:val="clear" w:color="auto" w:fill="EAF1DD" w:themeFill="accent3" w:themeFillTint="33"/>
            <w:noWrap/>
            <w:vAlign w:val="bottom"/>
          </w:tcPr>
          <w:p w14:paraId="2579772A" w14:textId="70960E01"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276" w:type="dxa"/>
            <w:tcBorders>
              <w:top w:val="nil"/>
              <w:left w:val="single" w:sz="8" w:space="0" w:color="auto"/>
              <w:bottom w:val="nil"/>
              <w:right w:val="single" w:sz="8" w:space="0" w:color="auto"/>
            </w:tcBorders>
            <w:shd w:val="clear" w:color="auto" w:fill="EAF1DD" w:themeFill="accent3" w:themeFillTint="33"/>
            <w:noWrap/>
            <w:vAlign w:val="bottom"/>
          </w:tcPr>
          <w:p w14:paraId="3FDD5FF3" w14:textId="7F2AE115"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276" w:type="dxa"/>
            <w:tcBorders>
              <w:top w:val="nil"/>
              <w:left w:val="nil"/>
              <w:bottom w:val="nil"/>
              <w:right w:val="nil"/>
            </w:tcBorders>
            <w:shd w:val="clear" w:color="auto" w:fill="EAF1DD" w:themeFill="accent3" w:themeFillTint="33"/>
            <w:noWrap/>
            <w:vAlign w:val="bottom"/>
          </w:tcPr>
          <w:p w14:paraId="2AB6B104" w14:textId="345002B6"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701" w:type="dxa"/>
            <w:tcBorders>
              <w:top w:val="nil"/>
              <w:left w:val="single" w:sz="8" w:space="0" w:color="auto"/>
              <w:bottom w:val="nil"/>
              <w:right w:val="single" w:sz="8" w:space="0" w:color="000000"/>
            </w:tcBorders>
            <w:shd w:val="clear" w:color="auto" w:fill="EAF1DD" w:themeFill="accent3" w:themeFillTint="33"/>
            <w:noWrap/>
            <w:vAlign w:val="bottom"/>
          </w:tcPr>
          <w:p w14:paraId="3DB1A1B9" w14:textId="3377F23C"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59" w:type="dxa"/>
            <w:tcBorders>
              <w:top w:val="nil"/>
              <w:left w:val="single" w:sz="8" w:space="0" w:color="000000"/>
              <w:bottom w:val="nil"/>
              <w:right w:val="nil"/>
            </w:tcBorders>
            <w:shd w:val="clear" w:color="auto" w:fill="EAF1DD" w:themeFill="accent3" w:themeFillTint="33"/>
            <w:noWrap/>
            <w:vAlign w:val="bottom"/>
          </w:tcPr>
          <w:p w14:paraId="629603AE" w14:textId="4441B8F2" w:rsidR="003B49BD" w:rsidRPr="000D4EDC" w:rsidRDefault="00285252" w:rsidP="003B49BD">
            <w:pPr>
              <w:jc w:val="center"/>
              <w:rPr>
                <w:rFonts w:ascii="Arial" w:hAnsi="Arial" w:cs="Arial"/>
                <w:sz w:val="20"/>
                <w:szCs w:val="20"/>
              </w:rPr>
            </w:pPr>
            <w:r w:rsidRPr="000D4EDC">
              <w:rPr>
                <w:rFonts w:ascii="Arial" w:hAnsi="Arial" w:cs="Arial"/>
                <w:sz w:val="20"/>
                <w:szCs w:val="20"/>
              </w:rPr>
              <w:t>443</w:t>
            </w:r>
          </w:p>
        </w:tc>
        <w:tc>
          <w:tcPr>
            <w:tcW w:w="1559" w:type="dxa"/>
            <w:tcBorders>
              <w:top w:val="nil"/>
              <w:left w:val="single" w:sz="8" w:space="0" w:color="auto"/>
              <w:bottom w:val="single" w:sz="4" w:space="0" w:color="auto"/>
              <w:right w:val="single" w:sz="8" w:space="0" w:color="auto"/>
            </w:tcBorders>
            <w:shd w:val="clear" w:color="auto" w:fill="EAF1DD" w:themeFill="accent3" w:themeFillTint="33"/>
            <w:vAlign w:val="bottom"/>
          </w:tcPr>
          <w:p w14:paraId="3018235F" w14:textId="5742363C"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59" w:type="dxa"/>
            <w:tcBorders>
              <w:top w:val="nil"/>
              <w:left w:val="nil"/>
              <w:bottom w:val="nil"/>
              <w:right w:val="nil"/>
            </w:tcBorders>
            <w:shd w:val="clear" w:color="auto" w:fill="EAF1DD" w:themeFill="accent3" w:themeFillTint="33"/>
            <w:noWrap/>
            <w:vAlign w:val="bottom"/>
          </w:tcPr>
          <w:p w14:paraId="2911C257" w14:textId="796BEAC1"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560" w:type="dxa"/>
            <w:tcBorders>
              <w:top w:val="nil"/>
              <w:left w:val="single" w:sz="8" w:space="0" w:color="auto"/>
              <w:bottom w:val="nil"/>
              <w:right w:val="single" w:sz="8" w:space="0" w:color="auto"/>
            </w:tcBorders>
            <w:shd w:val="clear" w:color="auto" w:fill="EAF1DD" w:themeFill="accent3" w:themeFillTint="33"/>
            <w:noWrap/>
            <w:vAlign w:val="bottom"/>
          </w:tcPr>
          <w:p w14:paraId="29593A61" w14:textId="088533B4"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1701" w:type="dxa"/>
            <w:tcBorders>
              <w:top w:val="nil"/>
              <w:left w:val="single" w:sz="8" w:space="0" w:color="000000"/>
              <w:bottom w:val="nil"/>
              <w:right w:val="single" w:sz="8" w:space="0" w:color="auto"/>
            </w:tcBorders>
            <w:shd w:val="clear" w:color="auto" w:fill="EAF1DD" w:themeFill="accent3" w:themeFillTint="33"/>
            <w:vAlign w:val="bottom"/>
          </w:tcPr>
          <w:p w14:paraId="5F216C9C" w14:textId="5CEBF17B" w:rsidR="003B49BD" w:rsidRPr="000D4EDC" w:rsidRDefault="00F15D67" w:rsidP="003B49BD">
            <w:pPr>
              <w:jc w:val="center"/>
              <w:rPr>
                <w:rFonts w:ascii="Arial" w:hAnsi="Arial" w:cs="Arial"/>
                <w:sz w:val="20"/>
                <w:szCs w:val="20"/>
              </w:rPr>
            </w:pPr>
            <w:r>
              <w:rPr>
                <w:rFonts w:ascii="Arial" w:hAnsi="Arial" w:cs="Arial"/>
                <w:sz w:val="20"/>
                <w:szCs w:val="20"/>
              </w:rPr>
              <w:t>-</w:t>
            </w:r>
          </w:p>
        </w:tc>
        <w:tc>
          <w:tcPr>
            <w:tcW w:w="992" w:type="dxa"/>
            <w:tcBorders>
              <w:top w:val="nil"/>
              <w:left w:val="single" w:sz="8" w:space="0" w:color="000000"/>
              <w:bottom w:val="nil"/>
              <w:right w:val="single" w:sz="8" w:space="0" w:color="auto"/>
            </w:tcBorders>
            <w:shd w:val="clear" w:color="auto" w:fill="EAF1DD" w:themeFill="accent3" w:themeFillTint="33"/>
          </w:tcPr>
          <w:p w14:paraId="59FE24CE" w14:textId="77777777" w:rsidR="005E55FC" w:rsidRPr="000D4EDC" w:rsidRDefault="005E55FC" w:rsidP="007D76A9">
            <w:pPr>
              <w:rPr>
                <w:rFonts w:ascii="Arial" w:hAnsi="Arial" w:cs="Arial"/>
                <w:sz w:val="20"/>
                <w:szCs w:val="20"/>
              </w:rPr>
            </w:pPr>
          </w:p>
          <w:p w14:paraId="1A4B0AEF" w14:textId="06F664C5" w:rsidR="005E55FC" w:rsidRPr="000D4EDC" w:rsidRDefault="005E55FC" w:rsidP="003B49BD">
            <w:pPr>
              <w:jc w:val="center"/>
              <w:rPr>
                <w:rFonts w:ascii="Arial" w:hAnsi="Arial" w:cs="Arial"/>
                <w:sz w:val="20"/>
                <w:szCs w:val="20"/>
              </w:rPr>
            </w:pPr>
            <w:r w:rsidRPr="000D4EDC">
              <w:rPr>
                <w:rFonts w:ascii="Arial" w:hAnsi="Arial" w:cs="Arial"/>
                <w:sz w:val="20"/>
                <w:szCs w:val="20"/>
              </w:rPr>
              <w:t>443</w:t>
            </w:r>
          </w:p>
        </w:tc>
      </w:tr>
      <w:tr w:rsidR="008D50CD" w:rsidRPr="00DD5591" w14:paraId="665D7DC4" w14:textId="1079ADDD" w:rsidTr="00FD64E6">
        <w:trPr>
          <w:cantSplit/>
          <w:trHeight w:val="340"/>
        </w:trPr>
        <w:tc>
          <w:tcPr>
            <w:tcW w:w="2410" w:type="dxa"/>
            <w:tcBorders>
              <w:top w:val="single" w:sz="4" w:space="0" w:color="auto"/>
              <w:left w:val="single" w:sz="8" w:space="0" w:color="auto"/>
              <w:bottom w:val="single" w:sz="8" w:space="0" w:color="auto"/>
              <w:right w:val="nil"/>
            </w:tcBorders>
            <w:shd w:val="clear" w:color="auto" w:fill="EAF1DD" w:themeFill="accent3" w:themeFillTint="33"/>
            <w:vAlign w:val="bottom"/>
            <w:hideMark/>
          </w:tcPr>
          <w:p w14:paraId="4B607FEF" w14:textId="70913662" w:rsidR="003B49BD" w:rsidRPr="000D4EDC" w:rsidRDefault="003B49BD" w:rsidP="003B49BD">
            <w:pPr>
              <w:rPr>
                <w:rFonts w:ascii="Arial" w:hAnsi="Arial" w:cs="Arial"/>
                <w:b/>
                <w:bCs/>
                <w:sz w:val="20"/>
                <w:szCs w:val="20"/>
              </w:rPr>
            </w:pPr>
            <w:r w:rsidRPr="000D4EDC">
              <w:rPr>
                <w:rFonts w:ascii="Arial" w:hAnsi="Arial" w:cs="Arial"/>
                <w:b/>
                <w:bCs/>
                <w:sz w:val="20"/>
                <w:szCs w:val="20"/>
              </w:rPr>
              <w:t>At 31 March 202</w:t>
            </w:r>
            <w:r w:rsidR="00937F30" w:rsidRPr="000D4EDC">
              <w:rPr>
                <w:rFonts w:ascii="Arial" w:hAnsi="Arial" w:cs="Arial"/>
                <w:b/>
                <w:bCs/>
                <w:sz w:val="20"/>
                <w:szCs w:val="20"/>
              </w:rPr>
              <w:t>2</w:t>
            </w:r>
          </w:p>
        </w:tc>
        <w:tc>
          <w:tcPr>
            <w:tcW w:w="993" w:type="dxa"/>
            <w:tcBorders>
              <w:top w:val="single" w:sz="8" w:space="0" w:color="auto"/>
              <w:left w:val="single" w:sz="8" w:space="0" w:color="auto"/>
              <w:right w:val="single" w:sz="8" w:space="0" w:color="auto"/>
            </w:tcBorders>
            <w:shd w:val="clear" w:color="auto" w:fill="EAF1DD" w:themeFill="accent3" w:themeFillTint="33"/>
            <w:vAlign w:val="bottom"/>
          </w:tcPr>
          <w:p w14:paraId="5018BE14" w14:textId="1E2C43AD" w:rsidR="003B49BD" w:rsidRPr="000D4EDC" w:rsidRDefault="00FD291B" w:rsidP="003B49BD">
            <w:pPr>
              <w:jc w:val="center"/>
              <w:rPr>
                <w:rFonts w:ascii="Arial" w:hAnsi="Arial" w:cs="Arial"/>
                <w:bCs/>
                <w:sz w:val="20"/>
                <w:szCs w:val="20"/>
              </w:rPr>
            </w:pPr>
            <w:r w:rsidRPr="000D4EDC">
              <w:rPr>
                <w:rFonts w:ascii="Arial" w:hAnsi="Arial" w:cs="Arial"/>
                <w:bCs/>
                <w:sz w:val="20"/>
                <w:szCs w:val="20"/>
              </w:rPr>
              <w:t>0</w:t>
            </w:r>
          </w:p>
        </w:tc>
        <w:tc>
          <w:tcPr>
            <w:tcW w:w="1417" w:type="dxa"/>
            <w:tcBorders>
              <w:top w:val="single" w:sz="8" w:space="0" w:color="auto"/>
              <w:left w:val="nil"/>
              <w:right w:val="nil"/>
            </w:tcBorders>
            <w:shd w:val="clear" w:color="auto" w:fill="EAF1DD" w:themeFill="accent3" w:themeFillTint="33"/>
            <w:vAlign w:val="bottom"/>
          </w:tcPr>
          <w:p w14:paraId="6040DF54" w14:textId="232CF4D1" w:rsidR="003B49BD" w:rsidRPr="000D4EDC" w:rsidRDefault="00FD291B" w:rsidP="003B49BD">
            <w:pPr>
              <w:jc w:val="center"/>
              <w:rPr>
                <w:rFonts w:ascii="Arial" w:hAnsi="Arial" w:cs="Arial"/>
                <w:b/>
                <w:bCs/>
                <w:sz w:val="20"/>
                <w:szCs w:val="20"/>
              </w:rPr>
            </w:pPr>
            <w:r w:rsidRPr="000D4EDC">
              <w:rPr>
                <w:rFonts w:ascii="Arial" w:hAnsi="Arial" w:cs="Arial"/>
                <w:b/>
                <w:bCs/>
                <w:sz w:val="20"/>
                <w:szCs w:val="20"/>
              </w:rPr>
              <w:t>0</w:t>
            </w:r>
          </w:p>
        </w:tc>
        <w:tc>
          <w:tcPr>
            <w:tcW w:w="1276" w:type="dxa"/>
            <w:tcBorders>
              <w:top w:val="single" w:sz="8" w:space="0" w:color="auto"/>
              <w:left w:val="single" w:sz="8" w:space="0" w:color="auto"/>
              <w:right w:val="single" w:sz="4" w:space="0" w:color="auto"/>
            </w:tcBorders>
            <w:shd w:val="clear" w:color="auto" w:fill="EAF1DD" w:themeFill="accent3" w:themeFillTint="33"/>
            <w:vAlign w:val="bottom"/>
          </w:tcPr>
          <w:p w14:paraId="33C48018" w14:textId="27A78F6A" w:rsidR="003B49BD" w:rsidRPr="000D4EDC" w:rsidRDefault="00FD291B" w:rsidP="003B49BD">
            <w:pPr>
              <w:jc w:val="center"/>
              <w:rPr>
                <w:rFonts w:ascii="Arial" w:hAnsi="Arial" w:cs="Arial"/>
                <w:b/>
                <w:bCs/>
                <w:sz w:val="20"/>
                <w:szCs w:val="20"/>
              </w:rPr>
            </w:pPr>
            <w:r w:rsidRPr="000D4EDC">
              <w:rPr>
                <w:rFonts w:ascii="Arial" w:hAnsi="Arial" w:cs="Arial"/>
                <w:b/>
                <w:bCs/>
                <w:sz w:val="20"/>
                <w:szCs w:val="20"/>
              </w:rPr>
              <w:t>4,291</w:t>
            </w:r>
          </w:p>
        </w:tc>
        <w:tc>
          <w:tcPr>
            <w:tcW w:w="1134" w:type="dxa"/>
            <w:tcBorders>
              <w:top w:val="single" w:sz="8" w:space="0" w:color="auto"/>
              <w:left w:val="single" w:sz="4" w:space="0" w:color="auto"/>
              <w:right w:val="single" w:sz="4" w:space="0" w:color="auto"/>
            </w:tcBorders>
            <w:shd w:val="clear" w:color="auto" w:fill="EAF1DD" w:themeFill="accent3" w:themeFillTint="33"/>
            <w:vAlign w:val="bottom"/>
          </w:tcPr>
          <w:p w14:paraId="1472E5BF" w14:textId="7F72B213" w:rsidR="003B49BD" w:rsidRPr="000D4EDC" w:rsidRDefault="00FD291B" w:rsidP="003B49BD">
            <w:pPr>
              <w:jc w:val="center"/>
              <w:rPr>
                <w:rFonts w:ascii="Arial" w:hAnsi="Arial" w:cs="Arial"/>
                <w:b/>
                <w:bCs/>
                <w:sz w:val="20"/>
                <w:szCs w:val="20"/>
              </w:rPr>
            </w:pPr>
            <w:r w:rsidRPr="000D4EDC">
              <w:rPr>
                <w:rFonts w:ascii="Arial" w:hAnsi="Arial" w:cs="Arial"/>
                <w:b/>
                <w:bCs/>
                <w:sz w:val="20"/>
                <w:szCs w:val="20"/>
              </w:rPr>
              <w:t>3,3</w:t>
            </w:r>
            <w:r w:rsidR="00090C7A">
              <w:rPr>
                <w:rFonts w:ascii="Arial" w:hAnsi="Arial" w:cs="Arial"/>
                <w:b/>
                <w:bCs/>
                <w:sz w:val="20"/>
                <w:szCs w:val="20"/>
              </w:rPr>
              <w:t>20</w:t>
            </w:r>
          </w:p>
        </w:tc>
        <w:tc>
          <w:tcPr>
            <w:tcW w:w="1701" w:type="dxa"/>
            <w:tcBorders>
              <w:top w:val="single" w:sz="8" w:space="0" w:color="auto"/>
              <w:left w:val="single" w:sz="4" w:space="0" w:color="auto"/>
              <w:right w:val="single" w:sz="8" w:space="0" w:color="auto"/>
            </w:tcBorders>
            <w:shd w:val="clear" w:color="auto" w:fill="EAF1DD" w:themeFill="accent3" w:themeFillTint="33"/>
            <w:vAlign w:val="bottom"/>
          </w:tcPr>
          <w:p w14:paraId="16E49FBD" w14:textId="7458D647" w:rsidR="003B49BD" w:rsidRPr="000D4EDC" w:rsidRDefault="00FD291B" w:rsidP="003B49BD">
            <w:pPr>
              <w:jc w:val="center"/>
              <w:rPr>
                <w:rFonts w:ascii="Arial" w:hAnsi="Arial" w:cs="Arial"/>
                <w:b/>
                <w:bCs/>
                <w:sz w:val="20"/>
                <w:szCs w:val="20"/>
              </w:rPr>
            </w:pPr>
            <w:r w:rsidRPr="000D4EDC">
              <w:rPr>
                <w:rFonts w:ascii="Arial" w:hAnsi="Arial" w:cs="Arial"/>
                <w:b/>
                <w:bCs/>
                <w:sz w:val="20"/>
                <w:szCs w:val="20"/>
              </w:rPr>
              <w:t>8,76</w:t>
            </w:r>
            <w:r w:rsidR="00B0626C">
              <w:rPr>
                <w:rFonts w:ascii="Arial" w:hAnsi="Arial" w:cs="Arial"/>
                <w:b/>
                <w:bCs/>
                <w:sz w:val="20"/>
                <w:szCs w:val="20"/>
              </w:rPr>
              <w:t>2</w:t>
            </w:r>
          </w:p>
        </w:tc>
        <w:tc>
          <w:tcPr>
            <w:tcW w:w="992" w:type="dxa"/>
            <w:tcBorders>
              <w:top w:val="single" w:sz="8" w:space="0" w:color="auto"/>
              <w:left w:val="nil"/>
              <w:right w:val="nil"/>
            </w:tcBorders>
            <w:shd w:val="clear" w:color="auto" w:fill="EAF1DD" w:themeFill="accent3" w:themeFillTint="33"/>
            <w:vAlign w:val="bottom"/>
          </w:tcPr>
          <w:p w14:paraId="5BD0D6D9" w14:textId="7353FF04"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61</w:t>
            </w:r>
          </w:p>
        </w:tc>
        <w:tc>
          <w:tcPr>
            <w:tcW w:w="1276" w:type="dxa"/>
            <w:tcBorders>
              <w:top w:val="single" w:sz="8" w:space="0" w:color="auto"/>
              <w:left w:val="single" w:sz="8" w:space="0" w:color="auto"/>
              <w:right w:val="single" w:sz="8" w:space="0" w:color="auto"/>
            </w:tcBorders>
            <w:shd w:val="clear" w:color="auto" w:fill="EAF1DD" w:themeFill="accent3" w:themeFillTint="33"/>
            <w:vAlign w:val="bottom"/>
          </w:tcPr>
          <w:p w14:paraId="75CF1DB8" w14:textId="045AABD2"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2,</w:t>
            </w:r>
            <w:r w:rsidR="00782261">
              <w:rPr>
                <w:rFonts w:ascii="Arial" w:hAnsi="Arial" w:cs="Arial"/>
                <w:b/>
                <w:bCs/>
                <w:sz w:val="20"/>
                <w:szCs w:val="20"/>
              </w:rPr>
              <w:t>267</w:t>
            </w:r>
          </w:p>
        </w:tc>
        <w:tc>
          <w:tcPr>
            <w:tcW w:w="1276" w:type="dxa"/>
            <w:tcBorders>
              <w:top w:val="single" w:sz="8" w:space="0" w:color="auto"/>
              <w:left w:val="nil"/>
              <w:right w:val="nil"/>
            </w:tcBorders>
            <w:shd w:val="clear" w:color="auto" w:fill="EAF1DD" w:themeFill="accent3" w:themeFillTint="33"/>
            <w:vAlign w:val="bottom"/>
          </w:tcPr>
          <w:p w14:paraId="25B40259" w14:textId="2E950A4F" w:rsidR="003B49BD" w:rsidRPr="000D4EDC" w:rsidRDefault="00C11858" w:rsidP="003B49BD">
            <w:pPr>
              <w:jc w:val="center"/>
              <w:rPr>
                <w:rFonts w:ascii="Arial" w:hAnsi="Arial" w:cs="Arial"/>
                <w:b/>
                <w:bCs/>
                <w:sz w:val="20"/>
                <w:szCs w:val="20"/>
              </w:rPr>
            </w:pPr>
            <w:r>
              <w:rPr>
                <w:rFonts w:ascii="Arial" w:hAnsi="Arial" w:cs="Arial"/>
                <w:b/>
                <w:bCs/>
                <w:sz w:val="20"/>
                <w:szCs w:val="20"/>
              </w:rPr>
              <w:t>497</w:t>
            </w:r>
          </w:p>
        </w:tc>
        <w:tc>
          <w:tcPr>
            <w:tcW w:w="1701" w:type="dxa"/>
            <w:tcBorders>
              <w:top w:val="single" w:sz="8" w:space="0" w:color="auto"/>
              <w:left w:val="single" w:sz="8" w:space="0" w:color="auto"/>
              <w:right w:val="single" w:sz="8" w:space="0" w:color="000000"/>
            </w:tcBorders>
            <w:shd w:val="clear" w:color="auto" w:fill="EAF1DD" w:themeFill="accent3" w:themeFillTint="33"/>
            <w:vAlign w:val="bottom"/>
          </w:tcPr>
          <w:p w14:paraId="05CAD665" w14:textId="1975F8DD"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205</w:t>
            </w:r>
          </w:p>
        </w:tc>
        <w:tc>
          <w:tcPr>
            <w:tcW w:w="1559" w:type="dxa"/>
            <w:tcBorders>
              <w:top w:val="single" w:sz="8" w:space="0" w:color="auto"/>
              <w:left w:val="single" w:sz="8" w:space="0" w:color="000000"/>
              <w:right w:val="nil"/>
            </w:tcBorders>
            <w:shd w:val="clear" w:color="auto" w:fill="EAF1DD" w:themeFill="accent3" w:themeFillTint="33"/>
            <w:vAlign w:val="bottom"/>
          </w:tcPr>
          <w:p w14:paraId="518F8DCC" w14:textId="60E39F94"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19,</w:t>
            </w:r>
            <w:r w:rsidR="00B636DD">
              <w:rPr>
                <w:rFonts w:ascii="Arial" w:hAnsi="Arial" w:cs="Arial"/>
                <w:b/>
                <w:bCs/>
                <w:sz w:val="20"/>
                <w:szCs w:val="20"/>
              </w:rPr>
              <w:t>403</w:t>
            </w:r>
          </w:p>
        </w:tc>
        <w:tc>
          <w:tcPr>
            <w:tcW w:w="1559" w:type="dxa"/>
            <w:tcBorders>
              <w:top w:val="single" w:sz="4" w:space="0" w:color="auto"/>
              <w:left w:val="single" w:sz="8" w:space="0" w:color="auto"/>
              <w:right w:val="single" w:sz="8" w:space="0" w:color="auto"/>
            </w:tcBorders>
            <w:shd w:val="clear" w:color="auto" w:fill="EAF1DD" w:themeFill="accent3" w:themeFillTint="33"/>
            <w:vAlign w:val="bottom"/>
          </w:tcPr>
          <w:p w14:paraId="0B3FB24A" w14:textId="61ED64E3"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987</w:t>
            </w:r>
          </w:p>
        </w:tc>
        <w:tc>
          <w:tcPr>
            <w:tcW w:w="1559" w:type="dxa"/>
            <w:tcBorders>
              <w:top w:val="single" w:sz="8" w:space="0" w:color="auto"/>
              <w:left w:val="nil"/>
              <w:right w:val="nil"/>
            </w:tcBorders>
            <w:shd w:val="clear" w:color="auto" w:fill="EAF1DD" w:themeFill="accent3" w:themeFillTint="33"/>
            <w:vAlign w:val="bottom"/>
          </w:tcPr>
          <w:p w14:paraId="25A778EE" w14:textId="5121C818"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3,682</w:t>
            </w:r>
          </w:p>
        </w:tc>
        <w:tc>
          <w:tcPr>
            <w:tcW w:w="1560" w:type="dxa"/>
            <w:tcBorders>
              <w:top w:val="single" w:sz="8" w:space="0" w:color="auto"/>
              <w:left w:val="single" w:sz="8" w:space="0" w:color="auto"/>
              <w:right w:val="single" w:sz="8" w:space="0" w:color="auto"/>
            </w:tcBorders>
            <w:shd w:val="clear" w:color="auto" w:fill="EAF1DD" w:themeFill="accent3" w:themeFillTint="33"/>
            <w:vAlign w:val="bottom"/>
          </w:tcPr>
          <w:p w14:paraId="24D71735" w14:textId="6A764562"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4,669</w:t>
            </w:r>
          </w:p>
        </w:tc>
        <w:tc>
          <w:tcPr>
            <w:tcW w:w="1701" w:type="dxa"/>
            <w:tcBorders>
              <w:top w:val="single" w:sz="8" w:space="0" w:color="auto"/>
              <w:left w:val="single" w:sz="8" w:space="0" w:color="000000"/>
              <w:right w:val="single" w:sz="8" w:space="0" w:color="auto"/>
            </w:tcBorders>
            <w:shd w:val="clear" w:color="auto" w:fill="EAF1DD" w:themeFill="accent3" w:themeFillTint="33"/>
            <w:vAlign w:val="bottom"/>
          </w:tcPr>
          <w:p w14:paraId="6AA21070" w14:textId="5650AF6B" w:rsidR="003B49BD" w:rsidRPr="000D4EDC" w:rsidRDefault="00D32463" w:rsidP="003B49BD">
            <w:pPr>
              <w:jc w:val="center"/>
              <w:rPr>
                <w:rFonts w:ascii="Arial" w:hAnsi="Arial" w:cs="Arial"/>
                <w:b/>
                <w:bCs/>
                <w:sz w:val="20"/>
                <w:szCs w:val="20"/>
              </w:rPr>
            </w:pPr>
            <w:r w:rsidRPr="000D4EDC">
              <w:rPr>
                <w:rFonts w:ascii="Arial" w:hAnsi="Arial" w:cs="Arial"/>
                <w:b/>
                <w:bCs/>
                <w:sz w:val="20"/>
                <w:szCs w:val="20"/>
              </w:rPr>
              <w:t>0</w:t>
            </w:r>
          </w:p>
        </w:tc>
        <w:tc>
          <w:tcPr>
            <w:tcW w:w="992" w:type="dxa"/>
            <w:tcBorders>
              <w:top w:val="single" w:sz="8" w:space="0" w:color="auto"/>
              <w:left w:val="single" w:sz="8" w:space="0" w:color="000000"/>
              <w:right w:val="single" w:sz="8" w:space="0" w:color="auto"/>
            </w:tcBorders>
            <w:shd w:val="clear" w:color="auto" w:fill="EAF1DD" w:themeFill="accent3" w:themeFillTint="33"/>
          </w:tcPr>
          <w:p w14:paraId="29760DFC" w14:textId="77777777" w:rsidR="00945813" w:rsidRPr="000D4EDC" w:rsidRDefault="00945813" w:rsidP="00604B37">
            <w:pPr>
              <w:jc w:val="center"/>
              <w:rPr>
                <w:rFonts w:ascii="Arial" w:hAnsi="Arial" w:cs="Arial"/>
                <w:b/>
                <w:bCs/>
                <w:sz w:val="20"/>
                <w:szCs w:val="20"/>
              </w:rPr>
            </w:pPr>
          </w:p>
          <w:p w14:paraId="4898F722" w14:textId="77777777" w:rsidR="00D32463" w:rsidRPr="000D4EDC" w:rsidRDefault="00D32463" w:rsidP="00604B37">
            <w:pPr>
              <w:jc w:val="center"/>
              <w:rPr>
                <w:rFonts w:ascii="Arial" w:hAnsi="Arial" w:cs="Arial"/>
                <w:b/>
                <w:bCs/>
                <w:sz w:val="20"/>
                <w:szCs w:val="20"/>
              </w:rPr>
            </w:pPr>
          </w:p>
          <w:p w14:paraId="270FC044" w14:textId="08B9C669" w:rsidR="00D32463" w:rsidRPr="000D4EDC" w:rsidRDefault="00D32463" w:rsidP="00604B37">
            <w:pPr>
              <w:jc w:val="center"/>
              <w:rPr>
                <w:rFonts w:ascii="Arial" w:hAnsi="Arial" w:cs="Arial"/>
                <w:b/>
                <w:bCs/>
                <w:sz w:val="20"/>
                <w:szCs w:val="20"/>
              </w:rPr>
            </w:pPr>
            <w:r w:rsidRPr="000D4EDC">
              <w:rPr>
                <w:rFonts w:ascii="Arial" w:hAnsi="Arial" w:cs="Arial"/>
                <w:b/>
                <w:bCs/>
                <w:sz w:val="20"/>
                <w:szCs w:val="20"/>
              </w:rPr>
              <w:t>24,</w:t>
            </w:r>
            <w:r w:rsidR="00956B2B">
              <w:rPr>
                <w:rFonts w:ascii="Arial" w:hAnsi="Arial" w:cs="Arial"/>
                <w:b/>
                <w:bCs/>
                <w:sz w:val="20"/>
                <w:szCs w:val="20"/>
              </w:rPr>
              <w:t>072</w:t>
            </w:r>
          </w:p>
        </w:tc>
      </w:tr>
      <w:tr w:rsidR="008D50CD" w:rsidRPr="00DD5591" w14:paraId="187CAB0F" w14:textId="6C2AD39A" w:rsidTr="00FD64E6">
        <w:trPr>
          <w:cantSplit/>
          <w:trHeight w:val="340"/>
        </w:trPr>
        <w:tc>
          <w:tcPr>
            <w:tcW w:w="2410" w:type="dxa"/>
            <w:tcBorders>
              <w:left w:val="single" w:sz="8" w:space="0" w:color="auto"/>
              <w:bottom w:val="single" w:sz="4" w:space="0" w:color="auto"/>
              <w:right w:val="single" w:sz="4" w:space="0" w:color="auto"/>
            </w:tcBorders>
            <w:shd w:val="clear" w:color="auto" w:fill="EAF1DD" w:themeFill="accent3" w:themeFillTint="33"/>
            <w:vAlign w:val="bottom"/>
            <w:hideMark/>
          </w:tcPr>
          <w:p w14:paraId="2BAEA351" w14:textId="6F4F7E03" w:rsidR="003B49BD" w:rsidRPr="000D4EDC" w:rsidRDefault="003B49BD" w:rsidP="003B49BD">
            <w:pPr>
              <w:rPr>
                <w:rFonts w:ascii="Arial" w:hAnsi="Arial" w:cs="Arial"/>
                <w:b/>
                <w:bCs/>
                <w:sz w:val="20"/>
                <w:szCs w:val="20"/>
              </w:rPr>
            </w:pPr>
            <w:r w:rsidRPr="000D4EDC">
              <w:rPr>
                <w:rFonts w:ascii="Arial" w:hAnsi="Arial" w:cs="Arial"/>
                <w:b/>
                <w:bCs/>
                <w:sz w:val="20"/>
                <w:szCs w:val="20"/>
              </w:rPr>
              <w:t>Net book value at 31 March 202</w:t>
            </w:r>
            <w:r w:rsidR="00937F30" w:rsidRPr="000D4EDC">
              <w:rPr>
                <w:rFonts w:ascii="Arial" w:hAnsi="Arial" w:cs="Arial"/>
                <w:b/>
                <w:bCs/>
                <w:sz w:val="20"/>
                <w:szCs w:val="20"/>
              </w:rPr>
              <w:t>2</w:t>
            </w:r>
          </w:p>
        </w:tc>
        <w:tc>
          <w:tcPr>
            <w:tcW w:w="993" w:type="dxa"/>
            <w:tcBorders>
              <w:top w:val="single" w:sz="8" w:space="0" w:color="auto"/>
              <w:left w:val="single" w:sz="4" w:space="0" w:color="auto"/>
              <w:bottom w:val="double" w:sz="6" w:space="0" w:color="auto"/>
              <w:right w:val="single" w:sz="8" w:space="0" w:color="auto"/>
            </w:tcBorders>
            <w:shd w:val="clear" w:color="auto" w:fill="EAF1DD" w:themeFill="accent3" w:themeFillTint="33"/>
            <w:vAlign w:val="bottom"/>
          </w:tcPr>
          <w:p w14:paraId="65BC2F78" w14:textId="22ED2BC9" w:rsidR="003B49BD" w:rsidRPr="000D4EDC" w:rsidRDefault="005E55FC" w:rsidP="003B49BD">
            <w:pPr>
              <w:jc w:val="center"/>
              <w:rPr>
                <w:rFonts w:ascii="Arial" w:hAnsi="Arial" w:cs="Arial"/>
                <w:b/>
                <w:bCs/>
                <w:sz w:val="20"/>
                <w:szCs w:val="20"/>
              </w:rPr>
            </w:pPr>
            <w:r w:rsidRPr="000D4EDC">
              <w:rPr>
                <w:rFonts w:ascii="Arial" w:hAnsi="Arial" w:cs="Arial"/>
                <w:b/>
                <w:bCs/>
                <w:sz w:val="20"/>
                <w:szCs w:val="20"/>
              </w:rPr>
              <w:t>847</w:t>
            </w:r>
          </w:p>
        </w:tc>
        <w:tc>
          <w:tcPr>
            <w:tcW w:w="1417"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7F75EEA6" w14:textId="39204C0D"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3,970</w:t>
            </w:r>
          </w:p>
        </w:tc>
        <w:tc>
          <w:tcPr>
            <w:tcW w:w="1276" w:type="dxa"/>
            <w:tcBorders>
              <w:top w:val="single" w:sz="8" w:space="0" w:color="auto"/>
              <w:left w:val="nil"/>
              <w:bottom w:val="double" w:sz="6" w:space="0" w:color="auto"/>
              <w:right w:val="single" w:sz="4" w:space="0" w:color="auto"/>
            </w:tcBorders>
            <w:shd w:val="clear" w:color="auto" w:fill="EAF1DD" w:themeFill="accent3" w:themeFillTint="33"/>
            <w:vAlign w:val="bottom"/>
          </w:tcPr>
          <w:p w14:paraId="6A515142" w14:textId="1AF7C917"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6,32</w:t>
            </w:r>
            <w:r w:rsidR="00894D6B">
              <w:rPr>
                <w:rFonts w:ascii="Arial" w:hAnsi="Arial" w:cs="Arial"/>
                <w:b/>
                <w:bCs/>
                <w:sz w:val="20"/>
                <w:szCs w:val="20"/>
              </w:rPr>
              <w:t>3</w:t>
            </w:r>
          </w:p>
        </w:tc>
        <w:tc>
          <w:tcPr>
            <w:tcW w:w="1134" w:type="dxa"/>
            <w:tcBorders>
              <w:top w:val="single" w:sz="8" w:space="0" w:color="auto"/>
              <w:left w:val="single" w:sz="4" w:space="0" w:color="auto"/>
              <w:bottom w:val="double" w:sz="6" w:space="0" w:color="auto"/>
              <w:right w:val="single" w:sz="4" w:space="0" w:color="auto"/>
            </w:tcBorders>
            <w:shd w:val="clear" w:color="auto" w:fill="EAF1DD" w:themeFill="accent3" w:themeFillTint="33"/>
            <w:vAlign w:val="bottom"/>
          </w:tcPr>
          <w:p w14:paraId="4CA75407" w14:textId="57B6E696"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21,25</w:t>
            </w:r>
            <w:r w:rsidR="00090C7A">
              <w:rPr>
                <w:rFonts w:ascii="Arial" w:hAnsi="Arial" w:cs="Arial"/>
                <w:b/>
                <w:bCs/>
                <w:sz w:val="20"/>
                <w:szCs w:val="20"/>
              </w:rPr>
              <w:t>5</w:t>
            </w:r>
          </w:p>
        </w:tc>
        <w:tc>
          <w:tcPr>
            <w:tcW w:w="1701" w:type="dxa"/>
            <w:tcBorders>
              <w:top w:val="single" w:sz="8" w:space="0" w:color="auto"/>
              <w:left w:val="single" w:sz="4" w:space="0" w:color="auto"/>
              <w:bottom w:val="double" w:sz="6" w:space="0" w:color="auto"/>
              <w:right w:val="single" w:sz="8" w:space="0" w:color="auto"/>
            </w:tcBorders>
            <w:shd w:val="clear" w:color="auto" w:fill="EAF1DD" w:themeFill="accent3" w:themeFillTint="33"/>
            <w:vAlign w:val="bottom"/>
          </w:tcPr>
          <w:p w14:paraId="4A4F5E78" w14:textId="301F08FF"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4,56</w:t>
            </w:r>
            <w:r w:rsidR="001A2AB8" w:rsidRPr="000D4EDC">
              <w:rPr>
                <w:rFonts w:ascii="Arial" w:hAnsi="Arial" w:cs="Arial"/>
                <w:b/>
                <w:bCs/>
                <w:sz w:val="20"/>
                <w:szCs w:val="20"/>
              </w:rPr>
              <w:t>4</w:t>
            </w:r>
          </w:p>
        </w:tc>
        <w:tc>
          <w:tcPr>
            <w:tcW w:w="992"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61E7F7D6" w14:textId="4FF9DC13"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674</w:t>
            </w:r>
          </w:p>
        </w:tc>
        <w:tc>
          <w:tcPr>
            <w:tcW w:w="1276"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1B1BA935" w14:textId="010CF484" w:rsidR="003B49BD" w:rsidRPr="000D4EDC" w:rsidRDefault="009814AE" w:rsidP="003B49BD">
            <w:pPr>
              <w:jc w:val="center"/>
              <w:rPr>
                <w:rFonts w:ascii="Arial" w:hAnsi="Arial" w:cs="Arial"/>
                <w:b/>
                <w:bCs/>
                <w:sz w:val="20"/>
                <w:szCs w:val="20"/>
              </w:rPr>
            </w:pPr>
            <w:r w:rsidRPr="000D4EDC">
              <w:rPr>
                <w:rFonts w:ascii="Arial" w:hAnsi="Arial" w:cs="Arial"/>
                <w:b/>
                <w:bCs/>
                <w:sz w:val="20"/>
                <w:szCs w:val="20"/>
              </w:rPr>
              <w:t>2,259</w:t>
            </w:r>
          </w:p>
        </w:tc>
        <w:tc>
          <w:tcPr>
            <w:tcW w:w="1276"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0F370F47" w14:textId="672F7CE0" w:rsidR="003B49BD" w:rsidRPr="000D4EDC" w:rsidRDefault="001A2AB8" w:rsidP="003B49BD">
            <w:pPr>
              <w:jc w:val="center"/>
              <w:rPr>
                <w:rFonts w:ascii="Arial" w:hAnsi="Arial" w:cs="Arial"/>
                <w:b/>
                <w:bCs/>
                <w:sz w:val="20"/>
                <w:szCs w:val="20"/>
              </w:rPr>
            </w:pPr>
            <w:r w:rsidRPr="000D4EDC">
              <w:rPr>
                <w:rFonts w:ascii="Arial" w:hAnsi="Arial" w:cs="Arial"/>
                <w:b/>
                <w:bCs/>
                <w:sz w:val="20"/>
                <w:szCs w:val="20"/>
              </w:rPr>
              <w:t>255</w:t>
            </w:r>
          </w:p>
        </w:tc>
        <w:tc>
          <w:tcPr>
            <w:tcW w:w="1701" w:type="dxa"/>
            <w:tcBorders>
              <w:top w:val="single" w:sz="8" w:space="0" w:color="auto"/>
              <w:left w:val="nil"/>
              <w:bottom w:val="double" w:sz="6" w:space="0" w:color="auto"/>
              <w:right w:val="single" w:sz="8" w:space="0" w:color="000000"/>
            </w:tcBorders>
            <w:shd w:val="clear" w:color="auto" w:fill="EAF1DD" w:themeFill="accent3" w:themeFillTint="33"/>
            <w:vAlign w:val="bottom"/>
          </w:tcPr>
          <w:p w14:paraId="4E51D309" w14:textId="17208C80" w:rsidR="003B49BD" w:rsidRPr="000D4EDC" w:rsidRDefault="001A2AB8" w:rsidP="003B49BD">
            <w:pPr>
              <w:jc w:val="center"/>
              <w:rPr>
                <w:rFonts w:ascii="Arial" w:hAnsi="Arial" w:cs="Arial"/>
                <w:b/>
                <w:bCs/>
                <w:sz w:val="20"/>
                <w:szCs w:val="20"/>
              </w:rPr>
            </w:pPr>
            <w:r w:rsidRPr="000D4EDC">
              <w:rPr>
                <w:rFonts w:ascii="Arial" w:hAnsi="Arial" w:cs="Arial"/>
                <w:b/>
                <w:bCs/>
                <w:sz w:val="20"/>
                <w:szCs w:val="20"/>
              </w:rPr>
              <w:t>65</w:t>
            </w:r>
          </w:p>
        </w:tc>
        <w:tc>
          <w:tcPr>
            <w:tcW w:w="1559" w:type="dxa"/>
            <w:tcBorders>
              <w:top w:val="single" w:sz="8" w:space="0" w:color="auto"/>
              <w:left w:val="single" w:sz="8" w:space="0" w:color="000000"/>
              <w:bottom w:val="double" w:sz="6" w:space="0" w:color="auto"/>
              <w:right w:val="single" w:sz="8" w:space="0" w:color="auto"/>
            </w:tcBorders>
            <w:shd w:val="clear" w:color="auto" w:fill="EAF1DD" w:themeFill="accent3" w:themeFillTint="33"/>
            <w:vAlign w:val="bottom"/>
          </w:tcPr>
          <w:p w14:paraId="3419DB9C" w14:textId="20D68BE6" w:rsidR="003B49BD" w:rsidRPr="000D4EDC" w:rsidRDefault="001A2AB8" w:rsidP="003B49BD">
            <w:pPr>
              <w:jc w:val="center"/>
              <w:rPr>
                <w:rFonts w:ascii="Arial" w:hAnsi="Arial" w:cs="Arial"/>
                <w:b/>
                <w:bCs/>
                <w:sz w:val="20"/>
                <w:szCs w:val="20"/>
              </w:rPr>
            </w:pPr>
            <w:r w:rsidRPr="000D4EDC">
              <w:rPr>
                <w:rFonts w:ascii="Arial" w:hAnsi="Arial" w:cs="Arial"/>
                <w:b/>
                <w:bCs/>
                <w:sz w:val="20"/>
                <w:szCs w:val="20"/>
              </w:rPr>
              <w:t>40,21</w:t>
            </w:r>
            <w:r w:rsidR="00D673C7">
              <w:rPr>
                <w:rFonts w:ascii="Arial" w:hAnsi="Arial" w:cs="Arial"/>
                <w:b/>
                <w:bCs/>
                <w:sz w:val="20"/>
                <w:szCs w:val="20"/>
              </w:rPr>
              <w:t>2</w:t>
            </w:r>
          </w:p>
        </w:tc>
        <w:tc>
          <w:tcPr>
            <w:tcW w:w="1559"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5F0AB341" w14:textId="30FD5209" w:rsidR="003B49BD" w:rsidRPr="000D4EDC" w:rsidRDefault="001A2AB8" w:rsidP="003B49BD">
            <w:pPr>
              <w:jc w:val="center"/>
              <w:rPr>
                <w:rFonts w:ascii="Arial" w:hAnsi="Arial" w:cs="Arial"/>
                <w:b/>
                <w:bCs/>
                <w:sz w:val="20"/>
                <w:szCs w:val="20"/>
              </w:rPr>
            </w:pPr>
            <w:r w:rsidRPr="000D4EDC">
              <w:rPr>
                <w:rFonts w:ascii="Arial" w:hAnsi="Arial" w:cs="Arial"/>
                <w:b/>
                <w:bCs/>
                <w:sz w:val="20"/>
                <w:szCs w:val="20"/>
              </w:rPr>
              <w:t>90</w:t>
            </w:r>
          </w:p>
        </w:tc>
        <w:tc>
          <w:tcPr>
            <w:tcW w:w="1559"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388BBEAC" w14:textId="65B46D58" w:rsidR="003B49BD" w:rsidRPr="000D4EDC" w:rsidRDefault="001A2AB8" w:rsidP="009814AE">
            <w:pPr>
              <w:rPr>
                <w:rFonts w:ascii="Arial" w:hAnsi="Arial" w:cs="Arial"/>
                <w:b/>
                <w:bCs/>
                <w:sz w:val="20"/>
                <w:szCs w:val="20"/>
              </w:rPr>
            </w:pPr>
            <w:r w:rsidRPr="000D4EDC">
              <w:rPr>
                <w:rFonts w:ascii="Arial" w:hAnsi="Arial" w:cs="Arial"/>
                <w:b/>
                <w:bCs/>
                <w:sz w:val="20"/>
                <w:szCs w:val="20"/>
              </w:rPr>
              <w:t xml:space="preserve">   </w:t>
            </w:r>
            <w:r w:rsidR="00D32659">
              <w:rPr>
                <w:rFonts w:ascii="Arial" w:hAnsi="Arial" w:cs="Arial"/>
                <w:b/>
                <w:bCs/>
                <w:sz w:val="20"/>
                <w:szCs w:val="20"/>
              </w:rPr>
              <w:t xml:space="preserve">  </w:t>
            </w:r>
            <w:r w:rsidRPr="000D4EDC">
              <w:rPr>
                <w:rFonts w:ascii="Arial" w:hAnsi="Arial" w:cs="Arial"/>
                <w:b/>
                <w:bCs/>
                <w:sz w:val="20"/>
                <w:szCs w:val="20"/>
              </w:rPr>
              <w:t xml:space="preserve">  1,209</w:t>
            </w:r>
          </w:p>
        </w:tc>
        <w:tc>
          <w:tcPr>
            <w:tcW w:w="1560"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641EA233" w14:textId="1F8ADA0B" w:rsidR="003B49BD" w:rsidRPr="000D4EDC" w:rsidRDefault="0013525C" w:rsidP="003B49BD">
            <w:pPr>
              <w:jc w:val="center"/>
              <w:rPr>
                <w:rFonts w:ascii="Arial" w:hAnsi="Arial" w:cs="Arial"/>
                <w:b/>
                <w:bCs/>
                <w:sz w:val="20"/>
                <w:szCs w:val="20"/>
              </w:rPr>
            </w:pPr>
            <w:r w:rsidRPr="000D4EDC">
              <w:rPr>
                <w:rFonts w:ascii="Arial" w:hAnsi="Arial" w:cs="Arial"/>
                <w:b/>
                <w:bCs/>
                <w:sz w:val="20"/>
                <w:szCs w:val="20"/>
              </w:rPr>
              <w:t>1,299</w:t>
            </w:r>
          </w:p>
        </w:tc>
        <w:tc>
          <w:tcPr>
            <w:tcW w:w="1701" w:type="dxa"/>
            <w:tcBorders>
              <w:top w:val="single" w:sz="8" w:space="0" w:color="auto"/>
              <w:left w:val="single" w:sz="8" w:space="0" w:color="000000"/>
              <w:bottom w:val="double" w:sz="6" w:space="0" w:color="auto"/>
              <w:right w:val="single" w:sz="8" w:space="0" w:color="auto"/>
            </w:tcBorders>
            <w:shd w:val="clear" w:color="auto" w:fill="EAF1DD" w:themeFill="accent3" w:themeFillTint="33"/>
            <w:vAlign w:val="bottom"/>
          </w:tcPr>
          <w:p w14:paraId="064176F1" w14:textId="0D7F32F4" w:rsidR="003B49BD" w:rsidRPr="000D4EDC" w:rsidRDefault="0013525C" w:rsidP="003B49BD">
            <w:pPr>
              <w:jc w:val="center"/>
              <w:rPr>
                <w:rFonts w:ascii="Arial" w:hAnsi="Arial" w:cs="Arial"/>
                <w:b/>
                <w:bCs/>
                <w:sz w:val="20"/>
                <w:szCs w:val="20"/>
              </w:rPr>
            </w:pPr>
            <w:r w:rsidRPr="000D4EDC">
              <w:rPr>
                <w:rFonts w:ascii="Arial" w:hAnsi="Arial" w:cs="Arial"/>
                <w:b/>
                <w:bCs/>
                <w:sz w:val="20"/>
                <w:szCs w:val="20"/>
              </w:rPr>
              <w:t>1,304</w:t>
            </w:r>
          </w:p>
        </w:tc>
        <w:tc>
          <w:tcPr>
            <w:tcW w:w="992" w:type="dxa"/>
            <w:tcBorders>
              <w:top w:val="single" w:sz="8" w:space="0" w:color="auto"/>
              <w:left w:val="single" w:sz="8" w:space="0" w:color="000000"/>
              <w:bottom w:val="double" w:sz="6" w:space="0" w:color="auto"/>
              <w:right w:val="single" w:sz="8" w:space="0" w:color="auto"/>
            </w:tcBorders>
            <w:shd w:val="clear" w:color="auto" w:fill="EAF1DD" w:themeFill="accent3" w:themeFillTint="33"/>
          </w:tcPr>
          <w:p w14:paraId="1D162CB5" w14:textId="77777777" w:rsidR="003B49BD" w:rsidRPr="000D4EDC" w:rsidRDefault="003B49BD" w:rsidP="003B49BD">
            <w:pPr>
              <w:jc w:val="center"/>
              <w:rPr>
                <w:rFonts w:ascii="Arial" w:hAnsi="Arial" w:cs="Arial"/>
                <w:b/>
                <w:bCs/>
                <w:sz w:val="20"/>
                <w:szCs w:val="20"/>
              </w:rPr>
            </w:pPr>
          </w:p>
          <w:p w14:paraId="6DA97ABD" w14:textId="77777777" w:rsidR="0013525C" w:rsidRPr="000D4EDC" w:rsidRDefault="0013525C" w:rsidP="003B49BD">
            <w:pPr>
              <w:jc w:val="center"/>
              <w:rPr>
                <w:rFonts w:ascii="Arial" w:hAnsi="Arial" w:cs="Arial"/>
                <w:b/>
                <w:bCs/>
                <w:sz w:val="20"/>
                <w:szCs w:val="20"/>
              </w:rPr>
            </w:pPr>
          </w:p>
          <w:p w14:paraId="42049FCD" w14:textId="384A0565" w:rsidR="0013525C" w:rsidRPr="000D4EDC" w:rsidRDefault="0013525C" w:rsidP="003B49BD">
            <w:pPr>
              <w:jc w:val="center"/>
              <w:rPr>
                <w:rFonts w:ascii="Arial" w:hAnsi="Arial" w:cs="Arial"/>
                <w:b/>
                <w:bCs/>
                <w:sz w:val="20"/>
                <w:szCs w:val="20"/>
              </w:rPr>
            </w:pPr>
            <w:r w:rsidRPr="000D4EDC">
              <w:rPr>
                <w:rFonts w:ascii="Arial" w:hAnsi="Arial" w:cs="Arial"/>
                <w:b/>
                <w:bCs/>
                <w:sz w:val="20"/>
                <w:szCs w:val="20"/>
              </w:rPr>
              <w:t>42,81</w:t>
            </w:r>
            <w:r w:rsidR="00D52005">
              <w:rPr>
                <w:rFonts w:ascii="Arial" w:hAnsi="Arial" w:cs="Arial"/>
                <w:b/>
                <w:bCs/>
                <w:sz w:val="20"/>
                <w:szCs w:val="20"/>
              </w:rPr>
              <w:t>5</w:t>
            </w:r>
          </w:p>
        </w:tc>
      </w:tr>
      <w:tr w:rsidR="008D50CD" w:rsidRPr="00DD5591" w14:paraId="073083F0" w14:textId="038B0D1E" w:rsidTr="00FD64E6">
        <w:trPr>
          <w:cantSplit/>
          <w:trHeight w:val="340"/>
        </w:trPr>
        <w:tc>
          <w:tcPr>
            <w:tcW w:w="24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01BB1813" w14:textId="064E9A7B" w:rsidR="00453D40" w:rsidRPr="000D4EDC" w:rsidRDefault="00453D40" w:rsidP="00453D40">
            <w:pPr>
              <w:rPr>
                <w:rFonts w:ascii="Arial" w:hAnsi="Arial" w:cs="Arial"/>
                <w:b/>
                <w:bCs/>
                <w:sz w:val="20"/>
                <w:szCs w:val="20"/>
              </w:rPr>
            </w:pPr>
            <w:r w:rsidRPr="000D4EDC">
              <w:rPr>
                <w:rFonts w:ascii="Arial" w:hAnsi="Arial" w:cs="Arial"/>
                <w:b/>
                <w:bCs/>
                <w:sz w:val="20"/>
                <w:szCs w:val="20"/>
              </w:rPr>
              <w:t>Net book value at 31 March 2021</w:t>
            </w:r>
          </w:p>
        </w:tc>
        <w:tc>
          <w:tcPr>
            <w:tcW w:w="993" w:type="dxa"/>
            <w:tcBorders>
              <w:top w:val="single" w:sz="8" w:space="0" w:color="auto"/>
              <w:left w:val="single" w:sz="4" w:space="0" w:color="auto"/>
              <w:bottom w:val="double" w:sz="6" w:space="0" w:color="auto"/>
              <w:right w:val="single" w:sz="8" w:space="0" w:color="auto"/>
            </w:tcBorders>
            <w:shd w:val="clear" w:color="auto" w:fill="EAF1DD" w:themeFill="accent3" w:themeFillTint="33"/>
            <w:vAlign w:val="bottom"/>
          </w:tcPr>
          <w:p w14:paraId="0197382B" w14:textId="4F15D390"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832</w:t>
            </w:r>
          </w:p>
        </w:tc>
        <w:tc>
          <w:tcPr>
            <w:tcW w:w="1417"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215283FF" w14:textId="3456B067"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3,935</w:t>
            </w:r>
          </w:p>
        </w:tc>
        <w:tc>
          <w:tcPr>
            <w:tcW w:w="1276" w:type="dxa"/>
            <w:tcBorders>
              <w:top w:val="single" w:sz="8" w:space="0" w:color="auto"/>
              <w:left w:val="nil"/>
              <w:bottom w:val="double" w:sz="6" w:space="0" w:color="auto"/>
              <w:right w:val="single" w:sz="4" w:space="0" w:color="auto"/>
            </w:tcBorders>
            <w:shd w:val="clear" w:color="auto" w:fill="EAF1DD" w:themeFill="accent3" w:themeFillTint="33"/>
            <w:vAlign w:val="bottom"/>
          </w:tcPr>
          <w:p w14:paraId="759E84DA" w14:textId="0CF1A4A5"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6,365</w:t>
            </w:r>
          </w:p>
        </w:tc>
        <w:tc>
          <w:tcPr>
            <w:tcW w:w="1134" w:type="dxa"/>
            <w:tcBorders>
              <w:top w:val="single" w:sz="8" w:space="0" w:color="auto"/>
              <w:left w:val="single" w:sz="4" w:space="0" w:color="auto"/>
              <w:bottom w:val="double" w:sz="6" w:space="0" w:color="auto"/>
              <w:right w:val="single" w:sz="4" w:space="0" w:color="auto"/>
            </w:tcBorders>
            <w:shd w:val="clear" w:color="auto" w:fill="EAF1DD" w:themeFill="accent3" w:themeFillTint="33"/>
            <w:vAlign w:val="bottom"/>
          </w:tcPr>
          <w:p w14:paraId="5D5B873B" w14:textId="7509D100"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17,239</w:t>
            </w:r>
          </w:p>
        </w:tc>
        <w:tc>
          <w:tcPr>
            <w:tcW w:w="1701" w:type="dxa"/>
            <w:tcBorders>
              <w:top w:val="single" w:sz="8" w:space="0" w:color="auto"/>
              <w:left w:val="single" w:sz="4" w:space="0" w:color="auto"/>
              <w:bottom w:val="double" w:sz="6" w:space="0" w:color="auto"/>
              <w:right w:val="single" w:sz="8" w:space="0" w:color="auto"/>
            </w:tcBorders>
            <w:shd w:val="clear" w:color="auto" w:fill="EAF1DD" w:themeFill="accent3" w:themeFillTint="33"/>
            <w:vAlign w:val="bottom"/>
          </w:tcPr>
          <w:p w14:paraId="1B5FD78D" w14:textId="6FAD3730"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3,907</w:t>
            </w:r>
          </w:p>
        </w:tc>
        <w:tc>
          <w:tcPr>
            <w:tcW w:w="992"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46DCEC07" w14:textId="0740253A"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735</w:t>
            </w:r>
          </w:p>
        </w:tc>
        <w:tc>
          <w:tcPr>
            <w:tcW w:w="1276"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24579E0A" w14:textId="470B466B"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1,420</w:t>
            </w:r>
          </w:p>
        </w:tc>
        <w:tc>
          <w:tcPr>
            <w:tcW w:w="1276" w:type="dxa"/>
            <w:tcBorders>
              <w:top w:val="single" w:sz="8" w:space="0" w:color="auto"/>
              <w:left w:val="nil"/>
              <w:bottom w:val="double" w:sz="6" w:space="0" w:color="auto"/>
              <w:right w:val="single" w:sz="8" w:space="0" w:color="auto"/>
            </w:tcBorders>
            <w:shd w:val="clear" w:color="auto" w:fill="EAF1DD" w:themeFill="accent3" w:themeFillTint="33"/>
            <w:vAlign w:val="bottom"/>
          </w:tcPr>
          <w:p w14:paraId="5056A2C6" w14:textId="1330027D"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332</w:t>
            </w:r>
          </w:p>
        </w:tc>
        <w:tc>
          <w:tcPr>
            <w:tcW w:w="1701" w:type="dxa"/>
            <w:tcBorders>
              <w:top w:val="single" w:sz="8" w:space="0" w:color="auto"/>
              <w:left w:val="nil"/>
              <w:bottom w:val="double" w:sz="6" w:space="0" w:color="auto"/>
              <w:right w:val="single" w:sz="8" w:space="0" w:color="000000"/>
            </w:tcBorders>
            <w:shd w:val="clear" w:color="auto" w:fill="EAF1DD" w:themeFill="accent3" w:themeFillTint="33"/>
            <w:vAlign w:val="bottom"/>
          </w:tcPr>
          <w:p w14:paraId="26AF682A" w14:textId="2374D778"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77</w:t>
            </w:r>
          </w:p>
        </w:tc>
        <w:tc>
          <w:tcPr>
            <w:tcW w:w="1559" w:type="dxa"/>
            <w:tcBorders>
              <w:top w:val="single" w:sz="8" w:space="0" w:color="auto"/>
              <w:left w:val="single" w:sz="8" w:space="0" w:color="000000"/>
              <w:bottom w:val="double" w:sz="6" w:space="0" w:color="auto"/>
              <w:right w:val="single" w:sz="8" w:space="0" w:color="auto"/>
            </w:tcBorders>
            <w:shd w:val="clear" w:color="auto" w:fill="EAF1DD" w:themeFill="accent3" w:themeFillTint="33"/>
            <w:vAlign w:val="bottom"/>
          </w:tcPr>
          <w:p w14:paraId="323BCBC1" w14:textId="0AA60CAA"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34,842</w:t>
            </w:r>
          </w:p>
        </w:tc>
        <w:tc>
          <w:tcPr>
            <w:tcW w:w="1559" w:type="dxa"/>
            <w:tcBorders>
              <w:top w:val="single" w:sz="8" w:space="0" w:color="auto"/>
              <w:left w:val="nil"/>
              <w:bottom w:val="double" w:sz="6" w:space="0" w:color="auto"/>
              <w:right w:val="single" w:sz="8" w:space="0" w:color="auto"/>
            </w:tcBorders>
            <w:shd w:val="clear" w:color="auto" w:fill="EAF1DD" w:themeFill="accent3" w:themeFillTint="33"/>
            <w:noWrap/>
            <w:vAlign w:val="bottom"/>
          </w:tcPr>
          <w:p w14:paraId="3B04834E" w14:textId="0AEEA830"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163</w:t>
            </w:r>
          </w:p>
        </w:tc>
        <w:tc>
          <w:tcPr>
            <w:tcW w:w="1559" w:type="dxa"/>
            <w:tcBorders>
              <w:top w:val="single" w:sz="8" w:space="0" w:color="auto"/>
              <w:left w:val="nil"/>
              <w:bottom w:val="double" w:sz="6" w:space="0" w:color="auto"/>
              <w:right w:val="single" w:sz="8" w:space="0" w:color="auto"/>
            </w:tcBorders>
            <w:shd w:val="clear" w:color="auto" w:fill="EAF1DD" w:themeFill="accent3" w:themeFillTint="33"/>
            <w:noWrap/>
            <w:vAlign w:val="bottom"/>
          </w:tcPr>
          <w:p w14:paraId="372E1929" w14:textId="036C8D0A"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434</w:t>
            </w:r>
          </w:p>
        </w:tc>
        <w:tc>
          <w:tcPr>
            <w:tcW w:w="1560" w:type="dxa"/>
            <w:tcBorders>
              <w:top w:val="single" w:sz="8" w:space="0" w:color="auto"/>
              <w:left w:val="nil"/>
              <w:bottom w:val="double" w:sz="6" w:space="0" w:color="auto"/>
              <w:right w:val="single" w:sz="8" w:space="0" w:color="auto"/>
            </w:tcBorders>
            <w:shd w:val="clear" w:color="auto" w:fill="EAF1DD" w:themeFill="accent3" w:themeFillTint="33"/>
            <w:noWrap/>
            <w:vAlign w:val="bottom"/>
          </w:tcPr>
          <w:p w14:paraId="7E87FADB" w14:textId="119DF12A"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597</w:t>
            </w:r>
          </w:p>
        </w:tc>
        <w:tc>
          <w:tcPr>
            <w:tcW w:w="1701" w:type="dxa"/>
            <w:tcBorders>
              <w:top w:val="single" w:sz="8" w:space="0" w:color="auto"/>
              <w:left w:val="single" w:sz="8" w:space="0" w:color="000000"/>
              <w:bottom w:val="double" w:sz="6" w:space="0" w:color="auto"/>
              <w:right w:val="single" w:sz="8" w:space="0" w:color="auto"/>
            </w:tcBorders>
            <w:shd w:val="clear" w:color="auto" w:fill="EAF1DD" w:themeFill="accent3" w:themeFillTint="33"/>
            <w:noWrap/>
            <w:vAlign w:val="bottom"/>
          </w:tcPr>
          <w:p w14:paraId="41AF8FE8" w14:textId="01BDFC75"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384</w:t>
            </w:r>
          </w:p>
        </w:tc>
        <w:tc>
          <w:tcPr>
            <w:tcW w:w="992" w:type="dxa"/>
            <w:tcBorders>
              <w:top w:val="single" w:sz="8" w:space="0" w:color="auto"/>
              <w:left w:val="single" w:sz="8" w:space="0" w:color="000000"/>
              <w:bottom w:val="double" w:sz="6" w:space="0" w:color="auto"/>
              <w:right w:val="single" w:sz="8" w:space="0" w:color="auto"/>
            </w:tcBorders>
            <w:shd w:val="clear" w:color="auto" w:fill="EAF1DD" w:themeFill="accent3" w:themeFillTint="33"/>
          </w:tcPr>
          <w:p w14:paraId="14A2D6D4" w14:textId="77777777" w:rsidR="00453D40" w:rsidRPr="000D4EDC" w:rsidRDefault="00453D40" w:rsidP="00453D40">
            <w:pPr>
              <w:jc w:val="center"/>
              <w:rPr>
                <w:rFonts w:ascii="Arial" w:hAnsi="Arial" w:cs="Arial"/>
                <w:b/>
                <w:bCs/>
                <w:sz w:val="20"/>
                <w:szCs w:val="20"/>
              </w:rPr>
            </w:pPr>
          </w:p>
          <w:p w14:paraId="46184F84" w14:textId="77777777" w:rsidR="00453D40" w:rsidRPr="000D4EDC" w:rsidRDefault="00453D40" w:rsidP="00453D40">
            <w:pPr>
              <w:jc w:val="center"/>
              <w:rPr>
                <w:rFonts w:ascii="Arial" w:hAnsi="Arial" w:cs="Arial"/>
                <w:b/>
                <w:bCs/>
                <w:sz w:val="20"/>
                <w:szCs w:val="20"/>
              </w:rPr>
            </w:pPr>
          </w:p>
          <w:p w14:paraId="0882F172" w14:textId="2DAF6640" w:rsidR="00453D40" w:rsidRPr="000D4EDC" w:rsidRDefault="00453D40" w:rsidP="00453D40">
            <w:pPr>
              <w:jc w:val="center"/>
              <w:rPr>
                <w:rFonts w:ascii="Arial" w:hAnsi="Arial" w:cs="Arial"/>
                <w:b/>
                <w:bCs/>
                <w:sz w:val="20"/>
                <w:szCs w:val="20"/>
              </w:rPr>
            </w:pPr>
            <w:r w:rsidRPr="000D4EDC">
              <w:rPr>
                <w:rFonts w:ascii="Arial" w:hAnsi="Arial" w:cs="Arial"/>
                <w:b/>
                <w:bCs/>
                <w:sz w:val="20"/>
                <w:szCs w:val="20"/>
              </w:rPr>
              <w:t>35,823</w:t>
            </w:r>
          </w:p>
        </w:tc>
      </w:tr>
    </w:tbl>
    <w:p w14:paraId="2ED30627" w14:textId="77777777" w:rsidR="00731051" w:rsidRDefault="00731051" w:rsidP="002C1459">
      <w:pPr>
        <w:spacing w:line="360" w:lineRule="auto"/>
        <w:ind w:left="-709" w:firstLine="142"/>
        <w:contextualSpacing/>
        <w:rPr>
          <w:rFonts w:ascii="Arial" w:hAnsi="Arial" w:cs="Arial"/>
          <w:b/>
        </w:rPr>
        <w:sectPr w:rsidR="00731051" w:rsidSect="00296C62">
          <w:pgSz w:w="23811" w:h="16838" w:orient="landscape" w:code="8"/>
          <w:pgMar w:top="709" w:right="1276" w:bottom="1276" w:left="1134" w:header="709" w:footer="709" w:gutter="0"/>
          <w:cols w:space="708"/>
          <w:docGrid w:linePitch="360"/>
        </w:sectPr>
      </w:pPr>
    </w:p>
    <w:p w14:paraId="3330D372" w14:textId="77777777" w:rsidR="007168E0" w:rsidRPr="00D21F12" w:rsidRDefault="007168E0" w:rsidP="007849DD">
      <w:pPr>
        <w:spacing w:line="360" w:lineRule="auto"/>
        <w:ind w:left="-709"/>
        <w:contextualSpacing/>
        <w:rPr>
          <w:rFonts w:ascii="Arial" w:hAnsi="Arial" w:cs="Arial"/>
          <w:b/>
        </w:rPr>
      </w:pPr>
      <w:r w:rsidRPr="00D21F12">
        <w:rPr>
          <w:rFonts w:ascii="Arial" w:hAnsi="Arial" w:cs="Arial"/>
          <w:b/>
        </w:rPr>
        <w:lastRenderedPageBreak/>
        <w:t>Non-current assets to March 2021</w:t>
      </w:r>
    </w:p>
    <w:tbl>
      <w:tblPr>
        <w:tblW w:w="22681" w:type="dxa"/>
        <w:tblInd w:w="-719" w:type="dxa"/>
        <w:shd w:val="clear" w:color="auto" w:fill="EAF1DD" w:themeFill="accent3" w:themeFillTint="33"/>
        <w:tblLayout w:type="fixed"/>
        <w:tblLook w:val="04A0" w:firstRow="1" w:lastRow="0" w:firstColumn="1" w:lastColumn="0" w:noHBand="0" w:noVBand="1"/>
      </w:tblPr>
      <w:tblGrid>
        <w:gridCol w:w="1844"/>
        <w:gridCol w:w="1133"/>
        <w:gridCol w:w="1418"/>
        <w:gridCol w:w="1417"/>
        <w:gridCol w:w="1134"/>
        <w:gridCol w:w="1560"/>
        <w:gridCol w:w="992"/>
        <w:gridCol w:w="1559"/>
        <w:gridCol w:w="1276"/>
        <w:gridCol w:w="1843"/>
        <w:gridCol w:w="1417"/>
        <w:gridCol w:w="1418"/>
        <w:gridCol w:w="1559"/>
        <w:gridCol w:w="1417"/>
        <w:gridCol w:w="1701"/>
        <w:gridCol w:w="993"/>
      </w:tblGrid>
      <w:tr w:rsidR="00863090" w:rsidRPr="00B077E3" w14:paraId="271FE0C7" w14:textId="77777777" w:rsidTr="005A5FBF">
        <w:trPr>
          <w:trHeight w:val="510"/>
        </w:trPr>
        <w:tc>
          <w:tcPr>
            <w:tcW w:w="1844" w:type="dxa"/>
            <w:tcBorders>
              <w:top w:val="single" w:sz="8" w:space="0" w:color="000000"/>
              <w:left w:val="single" w:sz="8" w:space="0" w:color="auto"/>
              <w:bottom w:val="single" w:sz="8" w:space="0" w:color="auto"/>
              <w:right w:val="nil"/>
            </w:tcBorders>
          </w:tcPr>
          <w:p w14:paraId="732C7EDF" w14:textId="77777777" w:rsidR="007168E0" w:rsidRPr="00B077E3" w:rsidRDefault="007168E0" w:rsidP="00CF1904">
            <w:pPr>
              <w:rPr>
                <w:rFonts w:ascii="Arial" w:hAnsi="Arial" w:cs="Arial"/>
                <w:b/>
                <w:bCs/>
              </w:rPr>
            </w:pPr>
          </w:p>
        </w:tc>
        <w:tc>
          <w:tcPr>
            <w:tcW w:w="13749" w:type="dxa"/>
            <w:gridSpan w:val="10"/>
            <w:tcBorders>
              <w:top w:val="single" w:sz="8" w:space="0" w:color="000000"/>
              <w:left w:val="single" w:sz="8" w:space="0" w:color="auto"/>
              <w:bottom w:val="single" w:sz="8" w:space="0" w:color="auto"/>
              <w:right w:val="single" w:sz="8" w:space="0" w:color="auto"/>
            </w:tcBorders>
          </w:tcPr>
          <w:p w14:paraId="0D0C35A3" w14:textId="77777777" w:rsidR="007168E0" w:rsidRPr="00A2674A" w:rsidRDefault="007168E0" w:rsidP="00CF1904">
            <w:pPr>
              <w:jc w:val="center"/>
              <w:rPr>
                <w:rFonts w:ascii="Arial" w:hAnsi="Arial" w:cs="Arial"/>
                <w:b/>
                <w:bCs/>
                <w:sz w:val="20"/>
                <w:szCs w:val="20"/>
              </w:rPr>
            </w:pPr>
            <w:r w:rsidRPr="00A2674A">
              <w:rPr>
                <w:rFonts w:ascii="Arial" w:hAnsi="Arial" w:cs="Arial"/>
                <w:b/>
                <w:bCs/>
                <w:sz w:val="20"/>
                <w:szCs w:val="20"/>
              </w:rPr>
              <w:t>Tangible assets</w:t>
            </w:r>
          </w:p>
        </w:tc>
        <w:tc>
          <w:tcPr>
            <w:tcW w:w="4394" w:type="dxa"/>
            <w:gridSpan w:val="3"/>
            <w:tcBorders>
              <w:top w:val="single" w:sz="8" w:space="0" w:color="000000"/>
              <w:left w:val="nil"/>
              <w:bottom w:val="single" w:sz="8" w:space="0" w:color="auto"/>
              <w:right w:val="single" w:sz="4" w:space="0" w:color="auto"/>
            </w:tcBorders>
          </w:tcPr>
          <w:p w14:paraId="2872752C" w14:textId="77777777" w:rsidR="007168E0" w:rsidRPr="00A2674A" w:rsidRDefault="007168E0" w:rsidP="00CF1904">
            <w:pPr>
              <w:jc w:val="center"/>
              <w:rPr>
                <w:rFonts w:ascii="Arial" w:hAnsi="Arial" w:cs="Arial"/>
                <w:b/>
                <w:bCs/>
                <w:sz w:val="20"/>
                <w:szCs w:val="20"/>
              </w:rPr>
            </w:pPr>
            <w:r w:rsidRPr="00A2674A">
              <w:rPr>
                <w:rFonts w:ascii="Arial" w:hAnsi="Arial" w:cs="Arial"/>
                <w:b/>
                <w:bCs/>
                <w:sz w:val="20"/>
                <w:szCs w:val="20"/>
              </w:rPr>
              <w:t>Intangible assets</w:t>
            </w:r>
          </w:p>
        </w:tc>
        <w:tc>
          <w:tcPr>
            <w:tcW w:w="1701" w:type="dxa"/>
            <w:tcBorders>
              <w:top w:val="single" w:sz="8" w:space="0" w:color="000000"/>
              <w:left w:val="single" w:sz="4" w:space="0" w:color="auto"/>
              <w:bottom w:val="single" w:sz="4" w:space="0" w:color="auto"/>
              <w:right w:val="single" w:sz="4" w:space="0" w:color="auto"/>
            </w:tcBorders>
          </w:tcPr>
          <w:p w14:paraId="4A05F359" w14:textId="77777777" w:rsidR="007168E0" w:rsidRPr="00A2674A" w:rsidRDefault="007168E0" w:rsidP="00CF1904">
            <w:pPr>
              <w:jc w:val="center"/>
              <w:rPr>
                <w:rFonts w:ascii="Arial" w:hAnsi="Arial" w:cs="Arial"/>
                <w:b/>
                <w:bCs/>
                <w:sz w:val="20"/>
                <w:szCs w:val="20"/>
              </w:rPr>
            </w:pPr>
            <w:r w:rsidRPr="00A2674A">
              <w:rPr>
                <w:rFonts w:ascii="Arial" w:hAnsi="Arial" w:cs="Arial"/>
                <w:b/>
                <w:bCs/>
                <w:sz w:val="20"/>
                <w:szCs w:val="20"/>
              </w:rPr>
              <w:t>Assets</w:t>
            </w:r>
          </w:p>
        </w:tc>
        <w:tc>
          <w:tcPr>
            <w:tcW w:w="993" w:type="dxa"/>
            <w:tcBorders>
              <w:top w:val="single" w:sz="8" w:space="0" w:color="000000"/>
              <w:left w:val="single" w:sz="4" w:space="0" w:color="auto"/>
              <w:bottom w:val="single" w:sz="4" w:space="0" w:color="auto"/>
              <w:right w:val="single" w:sz="4" w:space="0" w:color="auto"/>
            </w:tcBorders>
          </w:tcPr>
          <w:p w14:paraId="6155796B" w14:textId="77777777" w:rsidR="007168E0" w:rsidRPr="00B077E3" w:rsidRDefault="007168E0" w:rsidP="00CF1904">
            <w:pPr>
              <w:jc w:val="center"/>
              <w:rPr>
                <w:rFonts w:ascii="Arial" w:hAnsi="Arial" w:cs="Arial"/>
                <w:b/>
                <w:bCs/>
              </w:rPr>
            </w:pPr>
          </w:p>
        </w:tc>
      </w:tr>
      <w:tr w:rsidR="008D50CD" w:rsidRPr="00B077E3" w14:paraId="0259847F" w14:textId="77777777" w:rsidTr="00B077E3">
        <w:trPr>
          <w:trHeight w:val="340"/>
        </w:trPr>
        <w:tc>
          <w:tcPr>
            <w:tcW w:w="1844" w:type="dxa"/>
            <w:tcBorders>
              <w:top w:val="single" w:sz="8" w:space="0" w:color="000000"/>
              <w:left w:val="single" w:sz="8" w:space="0" w:color="auto"/>
              <w:bottom w:val="single" w:sz="8" w:space="0" w:color="auto"/>
              <w:right w:val="nil"/>
            </w:tcBorders>
            <w:hideMark/>
          </w:tcPr>
          <w:p w14:paraId="0CFF0325"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Year to 31 March 2021</w:t>
            </w:r>
          </w:p>
        </w:tc>
        <w:tc>
          <w:tcPr>
            <w:tcW w:w="1133" w:type="dxa"/>
            <w:tcBorders>
              <w:top w:val="single" w:sz="8" w:space="0" w:color="000000"/>
              <w:left w:val="single" w:sz="8" w:space="0" w:color="auto"/>
              <w:bottom w:val="single" w:sz="8" w:space="0" w:color="auto"/>
              <w:right w:val="single" w:sz="8" w:space="0" w:color="auto"/>
            </w:tcBorders>
            <w:hideMark/>
          </w:tcPr>
          <w:p w14:paraId="2E28558B" w14:textId="77777777" w:rsidR="007168E0" w:rsidRPr="00B077E3" w:rsidRDefault="007168E0" w:rsidP="00CF1904">
            <w:pPr>
              <w:ind w:left="-100" w:right="-113"/>
              <w:jc w:val="center"/>
              <w:rPr>
                <w:rFonts w:ascii="Arial" w:hAnsi="Arial" w:cs="Arial"/>
                <w:b/>
                <w:bCs/>
                <w:sz w:val="20"/>
                <w:szCs w:val="20"/>
              </w:rPr>
            </w:pPr>
            <w:r w:rsidRPr="00B077E3">
              <w:rPr>
                <w:rFonts w:ascii="Arial" w:hAnsi="Arial" w:cs="Arial"/>
                <w:b/>
                <w:bCs/>
                <w:sz w:val="20"/>
                <w:szCs w:val="20"/>
              </w:rPr>
              <w:t>Land</w:t>
            </w:r>
          </w:p>
        </w:tc>
        <w:tc>
          <w:tcPr>
            <w:tcW w:w="1418" w:type="dxa"/>
            <w:tcBorders>
              <w:top w:val="single" w:sz="8" w:space="0" w:color="000000"/>
              <w:left w:val="nil"/>
              <w:bottom w:val="single" w:sz="8" w:space="0" w:color="auto"/>
              <w:right w:val="nil"/>
            </w:tcBorders>
            <w:hideMark/>
          </w:tcPr>
          <w:p w14:paraId="5C668AB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 xml:space="preserve">Buildings </w:t>
            </w:r>
          </w:p>
        </w:tc>
        <w:tc>
          <w:tcPr>
            <w:tcW w:w="1417" w:type="dxa"/>
            <w:tcBorders>
              <w:top w:val="single" w:sz="8" w:space="0" w:color="000000"/>
              <w:left w:val="single" w:sz="8" w:space="0" w:color="auto"/>
              <w:bottom w:val="single" w:sz="8" w:space="0" w:color="auto"/>
              <w:right w:val="single" w:sz="4" w:space="0" w:color="auto"/>
            </w:tcBorders>
            <w:hideMark/>
          </w:tcPr>
          <w:p w14:paraId="64E36FEE" w14:textId="5DBECF39"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 xml:space="preserve">Leasehold buildings </w:t>
            </w:r>
          </w:p>
        </w:tc>
        <w:tc>
          <w:tcPr>
            <w:tcW w:w="1134" w:type="dxa"/>
            <w:tcBorders>
              <w:top w:val="single" w:sz="8" w:space="0" w:color="000000"/>
              <w:left w:val="single" w:sz="4" w:space="0" w:color="auto"/>
              <w:bottom w:val="single" w:sz="8" w:space="0" w:color="auto"/>
              <w:right w:val="single" w:sz="4" w:space="0" w:color="auto"/>
            </w:tcBorders>
          </w:tcPr>
          <w:p w14:paraId="0449F02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Gauging stations</w:t>
            </w:r>
          </w:p>
        </w:tc>
        <w:tc>
          <w:tcPr>
            <w:tcW w:w="1560" w:type="dxa"/>
            <w:tcBorders>
              <w:top w:val="single" w:sz="8" w:space="0" w:color="000000"/>
              <w:left w:val="single" w:sz="4" w:space="0" w:color="auto"/>
              <w:bottom w:val="single" w:sz="8" w:space="0" w:color="auto"/>
              <w:right w:val="nil"/>
            </w:tcBorders>
            <w:hideMark/>
          </w:tcPr>
          <w:p w14:paraId="238FCBB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Plant &amp; machinery</w:t>
            </w:r>
          </w:p>
        </w:tc>
        <w:tc>
          <w:tcPr>
            <w:tcW w:w="992" w:type="dxa"/>
            <w:tcBorders>
              <w:top w:val="single" w:sz="8" w:space="0" w:color="000000"/>
              <w:left w:val="single" w:sz="8" w:space="0" w:color="auto"/>
              <w:bottom w:val="single" w:sz="8" w:space="0" w:color="auto"/>
              <w:right w:val="single" w:sz="8" w:space="0" w:color="auto"/>
            </w:tcBorders>
            <w:hideMark/>
          </w:tcPr>
          <w:p w14:paraId="5E86C50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Vessel</w:t>
            </w:r>
          </w:p>
        </w:tc>
        <w:tc>
          <w:tcPr>
            <w:tcW w:w="1559" w:type="dxa"/>
            <w:tcBorders>
              <w:top w:val="single" w:sz="8" w:space="0" w:color="000000"/>
              <w:left w:val="nil"/>
              <w:bottom w:val="single" w:sz="8" w:space="0" w:color="auto"/>
              <w:right w:val="nil"/>
            </w:tcBorders>
            <w:hideMark/>
          </w:tcPr>
          <w:p w14:paraId="73419B6B"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Computer equipment</w:t>
            </w:r>
          </w:p>
        </w:tc>
        <w:tc>
          <w:tcPr>
            <w:tcW w:w="1276" w:type="dxa"/>
            <w:tcBorders>
              <w:top w:val="single" w:sz="8" w:space="0" w:color="000000"/>
              <w:left w:val="single" w:sz="8" w:space="0" w:color="auto"/>
              <w:bottom w:val="single" w:sz="8" w:space="0" w:color="auto"/>
              <w:right w:val="single" w:sz="8" w:space="0" w:color="auto"/>
            </w:tcBorders>
            <w:hideMark/>
          </w:tcPr>
          <w:p w14:paraId="36F45E1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Motor vehicles</w:t>
            </w:r>
          </w:p>
        </w:tc>
        <w:tc>
          <w:tcPr>
            <w:tcW w:w="1843" w:type="dxa"/>
            <w:tcBorders>
              <w:top w:val="single" w:sz="8" w:space="0" w:color="000000"/>
              <w:left w:val="nil"/>
              <w:bottom w:val="single" w:sz="8" w:space="0" w:color="auto"/>
              <w:right w:val="single" w:sz="8" w:space="0" w:color="000000"/>
            </w:tcBorders>
            <w:hideMark/>
          </w:tcPr>
          <w:p w14:paraId="57C9984D"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Fixtures fittings, tools &amp; equipment</w:t>
            </w:r>
          </w:p>
        </w:tc>
        <w:tc>
          <w:tcPr>
            <w:tcW w:w="1417" w:type="dxa"/>
            <w:tcBorders>
              <w:top w:val="single" w:sz="8" w:space="0" w:color="000000"/>
              <w:left w:val="single" w:sz="8" w:space="0" w:color="000000"/>
              <w:bottom w:val="single" w:sz="8" w:space="0" w:color="auto"/>
              <w:right w:val="single" w:sz="8" w:space="0" w:color="auto"/>
            </w:tcBorders>
            <w:hideMark/>
          </w:tcPr>
          <w:p w14:paraId="6BE4B1E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Total tangible assets</w:t>
            </w:r>
          </w:p>
        </w:tc>
        <w:tc>
          <w:tcPr>
            <w:tcW w:w="1418" w:type="dxa"/>
            <w:tcBorders>
              <w:top w:val="single" w:sz="8" w:space="0" w:color="000000"/>
              <w:left w:val="nil"/>
              <w:bottom w:val="single" w:sz="8" w:space="0" w:color="auto"/>
              <w:right w:val="single" w:sz="4" w:space="0" w:color="auto"/>
            </w:tcBorders>
            <w:hideMark/>
          </w:tcPr>
          <w:p w14:paraId="3F8A4615"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Software developed in-house</w:t>
            </w:r>
          </w:p>
        </w:tc>
        <w:tc>
          <w:tcPr>
            <w:tcW w:w="1559" w:type="dxa"/>
            <w:tcBorders>
              <w:top w:val="single" w:sz="8" w:space="0" w:color="000000"/>
              <w:left w:val="single" w:sz="4" w:space="0" w:color="auto"/>
              <w:bottom w:val="single" w:sz="4" w:space="0" w:color="auto"/>
              <w:right w:val="single" w:sz="4" w:space="0" w:color="auto"/>
            </w:tcBorders>
            <w:hideMark/>
          </w:tcPr>
          <w:p w14:paraId="36AF790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Purchased software</w:t>
            </w:r>
          </w:p>
        </w:tc>
        <w:tc>
          <w:tcPr>
            <w:tcW w:w="1417" w:type="dxa"/>
            <w:tcBorders>
              <w:top w:val="single" w:sz="8" w:space="0" w:color="000000"/>
              <w:left w:val="single" w:sz="4" w:space="0" w:color="auto"/>
              <w:bottom w:val="single" w:sz="8" w:space="0" w:color="auto"/>
              <w:right w:val="single" w:sz="4" w:space="0" w:color="auto"/>
            </w:tcBorders>
            <w:hideMark/>
          </w:tcPr>
          <w:p w14:paraId="04C2125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Total intangible assets</w:t>
            </w:r>
          </w:p>
        </w:tc>
        <w:tc>
          <w:tcPr>
            <w:tcW w:w="1701" w:type="dxa"/>
            <w:tcBorders>
              <w:top w:val="single" w:sz="8" w:space="0" w:color="000000"/>
              <w:left w:val="single" w:sz="4" w:space="0" w:color="auto"/>
              <w:bottom w:val="single" w:sz="4" w:space="0" w:color="auto"/>
              <w:right w:val="single" w:sz="4" w:space="0" w:color="auto"/>
            </w:tcBorders>
          </w:tcPr>
          <w:p w14:paraId="2446CB4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Under construction</w:t>
            </w:r>
          </w:p>
        </w:tc>
        <w:tc>
          <w:tcPr>
            <w:tcW w:w="993" w:type="dxa"/>
            <w:tcBorders>
              <w:top w:val="single" w:sz="8" w:space="0" w:color="000000"/>
              <w:left w:val="single" w:sz="4" w:space="0" w:color="auto"/>
              <w:bottom w:val="single" w:sz="4" w:space="0" w:color="auto"/>
              <w:right w:val="single" w:sz="4" w:space="0" w:color="auto"/>
            </w:tcBorders>
          </w:tcPr>
          <w:p w14:paraId="4AF05E2B"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Total</w:t>
            </w:r>
          </w:p>
        </w:tc>
      </w:tr>
      <w:tr w:rsidR="008D50CD" w:rsidRPr="00B077E3" w14:paraId="26173E94" w14:textId="77777777" w:rsidTr="00505CDA">
        <w:trPr>
          <w:trHeight w:val="454"/>
        </w:trPr>
        <w:tc>
          <w:tcPr>
            <w:tcW w:w="1844" w:type="dxa"/>
            <w:tcBorders>
              <w:top w:val="nil"/>
              <w:left w:val="single" w:sz="8" w:space="0" w:color="auto"/>
              <w:bottom w:val="single" w:sz="8" w:space="0" w:color="000000"/>
              <w:right w:val="single" w:sz="8" w:space="0" w:color="auto"/>
            </w:tcBorders>
          </w:tcPr>
          <w:p w14:paraId="3F3CACB1" w14:textId="77777777" w:rsidR="007168E0" w:rsidRPr="00B077E3" w:rsidRDefault="007168E0" w:rsidP="00CF1904">
            <w:pPr>
              <w:rPr>
                <w:rFonts w:ascii="Arial" w:hAnsi="Arial" w:cs="Arial"/>
                <w:sz w:val="20"/>
                <w:szCs w:val="20"/>
              </w:rPr>
            </w:pPr>
            <w:r w:rsidRPr="00B077E3">
              <w:rPr>
                <w:rFonts w:ascii="Arial" w:hAnsi="Arial" w:cs="Arial"/>
                <w:b/>
                <w:bCs/>
                <w:sz w:val="20"/>
                <w:szCs w:val="20"/>
              </w:rPr>
              <w:t>Cost or valuation</w:t>
            </w:r>
          </w:p>
        </w:tc>
        <w:tc>
          <w:tcPr>
            <w:tcW w:w="1133" w:type="dxa"/>
            <w:tcBorders>
              <w:top w:val="single" w:sz="4" w:space="0" w:color="auto"/>
              <w:left w:val="nil"/>
              <w:bottom w:val="single" w:sz="8" w:space="0" w:color="auto"/>
              <w:right w:val="single" w:sz="8" w:space="0" w:color="auto"/>
            </w:tcBorders>
          </w:tcPr>
          <w:p w14:paraId="15B9D0C2" w14:textId="77777777" w:rsidR="007168E0" w:rsidRPr="00B077E3" w:rsidRDefault="007168E0" w:rsidP="00CF1904">
            <w:pPr>
              <w:ind w:right="-113"/>
              <w:jc w:val="center"/>
              <w:rPr>
                <w:rFonts w:ascii="Arial" w:hAnsi="Arial" w:cs="Arial"/>
                <w:b/>
                <w:bCs/>
                <w:sz w:val="20"/>
                <w:szCs w:val="20"/>
              </w:rPr>
            </w:pPr>
            <w:r w:rsidRPr="00B077E3">
              <w:rPr>
                <w:rFonts w:ascii="Arial" w:hAnsi="Arial" w:cs="Arial"/>
                <w:b/>
                <w:bCs/>
                <w:sz w:val="20"/>
                <w:szCs w:val="20"/>
              </w:rPr>
              <w:t>£’000</w:t>
            </w:r>
          </w:p>
        </w:tc>
        <w:tc>
          <w:tcPr>
            <w:tcW w:w="1418" w:type="dxa"/>
            <w:tcBorders>
              <w:top w:val="single" w:sz="4" w:space="0" w:color="auto"/>
              <w:left w:val="nil"/>
              <w:bottom w:val="single" w:sz="8" w:space="0" w:color="auto"/>
              <w:right w:val="nil"/>
            </w:tcBorders>
          </w:tcPr>
          <w:p w14:paraId="148A4D6A"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417" w:type="dxa"/>
            <w:tcBorders>
              <w:top w:val="single" w:sz="4" w:space="0" w:color="auto"/>
              <w:left w:val="single" w:sz="8" w:space="0" w:color="auto"/>
              <w:bottom w:val="single" w:sz="8" w:space="0" w:color="auto"/>
              <w:right w:val="single" w:sz="4" w:space="0" w:color="auto"/>
            </w:tcBorders>
          </w:tcPr>
          <w:p w14:paraId="18C8920F"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134" w:type="dxa"/>
            <w:tcBorders>
              <w:top w:val="single" w:sz="4" w:space="0" w:color="auto"/>
              <w:left w:val="single" w:sz="4" w:space="0" w:color="auto"/>
              <w:bottom w:val="single" w:sz="8" w:space="0" w:color="auto"/>
              <w:right w:val="single" w:sz="4" w:space="0" w:color="auto"/>
            </w:tcBorders>
          </w:tcPr>
          <w:p w14:paraId="619805EA"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560" w:type="dxa"/>
            <w:tcBorders>
              <w:top w:val="single" w:sz="4" w:space="0" w:color="auto"/>
              <w:left w:val="single" w:sz="4" w:space="0" w:color="auto"/>
              <w:bottom w:val="single" w:sz="8" w:space="0" w:color="auto"/>
              <w:right w:val="nil"/>
            </w:tcBorders>
          </w:tcPr>
          <w:p w14:paraId="2027D241"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992" w:type="dxa"/>
            <w:tcBorders>
              <w:top w:val="single" w:sz="4" w:space="0" w:color="auto"/>
              <w:left w:val="single" w:sz="8" w:space="0" w:color="auto"/>
              <w:bottom w:val="single" w:sz="8" w:space="0" w:color="auto"/>
              <w:right w:val="single" w:sz="8" w:space="0" w:color="auto"/>
            </w:tcBorders>
          </w:tcPr>
          <w:p w14:paraId="32B9BED6"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559" w:type="dxa"/>
            <w:tcBorders>
              <w:top w:val="single" w:sz="4" w:space="0" w:color="auto"/>
              <w:left w:val="nil"/>
              <w:bottom w:val="single" w:sz="8" w:space="0" w:color="auto"/>
              <w:right w:val="nil"/>
            </w:tcBorders>
          </w:tcPr>
          <w:p w14:paraId="1ADAEC90"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276" w:type="dxa"/>
            <w:tcBorders>
              <w:top w:val="single" w:sz="4" w:space="0" w:color="auto"/>
              <w:left w:val="single" w:sz="8" w:space="0" w:color="auto"/>
              <w:bottom w:val="single" w:sz="8" w:space="0" w:color="auto"/>
              <w:right w:val="single" w:sz="8" w:space="0" w:color="auto"/>
            </w:tcBorders>
          </w:tcPr>
          <w:p w14:paraId="5BB21B77"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843" w:type="dxa"/>
            <w:tcBorders>
              <w:top w:val="single" w:sz="4" w:space="0" w:color="auto"/>
              <w:left w:val="nil"/>
              <w:bottom w:val="single" w:sz="8" w:space="0" w:color="auto"/>
              <w:right w:val="single" w:sz="8" w:space="0" w:color="000000"/>
            </w:tcBorders>
          </w:tcPr>
          <w:p w14:paraId="5AD48530"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417" w:type="dxa"/>
            <w:tcBorders>
              <w:top w:val="single" w:sz="4" w:space="0" w:color="auto"/>
              <w:left w:val="single" w:sz="8" w:space="0" w:color="000000"/>
              <w:bottom w:val="single" w:sz="8" w:space="0" w:color="auto"/>
              <w:right w:val="nil"/>
            </w:tcBorders>
          </w:tcPr>
          <w:p w14:paraId="26065DED"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418" w:type="dxa"/>
            <w:tcBorders>
              <w:top w:val="single" w:sz="4" w:space="0" w:color="auto"/>
              <w:left w:val="single" w:sz="8" w:space="0" w:color="auto"/>
              <w:bottom w:val="single" w:sz="8" w:space="0" w:color="auto"/>
              <w:right w:val="single" w:sz="4" w:space="0" w:color="auto"/>
            </w:tcBorders>
          </w:tcPr>
          <w:p w14:paraId="5D4E1E9E"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559" w:type="dxa"/>
            <w:tcBorders>
              <w:top w:val="single" w:sz="4" w:space="0" w:color="auto"/>
              <w:left w:val="single" w:sz="4" w:space="0" w:color="auto"/>
              <w:bottom w:val="single" w:sz="8" w:space="0" w:color="auto"/>
              <w:right w:val="single" w:sz="4" w:space="0" w:color="auto"/>
            </w:tcBorders>
          </w:tcPr>
          <w:p w14:paraId="18F98538"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417" w:type="dxa"/>
            <w:tcBorders>
              <w:top w:val="single" w:sz="4" w:space="0" w:color="auto"/>
              <w:left w:val="single" w:sz="4" w:space="0" w:color="auto"/>
              <w:bottom w:val="single" w:sz="8" w:space="0" w:color="auto"/>
              <w:right w:val="single" w:sz="8" w:space="0" w:color="auto"/>
            </w:tcBorders>
          </w:tcPr>
          <w:p w14:paraId="37786573"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1701" w:type="dxa"/>
            <w:tcBorders>
              <w:top w:val="single" w:sz="4" w:space="0" w:color="auto"/>
              <w:left w:val="single" w:sz="8" w:space="0" w:color="000000"/>
              <w:bottom w:val="single" w:sz="8" w:space="0" w:color="auto"/>
              <w:right w:val="single" w:sz="8" w:space="0" w:color="auto"/>
            </w:tcBorders>
          </w:tcPr>
          <w:p w14:paraId="20D8B7C8" w14:textId="77777777" w:rsidR="007168E0" w:rsidRPr="00B077E3" w:rsidRDefault="007168E0" w:rsidP="00CF1904">
            <w:pPr>
              <w:jc w:val="center"/>
              <w:rPr>
                <w:rFonts w:ascii="Arial" w:hAnsi="Arial" w:cs="Arial"/>
                <w:sz w:val="20"/>
                <w:szCs w:val="20"/>
              </w:rPr>
            </w:pPr>
            <w:r w:rsidRPr="00B077E3">
              <w:rPr>
                <w:rFonts w:ascii="Arial" w:hAnsi="Arial" w:cs="Arial"/>
                <w:b/>
                <w:bCs/>
                <w:sz w:val="20"/>
                <w:szCs w:val="20"/>
              </w:rPr>
              <w:t>£’000</w:t>
            </w:r>
          </w:p>
        </w:tc>
        <w:tc>
          <w:tcPr>
            <w:tcW w:w="993" w:type="dxa"/>
            <w:tcBorders>
              <w:top w:val="single" w:sz="4" w:space="0" w:color="auto"/>
              <w:left w:val="single" w:sz="8" w:space="0" w:color="000000"/>
              <w:bottom w:val="single" w:sz="8" w:space="0" w:color="auto"/>
              <w:right w:val="single" w:sz="8" w:space="0" w:color="auto"/>
            </w:tcBorders>
          </w:tcPr>
          <w:p w14:paraId="350F46A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£’000</w:t>
            </w:r>
          </w:p>
        </w:tc>
      </w:tr>
      <w:tr w:rsidR="005A4491" w:rsidRPr="00B077E3" w14:paraId="485E404A" w14:textId="77777777" w:rsidTr="004F01CC">
        <w:trPr>
          <w:trHeight w:val="454"/>
        </w:trPr>
        <w:tc>
          <w:tcPr>
            <w:tcW w:w="1844" w:type="dxa"/>
            <w:tcBorders>
              <w:top w:val="single" w:sz="8" w:space="0" w:color="000000"/>
              <w:left w:val="single" w:sz="8" w:space="0" w:color="auto"/>
              <w:bottom w:val="nil"/>
              <w:right w:val="single" w:sz="8" w:space="0" w:color="auto"/>
            </w:tcBorders>
            <w:vAlign w:val="bottom"/>
            <w:hideMark/>
          </w:tcPr>
          <w:p w14:paraId="64C88489" w14:textId="77777777" w:rsidR="007168E0" w:rsidRPr="00B077E3" w:rsidRDefault="007168E0" w:rsidP="00CF1904">
            <w:pPr>
              <w:rPr>
                <w:rFonts w:ascii="Arial" w:hAnsi="Arial" w:cs="Arial"/>
                <w:sz w:val="20"/>
                <w:szCs w:val="20"/>
              </w:rPr>
            </w:pPr>
            <w:r w:rsidRPr="00B077E3">
              <w:rPr>
                <w:rFonts w:ascii="Arial" w:hAnsi="Arial" w:cs="Arial"/>
                <w:sz w:val="20"/>
                <w:szCs w:val="20"/>
              </w:rPr>
              <w:t>1 April 2020</w:t>
            </w:r>
          </w:p>
        </w:tc>
        <w:tc>
          <w:tcPr>
            <w:tcW w:w="1133" w:type="dxa"/>
            <w:tcBorders>
              <w:top w:val="single" w:sz="8" w:space="0" w:color="auto"/>
              <w:left w:val="single" w:sz="8" w:space="0" w:color="auto"/>
              <w:right w:val="single" w:sz="8" w:space="0" w:color="auto"/>
            </w:tcBorders>
            <w:vAlign w:val="bottom"/>
          </w:tcPr>
          <w:p w14:paraId="7B9174A0"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857</w:t>
            </w:r>
          </w:p>
        </w:tc>
        <w:tc>
          <w:tcPr>
            <w:tcW w:w="1418" w:type="dxa"/>
            <w:tcBorders>
              <w:top w:val="single" w:sz="8" w:space="0" w:color="auto"/>
              <w:left w:val="single" w:sz="8" w:space="0" w:color="auto"/>
              <w:right w:val="single" w:sz="8" w:space="0" w:color="auto"/>
            </w:tcBorders>
            <w:vAlign w:val="bottom"/>
          </w:tcPr>
          <w:p w14:paraId="16341DCE"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4,150</w:t>
            </w:r>
          </w:p>
        </w:tc>
        <w:tc>
          <w:tcPr>
            <w:tcW w:w="1417" w:type="dxa"/>
            <w:tcBorders>
              <w:top w:val="single" w:sz="8" w:space="0" w:color="auto"/>
              <w:left w:val="single" w:sz="8" w:space="0" w:color="auto"/>
              <w:right w:val="single" w:sz="8" w:space="0" w:color="auto"/>
            </w:tcBorders>
            <w:vAlign w:val="bottom"/>
          </w:tcPr>
          <w:p w14:paraId="68682F17"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9,651</w:t>
            </w:r>
          </w:p>
        </w:tc>
        <w:tc>
          <w:tcPr>
            <w:tcW w:w="1134" w:type="dxa"/>
            <w:tcBorders>
              <w:top w:val="single" w:sz="8" w:space="0" w:color="auto"/>
              <w:left w:val="single" w:sz="8" w:space="0" w:color="auto"/>
              <w:right w:val="single" w:sz="8" w:space="0" w:color="auto"/>
            </w:tcBorders>
            <w:vAlign w:val="bottom"/>
          </w:tcPr>
          <w:p w14:paraId="7FE37B97"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17,503</w:t>
            </w:r>
          </w:p>
        </w:tc>
        <w:tc>
          <w:tcPr>
            <w:tcW w:w="1560" w:type="dxa"/>
            <w:tcBorders>
              <w:top w:val="single" w:sz="8" w:space="0" w:color="auto"/>
              <w:left w:val="single" w:sz="8" w:space="0" w:color="auto"/>
              <w:right w:val="single" w:sz="8" w:space="0" w:color="auto"/>
            </w:tcBorders>
            <w:vAlign w:val="bottom"/>
          </w:tcPr>
          <w:p w14:paraId="550941D2"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11,622</w:t>
            </w:r>
          </w:p>
        </w:tc>
        <w:tc>
          <w:tcPr>
            <w:tcW w:w="992" w:type="dxa"/>
            <w:tcBorders>
              <w:top w:val="single" w:sz="8" w:space="0" w:color="auto"/>
              <w:left w:val="single" w:sz="8" w:space="0" w:color="auto"/>
              <w:right w:val="single" w:sz="8" w:space="0" w:color="auto"/>
            </w:tcBorders>
            <w:vAlign w:val="bottom"/>
          </w:tcPr>
          <w:p w14:paraId="5F2EF9C4"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1,815</w:t>
            </w:r>
          </w:p>
        </w:tc>
        <w:tc>
          <w:tcPr>
            <w:tcW w:w="1559" w:type="dxa"/>
            <w:tcBorders>
              <w:top w:val="single" w:sz="8" w:space="0" w:color="auto"/>
              <w:left w:val="single" w:sz="8" w:space="0" w:color="auto"/>
              <w:right w:val="single" w:sz="8" w:space="0" w:color="auto"/>
            </w:tcBorders>
            <w:vAlign w:val="bottom"/>
          </w:tcPr>
          <w:p w14:paraId="2830C44C"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3,525</w:t>
            </w:r>
          </w:p>
        </w:tc>
        <w:tc>
          <w:tcPr>
            <w:tcW w:w="1276" w:type="dxa"/>
            <w:tcBorders>
              <w:top w:val="single" w:sz="8" w:space="0" w:color="auto"/>
              <w:left w:val="single" w:sz="8" w:space="0" w:color="auto"/>
              <w:right w:val="single" w:sz="8" w:space="0" w:color="auto"/>
            </w:tcBorders>
            <w:vAlign w:val="bottom"/>
          </w:tcPr>
          <w:p w14:paraId="71E76741"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745</w:t>
            </w:r>
          </w:p>
        </w:tc>
        <w:tc>
          <w:tcPr>
            <w:tcW w:w="1843" w:type="dxa"/>
            <w:tcBorders>
              <w:top w:val="single" w:sz="8" w:space="0" w:color="auto"/>
              <w:left w:val="single" w:sz="8" w:space="0" w:color="auto"/>
              <w:right w:val="single" w:sz="8" w:space="0" w:color="auto"/>
            </w:tcBorders>
            <w:vAlign w:val="bottom"/>
          </w:tcPr>
          <w:p w14:paraId="55712C09"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270</w:t>
            </w:r>
          </w:p>
        </w:tc>
        <w:tc>
          <w:tcPr>
            <w:tcW w:w="1417" w:type="dxa"/>
            <w:tcBorders>
              <w:top w:val="single" w:sz="8" w:space="0" w:color="auto"/>
              <w:left w:val="single" w:sz="8" w:space="0" w:color="auto"/>
              <w:right w:val="single" w:sz="8" w:space="0" w:color="auto"/>
            </w:tcBorders>
            <w:vAlign w:val="bottom"/>
          </w:tcPr>
          <w:p w14:paraId="71B3462F"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50,138</w:t>
            </w:r>
          </w:p>
        </w:tc>
        <w:tc>
          <w:tcPr>
            <w:tcW w:w="1418" w:type="dxa"/>
            <w:tcBorders>
              <w:top w:val="single" w:sz="8" w:space="0" w:color="auto"/>
              <w:left w:val="single" w:sz="8" w:space="0" w:color="auto"/>
              <w:right w:val="single" w:sz="8" w:space="0" w:color="auto"/>
            </w:tcBorders>
            <w:vAlign w:val="bottom"/>
          </w:tcPr>
          <w:p w14:paraId="05986F04"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1,198</w:t>
            </w:r>
          </w:p>
        </w:tc>
        <w:tc>
          <w:tcPr>
            <w:tcW w:w="1559" w:type="dxa"/>
            <w:tcBorders>
              <w:top w:val="single" w:sz="8" w:space="0" w:color="auto"/>
              <w:left w:val="single" w:sz="8" w:space="0" w:color="auto"/>
              <w:right w:val="single" w:sz="8" w:space="0" w:color="auto"/>
            </w:tcBorders>
            <w:vAlign w:val="bottom"/>
          </w:tcPr>
          <w:p w14:paraId="43E79C55"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3,958</w:t>
            </w:r>
          </w:p>
        </w:tc>
        <w:tc>
          <w:tcPr>
            <w:tcW w:w="1417" w:type="dxa"/>
            <w:tcBorders>
              <w:top w:val="single" w:sz="8" w:space="0" w:color="auto"/>
              <w:left w:val="single" w:sz="8" w:space="0" w:color="auto"/>
              <w:right w:val="single" w:sz="8" w:space="0" w:color="auto"/>
            </w:tcBorders>
            <w:vAlign w:val="bottom"/>
          </w:tcPr>
          <w:p w14:paraId="27654558"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5,156</w:t>
            </w:r>
          </w:p>
        </w:tc>
        <w:tc>
          <w:tcPr>
            <w:tcW w:w="1701" w:type="dxa"/>
            <w:tcBorders>
              <w:top w:val="single" w:sz="8" w:space="0" w:color="auto"/>
              <w:left w:val="single" w:sz="8" w:space="0" w:color="auto"/>
              <w:right w:val="single" w:sz="8" w:space="0" w:color="auto"/>
            </w:tcBorders>
            <w:vAlign w:val="bottom"/>
          </w:tcPr>
          <w:p w14:paraId="7321F9F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993" w:type="dxa"/>
            <w:tcBorders>
              <w:top w:val="single" w:sz="8" w:space="0" w:color="auto"/>
              <w:left w:val="single" w:sz="8" w:space="0" w:color="auto"/>
              <w:right w:val="single" w:sz="8" w:space="0" w:color="auto"/>
            </w:tcBorders>
            <w:vAlign w:val="bottom"/>
          </w:tcPr>
          <w:p w14:paraId="79804183"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55,294</w:t>
            </w:r>
          </w:p>
        </w:tc>
      </w:tr>
      <w:tr w:rsidR="008D50CD" w:rsidRPr="00B077E3" w14:paraId="046235FF" w14:textId="77777777" w:rsidTr="004F01CC">
        <w:trPr>
          <w:trHeight w:val="454"/>
        </w:trPr>
        <w:tc>
          <w:tcPr>
            <w:tcW w:w="1844" w:type="dxa"/>
            <w:tcBorders>
              <w:top w:val="nil"/>
              <w:left w:val="single" w:sz="8" w:space="0" w:color="auto"/>
              <w:bottom w:val="nil"/>
              <w:right w:val="single" w:sz="8" w:space="0" w:color="auto"/>
            </w:tcBorders>
            <w:vAlign w:val="bottom"/>
          </w:tcPr>
          <w:p w14:paraId="2EAB3F37" w14:textId="77777777" w:rsidR="00B077E3" w:rsidRPr="00B077E3" w:rsidRDefault="00B077E3" w:rsidP="00CF1904">
            <w:pPr>
              <w:rPr>
                <w:rFonts w:ascii="Arial" w:hAnsi="Arial" w:cs="Arial"/>
                <w:sz w:val="20"/>
                <w:szCs w:val="20"/>
              </w:rPr>
            </w:pPr>
          </w:p>
          <w:p w14:paraId="62D540E8" w14:textId="3C374051" w:rsidR="007168E0" w:rsidRPr="00B077E3" w:rsidRDefault="007168E0" w:rsidP="00CF1904">
            <w:pPr>
              <w:rPr>
                <w:rFonts w:ascii="Arial" w:hAnsi="Arial" w:cs="Arial"/>
                <w:sz w:val="20"/>
                <w:szCs w:val="20"/>
              </w:rPr>
            </w:pPr>
            <w:r w:rsidRPr="00B077E3">
              <w:rPr>
                <w:rFonts w:ascii="Arial" w:hAnsi="Arial" w:cs="Arial"/>
                <w:sz w:val="20"/>
                <w:szCs w:val="20"/>
              </w:rPr>
              <w:t>Purchases</w:t>
            </w:r>
          </w:p>
        </w:tc>
        <w:tc>
          <w:tcPr>
            <w:tcW w:w="1133" w:type="dxa"/>
            <w:tcBorders>
              <w:left w:val="nil"/>
              <w:bottom w:val="nil"/>
              <w:right w:val="single" w:sz="8" w:space="0" w:color="auto"/>
            </w:tcBorders>
            <w:vAlign w:val="bottom"/>
          </w:tcPr>
          <w:p w14:paraId="2A27DEF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418" w:type="dxa"/>
            <w:tcBorders>
              <w:left w:val="nil"/>
              <w:bottom w:val="nil"/>
              <w:right w:val="nil"/>
            </w:tcBorders>
            <w:vAlign w:val="bottom"/>
          </w:tcPr>
          <w:p w14:paraId="56A0BB83"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417" w:type="dxa"/>
            <w:tcBorders>
              <w:left w:val="single" w:sz="8" w:space="0" w:color="auto"/>
              <w:bottom w:val="nil"/>
              <w:right w:val="single" w:sz="4" w:space="0" w:color="auto"/>
            </w:tcBorders>
            <w:vAlign w:val="bottom"/>
          </w:tcPr>
          <w:p w14:paraId="6F466302"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50</w:t>
            </w:r>
          </w:p>
        </w:tc>
        <w:tc>
          <w:tcPr>
            <w:tcW w:w="1134" w:type="dxa"/>
            <w:tcBorders>
              <w:left w:val="single" w:sz="4" w:space="0" w:color="auto"/>
              <w:bottom w:val="nil"/>
              <w:right w:val="single" w:sz="4" w:space="0" w:color="auto"/>
            </w:tcBorders>
            <w:vAlign w:val="bottom"/>
          </w:tcPr>
          <w:p w14:paraId="7A513C6F"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332</w:t>
            </w:r>
          </w:p>
        </w:tc>
        <w:tc>
          <w:tcPr>
            <w:tcW w:w="1560" w:type="dxa"/>
            <w:tcBorders>
              <w:left w:val="single" w:sz="4" w:space="0" w:color="auto"/>
              <w:bottom w:val="nil"/>
              <w:right w:val="nil"/>
            </w:tcBorders>
            <w:vAlign w:val="bottom"/>
          </w:tcPr>
          <w:p w14:paraId="19886025"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262</w:t>
            </w:r>
          </w:p>
        </w:tc>
        <w:tc>
          <w:tcPr>
            <w:tcW w:w="992" w:type="dxa"/>
            <w:tcBorders>
              <w:left w:val="single" w:sz="8" w:space="0" w:color="auto"/>
              <w:bottom w:val="nil"/>
              <w:right w:val="single" w:sz="8" w:space="0" w:color="auto"/>
            </w:tcBorders>
            <w:vAlign w:val="bottom"/>
          </w:tcPr>
          <w:p w14:paraId="1FDD1B9F"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559" w:type="dxa"/>
            <w:tcBorders>
              <w:left w:val="nil"/>
              <w:bottom w:val="nil"/>
              <w:right w:val="nil"/>
            </w:tcBorders>
            <w:vAlign w:val="bottom"/>
          </w:tcPr>
          <w:p w14:paraId="007974B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802</w:t>
            </w:r>
          </w:p>
        </w:tc>
        <w:tc>
          <w:tcPr>
            <w:tcW w:w="1276" w:type="dxa"/>
            <w:tcBorders>
              <w:left w:val="single" w:sz="8" w:space="0" w:color="auto"/>
              <w:bottom w:val="nil"/>
              <w:right w:val="single" w:sz="8" w:space="0" w:color="auto"/>
            </w:tcBorders>
            <w:vAlign w:val="bottom"/>
          </w:tcPr>
          <w:p w14:paraId="4E801F32"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25</w:t>
            </w:r>
          </w:p>
        </w:tc>
        <w:tc>
          <w:tcPr>
            <w:tcW w:w="1843" w:type="dxa"/>
            <w:tcBorders>
              <w:left w:val="nil"/>
              <w:bottom w:val="nil"/>
              <w:right w:val="single" w:sz="8" w:space="0" w:color="000000"/>
            </w:tcBorders>
            <w:vAlign w:val="bottom"/>
          </w:tcPr>
          <w:p w14:paraId="2439A545"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417" w:type="dxa"/>
            <w:tcBorders>
              <w:left w:val="single" w:sz="8" w:space="0" w:color="000000"/>
              <w:bottom w:val="nil"/>
              <w:right w:val="nil"/>
            </w:tcBorders>
            <w:vAlign w:val="bottom"/>
          </w:tcPr>
          <w:p w14:paraId="528620C8"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1,471</w:t>
            </w:r>
          </w:p>
        </w:tc>
        <w:tc>
          <w:tcPr>
            <w:tcW w:w="1418" w:type="dxa"/>
            <w:tcBorders>
              <w:left w:val="single" w:sz="8" w:space="0" w:color="auto"/>
              <w:bottom w:val="nil"/>
              <w:right w:val="single" w:sz="4" w:space="0" w:color="auto"/>
            </w:tcBorders>
            <w:vAlign w:val="bottom"/>
          </w:tcPr>
          <w:p w14:paraId="7EA474E4"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559" w:type="dxa"/>
            <w:tcBorders>
              <w:left w:val="single" w:sz="4" w:space="0" w:color="auto"/>
              <w:bottom w:val="nil"/>
              <w:right w:val="single" w:sz="4" w:space="0" w:color="auto"/>
            </w:tcBorders>
            <w:vAlign w:val="bottom"/>
          </w:tcPr>
          <w:p w14:paraId="06253FA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100</w:t>
            </w:r>
          </w:p>
        </w:tc>
        <w:tc>
          <w:tcPr>
            <w:tcW w:w="1417" w:type="dxa"/>
            <w:tcBorders>
              <w:left w:val="single" w:sz="4" w:space="0" w:color="auto"/>
              <w:bottom w:val="nil"/>
              <w:right w:val="single" w:sz="8" w:space="0" w:color="auto"/>
            </w:tcBorders>
            <w:vAlign w:val="bottom"/>
          </w:tcPr>
          <w:p w14:paraId="5E08723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100</w:t>
            </w:r>
          </w:p>
        </w:tc>
        <w:tc>
          <w:tcPr>
            <w:tcW w:w="1701" w:type="dxa"/>
            <w:tcBorders>
              <w:left w:val="single" w:sz="8" w:space="0" w:color="000000"/>
              <w:bottom w:val="nil"/>
              <w:right w:val="single" w:sz="8" w:space="0" w:color="auto"/>
            </w:tcBorders>
            <w:vAlign w:val="bottom"/>
          </w:tcPr>
          <w:p w14:paraId="05137650"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384</w:t>
            </w:r>
          </w:p>
        </w:tc>
        <w:tc>
          <w:tcPr>
            <w:tcW w:w="993" w:type="dxa"/>
            <w:tcBorders>
              <w:left w:val="single" w:sz="8" w:space="0" w:color="000000"/>
              <w:bottom w:val="nil"/>
              <w:right w:val="single" w:sz="8" w:space="0" w:color="auto"/>
            </w:tcBorders>
            <w:vAlign w:val="bottom"/>
          </w:tcPr>
          <w:p w14:paraId="56AEA0F8"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1,955</w:t>
            </w:r>
          </w:p>
        </w:tc>
      </w:tr>
      <w:tr w:rsidR="008D50CD" w:rsidRPr="00B077E3" w14:paraId="0E828FBD" w14:textId="77777777" w:rsidTr="00B077E3">
        <w:trPr>
          <w:trHeight w:val="340"/>
        </w:trPr>
        <w:tc>
          <w:tcPr>
            <w:tcW w:w="1844" w:type="dxa"/>
            <w:tcBorders>
              <w:top w:val="nil"/>
              <w:left w:val="single" w:sz="8" w:space="0" w:color="auto"/>
              <w:bottom w:val="nil"/>
              <w:right w:val="single" w:sz="8" w:space="0" w:color="auto"/>
            </w:tcBorders>
            <w:vAlign w:val="bottom"/>
          </w:tcPr>
          <w:p w14:paraId="46BE1A54" w14:textId="77777777" w:rsidR="007168E0" w:rsidRPr="00B077E3" w:rsidRDefault="007168E0" w:rsidP="00CF1904">
            <w:pPr>
              <w:rPr>
                <w:rFonts w:ascii="Arial" w:hAnsi="Arial" w:cs="Arial"/>
                <w:sz w:val="20"/>
                <w:szCs w:val="20"/>
              </w:rPr>
            </w:pPr>
            <w:r w:rsidRPr="00B077E3">
              <w:rPr>
                <w:rFonts w:ascii="Arial" w:hAnsi="Arial" w:cs="Arial"/>
                <w:sz w:val="20"/>
                <w:szCs w:val="20"/>
              </w:rPr>
              <w:t>Decommission provision</w:t>
            </w:r>
          </w:p>
        </w:tc>
        <w:tc>
          <w:tcPr>
            <w:tcW w:w="1133" w:type="dxa"/>
            <w:tcBorders>
              <w:top w:val="nil"/>
              <w:left w:val="nil"/>
              <w:bottom w:val="nil"/>
              <w:right w:val="single" w:sz="8" w:space="0" w:color="auto"/>
            </w:tcBorders>
            <w:vAlign w:val="bottom"/>
          </w:tcPr>
          <w:p w14:paraId="0604E62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nil"/>
              <w:left w:val="nil"/>
              <w:bottom w:val="nil"/>
              <w:right w:val="nil"/>
            </w:tcBorders>
            <w:vAlign w:val="bottom"/>
          </w:tcPr>
          <w:p w14:paraId="04FF2824"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auto"/>
              <w:bottom w:val="nil"/>
              <w:right w:val="single" w:sz="4" w:space="0" w:color="auto"/>
            </w:tcBorders>
            <w:vAlign w:val="bottom"/>
          </w:tcPr>
          <w:p w14:paraId="4BB38DBF"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191</w:t>
            </w:r>
          </w:p>
        </w:tc>
        <w:tc>
          <w:tcPr>
            <w:tcW w:w="1134" w:type="dxa"/>
            <w:tcBorders>
              <w:top w:val="nil"/>
              <w:left w:val="single" w:sz="4" w:space="0" w:color="auto"/>
              <w:bottom w:val="nil"/>
              <w:right w:val="single" w:sz="4" w:space="0" w:color="auto"/>
            </w:tcBorders>
            <w:vAlign w:val="bottom"/>
          </w:tcPr>
          <w:p w14:paraId="4251B9B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60" w:type="dxa"/>
            <w:tcBorders>
              <w:top w:val="nil"/>
              <w:left w:val="single" w:sz="4" w:space="0" w:color="auto"/>
              <w:bottom w:val="nil"/>
              <w:right w:val="nil"/>
            </w:tcBorders>
            <w:vAlign w:val="bottom"/>
          </w:tcPr>
          <w:p w14:paraId="544E9FCF"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2" w:type="dxa"/>
            <w:tcBorders>
              <w:top w:val="nil"/>
              <w:left w:val="single" w:sz="8" w:space="0" w:color="auto"/>
              <w:bottom w:val="nil"/>
              <w:right w:val="single" w:sz="8" w:space="0" w:color="auto"/>
            </w:tcBorders>
            <w:vAlign w:val="bottom"/>
          </w:tcPr>
          <w:p w14:paraId="6755AB7A"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59" w:type="dxa"/>
            <w:tcBorders>
              <w:top w:val="nil"/>
              <w:left w:val="nil"/>
              <w:bottom w:val="nil"/>
              <w:right w:val="nil"/>
            </w:tcBorders>
            <w:vAlign w:val="bottom"/>
          </w:tcPr>
          <w:p w14:paraId="5CA05B02"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276" w:type="dxa"/>
            <w:tcBorders>
              <w:top w:val="nil"/>
              <w:left w:val="single" w:sz="8" w:space="0" w:color="auto"/>
              <w:bottom w:val="nil"/>
              <w:right w:val="single" w:sz="8" w:space="0" w:color="auto"/>
            </w:tcBorders>
            <w:vAlign w:val="bottom"/>
          </w:tcPr>
          <w:p w14:paraId="0ED046F4"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843" w:type="dxa"/>
            <w:tcBorders>
              <w:top w:val="nil"/>
              <w:left w:val="nil"/>
              <w:bottom w:val="nil"/>
              <w:right w:val="single" w:sz="8" w:space="0" w:color="000000"/>
            </w:tcBorders>
            <w:vAlign w:val="bottom"/>
          </w:tcPr>
          <w:p w14:paraId="673EAF5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000000"/>
              <w:bottom w:val="nil"/>
              <w:right w:val="nil"/>
            </w:tcBorders>
            <w:vAlign w:val="bottom"/>
          </w:tcPr>
          <w:p w14:paraId="6AD99F5A"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191</w:t>
            </w:r>
          </w:p>
        </w:tc>
        <w:tc>
          <w:tcPr>
            <w:tcW w:w="1418" w:type="dxa"/>
            <w:tcBorders>
              <w:top w:val="nil"/>
              <w:left w:val="single" w:sz="8" w:space="0" w:color="auto"/>
              <w:bottom w:val="nil"/>
              <w:right w:val="single" w:sz="4" w:space="0" w:color="auto"/>
            </w:tcBorders>
            <w:vAlign w:val="bottom"/>
          </w:tcPr>
          <w:p w14:paraId="39C33E7A"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59" w:type="dxa"/>
            <w:tcBorders>
              <w:top w:val="nil"/>
              <w:left w:val="single" w:sz="4" w:space="0" w:color="auto"/>
              <w:bottom w:val="nil"/>
              <w:right w:val="single" w:sz="4" w:space="0" w:color="auto"/>
            </w:tcBorders>
            <w:vAlign w:val="bottom"/>
          </w:tcPr>
          <w:p w14:paraId="12408EB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4" w:space="0" w:color="auto"/>
              <w:bottom w:val="nil"/>
              <w:right w:val="single" w:sz="8" w:space="0" w:color="auto"/>
            </w:tcBorders>
            <w:vAlign w:val="bottom"/>
          </w:tcPr>
          <w:p w14:paraId="51AEAA8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701" w:type="dxa"/>
            <w:tcBorders>
              <w:top w:val="nil"/>
              <w:left w:val="single" w:sz="8" w:space="0" w:color="000000"/>
              <w:bottom w:val="nil"/>
              <w:right w:val="single" w:sz="8" w:space="0" w:color="auto"/>
            </w:tcBorders>
            <w:vAlign w:val="bottom"/>
          </w:tcPr>
          <w:p w14:paraId="34D1373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3" w:type="dxa"/>
            <w:tcBorders>
              <w:top w:val="nil"/>
              <w:left w:val="single" w:sz="8" w:space="0" w:color="000000"/>
              <w:bottom w:val="nil"/>
              <w:right w:val="single" w:sz="8" w:space="0" w:color="auto"/>
            </w:tcBorders>
          </w:tcPr>
          <w:p w14:paraId="59410776" w14:textId="77777777" w:rsidR="007168E0" w:rsidRPr="00B077E3" w:rsidRDefault="007168E0" w:rsidP="00CF1904">
            <w:pPr>
              <w:jc w:val="center"/>
              <w:rPr>
                <w:rFonts w:ascii="Arial" w:hAnsi="Arial" w:cs="Arial"/>
                <w:sz w:val="20"/>
                <w:szCs w:val="20"/>
              </w:rPr>
            </w:pPr>
          </w:p>
          <w:p w14:paraId="2EC80DB7" w14:textId="77777777" w:rsidR="007168E0" w:rsidRPr="00B077E3" w:rsidRDefault="007168E0" w:rsidP="00CF1904">
            <w:pPr>
              <w:jc w:val="center"/>
              <w:rPr>
                <w:rFonts w:ascii="Arial" w:hAnsi="Arial" w:cs="Arial"/>
                <w:sz w:val="20"/>
                <w:szCs w:val="20"/>
              </w:rPr>
            </w:pPr>
          </w:p>
          <w:p w14:paraId="4BC2E2C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191</w:t>
            </w:r>
          </w:p>
        </w:tc>
      </w:tr>
      <w:tr w:rsidR="008D50CD" w:rsidRPr="00B077E3" w14:paraId="06407A20" w14:textId="77777777" w:rsidTr="00B077E3">
        <w:trPr>
          <w:trHeight w:val="340"/>
        </w:trPr>
        <w:tc>
          <w:tcPr>
            <w:tcW w:w="1844" w:type="dxa"/>
            <w:tcBorders>
              <w:top w:val="nil"/>
              <w:left w:val="single" w:sz="8" w:space="0" w:color="auto"/>
              <w:bottom w:val="nil"/>
              <w:right w:val="single" w:sz="8" w:space="0" w:color="auto"/>
            </w:tcBorders>
            <w:vAlign w:val="bottom"/>
            <w:hideMark/>
          </w:tcPr>
          <w:p w14:paraId="41D0F5EA" w14:textId="77777777" w:rsidR="007168E0" w:rsidRPr="00B077E3" w:rsidRDefault="007168E0" w:rsidP="00CF1904">
            <w:pPr>
              <w:rPr>
                <w:rFonts w:ascii="Arial" w:hAnsi="Arial" w:cs="Arial"/>
                <w:sz w:val="20"/>
                <w:szCs w:val="20"/>
              </w:rPr>
            </w:pPr>
            <w:r w:rsidRPr="00B077E3">
              <w:rPr>
                <w:rFonts w:ascii="Arial" w:hAnsi="Arial" w:cs="Arial"/>
                <w:sz w:val="20"/>
                <w:szCs w:val="20"/>
              </w:rPr>
              <w:t>Disposals/ Impairments</w:t>
            </w:r>
          </w:p>
        </w:tc>
        <w:tc>
          <w:tcPr>
            <w:tcW w:w="1133" w:type="dxa"/>
            <w:tcBorders>
              <w:top w:val="nil"/>
              <w:left w:val="nil"/>
              <w:bottom w:val="nil"/>
              <w:right w:val="single" w:sz="8" w:space="0" w:color="auto"/>
            </w:tcBorders>
            <w:vAlign w:val="bottom"/>
          </w:tcPr>
          <w:p w14:paraId="0876EAF4"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nil"/>
              <w:left w:val="nil"/>
              <w:bottom w:val="nil"/>
              <w:right w:val="nil"/>
            </w:tcBorders>
            <w:vAlign w:val="bottom"/>
          </w:tcPr>
          <w:p w14:paraId="5520370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auto"/>
              <w:bottom w:val="nil"/>
              <w:right w:val="single" w:sz="4" w:space="0" w:color="auto"/>
            </w:tcBorders>
            <w:vAlign w:val="bottom"/>
          </w:tcPr>
          <w:p w14:paraId="4FECF89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134" w:type="dxa"/>
            <w:tcBorders>
              <w:top w:val="nil"/>
              <w:left w:val="single" w:sz="4" w:space="0" w:color="auto"/>
              <w:bottom w:val="nil"/>
              <w:right w:val="single" w:sz="4" w:space="0" w:color="auto"/>
            </w:tcBorders>
            <w:vAlign w:val="bottom"/>
          </w:tcPr>
          <w:p w14:paraId="51089C6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(20)</w:t>
            </w:r>
          </w:p>
        </w:tc>
        <w:tc>
          <w:tcPr>
            <w:tcW w:w="1560" w:type="dxa"/>
            <w:tcBorders>
              <w:top w:val="nil"/>
              <w:left w:val="single" w:sz="4" w:space="0" w:color="auto"/>
              <w:bottom w:val="nil"/>
              <w:right w:val="nil"/>
            </w:tcBorders>
            <w:vAlign w:val="bottom"/>
          </w:tcPr>
          <w:p w14:paraId="5265116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2" w:type="dxa"/>
            <w:tcBorders>
              <w:top w:val="nil"/>
              <w:left w:val="single" w:sz="8" w:space="0" w:color="auto"/>
              <w:bottom w:val="nil"/>
              <w:right w:val="single" w:sz="8" w:space="0" w:color="auto"/>
            </w:tcBorders>
            <w:vAlign w:val="bottom"/>
          </w:tcPr>
          <w:p w14:paraId="0A5A8607"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59" w:type="dxa"/>
            <w:tcBorders>
              <w:top w:val="nil"/>
              <w:left w:val="nil"/>
              <w:bottom w:val="nil"/>
              <w:right w:val="nil"/>
            </w:tcBorders>
            <w:vAlign w:val="bottom"/>
          </w:tcPr>
          <w:p w14:paraId="4DD45E9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(1,024)</w:t>
            </w:r>
          </w:p>
        </w:tc>
        <w:tc>
          <w:tcPr>
            <w:tcW w:w="1276" w:type="dxa"/>
            <w:tcBorders>
              <w:top w:val="nil"/>
              <w:left w:val="single" w:sz="8" w:space="0" w:color="auto"/>
              <w:bottom w:val="nil"/>
              <w:right w:val="single" w:sz="8" w:space="0" w:color="auto"/>
            </w:tcBorders>
            <w:vAlign w:val="bottom"/>
          </w:tcPr>
          <w:p w14:paraId="673D6221"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843" w:type="dxa"/>
            <w:tcBorders>
              <w:top w:val="nil"/>
              <w:left w:val="nil"/>
              <w:bottom w:val="nil"/>
              <w:right w:val="single" w:sz="8" w:space="0" w:color="000000"/>
            </w:tcBorders>
            <w:vAlign w:val="bottom"/>
          </w:tcPr>
          <w:p w14:paraId="38EA6A53"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000000"/>
              <w:bottom w:val="nil"/>
              <w:right w:val="nil"/>
            </w:tcBorders>
            <w:vAlign w:val="bottom"/>
          </w:tcPr>
          <w:p w14:paraId="13FDBFE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(1,044)</w:t>
            </w:r>
          </w:p>
        </w:tc>
        <w:tc>
          <w:tcPr>
            <w:tcW w:w="1418" w:type="dxa"/>
            <w:tcBorders>
              <w:top w:val="nil"/>
              <w:left w:val="single" w:sz="8" w:space="0" w:color="auto"/>
              <w:bottom w:val="nil"/>
              <w:right w:val="single" w:sz="4" w:space="0" w:color="auto"/>
            </w:tcBorders>
            <w:vAlign w:val="bottom"/>
          </w:tcPr>
          <w:p w14:paraId="08B8D5C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(121)</w:t>
            </w:r>
          </w:p>
        </w:tc>
        <w:tc>
          <w:tcPr>
            <w:tcW w:w="1559" w:type="dxa"/>
            <w:tcBorders>
              <w:top w:val="nil"/>
              <w:left w:val="single" w:sz="4" w:space="0" w:color="auto"/>
              <w:bottom w:val="nil"/>
              <w:right w:val="single" w:sz="4" w:space="0" w:color="auto"/>
            </w:tcBorders>
            <w:vAlign w:val="bottom"/>
          </w:tcPr>
          <w:p w14:paraId="35EDA4E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(93)</w:t>
            </w:r>
          </w:p>
        </w:tc>
        <w:tc>
          <w:tcPr>
            <w:tcW w:w="1417" w:type="dxa"/>
            <w:tcBorders>
              <w:top w:val="nil"/>
              <w:left w:val="single" w:sz="4" w:space="0" w:color="auto"/>
              <w:bottom w:val="nil"/>
              <w:right w:val="single" w:sz="8" w:space="0" w:color="auto"/>
            </w:tcBorders>
            <w:vAlign w:val="bottom"/>
          </w:tcPr>
          <w:p w14:paraId="78DC36EA"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(214)</w:t>
            </w:r>
          </w:p>
        </w:tc>
        <w:tc>
          <w:tcPr>
            <w:tcW w:w="1701" w:type="dxa"/>
            <w:tcBorders>
              <w:top w:val="nil"/>
              <w:left w:val="single" w:sz="8" w:space="0" w:color="000000"/>
              <w:bottom w:val="nil"/>
              <w:right w:val="single" w:sz="8" w:space="0" w:color="auto"/>
            </w:tcBorders>
            <w:vAlign w:val="bottom"/>
          </w:tcPr>
          <w:p w14:paraId="333398A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3" w:type="dxa"/>
            <w:tcBorders>
              <w:top w:val="nil"/>
              <w:left w:val="single" w:sz="8" w:space="0" w:color="000000"/>
              <w:bottom w:val="nil"/>
              <w:right w:val="single" w:sz="8" w:space="0" w:color="auto"/>
            </w:tcBorders>
          </w:tcPr>
          <w:p w14:paraId="5D74435D" w14:textId="77777777" w:rsidR="007168E0" w:rsidRPr="00B077E3" w:rsidRDefault="007168E0" w:rsidP="00CF1904">
            <w:pPr>
              <w:jc w:val="center"/>
              <w:rPr>
                <w:rFonts w:ascii="Arial" w:hAnsi="Arial" w:cs="Arial"/>
                <w:sz w:val="20"/>
                <w:szCs w:val="20"/>
              </w:rPr>
            </w:pPr>
          </w:p>
          <w:p w14:paraId="50493AEC" w14:textId="77777777" w:rsidR="007168E0" w:rsidRPr="00B077E3" w:rsidRDefault="007168E0" w:rsidP="00CF1904">
            <w:pPr>
              <w:jc w:val="center"/>
              <w:rPr>
                <w:rFonts w:ascii="Arial" w:hAnsi="Arial" w:cs="Arial"/>
                <w:sz w:val="20"/>
                <w:szCs w:val="20"/>
              </w:rPr>
            </w:pPr>
          </w:p>
          <w:p w14:paraId="24665E6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(1,258)</w:t>
            </w:r>
          </w:p>
        </w:tc>
      </w:tr>
      <w:tr w:rsidR="008D50CD" w:rsidRPr="00B077E3" w14:paraId="7DD2DCE0" w14:textId="77777777" w:rsidTr="00B077E3">
        <w:trPr>
          <w:trHeight w:val="340"/>
        </w:trPr>
        <w:tc>
          <w:tcPr>
            <w:tcW w:w="1844" w:type="dxa"/>
            <w:tcBorders>
              <w:top w:val="nil"/>
              <w:left w:val="single" w:sz="8" w:space="0" w:color="auto"/>
              <w:bottom w:val="single" w:sz="8" w:space="0" w:color="auto"/>
              <w:right w:val="single" w:sz="8" w:space="0" w:color="auto"/>
            </w:tcBorders>
            <w:vAlign w:val="bottom"/>
            <w:hideMark/>
          </w:tcPr>
          <w:p w14:paraId="7299D5E5" w14:textId="77777777" w:rsidR="007168E0" w:rsidRPr="00B077E3" w:rsidRDefault="007168E0" w:rsidP="00CF1904">
            <w:pPr>
              <w:rPr>
                <w:rFonts w:ascii="Arial" w:hAnsi="Arial" w:cs="Arial"/>
                <w:sz w:val="20"/>
                <w:szCs w:val="20"/>
              </w:rPr>
            </w:pPr>
            <w:r w:rsidRPr="00B077E3">
              <w:rPr>
                <w:rFonts w:ascii="Arial" w:hAnsi="Arial" w:cs="Arial"/>
                <w:sz w:val="20"/>
                <w:szCs w:val="20"/>
              </w:rPr>
              <w:t>Revaluations</w:t>
            </w:r>
          </w:p>
        </w:tc>
        <w:tc>
          <w:tcPr>
            <w:tcW w:w="1133" w:type="dxa"/>
            <w:tcBorders>
              <w:top w:val="nil"/>
              <w:left w:val="nil"/>
              <w:bottom w:val="single" w:sz="8" w:space="0" w:color="auto"/>
              <w:right w:val="single" w:sz="8" w:space="0" w:color="auto"/>
            </w:tcBorders>
            <w:vAlign w:val="bottom"/>
          </w:tcPr>
          <w:p w14:paraId="12AF9BD8"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(25)</w:t>
            </w:r>
          </w:p>
        </w:tc>
        <w:tc>
          <w:tcPr>
            <w:tcW w:w="1418" w:type="dxa"/>
            <w:tcBorders>
              <w:top w:val="nil"/>
              <w:left w:val="nil"/>
              <w:bottom w:val="nil"/>
              <w:right w:val="nil"/>
            </w:tcBorders>
            <w:vAlign w:val="bottom"/>
          </w:tcPr>
          <w:p w14:paraId="75FA6570"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(215)</w:t>
            </w:r>
          </w:p>
        </w:tc>
        <w:tc>
          <w:tcPr>
            <w:tcW w:w="1417" w:type="dxa"/>
            <w:tcBorders>
              <w:top w:val="nil"/>
              <w:left w:val="single" w:sz="8" w:space="0" w:color="auto"/>
              <w:bottom w:val="single" w:sz="8" w:space="0" w:color="auto"/>
              <w:right w:val="single" w:sz="4" w:space="0" w:color="auto"/>
            </w:tcBorders>
            <w:vAlign w:val="bottom"/>
          </w:tcPr>
          <w:p w14:paraId="22126DD4"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134" w:type="dxa"/>
            <w:tcBorders>
              <w:top w:val="nil"/>
              <w:left w:val="single" w:sz="4" w:space="0" w:color="auto"/>
              <w:bottom w:val="nil"/>
              <w:right w:val="single" w:sz="4" w:space="0" w:color="auto"/>
            </w:tcBorders>
            <w:vAlign w:val="bottom"/>
          </w:tcPr>
          <w:p w14:paraId="380C2679"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1,388</w:t>
            </w:r>
          </w:p>
        </w:tc>
        <w:tc>
          <w:tcPr>
            <w:tcW w:w="1560" w:type="dxa"/>
            <w:tcBorders>
              <w:top w:val="nil"/>
              <w:left w:val="single" w:sz="4" w:space="0" w:color="auto"/>
              <w:bottom w:val="nil"/>
              <w:right w:val="nil"/>
            </w:tcBorders>
            <w:vAlign w:val="bottom"/>
          </w:tcPr>
          <w:p w14:paraId="452CBC3C"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992" w:type="dxa"/>
            <w:tcBorders>
              <w:top w:val="nil"/>
              <w:left w:val="single" w:sz="8" w:space="0" w:color="auto"/>
              <w:bottom w:val="single" w:sz="8" w:space="0" w:color="auto"/>
              <w:right w:val="single" w:sz="8" w:space="0" w:color="auto"/>
            </w:tcBorders>
            <w:vAlign w:val="bottom"/>
          </w:tcPr>
          <w:p w14:paraId="603E203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(1,080)</w:t>
            </w:r>
          </w:p>
        </w:tc>
        <w:tc>
          <w:tcPr>
            <w:tcW w:w="1559" w:type="dxa"/>
            <w:tcBorders>
              <w:top w:val="nil"/>
              <w:left w:val="nil"/>
              <w:bottom w:val="nil"/>
              <w:right w:val="nil"/>
            </w:tcBorders>
            <w:vAlign w:val="bottom"/>
          </w:tcPr>
          <w:p w14:paraId="4A65BBD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276" w:type="dxa"/>
            <w:tcBorders>
              <w:top w:val="nil"/>
              <w:left w:val="single" w:sz="8" w:space="0" w:color="auto"/>
              <w:bottom w:val="single" w:sz="8" w:space="0" w:color="auto"/>
              <w:right w:val="single" w:sz="8" w:space="0" w:color="auto"/>
            </w:tcBorders>
            <w:vAlign w:val="bottom"/>
          </w:tcPr>
          <w:p w14:paraId="3BE3D7E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843" w:type="dxa"/>
            <w:tcBorders>
              <w:top w:val="nil"/>
              <w:left w:val="nil"/>
              <w:bottom w:val="nil"/>
              <w:right w:val="single" w:sz="8" w:space="0" w:color="000000"/>
            </w:tcBorders>
            <w:vAlign w:val="bottom"/>
          </w:tcPr>
          <w:p w14:paraId="2EDDDC75"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417" w:type="dxa"/>
            <w:tcBorders>
              <w:top w:val="nil"/>
              <w:left w:val="single" w:sz="8" w:space="0" w:color="000000"/>
              <w:bottom w:val="nil"/>
              <w:right w:val="nil"/>
            </w:tcBorders>
            <w:vAlign w:val="bottom"/>
          </w:tcPr>
          <w:p w14:paraId="105F48C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68</w:t>
            </w:r>
          </w:p>
        </w:tc>
        <w:tc>
          <w:tcPr>
            <w:tcW w:w="1418" w:type="dxa"/>
            <w:tcBorders>
              <w:top w:val="nil"/>
              <w:left w:val="single" w:sz="8" w:space="0" w:color="auto"/>
              <w:bottom w:val="single" w:sz="8" w:space="0" w:color="auto"/>
              <w:right w:val="single" w:sz="4" w:space="0" w:color="auto"/>
            </w:tcBorders>
            <w:vAlign w:val="bottom"/>
          </w:tcPr>
          <w:p w14:paraId="3278A13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559" w:type="dxa"/>
            <w:tcBorders>
              <w:top w:val="nil"/>
              <w:left w:val="single" w:sz="4" w:space="0" w:color="auto"/>
              <w:bottom w:val="single" w:sz="4" w:space="0" w:color="auto"/>
              <w:right w:val="single" w:sz="4" w:space="0" w:color="auto"/>
            </w:tcBorders>
            <w:vAlign w:val="bottom"/>
          </w:tcPr>
          <w:p w14:paraId="58CD6C0F" w14:textId="77777777" w:rsidR="007168E0" w:rsidRPr="00B077E3" w:rsidRDefault="007168E0" w:rsidP="00CF1904">
            <w:pPr>
              <w:jc w:val="center"/>
              <w:rPr>
                <w:rFonts w:ascii="Arial" w:hAnsi="Arial" w:cs="Arial"/>
                <w:b/>
                <w:bCs/>
                <w:sz w:val="20"/>
                <w:szCs w:val="20"/>
              </w:rPr>
            </w:pPr>
          </w:p>
        </w:tc>
        <w:tc>
          <w:tcPr>
            <w:tcW w:w="1417" w:type="dxa"/>
            <w:tcBorders>
              <w:top w:val="nil"/>
              <w:left w:val="single" w:sz="4" w:space="0" w:color="auto"/>
              <w:bottom w:val="single" w:sz="8" w:space="0" w:color="auto"/>
              <w:right w:val="single" w:sz="8" w:space="0" w:color="auto"/>
            </w:tcBorders>
            <w:vAlign w:val="bottom"/>
          </w:tcPr>
          <w:p w14:paraId="5BB7545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701" w:type="dxa"/>
            <w:tcBorders>
              <w:top w:val="nil"/>
              <w:left w:val="single" w:sz="8" w:space="0" w:color="000000"/>
              <w:bottom w:val="nil"/>
              <w:right w:val="single" w:sz="8" w:space="0" w:color="auto"/>
            </w:tcBorders>
            <w:vAlign w:val="bottom"/>
          </w:tcPr>
          <w:p w14:paraId="232A6B3D"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993" w:type="dxa"/>
            <w:tcBorders>
              <w:top w:val="nil"/>
              <w:left w:val="single" w:sz="8" w:space="0" w:color="000000"/>
              <w:bottom w:val="nil"/>
              <w:right w:val="single" w:sz="8" w:space="0" w:color="auto"/>
            </w:tcBorders>
          </w:tcPr>
          <w:p w14:paraId="2D60C566" w14:textId="77777777" w:rsidR="007168E0" w:rsidRPr="00B077E3" w:rsidRDefault="007168E0" w:rsidP="00CF1904">
            <w:pPr>
              <w:jc w:val="center"/>
              <w:rPr>
                <w:rFonts w:ascii="Arial" w:hAnsi="Arial" w:cs="Arial"/>
                <w:bCs/>
                <w:sz w:val="20"/>
                <w:szCs w:val="20"/>
              </w:rPr>
            </w:pPr>
          </w:p>
          <w:p w14:paraId="7481A368" w14:textId="77777777" w:rsidR="007168E0" w:rsidRPr="00B077E3" w:rsidRDefault="007168E0" w:rsidP="00CF1904">
            <w:pPr>
              <w:jc w:val="center"/>
              <w:rPr>
                <w:rFonts w:ascii="Arial" w:hAnsi="Arial" w:cs="Arial"/>
                <w:bCs/>
                <w:sz w:val="20"/>
                <w:szCs w:val="20"/>
              </w:rPr>
            </w:pPr>
          </w:p>
          <w:p w14:paraId="2C66C651"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68</w:t>
            </w:r>
          </w:p>
        </w:tc>
      </w:tr>
      <w:tr w:rsidR="008D50CD" w:rsidRPr="00B077E3" w14:paraId="7A2B929E" w14:textId="77777777" w:rsidTr="00B077E3">
        <w:trPr>
          <w:trHeight w:val="340"/>
        </w:trPr>
        <w:tc>
          <w:tcPr>
            <w:tcW w:w="1844" w:type="dxa"/>
            <w:tcBorders>
              <w:top w:val="nil"/>
              <w:left w:val="single" w:sz="8" w:space="0" w:color="auto"/>
              <w:bottom w:val="single" w:sz="8" w:space="0" w:color="auto"/>
              <w:right w:val="single" w:sz="8" w:space="0" w:color="auto"/>
            </w:tcBorders>
            <w:vAlign w:val="bottom"/>
            <w:hideMark/>
          </w:tcPr>
          <w:p w14:paraId="1D707A35"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At 31 March 2021</w:t>
            </w:r>
          </w:p>
        </w:tc>
        <w:tc>
          <w:tcPr>
            <w:tcW w:w="1133" w:type="dxa"/>
            <w:tcBorders>
              <w:top w:val="nil"/>
              <w:left w:val="nil"/>
              <w:bottom w:val="single" w:sz="8" w:space="0" w:color="auto"/>
              <w:right w:val="single" w:sz="8" w:space="0" w:color="auto"/>
            </w:tcBorders>
            <w:vAlign w:val="bottom"/>
          </w:tcPr>
          <w:p w14:paraId="7F0D0E67"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832</w:t>
            </w:r>
          </w:p>
        </w:tc>
        <w:tc>
          <w:tcPr>
            <w:tcW w:w="1418" w:type="dxa"/>
            <w:tcBorders>
              <w:top w:val="single" w:sz="8" w:space="0" w:color="auto"/>
              <w:left w:val="nil"/>
              <w:bottom w:val="single" w:sz="8" w:space="0" w:color="auto"/>
              <w:right w:val="single" w:sz="8" w:space="0" w:color="auto"/>
            </w:tcBorders>
            <w:vAlign w:val="bottom"/>
          </w:tcPr>
          <w:p w14:paraId="32EE8CBD"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3,935</w:t>
            </w:r>
          </w:p>
        </w:tc>
        <w:tc>
          <w:tcPr>
            <w:tcW w:w="1417" w:type="dxa"/>
            <w:tcBorders>
              <w:top w:val="nil"/>
              <w:left w:val="nil"/>
              <w:bottom w:val="single" w:sz="8" w:space="0" w:color="auto"/>
              <w:right w:val="single" w:sz="4" w:space="0" w:color="auto"/>
            </w:tcBorders>
            <w:vAlign w:val="bottom"/>
          </w:tcPr>
          <w:p w14:paraId="049A0A4D"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9,892</w:t>
            </w:r>
          </w:p>
        </w:tc>
        <w:tc>
          <w:tcPr>
            <w:tcW w:w="1134" w:type="dxa"/>
            <w:tcBorders>
              <w:top w:val="single" w:sz="8" w:space="0" w:color="auto"/>
              <w:left w:val="single" w:sz="4" w:space="0" w:color="auto"/>
              <w:bottom w:val="single" w:sz="8" w:space="0" w:color="auto"/>
              <w:right w:val="single" w:sz="4" w:space="0" w:color="auto"/>
            </w:tcBorders>
            <w:vAlign w:val="bottom"/>
          </w:tcPr>
          <w:p w14:paraId="2489E51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19,203</w:t>
            </w:r>
          </w:p>
        </w:tc>
        <w:tc>
          <w:tcPr>
            <w:tcW w:w="1560" w:type="dxa"/>
            <w:tcBorders>
              <w:top w:val="single" w:sz="8" w:space="0" w:color="auto"/>
              <w:left w:val="single" w:sz="4" w:space="0" w:color="auto"/>
              <w:bottom w:val="single" w:sz="8" w:space="0" w:color="auto"/>
              <w:right w:val="single" w:sz="8" w:space="0" w:color="auto"/>
            </w:tcBorders>
            <w:vAlign w:val="bottom"/>
          </w:tcPr>
          <w:p w14:paraId="5925A6C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11,884</w:t>
            </w:r>
          </w:p>
        </w:tc>
        <w:tc>
          <w:tcPr>
            <w:tcW w:w="992" w:type="dxa"/>
            <w:tcBorders>
              <w:top w:val="nil"/>
              <w:left w:val="nil"/>
              <w:bottom w:val="single" w:sz="8" w:space="0" w:color="auto"/>
              <w:right w:val="single" w:sz="8" w:space="0" w:color="auto"/>
            </w:tcBorders>
            <w:vAlign w:val="bottom"/>
          </w:tcPr>
          <w:p w14:paraId="147AEAF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735</w:t>
            </w:r>
          </w:p>
        </w:tc>
        <w:tc>
          <w:tcPr>
            <w:tcW w:w="1559" w:type="dxa"/>
            <w:tcBorders>
              <w:top w:val="single" w:sz="8" w:space="0" w:color="auto"/>
              <w:left w:val="nil"/>
              <w:bottom w:val="single" w:sz="8" w:space="0" w:color="auto"/>
              <w:right w:val="single" w:sz="8" w:space="0" w:color="auto"/>
            </w:tcBorders>
            <w:vAlign w:val="bottom"/>
          </w:tcPr>
          <w:p w14:paraId="4A94F00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3,303</w:t>
            </w:r>
          </w:p>
        </w:tc>
        <w:tc>
          <w:tcPr>
            <w:tcW w:w="1276" w:type="dxa"/>
            <w:tcBorders>
              <w:top w:val="nil"/>
              <w:left w:val="nil"/>
              <w:bottom w:val="single" w:sz="8" w:space="0" w:color="auto"/>
              <w:right w:val="single" w:sz="8" w:space="0" w:color="auto"/>
            </w:tcBorders>
            <w:vAlign w:val="bottom"/>
          </w:tcPr>
          <w:p w14:paraId="4ECA194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770</w:t>
            </w:r>
          </w:p>
        </w:tc>
        <w:tc>
          <w:tcPr>
            <w:tcW w:w="1843" w:type="dxa"/>
            <w:tcBorders>
              <w:top w:val="single" w:sz="8" w:space="0" w:color="auto"/>
              <w:left w:val="nil"/>
              <w:bottom w:val="single" w:sz="8" w:space="0" w:color="auto"/>
              <w:right w:val="single" w:sz="8" w:space="0" w:color="000000"/>
            </w:tcBorders>
            <w:vAlign w:val="bottom"/>
          </w:tcPr>
          <w:p w14:paraId="3A37E074"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270</w:t>
            </w:r>
          </w:p>
        </w:tc>
        <w:tc>
          <w:tcPr>
            <w:tcW w:w="1417" w:type="dxa"/>
            <w:tcBorders>
              <w:top w:val="single" w:sz="8" w:space="0" w:color="auto"/>
              <w:left w:val="single" w:sz="8" w:space="0" w:color="000000"/>
              <w:bottom w:val="single" w:sz="8" w:space="0" w:color="auto"/>
              <w:right w:val="single" w:sz="8" w:space="0" w:color="auto"/>
            </w:tcBorders>
            <w:vAlign w:val="bottom"/>
          </w:tcPr>
          <w:p w14:paraId="0CAA961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50,824</w:t>
            </w:r>
          </w:p>
        </w:tc>
        <w:tc>
          <w:tcPr>
            <w:tcW w:w="1418" w:type="dxa"/>
            <w:tcBorders>
              <w:top w:val="nil"/>
              <w:left w:val="nil"/>
              <w:bottom w:val="single" w:sz="8" w:space="0" w:color="auto"/>
              <w:right w:val="single" w:sz="8" w:space="0" w:color="auto"/>
            </w:tcBorders>
            <w:vAlign w:val="bottom"/>
          </w:tcPr>
          <w:p w14:paraId="074BA813"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1,077</w:t>
            </w:r>
          </w:p>
        </w:tc>
        <w:tc>
          <w:tcPr>
            <w:tcW w:w="1559" w:type="dxa"/>
            <w:tcBorders>
              <w:top w:val="single" w:sz="4" w:space="0" w:color="auto"/>
              <w:left w:val="nil"/>
              <w:bottom w:val="single" w:sz="8" w:space="0" w:color="auto"/>
              <w:right w:val="single" w:sz="8" w:space="0" w:color="auto"/>
            </w:tcBorders>
            <w:vAlign w:val="bottom"/>
          </w:tcPr>
          <w:p w14:paraId="7C7BA695"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3,965</w:t>
            </w:r>
          </w:p>
        </w:tc>
        <w:tc>
          <w:tcPr>
            <w:tcW w:w="1417" w:type="dxa"/>
            <w:tcBorders>
              <w:top w:val="nil"/>
              <w:left w:val="nil"/>
              <w:bottom w:val="single" w:sz="8" w:space="0" w:color="auto"/>
              <w:right w:val="single" w:sz="8" w:space="0" w:color="auto"/>
            </w:tcBorders>
            <w:vAlign w:val="bottom"/>
          </w:tcPr>
          <w:p w14:paraId="2EB29F7C"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5,042</w:t>
            </w:r>
          </w:p>
        </w:tc>
        <w:tc>
          <w:tcPr>
            <w:tcW w:w="1701" w:type="dxa"/>
            <w:tcBorders>
              <w:top w:val="single" w:sz="8" w:space="0" w:color="auto"/>
              <w:left w:val="single" w:sz="8" w:space="0" w:color="000000"/>
              <w:bottom w:val="single" w:sz="8" w:space="0" w:color="auto"/>
              <w:right w:val="single" w:sz="8" w:space="0" w:color="auto"/>
            </w:tcBorders>
            <w:vAlign w:val="bottom"/>
          </w:tcPr>
          <w:p w14:paraId="159D2D8B"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384</w:t>
            </w:r>
          </w:p>
        </w:tc>
        <w:tc>
          <w:tcPr>
            <w:tcW w:w="993" w:type="dxa"/>
            <w:tcBorders>
              <w:top w:val="single" w:sz="8" w:space="0" w:color="auto"/>
              <w:left w:val="single" w:sz="8" w:space="0" w:color="000000"/>
              <w:bottom w:val="single" w:sz="8" w:space="0" w:color="auto"/>
              <w:right w:val="single" w:sz="8" w:space="0" w:color="auto"/>
            </w:tcBorders>
          </w:tcPr>
          <w:p w14:paraId="49E8EAA3" w14:textId="77777777" w:rsidR="007168E0" w:rsidRPr="00B077E3" w:rsidRDefault="007168E0" w:rsidP="00CF1904">
            <w:pPr>
              <w:jc w:val="center"/>
              <w:rPr>
                <w:rFonts w:ascii="Arial" w:hAnsi="Arial" w:cs="Arial"/>
                <w:b/>
                <w:bCs/>
                <w:sz w:val="20"/>
                <w:szCs w:val="20"/>
              </w:rPr>
            </w:pPr>
          </w:p>
          <w:p w14:paraId="077E5173" w14:textId="77777777" w:rsidR="007168E0" w:rsidRPr="00B077E3" w:rsidRDefault="007168E0" w:rsidP="00CF1904">
            <w:pPr>
              <w:jc w:val="center"/>
              <w:rPr>
                <w:rFonts w:ascii="Arial" w:hAnsi="Arial" w:cs="Arial"/>
                <w:b/>
                <w:bCs/>
                <w:sz w:val="20"/>
                <w:szCs w:val="20"/>
              </w:rPr>
            </w:pPr>
          </w:p>
          <w:p w14:paraId="14076147"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56,250</w:t>
            </w:r>
          </w:p>
        </w:tc>
      </w:tr>
      <w:tr w:rsidR="008D50CD" w:rsidRPr="00B077E3" w14:paraId="1A905793" w14:textId="77777777" w:rsidTr="00B077E3">
        <w:trPr>
          <w:trHeight w:val="680"/>
        </w:trPr>
        <w:tc>
          <w:tcPr>
            <w:tcW w:w="1844" w:type="dxa"/>
            <w:tcBorders>
              <w:top w:val="single" w:sz="8" w:space="0" w:color="auto"/>
              <w:left w:val="single" w:sz="8" w:space="0" w:color="auto"/>
              <w:bottom w:val="single" w:sz="4" w:space="0" w:color="auto"/>
              <w:right w:val="single" w:sz="8" w:space="0" w:color="auto"/>
            </w:tcBorders>
            <w:vAlign w:val="bottom"/>
            <w:hideMark/>
          </w:tcPr>
          <w:p w14:paraId="74A4AF95"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Depreciation</w:t>
            </w:r>
          </w:p>
        </w:tc>
        <w:tc>
          <w:tcPr>
            <w:tcW w:w="1133" w:type="dxa"/>
            <w:tcBorders>
              <w:top w:val="nil"/>
              <w:left w:val="nil"/>
              <w:bottom w:val="nil"/>
              <w:right w:val="single" w:sz="8" w:space="0" w:color="auto"/>
            </w:tcBorders>
            <w:vAlign w:val="bottom"/>
          </w:tcPr>
          <w:p w14:paraId="6CF0CE74" w14:textId="77777777" w:rsidR="007168E0" w:rsidRPr="00B077E3" w:rsidRDefault="007168E0" w:rsidP="00CF1904">
            <w:pPr>
              <w:jc w:val="center"/>
              <w:rPr>
                <w:rFonts w:ascii="Arial" w:hAnsi="Arial" w:cs="Arial"/>
                <w:sz w:val="20"/>
                <w:szCs w:val="20"/>
              </w:rPr>
            </w:pPr>
          </w:p>
        </w:tc>
        <w:tc>
          <w:tcPr>
            <w:tcW w:w="1418" w:type="dxa"/>
            <w:tcBorders>
              <w:top w:val="nil"/>
              <w:left w:val="nil"/>
              <w:bottom w:val="nil"/>
              <w:right w:val="nil"/>
            </w:tcBorders>
            <w:vAlign w:val="bottom"/>
          </w:tcPr>
          <w:p w14:paraId="6D2D248F" w14:textId="77777777" w:rsidR="007168E0" w:rsidRPr="00B077E3" w:rsidRDefault="007168E0" w:rsidP="00CF1904">
            <w:pPr>
              <w:jc w:val="center"/>
              <w:rPr>
                <w:rFonts w:ascii="Arial" w:hAnsi="Arial" w:cs="Arial"/>
                <w:sz w:val="20"/>
                <w:szCs w:val="20"/>
              </w:rPr>
            </w:pPr>
          </w:p>
        </w:tc>
        <w:tc>
          <w:tcPr>
            <w:tcW w:w="1417" w:type="dxa"/>
            <w:tcBorders>
              <w:top w:val="nil"/>
              <w:left w:val="single" w:sz="8" w:space="0" w:color="auto"/>
              <w:bottom w:val="nil"/>
              <w:right w:val="single" w:sz="4" w:space="0" w:color="auto"/>
            </w:tcBorders>
            <w:vAlign w:val="bottom"/>
          </w:tcPr>
          <w:p w14:paraId="77E07BDB" w14:textId="77777777" w:rsidR="007168E0" w:rsidRPr="00B077E3" w:rsidRDefault="007168E0" w:rsidP="00CF1904">
            <w:pPr>
              <w:jc w:val="center"/>
              <w:rPr>
                <w:rFonts w:ascii="Arial" w:hAnsi="Arial" w:cs="Arial"/>
                <w:sz w:val="20"/>
                <w:szCs w:val="20"/>
              </w:rPr>
            </w:pPr>
          </w:p>
        </w:tc>
        <w:tc>
          <w:tcPr>
            <w:tcW w:w="1134" w:type="dxa"/>
            <w:tcBorders>
              <w:top w:val="nil"/>
              <w:left w:val="single" w:sz="4" w:space="0" w:color="auto"/>
              <w:bottom w:val="nil"/>
              <w:right w:val="single" w:sz="4" w:space="0" w:color="auto"/>
            </w:tcBorders>
            <w:vAlign w:val="bottom"/>
          </w:tcPr>
          <w:p w14:paraId="79FC6EC6" w14:textId="77777777" w:rsidR="007168E0" w:rsidRPr="00B077E3" w:rsidRDefault="007168E0" w:rsidP="00CF1904">
            <w:pPr>
              <w:jc w:val="center"/>
              <w:rPr>
                <w:rFonts w:ascii="Arial" w:hAnsi="Arial" w:cs="Arial"/>
                <w:sz w:val="20"/>
                <w:szCs w:val="20"/>
              </w:rPr>
            </w:pPr>
          </w:p>
        </w:tc>
        <w:tc>
          <w:tcPr>
            <w:tcW w:w="1560" w:type="dxa"/>
            <w:tcBorders>
              <w:top w:val="nil"/>
              <w:left w:val="single" w:sz="4" w:space="0" w:color="auto"/>
              <w:bottom w:val="nil"/>
              <w:right w:val="nil"/>
            </w:tcBorders>
            <w:vAlign w:val="bottom"/>
          </w:tcPr>
          <w:p w14:paraId="6432A99F" w14:textId="77777777" w:rsidR="007168E0" w:rsidRPr="00B077E3" w:rsidRDefault="007168E0" w:rsidP="00CF1904">
            <w:pPr>
              <w:jc w:val="center"/>
              <w:rPr>
                <w:rFonts w:ascii="Arial" w:hAnsi="Arial" w:cs="Arial"/>
                <w:sz w:val="20"/>
                <w:szCs w:val="20"/>
              </w:rPr>
            </w:pPr>
          </w:p>
        </w:tc>
        <w:tc>
          <w:tcPr>
            <w:tcW w:w="992" w:type="dxa"/>
            <w:tcBorders>
              <w:top w:val="nil"/>
              <w:left w:val="single" w:sz="8" w:space="0" w:color="auto"/>
              <w:bottom w:val="nil"/>
              <w:right w:val="single" w:sz="8" w:space="0" w:color="auto"/>
            </w:tcBorders>
            <w:vAlign w:val="bottom"/>
          </w:tcPr>
          <w:p w14:paraId="06A2372B" w14:textId="77777777" w:rsidR="007168E0" w:rsidRPr="00B077E3" w:rsidRDefault="007168E0" w:rsidP="00CF1904">
            <w:pPr>
              <w:jc w:val="center"/>
              <w:rPr>
                <w:rFonts w:ascii="Arial" w:hAnsi="Arial" w:cs="Arial"/>
                <w:sz w:val="20"/>
                <w:szCs w:val="20"/>
              </w:rPr>
            </w:pPr>
          </w:p>
        </w:tc>
        <w:tc>
          <w:tcPr>
            <w:tcW w:w="1559" w:type="dxa"/>
            <w:tcBorders>
              <w:top w:val="nil"/>
              <w:left w:val="nil"/>
              <w:bottom w:val="nil"/>
              <w:right w:val="nil"/>
            </w:tcBorders>
            <w:vAlign w:val="bottom"/>
          </w:tcPr>
          <w:p w14:paraId="182B3082" w14:textId="77777777" w:rsidR="007168E0" w:rsidRPr="00B077E3" w:rsidRDefault="007168E0" w:rsidP="00CF1904">
            <w:pPr>
              <w:jc w:val="center"/>
              <w:rPr>
                <w:rFonts w:ascii="Arial" w:hAnsi="Arial" w:cs="Arial"/>
                <w:sz w:val="20"/>
                <w:szCs w:val="20"/>
              </w:rPr>
            </w:pPr>
          </w:p>
        </w:tc>
        <w:tc>
          <w:tcPr>
            <w:tcW w:w="1276" w:type="dxa"/>
            <w:tcBorders>
              <w:top w:val="nil"/>
              <w:left w:val="single" w:sz="8" w:space="0" w:color="auto"/>
              <w:bottom w:val="nil"/>
              <w:right w:val="single" w:sz="8" w:space="0" w:color="auto"/>
            </w:tcBorders>
            <w:vAlign w:val="bottom"/>
          </w:tcPr>
          <w:p w14:paraId="4BF0B46E" w14:textId="77777777" w:rsidR="007168E0" w:rsidRPr="00B077E3" w:rsidRDefault="007168E0" w:rsidP="00CF1904">
            <w:pPr>
              <w:jc w:val="center"/>
              <w:rPr>
                <w:rFonts w:ascii="Arial" w:hAnsi="Arial" w:cs="Arial"/>
                <w:sz w:val="20"/>
                <w:szCs w:val="20"/>
              </w:rPr>
            </w:pPr>
          </w:p>
        </w:tc>
        <w:tc>
          <w:tcPr>
            <w:tcW w:w="1843" w:type="dxa"/>
            <w:tcBorders>
              <w:top w:val="nil"/>
              <w:left w:val="nil"/>
              <w:bottom w:val="nil"/>
              <w:right w:val="single" w:sz="8" w:space="0" w:color="000000"/>
            </w:tcBorders>
            <w:vAlign w:val="bottom"/>
          </w:tcPr>
          <w:p w14:paraId="6C46CB8E" w14:textId="77777777" w:rsidR="007168E0" w:rsidRPr="00B077E3" w:rsidRDefault="007168E0" w:rsidP="00CF1904">
            <w:pPr>
              <w:jc w:val="center"/>
              <w:rPr>
                <w:rFonts w:ascii="Arial" w:hAnsi="Arial" w:cs="Arial"/>
                <w:sz w:val="20"/>
                <w:szCs w:val="20"/>
              </w:rPr>
            </w:pPr>
          </w:p>
        </w:tc>
        <w:tc>
          <w:tcPr>
            <w:tcW w:w="1417" w:type="dxa"/>
            <w:tcBorders>
              <w:top w:val="nil"/>
              <w:left w:val="single" w:sz="8" w:space="0" w:color="000000"/>
              <w:bottom w:val="nil"/>
              <w:right w:val="single" w:sz="8" w:space="0" w:color="auto"/>
            </w:tcBorders>
            <w:vAlign w:val="bottom"/>
          </w:tcPr>
          <w:p w14:paraId="72FC007E" w14:textId="77777777" w:rsidR="007168E0" w:rsidRPr="00B077E3" w:rsidRDefault="007168E0" w:rsidP="00CF1904">
            <w:pPr>
              <w:jc w:val="center"/>
              <w:rPr>
                <w:rFonts w:ascii="Arial" w:hAnsi="Arial" w:cs="Arial"/>
                <w:sz w:val="20"/>
                <w:szCs w:val="20"/>
              </w:rPr>
            </w:pPr>
          </w:p>
        </w:tc>
        <w:tc>
          <w:tcPr>
            <w:tcW w:w="1418" w:type="dxa"/>
            <w:tcBorders>
              <w:top w:val="nil"/>
              <w:left w:val="nil"/>
              <w:bottom w:val="nil"/>
              <w:right w:val="single" w:sz="8" w:space="0" w:color="auto"/>
            </w:tcBorders>
            <w:noWrap/>
            <w:vAlign w:val="bottom"/>
          </w:tcPr>
          <w:p w14:paraId="48ABCFFE" w14:textId="77777777" w:rsidR="007168E0" w:rsidRPr="00B077E3" w:rsidRDefault="007168E0" w:rsidP="00CF1904">
            <w:pPr>
              <w:jc w:val="center"/>
              <w:rPr>
                <w:rFonts w:ascii="Arial" w:hAnsi="Arial" w:cs="Arial"/>
                <w:b/>
                <w:bCs/>
                <w:sz w:val="20"/>
                <w:szCs w:val="20"/>
              </w:rPr>
            </w:pPr>
          </w:p>
        </w:tc>
        <w:tc>
          <w:tcPr>
            <w:tcW w:w="1559" w:type="dxa"/>
            <w:tcBorders>
              <w:top w:val="nil"/>
              <w:left w:val="nil"/>
              <w:bottom w:val="nil"/>
              <w:right w:val="nil"/>
            </w:tcBorders>
            <w:noWrap/>
            <w:vAlign w:val="bottom"/>
          </w:tcPr>
          <w:p w14:paraId="0257249C" w14:textId="77777777" w:rsidR="007168E0" w:rsidRPr="00B077E3" w:rsidRDefault="007168E0" w:rsidP="00CF1904">
            <w:pPr>
              <w:jc w:val="center"/>
              <w:rPr>
                <w:rFonts w:ascii="Arial" w:hAnsi="Arial" w:cs="Arial"/>
                <w:b/>
                <w:bCs/>
                <w:sz w:val="20"/>
                <w:szCs w:val="20"/>
              </w:rPr>
            </w:pPr>
          </w:p>
        </w:tc>
        <w:tc>
          <w:tcPr>
            <w:tcW w:w="1417" w:type="dxa"/>
            <w:tcBorders>
              <w:top w:val="nil"/>
              <w:left w:val="single" w:sz="8" w:space="0" w:color="auto"/>
              <w:bottom w:val="nil"/>
              <w:right w:val="single" w:sz="8" w:space="0" w:color="auto"/>
            </w:tcBorders>
            <w:noWrap/>
            <w:vAlign w:val="bottom"/>
          </w:tcPr>
          <w:p w14:paraId="64242646" w14:textId="77777777" w:rsidR="007168E0" w:rsidRPr="00B077E3" w:rsidRDefault="007168E0" w:rsidP="00CF1904">
            <w:pPr>
              <w:jc w:val="center"/>
              <w:rPr>
                <w:rFonts w:ascii="Arial" w:hAnsi="Arial" w:cs="Arial"/>
                <w:b/>
                <w:bCs/>
                <w:sz w:val="20"/>
                <w:szCs w:val="20"/>
              </w:rPr>
            </w:pPr>
          </w:p>
        </w:tc>
        <w:tc>
          <w:tcPr>
            <w:tcW w:w="1701" w:type="dxa"/>
            <w:tcBorders>
              <w:top w:val="nil"/>
              <w:left w:val="single" w:sz="8" w:space="0" w:color="000000"/>
              <w:bottom w:val="nil"/>
              <w:right w:val="single" w:sz="8" w:space="0" w:color="auto"/>
            </w:tcBorders>
            <w:noWrap/>
            <w:vAlign w:val="bottom"/>
          </w:tcPr>
          <w:p w14:paraId="59DD2EB6" w14:textId="77777777" w:rsidR="007168E0" w:rsidRPr="00B077E3" w:rsidRDefault="007168E0" w:rsidP="00CF1904">
            <w:pPr>
              <w:jc w:val="center"/>
              <w:rPr>
                <w:rFonts w:ascii="Arial" w:hAnsi="Arial" w:cs="Arial"/>
                <w:b/>
                <w:bCs/>
                <w:sz w:val="20"/>
                <w:szCs w:val="20"/>
              </w:rPr>
            </w:pPr>
          </w:p>
        </w:tc>
        <w:tc>
          <w:tcPr>
            <w:tcW w:w="993" w:type="dxa"/>
            <w:tcBorders>
              <w:top w:val="nil"/>
              <w:left w:val="single" w:sz="8" w:space="0" w:color="000000"/>
              <w:bottom w:val="nil"/>
              <w:right w:val="single" w:sz="8" w:space="0" w:color="auto"/>
            </w:tcBorders>
          </w:tcPr>
          <w:p w14:paraId="1555E073" w14:textId="77777777" w:rsidR="007168E0" w:rsidRPr="00B077E3" w:rsidRDefault="007168E0" w:rsidP="00CF1904">
            <w:pPr>
              <w:jc w:val="center"/>
              <w:rPr>
                <w:rFonts w:ascii="Arial" w:hAnsi="Arial" w:cs="Arial"/>
                <w:b/>
                <w:bCs/>
                <w:sz w:val="20"/>
                <w:szCs w:val="20"/>
              </w:rPr>
            </w:pPr>
          </w:p>
        </w:tc>
      </w:tr>
      <w:tr w:rsidR="008D50CD" w:rsidRPr="00B077E3" w14:paraId="588935A4" w14:textId="77777777" w:rsidTr="00B077E3">
        <w:trPr>
          <w:trHeight w:val="340"/>
        </w:trPr>
        <w:tc>
          <w:tcPr>
            <w:tcW w:w="1844" w:type="dxa"/>
            <w:tcBorders>
              <w:top w:val="single" w:sz="4" w:space="0" w:color="auto"/>
              <w:left w:val="single" w:sz="8" w:space="0" w:color="auto"/>
              <w:bottom w:val="nil"/>
              <w:right w:val="single" w:sz="8" w:space="0" w:color="auto"/>
            </w:tcBorders>
            <w:vAlign w:val="bottom"/>
          </w:tcPr>
          <w:p w14:paraId="2E7C53EE" w14:textId="77777777" w:rsidR="007168E0" w:rsidRPr="00B077E3" w:rsidRDefault="007168E0" w:rsidP="00CF1904">
            <w:pPr>
              <w:rPr>
                <w:rFonts w:ascii="Arial" w:hAnsi="Arial" w:cs="Arial"/>
                <w:sz w:val="20"/>
                <w:szCs w:val="20"/>
              </w:rPr>
            </w:pPr>
            <w:r w:rsidRPr="00B077E3">
              <w:rPr>
                <w:rFonts w:ascii="Arial" w:hAnsi="Arial" w:cs="Arial"/>
                <w:sz w:val="20"/>
                <w:szCs w:val="20"/>
              </w:rPr>
              <w:t>1 April 2020</w:t>
            </w:r>
          </w:p>
        </w:tc>
        <w:tc>
          <w:tcPr>
            <w:tcW w:w="1133" w:type="dxa"/>
            <w:tcBorders>
              <w:top w:val="single" w:sz="8" w:space="0" w:color="auto"/>
              <w:left w:val="single" w:sz="8" w:space="0" w:color="auto"/>
              <w:right w:val="single" w:sz="8" w:space="0" w:color="auto"/>
            </w:tcBorders>
            <w:vAlign w:val="bottom"/>
          </w:tcPr>
          <w:p w14:paraId="72ACADC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single" w:sz="8" w:space="0" w:color="auto"/>
              <w:left w:val="nil"/>
              <w:right w:val="nil"/>
            </w:tcBorders>
            <w:vAlign w:val="bottom"/>
          </w:tcPr>
          <w:p w14:paraId="65935660"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417" w:type="dxa"/>
            <w:tcBorders>
              <w:top w:val="single" w:sz="8" w:space="0" w:color="auto"/>
              <w:left w:val="single" w:sz="8" w:space="0" w:color="auto"/>
              <w:right w:val="single" w:sz="4" w:space="0" w:color="auto"/>
            </w:tcBorders>
            <w:vAlign w:val="bottom"/>
          </w:tcPr>
          <w:p w14:paraId="60658BCC"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2,762</w:t>
            </w:r>
          </w:p>
        </w:tc>
        <w:tc>
          <w:tcPr>
            <w:tcW w:w="1134" w:type="dxa"/>
            <w:tcBorders>
              <w:top w:val="single" w:sz="8" w:space="0" w:color="auto"/>
              <w:left w:val="single" w:sz="4" w:space="0" w:color="auto"/>
              <w:right w:val="single" w:sz="4" w:space="0" w:color="auto"/>
            </w:tcBorders>
            <w:vAlign w:val="bottom"/>
          </w:tcPr>
          <w:p w14:paraId="32B0F2AB"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1,212</w:t>
            </w:r>
          </w:p>
        </w:tc>
        <w:tc>
          <w:tcPr>
            <w:tcW w:w="1560" w:type="dxa"/>
            <w:tcBorders>
              <w:top w:val="single" w:sz="8" w:space="0" w:color="auto"/>
              <w:left w:val="single" w:sz="4" w:space="0" w:color="auto"/>
              <w:right w:val="single" w:sz="8" w:space="0" w:color="auto"/>
            </w:tcBorders>
            <w:vAlign w:val="bottom"/>
          </w:tcPr>
          <w:p w14:paraId="495A50A1"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7,185</w:t>
            </w:r>
          </w:p>
        </w:tc>
        <w:tc>
          <w:tcPr>
            <w:tcW w:w="992" w:type="dxa"/>
            <w:tcBorders>
              <w:top w:val="single" w:sz="8" w:space="0" w:color="auto"/>
              <w:left w:val="nil"/>
              <w:right w:val="nil"/>
            </w:tcBorders>
            <w:vAlign w:val="bottom"/>
          </w:tcPr>
          <w:p w14:paraId="28D40768"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1,093</w:t>
            </w:r>
          </w:p>
        </w:tc>
        <w:tc>
          <w:tcPr>
            <w:tcW w:w="1559" w:type="dxa"/>
            <w:tcBorders>
              <w:top w:val="single" w:sz="8" w:space="0" w:color="auto"/>
              <w:left w:val="single" w:sz="8" w:space="0" w:color="auto"/>
              <w:right w:val="single" w:sz="8" w:space="0" w:color="auto"/>
            </w:tcBorders>
            <w:vAlign w:val="bottom"/>
          </w:tcPr>
          <w:p w14:paraId="692CEF3B"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2,322</w:t>
            </w:r>
          </w:p>
        </w:tc>
        <w:tc>
          <w:tcPr>
            <w:tcW w:w="1276" w:type="dxa"/>
            <w:tcBorders>
              <w:top w:val="single" w:sz="8" w:space="0" w:color="auto"/>
              <w:left w:val="nil"/>
              <w:right w:val="nil"/>
            </w:tcBorders>
            <w:vAlign w:val="bottom"/>
          </w:tcPr>
          <w:p w14:paraId="7BE28B16"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352</w:t>
            </w:r>
          </w:p>
        </w:tc>
        <w:tc>
          <w:tcPr>
            <w:tcW w:w="1843" w:type="dxa"/>
            <w:tcBorders>
              <w:top w:val="single" w:sz="8" w:space="0" w:color="auto"/>
              <w:left w:val="single" w:sz="8" w:space="0" w:color="auto"/>
              <w:right w:val="single" w:sz="8" w:space="0" w:color="000000"/>
            </w:tcBorders>
            <w:vAlign w:val="bottom"/>
          </w:tcPr>
          <w:p w14:paraId="3CFED755"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180</w:t>
            </w:r>
          </w:p>
        </w:tc>
        <w:tc>
          <w:tcPr>
            <w:tcW w:w="1417" w:type="dxa"/>
            <w:tcBorders>
              <w:top w:val="single" w:sz="8" w:space="0" w:color="auto"/>
              <w:left w:val="single" w:sz="8" w:space="0" w:color="000000"/>
              <w:right w:val="nil"/>
            </w:tcBorders>
            <w:vAlign w:val="bottom"/>
          </w:tcPr>
          <w:p w14:paraId="1797B9F6"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15,106</w:t>
            </w:r>
          </w:p>
        </w:tc>
        <w:tc>
          <w:tcPr>
            <w:tcW w:w="1418" w:type="dxa"/>
            <w:tcBorders>
              <w:top w:val="single" w:sz="4" w:space="0" w:color="auto"/>
              <w:left w:val="single" w:sz="8" w:space="0" w:color="auto"/>
              <w:right w:val="single" w:sz="8" w:space="0" w:color="auto"/>
            </w:tcBorders>
            <w:vAlign w:val="bottom"/>
          </w:tcPr>
          <w:p w14:paraId="32C5E34A"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903</w:t>
            </w:r>
          </w:p>
        </w:tc>
        <w:tc>
          <w:tcPr>
            <w:tcW w:w="1559" w:type="dxa"/>
            <w:tcBorders>
              <w:top w:val="single" w:sz="8" w:space="0" w:color="auto"/>
              <w:left w:val="nil"/>
              <w:right w:val="nil"/>
            </w:tcBorders>
            <w:vAlign w:val="bottom"/>
          </w:tcPr>
          <w:p w14:paraId="6CAD6E50"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3,371</w:t>
            </w:r>
          </w:p>
        </w:tc>
        <w:tc>
          <w:tcPr>
            <w:tcW w:w="1417" w:type="dxa"/>
            <w:tcBorders>
              <w:top w:val="single" w:sz="8" w:space="0" w:color="auto"/>
              <w:left w:val="single" w:sz="8" w:space="0" w:color="auto"/>
              <w:right w:val="single" w:sz="8" w:space="0" w:color="auto"/>
            </w:tcBorders>
            <w:vAlign w:val="bottom"/>
          </w:tcPr>
          <w:p w14:paraId="546DEA7F"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4,274</w:t>
            </w:r>
          </w:p>
        </w:tc>
        <w:tc>
          <w:tcPr>
            <w:tcW w:w="1701" w:type="dxa"/>
            <w:tcBorders>
              <w:top w:val="single" w:sz="8" w:space="0" w:color="auto"/>
              <w:left w:val="single" w:sz="8" w:space="0" w:color="000000"/>
              <w:right w:val="single" w:sz="8" w:space="0" w:color="auto"/>
            </w:tcBorders>
            <w:vAlign w:val="bottom"/>
          </w:tcPr>
          <w:p w14:paraId="17C9F8A9"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993" w:type="dxa"/>
            <w:tcBorders>
              <w:top w:val="single" w:sz="8" w:space="0" w:color="auto"/>
              <w:left w:val="single" w:sz="8" w:space="0" w:color="000000"/>
              <w:right w:val="single" w:sz="8" w:space="0" w:color="auto"/>
            </w:tcBorders>
          </w:tcPr>
          <w:p w14:paraId="3A551BCD" w14:textId="77777777" w:rsidR="007168E0" w:rsidRPr="00B077E3" w:rsidRDefault="007168E0" w:rsidP="00CF1904">
            <w:pPr>
              <w:jc w:val="center"/>
              <w:rPr>
                <w:rFonts w:ascii="Arial" w:hAnsi="Arial" w:cs="Arial"/>
                <w:bCs/>
                <w:sz w:val="20"/>
                <w:szCs w:val="20"/>
              </w:rPr>
            </w:pPr>
          </w:p>
          <w:p w14:paraId="6E1847FC" w14:textId="77777777" w:rsidR="007168E0" w:rsidRPr="00B077E3" w:rsidRDefault="007168E0" w:rsidP="00CF1904">
            <w:pPr>
              <w:jc w:val="center"/>
              <w:rPr>
                <w:rFonts w:ascii="Arial" w:hAnsi="Arial" w:cs="Arial"/>
                <w:bCs/>
                <w:sz w:val="20"/>
                <w:szCs w:val="20"/>
              </w:rPr>
            </w:pPr>
          </w:p>
          <w:p w14:paraId="348E7773"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19,380</w:t>
            </w:r>
          </w:p>
        </w:tc>
      </w:tr>
      <w:tr w:rsidR="008D50CD" w:rsidRPr="00B077E3" w14:paraId="13D30B4B" w14:textId="77777777" w:rsidTr="00B077E3">
        <w:trPr>
          <w:trHeight w:val="340"/>
        </w:trPr>
        <w:tc>
          <w:tcPr>
            <w:tcW w:w="1844" w:type="dxa"/>
            <w:tcBorders>
              <w:top w:val="nil"/>
              <w:left w:val="single" w:sz="8" w:space="0" w:color="auto"/>
              <w:bottom w:val="nil"/>
              <w:right w:val="single" w:sz="8" w:space="0" w:color="auto"/>
            </w:tcBorders>
            <w:vAlign w:val="bottom"/>
            <w:hideMark/>
          </w:tcPr>
          <w:p w14:paraId="22DBBDA1" w14:textId="77777777" w:rsidR="007168E0" w:rsidRPr="00B077E3" w:rsidRDefault="007168E0" w:rsidP="00CF1904">
            <w:pPr>
              <w:rPr>
                <w:rFonts w:ascii="Arial" w:hAnsi="Arial" w:cs="Arial"/>
                <w:sz w:val="20"/>
                <w:szCs w:val="20"/>
              </w:rPr>
            </w:pPr>
            <w:r w:rsidRPr="00B077E3">
              <w:rPr>
                <w:rFonts w:ascii="Arial" w:hAnsi="Arial" w:cs="Arial"/>
                <w:sz w:val="20"/>
                <w:szCs w:val="20"/>
              </w:rPr>
              <w:t>Charge for year</w:t>
            </w:r>
          </w:p>
        </w:tc>
        <w:tc>
          <w:tcPr>
            <w:tcW w:w="1133" w:type="dxa"/>
            <w:tcBorders>
              <w:top w:val="nil"/>
              <w:left w:val="nil"/>
              <w:bottom w:val="nil"/>
              <w:right w:val="single" w:sz="8" w:space="0" w:color="auto"/>
            </w:tcBorders>
            <w:vAlign w:val="bottom"/>
          </w:tcPr>
          <w:p w14:paraId="6306964A"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nil"/>
              <w:left w:val="nil"/>
              <w:bottom w:val="nil"/>
              <w:right w:val="nil"/>
            </w:tcBorders>
            <w:vAlign w:val="bottom"/>
          </w:tcPr>
          <w:p w14:paraId="0EC075B2"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195</w:t>
            </w:r>
          </w:p>
        </w:tc>
        <w:tc>
          <w:tcPr>
            <w:tcW w:w="1417" w:type="dxa"/>
            <w:tcBorders>
              <w:top w:val="nil"/>
              <w:left w:val="single" w:sz="8" w:space="0" w:color="auto"/>
              <w:bottom w:val="nil"/>
              <w:right w:val="single" w:sz="4" w:space="0" w:color="auto"/>
            </w:tcBorders>
            <w:vAlign w:val="bottom"/>
          </w:tcPr>
          <w:p w14:paraId="086FD4DB"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 xml:space="preserve">  765</w:t>
            </w:r>
          </w:p>
        </w:tc>
        <w:tc>
          <w:tcPr>
            <w:tcW w:w="1134" w:type="dxa"/>
            <w:tcBorders>
              <w:top w:val="nil"/>
              <w:left w:val="single" w:sz="4" w:space="0" w:color="auto"/>
              <w:bottom w:val="nil"/>
              <w:right w:val="single" w:sz="4" w:space="0" w:color="auto"/>
            </w:tcBorders>
            <w:vAlign w:val="bottom"/>
          </w:tcPr>
          <w:p w14:paraId="454588F6"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626</w:t>
            </w:r>
          </w:p>
        </w:tc>
        <w:tc>
          <w:tcPr>
            <w:tcW w:w="1560" w:type="dxa"/>
            <w:tcBorders>
              <w:top w:val="nil"/>
              <w:left w:val="single" w:sz="4" w:space="0" w:color="auto"/>
              <w:bottom w:val="nil"/>
              <w:right w:val="single" w:sz="8" w:space="0" w:color="auto"/>
            </w:tcBorders>
            <w:vAlign w:val="bottom"/>
          </w:tcPr>
          <w:p w14:paraId="17A41013"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792</w:t>
            </w:r>
          </w:p>
        </w:tc>
        <w:tc>
          <w:tcPr>
            <w:tcW w:w="992" w:type="dxa"/>
            <w:tcBorders>
              <w:top w:val="nil"/>
              <w:left w:val="nil"/>
              <w:bottom w:val="nil"/>
              <w:right w:val="nil"/>
            </w:tcBorders>
            <w:vAlign w:val="bottom"/>
          </w:tcPr>
          <w:p w14:paraId="0C09600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55</w:t>
            </w:r>
          </w:p>
        </w:tc>
        <w:tc>
          <w:tcPr>
            <w:tcW w:w="1559" w:type="dxa"/>
            <w:tcBorders>
              <w:top w:val="nil"/>
              <w:left w:val="single" w:sz="8" w:space="0" w:color="auto"/>
              <w:bottom w:val="nil"/>
              <w:right w:val="single" w:sz="8" w:space="0" w:color="auto"/>
            </w:tcBorders>
            <w:vAlign w:val="bottom"/>
          </w:tcPr>
          <w:p w14:paraId="5EB6A092"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333</w:t>
            </w:r>
          </w:p>
        </w:tc>
        <w:tc>
          <w:tcPr>
            <w:tcW w:w="1276" w:type="dxa"/>
            <w:tcBorders>
              <w:top w:val="nil"/>
              <w:left w:val="nil"/>
              <w:bottom w:val="nil"/>
              <w:right w:val="nil"/>
            </w:tcBorders>
            <w:vAlign w:val="bottom"/>
          </w:tcPr>
          <w:p w14:paraId="1F3AF6A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86</w:t>
            </w:r>
          </w:p>
        </w:tc>
        <w:tc>
          <w:tcPr>
            <w:tcW w:w="1843" w:type="dxa"/>
            <w:tcBorders>
              <w:top w:val="nil"/>
              <w:left w:val="single" w:sz="8" w:space="0" w:color="auto"/>
              <w:bottom w:val="nil"/>
              <w:right w:val="single" w:sz="8" w:space="0" w:color="000000"/>
            </w:tcBorders>
            <w:vAlign w:val="bottom"/>
          </w:tcPr>
          <w:p w14:paraId="34162B6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13</w:t>
            </w:r>
          </w:p>
        </w:tc>
        <w:tc>
          <w:tcPr>
            <w:tcW w:w="1417" w:type="dxa"/>
            <w:tcBorders>
              <w:top w:val="nil"/>
              <w:left w:val="single" w:sz="8" w:space="0" w:color="000000"/>
              <w:bottom w:val="nil"/>
              <w:right w:val="nil"/>
            </w:tcBorders>
            <w:vAlign w:val="bottom"/>
          </w:tcPr>
          <w:p w14:paraId="518CF9F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2,865</w:t>
            </w:r>
          </w:p>
        </w:tc>
        <w:tc>
          <w:tcPr>
            <w:tcW w:w="1418" w:type="dxa"/>
            <w:tcBorders>
              <w:top w:val="nil"/>
              <w:left w:val="single" w:sz="8" w:space="0" w:color="auto"/>
              <w:bottom w:val="nil"/>
              <w:right w:val="single" w:sz="8" w:space="0" w:color="auto"/>
            </w:tcBorders>
            <w:vAlign w:val="bottom"/>
          </w:tcPr>
          <w:p w14:paraId="285E853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82</w:t>
            </w:r>
          </w:p>
        </w:tc>
        <w:tc>
          <w:tcPr>
            <w:tcW w:w="1559" w:type="dxa"/>
            <w:tcBorders>
              <w:top w:val="nil"/>
              <w:left w:val="nil"/>
              <w:bottom w:val="nil"/>
              <w:right w:val="nil"/>
            </w:tcBorders>
            <w:vAlign w:val="bottom"/>
          </w:tcPr>
          <w:p w14:paraId="4D29A54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176</w:t>
            </w:r>
          </w:p>
        </w:tc>
        <w:tc>
          <w:tcPr>
            <w:tcW w:w="1417" w:type="dxa"/>
            <w:tcBorders>
              <w:top w:val="nil"/>
              <w:left w:val="single" w:sz="8" w:space="0" w:color="auto"/>
              <w:bottom w:val="nil"/>
              <w:right w:val="single" w:sz="8" w:space="0" w:color="auto"/>
            </w:tcBorders>
            <w:vAlign w:val="bottom"/>
          </w:tcPr>
          <w:p w14:paraId="51B6C99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258</w:t>
            </w:r>
          </w:p>
        </w:tc>
        <w:tc>
          <w:tcPr>
            <w:tcW w:w="1701" w:type="dxa"/>
            <w:tcBorders>
              <w:top w:val="nil"/>
              <w:left w:val="single" w:sz="8" w:space="0" w:color="000000"/>
              <w:bottom w:val="nil"/>
              <w:right w:val="single" w:sz="8" w:space="0" w:color="auto"/>
            </w:tcBorders>
            <w:vAlign w:val="bottom"/>
          </w:tcPr>
          <w:p w14:paraId="6C60B18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3" w:type="dxa"/>
            <w:tcBorders>
              <w:top w:val="nil"/>
              <w:left w:val="single" w:sz="8" w:space="0" w:color="000000"/>
              <w:bottom w:val="nil"/>
              <w:right w:val="single" w:sz="8" w:space="0" w:color="auto"/>
            </w:tcBorders>
          </w:tcPr>
          <w:p w14:paraId="54872B55" w14:textId="77777777" w:rsidR="007168E0" w:rsidRPr="00B077E3" w:rsidRDefault="007168E0" w:rsidP="00CF1904">
            <w:pPr>
              <w:jc w:val="center"/>
              <w:rPr>
                <w:rFonts w:ascii="Arial" w:hAnsi="Arial" w:cs="Arial"/>
                <w:sz w:val="20"/>
                <w:szCs w:val="20"/>
              </w:rPr>
            </w:pPr>
          </w:p>
          <w:p w14:paraId="60964AFF" w14:textId="77777777" w:rsidR="007168E0" w:rsidRPr="00B077E3" w:rsidRDefault="007168E0" w:rsidP="00CF1904">
            <w:pPr>
              <w:jc w:val="center"/>
              <w:rPr>
                <w:rFonts w:ascii="Arial" w:hAnsi="Arial" w:cs="Arial"/>
                <w:sz w:val="20"/>
                <w:szCs w:val="20"/>
              </w:rPr>
            </w:pPr>
          </w:p>
          <w:p w14:paraId="00C800CB"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3,123</w:t>
            </w:r>
          </w:p>
        </w:tc>
      </w:tr>
      <w:tr w:rsidR="008D50CD" w:rsidRPr="00B077E3" w14:paraId="78BB8CC1" w14:textId="77777777" w:rsidTr="00B077E3">
        <w:trPr>
          <w:trHeight w:val="340"/>
        </w:trPr>
        <w:tc>
          <w:tcPr>
            <w:tcW w:w="1844" w:type="dxa"/>
            <w:tcBorders>
              <w:top w:val="nil"/>
              <w:left w:val="single" w:sz="8" w:space="0" w:color="auto"/>
              <w:bottom w:val="nil"/>
              <w:right w:val="single" w:sz="8" w:space="0" w:color="auto"/>
            </w:tcBorders>
            <w:noWrap/>
            <w:vAlign w:val="bottom"/>
            <w:hideMark/>
          </w:tcPr>
          <w:p w14:paraId="226501C8" w14:textId="77777777" w:rsidR="007168E0" w:rsidRPr="00B077E3" w:rsidRDefault="007168E0" w:rsidP="00CF1904">
            <w:pPr>
              <w:rPr>
                <w:rFonts w:ascii="Arial" w:hAnsi="Arial" w:cs="Arial"/>
                <w:sz w:val="20"/>
                <w:szCs w:val="20"/>
              </w:rPr>
            </w:pPr>
            <w:r w:rsidRPr="00B077E3">
              <w:rPr>
                <w:rFonts w:ascii="Arial" w:hAnsi="Arial" w:cs="Arial"/>
                <w:sz w:val="20"/>
                <w:szCs w:val="20"/>
              </w:rPr>
              <w:t>Disposals/ Impairments</w:t>
            </w:r>
          </w:p>
        </w:tc>
        <w:tc>
          <w:tcPr>
            <w:tcW w:w="1133" w:type="dxa"/>
            <w:tcBorders>
              <w:top w:val="nil"/>
              <w:left w:val="nil"/>
              <w:bottom w:val="nil"/>
              <w:right w:val="single" w:sz="8" w:space="0" w:color="auto"/>
            </w:tcBorders>
            <w:noWrap/>
            <w:vAlign w:val="bottom"/>
          </w:tcPr>
          <w:p w14:paraId="18022A37"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nil"/>
              <w:left w:val="nil"/>
              <w:bottom w:val="nil"/>
              <w:right w:val="nil"/>
            </w:tcBorders>
            <w:noWrap/>
            <w:vAlign w:val="bottom"/>
          </w:tcPr>
          <w:p w14:paraId="261A45E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auto"/>
              <w:bottom w:val="nil"/>
              <w:right w:val="single" w:sz="4" w:space="0" w:color="auto"/>
            </w:tcBorders>
            <w:noWrap/>
            <w:vAlign w:val="bottom"/>
          </w:tcPr>
          <w:p w14:paraId="58F9714C"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134" w:type="dxa"/>
            <w:tcBorders>
              <w:top w:val="nil"/>
              <w:left w:val="single" w:sz="4" w:space="0" w:color="auto"/>
              <w:bottom w:val="nil"/>
              <w:right w:val="single" w:sz="4" w:space="0" w:color="auto"/>
            </w:tcBorders>
            <w:vAlign w:val="bottom"/>
          </w:tcPr>
          <w:p w14:paraId="747C4AC8"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(16)</w:t>
            </w:r>
          </w:p>
        </w:tc>
        <w:tc>
          <w:tcPr>
            <w:tcW w:w="1560" w:type="dxa"/>
            <w:tcBorders>
              <w:top w:val="nil"/>
              <w:left w:val="single" w:sz="4" w:space="0" w:color="auto"/>
              <w:bottom w:val="nil"/>
              <w:right w:val="single" w:sz="8" w:space="0" w:color="auto"/>
            </w:tcBorders>
            <w:noWrap/>
            <w:vAlign w:val="bottom"/>
          </w:tcPr>
          <w:p w14:paraId="5F4DDED4"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2" w:type="dxa"/>
            <w:tcBorders>
              <w:top w:val="nil"/>
              <w:left w:val="nil"/>
              <w:bottom w:val="nil"/>
              <w:right w:val="nil"/>
            </w:tcBorders>
            <w:noWrap/>
            <w:vAlign w:val="bottom"/>
          </w:tcPr>
          <w:p w14:paraId="496A54BD"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59" w:type="dxa"/>
            <w:tcBorders>
              <w:top w:val="nil"/>
              <w:left w:val="single" w:sz="8" w:space="0" w:color="auto"/>
              <w:bottom w:val="nil"/>
              <w:right w:val="single" w:sz="8" w:space="0" w:color="auto"/>
            </w:tcBorders>
            <w:noWrap/>
            <w:vAlign w:val="bottom"/>
          </w:tcPr>
          <w:p w14:paraId="0F41BBD1"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(772)</w:t>
            </w:r>
          </w:p>
        </w:tc>
        <w:tc>
          <w:tcPr>
            <w:tcW w:w="1276" w:type="dxa"/>
            <w:tcBorders>
              <w:top w:val="nil"/>
              <w:left w:val="nil"/>
              <w:bottom w:val="nil"/>
              <w:right w:val="nil"/>
            </w:tcBorders>
            <w:noWrap/>
            <w:vAlign w:val="bottom"/>
          </w:tcPr>
          <w:p w14:paraId="67CEFCA4"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843" w:type="dxa"/>
            <w:tcBorders>
              <w:top w:val="nil"/>
              <w:left w:val="single" w:sz="8" w:space="0" w:color="auto"/>
              <w:bottom w:val="nil"/>
              <w:right w:val="single" w:sz="8" w:space="0" w:color="000000"/>
            </w:tcBorders>
            <w:noWrap/>
            <w:vAlign w:val="bottom"/>
          </w:tcPr>
          <w:p w14:paraId="0ABF16D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000000"/>
              <w:bottom w:val="nil"/>
              <w:right w:val="nil"/>
            </w:tcBorders>
            <w:noWrap/>
            <w:vAlign w:val="bottom"/>
          </w:tcPr>
          <w:p w14:paraId="5FDCFCB7"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(788)</w:t>
            </w:r>
          </w:p>
        </w:tc>
        <w:tc>
          <w:tcPr>
            <w:tcW w:w="1418" w:type="dxa"/>
            <w:tcBorders>
              <w:top w:val="nil"/>
              <w:left w:val="single" w:sz="8" w:space="0" w:color="auto"/>
              <w:bottom w:val="nil"/>
              <w:right w:val="single" w:sz="8" w:space="0" w:color="auto"/>
            </w:tcBorders>
            <w:vAlign w:val="bottom"/>
          </w:tcPr>
          <w:p w14:paraId="3BD7EFEB"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(71)</w:t>
            </w:r>
          </w:p>
        </w:tc>
        <w:tc>
          <w:tcPr>
            <w:tcW w:w="1559" w:type="dxa"/>
            <w:tcBorders>
              <w:top w:val="nil"/>
              <w:left w:val="nil"/>
              <w:bottom w:val="nil"/>
              <w:right w:val="nil"/>
            </w:tcBorders>
            <w:noWrap/>
            <w:vAlign w:val="bottom"/>
          </w:tcPr>
          <w:p w14:paraId="661BD26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(16)</w:t>
            </w:r>
          </w:p>
        </w:tc>
        <w:tc>
          <w:tcPr>
            <w:tcW w:w="1417" w:type="dxa"/>
            <w:tcBorders>
              <w:top w:val="nil"/>
              <w:left w:val="single" w:sz="8" w:space="0" w:color="auto"/>
              <w:bottom w:val="nil"/>
              <w:right w:val="single" w:sz="8" w:space="0" w:color="auto"/>
            </w:tcBorders>
            <w:noWrap/>
            <w:vAlign w:val="bottom"/>
          </w:tcPr>
          <w:p w14:paraId="54629C11"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(87)</w:t>
            </w:r>
          </w:p>
        </w:tc>
        <w:tc>
          <w:tcPr>
            <w:tcW w:w="1701" w:type="dxa"/>
            <w:tcBorders>
              <w:top w:val="nil"/>
              <w:left w:val="single" w:sz="8" w:space="0" w:color="000000"/>
              <w:bottom w:val="nil"/>
              <w:right w:val="single" w:sz="8" w:space="0" w:color="auto"/>
            </w:tcBorders>
            <w:vAlign w:val="bottom"/>
          </w:tcPr>
          <w:p w14:paraId="660A274B"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3" w:type="dxa"/>
            <w:tcBorders>
              <w:top w:val="nil"/>
              <w:left w:val="single" w:sz="8" w:space="0" w:color="000000"/>
              <w:bottom w:val="nil"/>
              <w:right w:val="single" w:sz="8" w:space="0" w:color="auto"/>
            </w:tcBorders>
          </w:tcPr>
          <w:p w14:paraId="2E925066" w14:textId="77777777" w:rsidR="007168E0" w:rsidRPr="00B077E3" w:rsidRDefault="007168E0" w:rsidP="00CF1904">
            <w:pPr>
              <w:jc w:val="center"/>
              <w:rPr>
                <w:rFonts w:ascii="Arial" w:hAnsi="Arial" w:cs="Arial"/>
                <w:sz w:val="20"/>
                <w:szCs w:val="20"/>
              </w:rPr>
            </w:pPr>
          </w:p>
          <w:p w14:paraId="3E231EF7" w14:textId="77777777" w:rsidR="007168E0" w:rsidRPr="00B077E3" w:rsidRDefault="007168E0" w:rsidP="00CF1904">
            <w:pPr>
              <w:jc w:val="center"/>
              <w:rPr>
                <w:rFonts w:ascii="Arial" w:hAnsi="Arial" w:cs="Arial"/>
                <w:sz w:val="20"/>
                <w:szCs w:val="20"/>
              </w:rPr>
            </w:pPr>
          </w:p>
          <w:p w14:paraId="6467AF43"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(875)</w:t>
            </w:r>
          </w:p>
        </w:tc>
      </w:tr>
      <w:tr w:rsidR="008D50CD" w:rsidRPr="00B077E3" w14:paraId="48F53521" w14:textId="77777777" w:rsidTr="00247796">
        <w:trPr>
          <w:trHeight w:val="454"/>
        </w:trPr>
        <w:tc>
          <w:tcPr>
            <w:tcW w:w="1844" w:type="dxa"/>
            <w:tcBorders>
              <w:top w:val="nil"/>
              <w:left w:val="single" w:sz="8" w:space="0" w:color="auto"/>
              <w:bottom w:val="single" w:sz="4" w:space="0" w:color="auto"/>
              <w:right w:val="single" w:sz="8" w:space="0" w:color="auto"/>
            </w:tcBorders>
            <w:vAlign w:val="bottom"/>
            <w:hideMark/>
          </w:tcPr>
          <w:p w14:paraId="4E13CC23" w14:textId="77777777" w:rsidR="007168E0" w:rsidRPr="00B077E3" w:rsidRDefault="007168E0" w:rsidP="00CF1904">
            <w:pPr>
              <w:rPr>
                <w:rFonts w:ascii="Arial" w:hAnsi="Arial" w:cs="Arial"/>
                <w:sz w:val="20"/>
                <w:szCs w:val="20"/>
              </w:rPr>
            </w:pPr>
            <w:r w:rsidRPr="00B077E3">
              <w:rPr>
                <w:rFonts w:ascii="Arial" w:hAnsi="Arial" w:cs="Arial"/>
                <w:sz w:val="20"/>
                <w:szCs w:val="20"/>
              </w:rPr>
              <w:t>Revaluations</w:t>
            </w:r>
          </w:p>
        </w:tc>
        <w:tc>
          <w:tcPr>
            <w:tcW w:w="1133" w:type="dxa"/>
            <w:tcBorders>
              <w:top w:val="nil"/>
              <w:left w:val="nil"/>
              <w:bottom w:val="nil"/>
              <w:right w:val="single" w:sz="8" w:space="0" w:color="auto"/>
            </w:tcBorders>
            <w:vAlign w:val="bottom"/>
          </w:tcPr>
          <w:p w14:paraId="688B36A6"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8" w:type="dxa"/>
            <w:tcBorders>
              <w:top w:val="nil"/>
              <w:left w:val="nil"/>
              <w:bottom w:val="nil"/>
              <w:right w:val="nil"/>
            </w:tcBorders>
            <w:noWrap/>
            <w:vAlign w:val="bottom"/>
          </w:tcPr>
          <w:p w14:paraId="3FBC79A3"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(195)</w:t>
            </w:r>
          </w:p>
        </w:tc>
        <w:tc>
          <w:tcPr>
            <w:tcW w:w="1417" w:type="dxa"/>
            <w:tcBorders>
              <w:top w:val="nil"/>
              <w:left w:val="single" w:sz="8" w:space="0" w:color="auto"/>
              <w:bottom w:val="nil"/>
              <w:right w:val="single" w:sz="4" w:space="0" w:color="auto"/>
            </w:tcBorders>
            <w:noWrap/>
            <w:vAlign w:val="bottom"/>
          </w:tcPr>
          <w:p w14:paraId="3C933B4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134" w:type="dxa"/>
            <w:tcBorders>
              <w:top w:val="nil"/>
              <w:left w:val="single" w:sz="4" w:space="0" w:color="auto"/>
              <w:bottom w:val="nil"/>
              <w:right w:val="single" w:sz="4" w:space="0" w:color="auto"/>
            </w:tcBorders>
            <w:vAlign w:val="bottom"/>
          </w:tcPr>
          <w:p w14:paraId="7756F80C"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142</w:t>
            </w:r>
          </w:p>
        </w:tc>
        <w:tc>
          <w:tcPr>
            <w:tcW w:w="1560" w:type="dxa"/>
            <w:tcBorders>
              <w:top w:val="nil"/>
              <w:left w:val="single" w:sz="4" w:space="0" w:color="auto"/>
              <w:bottom w:val="nil"/>
              <w:right w:val="single" w:sz="8" w:space="0" w:color="auto"/>
            </w:tcBorders>
            <w:noWrap/>
            <w:vAlign w:val="bottom"/>
          </w:tcPr>
          <w:p w14:paraId="5E76E6F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2" w:type="dxa"/>
            <w:tcBorders>
              <w:top w:val="nil"/>
              <w:left w:val="nil"/>
              <w:bottom w:val="nil"/>
              <w:right w:val="nil"/>
            </w:tcBorders>
            <w:noWrap/>
            <w:vAlign w:val="bottom"/>
          </w:tcPr>
          <w:p w14:paraId="128735ED"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(1,148)</w:t>
            </w:r>
          </w:p>
        </w:tc>
        <w:tc>
          <w:tcPr>
            <w:tcW w:w="1559" w:type="dxa"/>
            <w:tcBorders>
              <w:top w:val="nil"/>
              <w:left w:val="single" w:sz="8" w:space="0" w:color="auto"/>
              <w:bottom w:val="nil"/>
              <w:right w:val="single" w:sz="8" w:space="0" w:color="auto"/>
            </w:tcBorders>
            <w:noWrap/>
            <w:vAlign w:val="bottom"/>
          </w:tcPr>
          <w:p w14:paraId="682C6E4E"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276" w:type="dxa"/>
            <w:tcBorders>
              <w:top w:val="nil"/>
              <w:left w:val="nil"/>
              <w:bottom w:val="nil"/>
              <w:right w:val="nil"/>
            </w:tcBorders>
            <w:noWrap/>
            <w:vAlign w:val="bottom"/>
          </w:tcPr>
          <w:p w14:paraId="0B90A2CC"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843" w:type="dxa"/>
            <w:tcBorders>
              <w:top w:val="nil"/>
              <w:left w:val="single" w:sz="8" w:space="0" w:color="auto"/>
              <w:bottom w:val="nil"/>
              <w:right w:val="single" w:sz="8" w:space="0" w:color="000000"/>
            </w:tcBorders>
            <w:noWrap/>
            <w:vAlign w:val="bottom"/>
          </w:tcPr>
          <w:p w14:paraId="46C21445"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000000"/>
              <w:bottom w:val="nil"/>
              <w:right w:val="nil"/>
            </w:tcBorders>
            <w:noWrap/>
            <w:vAlign w:val="bottom"/>
          </w:tcPr>
          <w:p w14:paraId="1E9082B2"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(1,201)</w:t>
            </w:r>
          </w:p>
        </w:tc>
        <w:tc>
          <w:tcPr>
            <w:tcW w:w="1418" w:type="dxa"/>
            <w:tcBorders>
              <w:top w:val="nil"/>
              <w:left w:val="single" w:sz="8" w:space="0" w:color="auto"/>
              <w:bottom w:val="single" w:sz="4" w:space="0" w:color="auto"/>
              <w:right w:val="single" w:sz="8" w:space="0" w:color="auto"/>
            </w:tcBorders>
            <w:vAlign w:val="bottom"/>
          </w:tcPr>
          <w:p w14:paraId="28F2A22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559" w:type="dxa"/>
            <w:tcBorders>
              <w:top w:val="nil"/>
              <w:left w:val="nil"/>
              <w:bottom w:val="nil"/>
              <w:right w:val="nil"/>
            </w:tcBorders>
            <w:noWrap/>
            <w:vAlign w:val="bottom"/>
          </w:tcPr>
          <w:p w14:paraId="7F43BAE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417" w:type="dxa"/>
            <w:tcBorders>
              <w:top w:val="nil"/>
              <w:left w:val="single" w:sz="8" w:space="0" w:color="auto"/>
              <w:bottom w:val="nil"/>
              <w:right w:val="single" w:sz="8" w:space="0" w:color="auto"/>
            </w:tcBorders>
            <w:noWrap/>
            <w:vAlign w:val="bottom"/>
          </w:tcPr>
          <w:p w14:paraId="6466697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1701" w:type="dxa"/>
            <w:tcBorders>
              <w:top w:val="nil"/>
              <w:left w:val="single" w:sz="8" w:space="0" w:color="000000"/>
              <w:bottom w:val="nil"/>
              <w:right w:val="single" w:sz="8" w:space="0" w:color="auto"/>
            </w:tcBorders>
            <w:vAlign w:val="bottom"/>
          </w:tcPr>
          <w:p w14:paraId="47E7E400"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w:t>
            </w:r>
          </w:p>
        </w:tc>
        <w:tc>
          <w:tcPr>
            <w:tcW w:w="993" w:type="dxa"/>
            <w:tcBorders>
              <w:top w:val="nil"/>
              <w:left w:val="single" w:sz="8" w:space="0" w:color="000000"/>
              <w:bottom w:val="nil"/>
              <w:right w:val="single" w:sz="8" w:space="0" w:color="auto"/>
            </w:tcBorders>
          </w:tcPr>
          <w:p w14:paraId="1A5D0F53" w14:textId="77777777" w:rsidR="007168E0" w:rsidRPr="00B077E3" w:rsidRDefault="007168E0" w:rsidP="00247796">
            <w:pPr>
              <w:rPr>
                <w:rFonts w:ascii="Arial" w:hAnsi="Arial" w:cs="Arial"/>
                <w:sz w:val="20"/>
                <w:szCs w:val="20"/>
              </w:rPr>
            </w:pPr>
          </w:p>
          <w:p w14:paraId="7F21A649" w14:textId="77777777" w:rsidR="007168E0" w:rsidRPr="00B077E3" w:rsidRDefault="007168E0" w:rsidP="00CF1904">
            <w:pPr>
              <w:jc w:val="center"/>
              <w:rPr>
                <w:rFonts w:ascii="Arial" w:hAnsi="Arial" w:cs="Arial"/>
                <w:sz w:val="20"/>
                <w:szCs w:val="20"/>
              </w:rPr>
            </w:pPr>
            <w:r w:rsidRPr="00B077E3">
              <w:rPr>
                <w:rFonts w:ascii="Arial" w:hAnsi="Arial" w:cs="Arial"/>
                <w:sz w:val="20"/>
                <w:szCs w:val="20"/>
              </w:rPr>
              <w:t>(1,201)</w:t>
            </w:r>
          </w:p>
        </w:tc>
      </w:tr>
      <w:tr w:rsidR="008D50CD" w:rsidRPr="00B077E3" w14:paraId="33FBCD0E" w14:textId="77777777" w:rsidTr="00B077E3">
        <w:trPr>
          <w:trHeight w:val="340"/>
        </w:trPr>
        <w:tc>
          <w:tcPr>
            <w:tcW w:w="1844" w:type="dxa"/>
            <w:tcBorders>
              <w:top w:val="single" w:sz="4" w:space="0" w:color="auto"/>
              <w:left w:val="single" w:sz="8" w:space="0" w:color="auto"/>
              <w:bottom w:val="single" w:sz="8" w:space="0" w:color="auto"/>
              <w:right w:val="nil"/>
            </w:tcBorders>
            <w:vAlign w:val="bottom"/>
            <w:hideMark/>
          </w:tcPr>
          <w:p w14:paraId="02042183"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At 31 March 2021</w:t>
            </w:r>
          </w:p>
        </w:tc>
        <w:tc>
          <w:tcPr>
            <w:tcW w:w="1133" w:type="dxa"/>
            <w:tcBorders>
              <w:top w:val="single" w:sz="8" w:space="0" w:color="auto"/>
              <w:left w:val="single" w:sz="8" w:space="0" w:color="auto"/>
              <w:right w:val="single" w:sz="8" w:space="0" w:color="auto"/>
            </w:tcBorders>
            <w:vAlign w:val="bottom"/>
          </w:tcPr>
          <w:p w14:paraId="73864EFE" w14:textId="77777777" w:rsidR="007168E0" w:rsidRPr="00B077E3" w:rsidRDefault="007168E0" w:rsidP="00CF1904">
            <w:pPr>
              <w:jc w:val="center"/>
              <w:rPr>
                <w:rFonts w:ascii="Arial" w:hAnsi="Arial" w:cs="Arial"/>
                <w:bCs/>
                <w:sz w:val="20"/>
                <w:szCs w:val="20"/>
              </w:rPr>
            </w:pPr>
            <w:r w:rsidRPr="00B077E3">
              <w:rPr>
                <w:rFonts w:ascii="Arial" w:hAnsi="Arial" w:cs="Arial"/>
                <w:bCs/>
                <w:sz w:val="20"/>
                <w:szCs w:val="20"/>
              </w:rPr>
              <w:t>-</w:t>
            </w:r>
          </w:p>
        </w:tc>
        <w:tc>
          <w:tcPr>
            <w:tcW w:w="1418" w:type="dxa"/>
            <w:tcBorders>
              <w:top w:val="single" w:sz="8" w:space="0" w:color="auto"/>
              <w:left w:val="nil"/>
              <w:right w:val="nil"/>
            </w:tcBorders>
            <w:vAlign w:val="bottom"/>
          </w:tcPr>
          <w:p w14:paraId="02914D2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1417" w:type="dxa"/>
            <w:tcBorders>
              <w:top w:val="single" w:sz="8" w:space="0" w:color="auto"/>
              <w:left w:val="single" w:sz="8" w:space="0" w:color="auto"/>
              <w:right w:val="single" w:sz="4" w:space="0" w:color="auto"/>
            </w:tcBorders>
            <w:vAlign w:val="bottom"/>
          </w:tcPr>
          <w:p w14:paraId="1B49AAB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3,527</w:t>
            </w:r>
          </w:p>
        </w:tc>
        <w:tc>
          <w:tcPr>
            <w:tcW w:w="1134" w:type="dxa"/>
            <w:tcBorders>
              <w:top w:val="single" w:sz="8" w:space="0" w:color="auto"/>
              <w:left w:val="single" w:sz="4" w:space="0" w:color="auto"/>
              <w:right w:val="single" w:sz="4" w:space="0" w:color="auto"/>
            </w:tcBorders>
            <w:vAlign w:val="bottom"/>
          </w:tcPr>
          <w:p w14:paraId="7426BDE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1,964</w:t>
            </w:r>
          </w:p>
        </w:tc>
        <w:tc>
          <w:tcPr>
            <w:tcW w:w="1560" w:type="dxa"/>
            <w:tcBorders>
              <w:top w:val="single" w:sz="8" w:space="0" w:color="auto"/>
              <w:left w:val="single" w:sz="4" w:space="0" w:color="auto"/>
              <w:right w:val="single" w:sz="8" w:space="0" w:color="auto"/>
            </w:tcBorders>
            <w:vAlign w:val="bottom"/>
          </w:tcPr>
          <w:p w14:paraId="0D50BAE3"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7,977</w:t>
            </w:r>
          </w:p>
        </w:tc>
        <w:tc>
          <w:tcPr>
            <w:tcW w:w="992" w:type="dxa"/>
            <w:tcBorders>
              <w:top w:val="single" w:sz="8" w:space="0" w:color="auto"/>
              <w:left w:val="nil"/>
              <w:right w:val="nil"/>
            </w:tcBorders>
            <w:vAlign w:val="bottom"/>
          </w:tcPr>
          <w:p w14:paraId="6D1E5A1F"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0</w:t>
            </w:r>
          </w:p>
        </w:tc>
        <w:tc>
          <w:tcPr>
            <w:tcW w:w="1559" w:type="dxa"/>
            <w:tcBorders>
              <w:top w:val="single" w:sz="8" w:space="0" w:color="auto"/>
              <w:left w:val="single" w:sz="8" w:space="0" w:color="auto"/>
              <w:right w:val="single" w:sz="8" w:space="0" w:color="auto"/>
            </w:tcBorders>
            <w:vAlign w:val="bottom"/>
          </w:tcPr>
          <w:p w14:paraId="4074584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1,883</w:t>
            </w:r>
          </w:p>
        </w:tc>
        <w:tc>
          <w:tcPr>
            <w:tcW w:w="1276" w:type="dxa"/>
            <w:tcBorders>
              <w:top w:val="single" w:sz="8" w:space="0" w:color="auto"/>
              <w:left w:val="nil"/>
              <w:right w:val="nil"/>
            </w:tcBorders>
            <w:vAlign w:val="bottom"/>
          </w:tcPr>
          <w:p w14:paraId="4A6BE0A1"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438</w:t>
            </w:r>
          </w:p>
        </w:tc>
        <w:tc>
          <w:tcPr>
            <w:tcW w:w="1843" w:type="dxa"/>
            <w:tcBorders>
              <w:top w:val="single" w:sz="8" w:space="0" w:color="auto"/>
              <w:left w:val="single" w:sz="8" w:space="0" w:color="auto"/>
              <w:right w:val="single" w:sz="8" w:space="0" w:color="000000"/>
            </w:tcBorders>
            <w:vAlign w:val="bottom"/>
          </w:tcPr>
          <w:p w14:paraId="279560D9"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193</w:t>
            </w:r>
          </w:p>
        </w:tc>
        <w:tc>
          <w:tcPr>
            <w:tcW w:w="1417" w:type="dxa"/>
            <w:tcBorders>
              <w:top w:val="single" w:sz="8" w:space="0" w:color="auto"/>
              <w:left w:val="single" w:sz="8" w:space="0" w:color="000000"/>
              <w:right w:val="nil"/>
            </w:tcBorders>
            <w:vAlign w:val="bottom"/>
          </w:tcPr>
          <w:p w14:paraId="28B12EF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15,982</w:t>
            </w:r>
          </w:p>
        </w:tc>
        <w:tc>
          <w:tcPr>
            <w:tcW w:w="1418" w:type="dxa"/>
            <w:tcBorders>
              <w:top w:val="single" w:sz="4" w:space="0" w:color="auto"/>
              <w:left w:val="single" w:sz="8" w:space="0" w:color="auto"/>
              <w:right w:val="single" w:sz="8" w:space="0" w:color="auto"/>
            </w:tcBorders>
            <w:vAlign w:val="bottom"/>
          </w:tcPr>
          <w:p w14:paraId="30627951"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914</w:t>
            </w:r>
          </w:p>
        </w:tc>
        <w:tc>
          <w:tcPr>
            <w:tcW w:w="1559" w:type="dxa"/>
            <w:tcBorders>
              <w:top w:val="single" w:sz="8" w:space="0" w:color="auto"/>
              <w:left w:val="nil"/>
              <w:right w:val="nil"/>
            </w:tcBorders>
            <w:vAlign w:val="bottom"/>
          </w:tcPr>
          <w:p w14:paraId="4CD4E0E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3,531</w:t>
            </w:r>
          </w:p>
        </w:tc>
        <w:tc>
          <w:tcPr>
            <w:tcW w:w="1417" w:type="dxa"/>
            <w:tcBorders>
              <w:top w:val="single" w:sz="8" w:space="0" w:color="auto"/>
              <w:left w:val="single" w:sz="8" w:space="0" w:color="auto"/>
              <w:right w:val="single" w:sz="8" w:space="0" w:color="auto"/>
            </w:tcBorders>
            <w:vAlign w:val="bottom"/>
          </w:tcPr>
          <w:p w14:paraId="1DC40A6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4,445</w:t>
            </w:r>
          </w:p>
        </w:tc>
        <w:tc>
          <w:tcPr>
            <w:tcW w:w="1701" w:type="dxa"/>
            <w:tcBorders>
              <w:top w:val="single" w:sz="8" w:space="0" w:color="auto"/>
              <w:left w:val="single" w:sz="8" w:space="0" w:color="000000"/>
              <w:right w:val="single" w:sz="8" w:space="0" w:color="auto"/>
            </w:tcBorders>
            <w:vAlign w:val="bottom"/>
          </w:tcPr>
          <w:p w14:paraId="04CF01A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993" w:type="dxa"/>
            <w:tcBorders>
              <w:top w:val="single" w:sz="8" w:space="0" w:color="auto"/>
              <w:left w:val="single" w:sz="8" w:space="0" w:color="000000"/>
              <w:right w:val="single" w:sz="8" w:space="0" w:color="auto"/>
            </w:tcBorders>
          </w:tcPr>
          <w:p w14:paraId="147E67E4" w14:textId="77777777" w:rsidR="007168E0" w:rsidRPr="00B077E3" w:rsidRDefault="007168E0" w:rsidP="00CF1904">
            <w:pPr>
              <w:rPr>
                <w:rFonts w:ascii="Arial" w:hAnsi="Arial" w:cs="Arial"/>
                <w:b/>
                <w:bCs/>
                <w:sz w:val="20"/>
                <w:szCs w:val="20"/>
              </w:rPr>
            </w:pPr>
          </w:p>
          <w:p w14:paraId="5064469B" w14:textId="77777777" w:rsidR="007168E0" w:rsidRPr="00B077E3" w:rsidRDefault="007168E0" w:rsidP="00CF1904">
            <w:pPr>
              <w:jc w:val="center"/>
              <w:rPr>
                <w:rFonts w:ascii="Arial" w:hAnsi="Arial" w:cs="Arial"/>
                <w:b/>
                <w:bCs/>
                <w:sz w:val="20"/>
                <w:szCs w:val="20"/>
              </w:rPr>
            </w:pPr>
          </w:p>
          <w:p w14:paraId="31F58BA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20,427</w:t>
            </w:r>
          </w:p>
        </w:tc>
      </w:tr>
      <w:tr w:rsidR="000224BB" w:rsidRPr="00B077E3" w14:paraId="280B6334" w14:textId="77777777" w:rsidTr="00B077E3">
        <w:trPr>
          <w:trHeight w:val="340"/>
        </w:trPr>
        <w:tc>
          <w:tcPr>
            <w:tcW w:w="1844" w:type="dxa"/>
            <w:tcBorders>
              <w:left w:val="single" w:sz="8" w:space="0" w:color="auto"/>
              <w:bottom w:val="single" w:sz="4" w:space="0" w:color="auto"/>
              <w:right w:val="single" w:sz="4" w:space="0" w:color="auto"/>
            </w:tcBorders>
            <w:vAlign w:val="bottom"/>
            <w:hideMark/>
          </w:tcPr>
          <w:p w14:paraId="5DF652D3"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Net book value at 31 March 2021</w:t>
            </w:r>
          </w:p>
        </w:tc>
        <w:tc>
          <w:tcPr>
            <w:tcW w:w="1133" w:type="dxa"/>
            <w:tcBorders>
              <w:top w:val="single" w:sz="8" w:space="0" w:color="auto"/>
              <w:left w:val="single" w:sz="4" w:space="0" w:color="auto"/>
              <w:bottom w:val="double" w:sz="6" w:space="0" w:color="auto"/>
              <w:right w:val="single" w:sz="8" w:space="0" w:color="auto"/>
            </w:tcBorders>
            <w:vAlign w:val="bottom"/>
          </w:tcPr>
          <w:p w14:paraId="4DD4401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832</w:t>
            </w:r>
          </w:p>
        </w:tc>
        <w:tc>
          <w:tcPr>
            <w:tcW w:w="1418" w:type="dxa"/>
            <w:tcBorders>
              <w:top w:val="single" w:sz="8" w:space="0" w:color="auto"/>
              <w:left w:val="nil"/>
              <w:bottom w:val="double" w:sz="6" w:space="0" w:color="auto"/>
              <w:right w:val="single" w:sz="8" w:space="0" w:color="auto"/>
            </w:tcBorders>
            <w:vAlign w:val="bottom"/>
          </w:tcPr>
          <w:p w14:paraId="62ABB195"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3,935</w:t>
            </w:r>
          </w:p>
        </w:tc>
        <w:tc>
          <w:tcPr>
            <w:tcW w:w="1417" w:type="dxa"/>
            <w:tcBorders>
              <w:top w:val="single" w:sz="8" w:space="0" w:color="auto"/>
              <w:left w:val="nil"/>
              <w:bottom w:val="double" w:sz="6" w:space="0" w:color="auto"/>
              <w:right w:val="single" w:sz="4" w:space="0" w:color="auto"/>
            </w:tcBorders>
            <w:vAlign w:val="bottom"/>
          </w:tcPr>
          <w:p w14:paraId="6FC88B4D"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6,365</w:t>
            </w:r>
          </w:p>
        </w:tc>
        <w:tc>
          <w:tcPr>
            <w:tcW w:w="1134" w:type="dxa"/>
            <w:tcBorders>
              <w:top w:val="single" w:sz="8" w:space="0" w:color="auto"/>
              <w:left w:val="single" w:sz="4" w:space="0" w:color="auto"/>
              <w:bottom w:val="double" w:sz="6" w:space="0" w:color="auto"/>
              <w:right w:val="single" w:sz="4" w:space="0" w:color="auto"/>
            </w:tcBorders>
            <w:vAlign w:val="bottom"/>
          </w:tcPr>
          <w:p w14:paraId="7B94F19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17,239</w:t>
            </w:r>
          </w:p>
        </w:tc>
        <w:tc>
          <w:tcPr>
            <w:tcW w:w="1560" w:type="dxa"/>
            <w:tcBorders>
              <w:top w:val="single" w:sz="8" w:space="0" w:color="auto"/>
              <w:left w:val="single" w:sz="4" w:space="0" w:color="auto"/>
              <w:bottom w:val="double" w:sz="6" w:space="0" w:color="auto"/>
              <w:right w:val="single" w:sz="8" w:space="0" w:color="auto"/>
            </w:tcBorders>
            <w:vAlign w:val="bottom"/>
          </w:tcPr>
          <w:p w14:paraId="1C045DC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3,907</w:t>
            </w:r>
          </w:p>
        </w:tc>
        <w:tc>
          <w:tcPr>
            <w:tcW w:w="992" w:type="dxa"/>
            <w:tcBorders>
              <w:top w:val="single" w:sz="8" w:space="0" w:color="auto"/>
              <w:left w:val="nil"/>
              <w:bottom w:val="double" w:sz="6" w:space="0" w:color="auto"/>
              <w:right w:val="single" w:sz="8" w:space="0" w:color="auto"/>
            </w:tcBorders>
            <w:vAlign w:val="bottom"/>
          </w:tcPr>
          <w:p w14:paraId="6E8DAEB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735</w:t>
            </w:r>
          </w:p>
        </w:tc>
        <w:tc>
          <w:tcPr>
            <w:tcW w:w="1559" w:type="dxa"/>
            <w:tcBorders>
              <w:top w:val="single" w:sz="8" w:space="0" w:color="auto"/>
              <w:left w:val="nil"/>
              <w:bottom w:val="double" w:sz="6" w:space="0" w:color="auto"/>
              <w:right w:val="single" w:sz="8" w:space="0" w:color="auto"/>
            </w:tcBorders>
            <w:vAlign w:val="bottom"/>
          </w:tcPr>
          <w:p w14:paraId="4C74C17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1,420</w:t>
            </w:r>
          </w:p>
        </w:tc>
        <w:tc>
          <w:tcPr>
            <w:tcW w:w="1276" w:type="dxa"/>
            <w:tcBorders>
              <w:top w:val="single" w:sz="8" w:space="0" w:color="auto"/>
              <w:left w:val="nil"/>
              <w:bottom w:val="double" w:sz="6" w:space="0" w:color="auto"/>
              <w:right w:val="single" w:sz="8" w:space="0" w:color="auto"/>
            </w:tcBorders>
            <w:vAlign w:val="bottom"/>
          </w:tcPr>
          <w:p w14:paraId="362F503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332</w:t>
            </w:r>
          </w:p>
        </w:tc>
        <w:tc>
          <w:tcPr>
            <w:tcW w:w="1843" w:type="dxa"/>
            <w:tcBorders>
              <w:top w:val="single" w:sz="8" w:space="0" w:color="auto"/>
              <w:left w:val="nil"/>
              <w:bottom w:val="double" w:sz="6" w:space="0" w:color="auto"/>
              <w:right w:val="single" w:sz="8" w:space="0" w:color="000000"/>
            </w:tcBorders>
            <w:vAlign w:val="bottom"/>
          </w:tcPr>
          <w:p w14:paraId="50263C14"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77</w:t>
            </w:r>
          </w:p>
        </w:tc>
        <w:tc>
          <w:tcPr>
            <w:tcW w:w="1417" w:type="dxa"/>
            <w:tcBorders>
              <w:top w:val="single" w:sz="8" w:space="0" w:color="auto"/>
              <w:left w:val="single" w:sz="8" w:space="0" w:color="000000"/>
              <w:bottom w:val="double" w:sz="6" w:space="0" w:color="auto"/>
              <w:right w:val="single" w:sz="8" w:space="0" w:color="auto"/>
            </w:tcBorders>
            <w:vAlign w:val="bottom"/>
          </w:tcPr>
          <w:p w14:paraId="65DBB82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34,842</w:t>
            </w:r>
          </w:p>
        </w:tc>
        <w:tc>
          <w:tcPr>
            <w:tcW w:w="1418" w:type="dxa"/>
            <w:tcBorders>
              <w:top w:val="single" w:sz="8" w:space="0" w:color="auto"/>
              <w:left w:val="nil"/>
              <w:bottom w:val="double" w:sz="6" w:space="0" w:color="auto"/>
              <w:right w:val="single" w:sz="8" w:space="0" w:color="auto"/>
            </w:tcBorders>
            <w:vAlign w:val="bottom"/>
          </w:tcPr>
          <w:p w14:paraId="3933EDA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163</w:t>
            </w:r>
          </w:p>
        </w:tc>
        <w:tc>
          <w:tcPr>
            <w:tcW w:w="1559" w:type="dxa"/>
            <w:tcBorders>
              <w:top w:val="single" w:sz="8" w:space="0" w:color="auto"/>
              <w:left w:val="nil"/>
              <w:bottom w:val="double" w:sz="6" w:space="0" w:color="auto"/>
              <w:right w:val="single" w:sz="8" w:space="0" w:color="auto"/>
            </w:tcBorders>
            <w:vAlign w:val="bottom"/>
          </w:tcPr>
          <w:p w14:paraId="18302E4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434</w:t>
            </w:r>
          </w:p>
        </w:tc>
        <w:tc>
          <w:tcPr>
            <w:tcW w:w="1417" w:type="dxa"/>
            <w:tcBorders>
              <w:top w:val="single" w:sz="8" w:space="0" w:color="auto"/>
              <w:left w:val="nil"/>
              <w:bottom w:val="double" w:sz="6" w:space="0" w:color="auto"/>
              <w:right w:val="single" w:sz="8" w:space="0" w:color="auto"/>
            </w:tcBorders>
            <w:vAlign w:val="bottom"/>
          </w:tcPr>
          <w:p w14:paraId="0B6D20A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597</w:t>
            </w:r>
          </w:p>
        </w:tc>
        <w:tc>
          <w:tcPr>
            <w:tcW w:w="1701" w:type="dxa"/>
            <w:tcBorders>
              <w:top w:val="single" w:sz="8" w:space="0" w:color="auto"/>
              <w:left w:val="single" w:sz="8" w:space="0" w:color="000000"/>
              <w:bottom w:val="double" w:sz="6" w:space="0" w:color="auto"/>
              <w:right w:val="single" w:sz="8" w:space="0" w:color="auto"/>
            </w:tcBorders>
            <w:vAlign w:val="bottom"/>
          </w:tcPr>
          <w:p w14:paraId="7489A67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384</w:t>
            </w:r>
          </w:p>
        </w:tc>
        <w:tc>
          <w:tcPr>
            <w:tcW w:w="993" w:type="dxa"/>
            <w:tcBorders>
              <w:top w:val="single" w:sz="8" w:space="0" w:color="auto"/>
              <w:left w:val="single" w:sz="8" w:space="0" w:color="000000"/>
              <w:bottom w:val="double" w:sz="6" w:space="0" w:color="auto"/>
              <w:right w:val="single" w:sz="8" w:space="0" w:color="auto"/>
            </w:tcBorders>
          </w:tcPr>
          <w:p w14:paraId="5FC4053C" w14:textId="77777777" w:rsidR="007168E0" w:rsidRPr="00B077E3" w:rsidRDefault="007168E0" w:rsidP="00CF1904">
            <w:pPr>
              <w:jc w:val="center"/>
              <w:rPr>
                <w:rFonts w:ascii="Arial" w:hAnsi="Arial" w:cs="Arial"/>
                <w:b/>
                <w:bCs/>
                <w:sz w:val="20"/>
                <w:szCs w:val="20"/>
              </w:rPr>
            </w:pPr>
          </w:p>
          <w:p w14:paraId="7E09BF1C" w14:textId="77777777" w:rsidR="007168E0" w:rsidRPr="00B077E3" w:rsidRDefault="007168E0" w:rsidP="00CF1904">
            <w:pPr>
              <w:jc w:val="center"/>
              <w:rPr>
                <w:rFonts w:ascii="Arial" w:hAnsi="Arial" w:cs="Arial"/>
                <w:b/>
                <w:bCs/>
                <w:sz w:val="20"/>
                <w:szCs w:val="20"/>
              </w:rPr>
            </w:pPr>
          </w:p>
          <w:p w14:paraId="56F5A01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35,823</w:t>
            </w:r>
          </w:p>
        </w:tc>
      </w:tr>
      <w:tr w:rsidR="000224BB" w:rsidRPr="00B077E3" w14:paraId="655913C9" w14:textId="77777777" w:rsidTr="00B077E3">
        <w:trPr>
          <w:trHeight w:val="340"/>
        </w:trPr>
        <w:tc>
          <w:tcPr>
            <w:tcW w:w="1844" w:type="dxa"/>
            <w:tcBorders>
              <w:top w:val="single" w:sz="4" w:space="0" w:color="auto"/>
              <w:left w:val="single" w:sz="4" w:space="0" w:color="auto"/>
              <w:bottom w:val="single" w:sz="4" w:space="0" w:color="auto"/>
              <w:right w:val="single" w:sz="4" w:space="0" w:color="auto"/>
            </w:tcBorders>
            <w:vAlign w:val="bottom"/>
            <w:hideMark/>
          </w:tcPr>
          <w:p w14:paraId="57E99B5B" w14:textId="77777777" w:rsidR="007168E0" w:rsidRPr="00B077E3" w:rsidRDefault="007168E0" w:rsidP="00CF1904">
            <w:pPr>
              <w:rPr>
                <w:rFonts w:ascii="Arial" w:hAnsi="Arial" w:cs="Arial"/>
                <w:b/>
                <w:bCs/>
                <w:sz w:val="20"/>
                <w:szCs w:val="20"/>
              </w:rPr>
            </w:pPr>
            <w:r w:rsidRPr="00B077E3">
              <w:rPr>
                <w:rFonts w:ascii="Arial" w:hAnsi="Arial" w:cs="Arial"/>
                <w:b/>
                <w:bCs/>
                <w:sz w:val="20"/>
                <w:szCs w:val="20"/>
              </w:rPr>
              <w:t>Net book value at 31 March 2020</w:t>
            </w:r>
          </w:p>
        </w:tc>
        <w:tc>
          <w:tcPr>
            <w:tcW w:w="1133" w:type="dxa"/>
            <w:tcBorders>
              <w:top w:val="single" w:sz="8" w:space="0" w:color="auto"/>
              <w:left w:val="single" w:sz="4" w:space="0" w:color="auto"/>
              <w:bottom w:val="double" w:sz="6" w:space="0" w:color="auto"/>
              <w:right w:val="single" w:sz="8" w:space="0" w:color="auto"/>
            </w:tcBorders>
            <w:vAlign w:val="bottom"/>
          </w:tcPr>
          <w:p w14:paraId="37F9C741"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857</w:t>
            </w:r>
          </w:p>
        </w:tc>
        <w:tc>
          <w:tcPr>
            <w:tcW w:w="1418" w:type="dxa"/>
            <w:tcBorders>
              <w:top w:val="single" w:sz="8" w:space="0" w:color="auto"/>
              <w:left w:val="nil"/>
              <w:bottom w:val="double" w:sz="6" w:space="0" w:color="auto"/>
              <w:right w:val="single" w:sz="8" w:space="0" w:color="auto"/>
            </w:tcBorders>
            <w:vAlign w:val="bottom"/>
          </w:tcPr>
          <w:p w14:paraId="045DD040"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4,150</w:t>
            </w:r>
          </w:p>
        </w:tc>
        <w:tc>
          <w:tcPr>
            <w:tcW w:w="1417" w:type="dxa"/>
            <w:tcBorders>
              <w:top w:val="single" w:sz="8" w:space="0" w:color="auto"/>
              <w:left w:val="nil"/>
              <w:bottom w:val="double" w:sz="6" w:space="0" w:color="auto"/>
              <w:right w:val="single" w:sz="4" w:space="0" w:color="auto"/>
            </w:tcBorders>
            <w:vAlign w:val="bottom"/>
          </w:tcPr>
          <w:p w14:paraId="1E0ACD3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6,889</w:t>
            </w:r>
          </w:p>
        </w:tc>
        <w:tc>
          <w:tcPr>
            <w:tcW w:w="1134" w:type="dxa"/>
            <w:tcBorders>
              <w:top w:val="single" w:sz="8" w:space="0" w:color="auto"/>
              <w:left w:val="single" w:sz="4" w:space="0" w:color="auto"/>
              <w:bottom w:val="double" w:sz="6" w:space="0" w:color="auto"/>
              <w:right w:val="single" w:sz="4" w:space="0" w:color="auto"/>
            </w:tcBorders>
            <w:vAlign w:val="bottom"/>
          </w:tcPr>
          <w:p w14:paraId="1F707A8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16,291</w:t>
            </w:r>
          </w:p>
        </w:tc>
        <w:tc>
          <w:tcPr>
            <w:tcW w:w="1560" w:type="dxa"/>
            <w:tcBorders>
              <w:top w:val="single" w:sz="8" w:space="0" w:color="auto"/>
              <w:left w:val="single" w:sz="4" w:space="0" w:color="auto"/>
              <w:bottom w:val="double" w:sz="6" w:space="0" w:color="auto"/>
              <w:right w:val="single" w:sz="8" w:space="0" w:color="auto"/>
            </w:tcBorders>
            <w:vAlign w:val="bottom"/>
          </w:tcPr>
          <w:p w14:paraId="39192698"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4,437</w:t>
            </w:r>
          </w:p>
        </w:tc>
        <w:tc>
          <w:tcPr>
            <w:tcW w:w="992" w:type="dxa"/>
            <w:tcBorders>
              <w:top w:val="single" w:sz="8" w:space="0" w:color="auto"/>
              <w:left w:val="nil"/>
              <w:bottom w:val="double" w:sz="6" w:space="0" w:color="auto"/>
              <w:right w:val="single" w:sz="8" w:space="0" w:color="auto"/>
            </w:tcBorders>
            <w:vAlign w:val="bottom"/>
          </w:tcPr>
          <w:p w14:paraId="14EA6CBD"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722</w:t>
            </w:r>
          </w:p>
        </w:tc>
        <w:tc>
          <w:tcPr>
            <w:tcW w:w="1559" w:type="dxa"/>
            <w:tcBorders>
              <w:top w:val="single" w:sz="8" w:space="0" w:color="auto"/>
              <w:left w:val="nil"/>
              <w:bottom w:val="double" w:sz="6" w:space="0" w:color="auto"/>
              <w:right w:val="single" w:sz="8" w:space="0" w:color="auto"/>
            </w:tcBorders>
            <w:vAlign w:val="bottom"/>
          </w:tcPr>
          <w:p w14:paraId="005A4822"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1,203</w:t>
            </w:r>
          </w:p>
        </w:tc>
        <w:tc>
          <w:tcPr>
            <w:tcW w:w="1276" w:type="dxa"/>
            <w:tcBorders>
              <w:top w:val="single" w:sz="8" w:space="0" w:color="auto"/>
              <w:left w:val="nil"/>
              <w:bottom w:val="double" w:sz="6" w:space="0" w:color="auto"/>
              <w:right w:val="single" w:sz="8" w:space="0" w:color="auto"/>
            </w:tcBorders>
            <w:vAlign w:val="bottom"/>
          </w:tcPr>
          <w:p w14:paraId="228E000B"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393</w:t>
            </w:r>
          </w:p>
        </w:tc>
        <w:tc>
          <w:tcPr>
            <w:tcW w:w="1843" w:type="dxa"/>
            <w:tcBorders>
              <w:top w:val="single" w:sz="8" w:space="0" w:color="auto"/>
              <w:left w:val="nil"/>
              <w:bottom w:val="double" w:sz="6" w:space="0" w:color="auto"/>
              <w:right w:val="single" w:sz="8" w:space="0" w:color="000000"/>
            </w:tcBorders>
            <w:vAlign w:val="bottom"/>
          </w:tcPr>
          <w:p w14:paraId="3CA4689C"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90</w:t>
            </w:r>
          </w:p>
        </w:tc>
        <w:tc>
          <w:tcPr>
            <w:tcW w:w="1417" w:type="dxa"/>
            <w:tcBorders>
              <w:top w:val="single" w:sz="8" w:space="0" w:color="auto"/>
              <w:left w:val="single" w:sz="8" w:space="0" w:color="000000"/>
              <w:bottom w:val="double" w:sz="6" w:space="0" w:color="auto"/>
              <w:right w:val="single" w:sz="8" w:space="0" w:color="auto"/>
            </w:tcBorders>
            <w:vAlign w:val="bottom"/>
          </w:tcPr>
          <w:p w14:paraId="0A4DFCE5"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35,032</w:t>
            </w:r>
          </w:p>
        </w:tc>
        <w:tc>
          <w:tcPr>
            <w:tcW w:w="1418" w:type="dxa"/>
            <w:tcBorders>
              <w:top w:val="single" w:sz="8" w:space="0" w:color="auto"/>
              <w:left w:val="nil"/>
              <w:bottom w:val="double" w:sz="6" w:space="0" w:color="auto"/>
              <w:right w:val="single" w:sz="8" w:space="0" w:color="auto"/>
            </w:tcBorders>
            <w:noWrap/>
            <w:vAlign w:val="bottom"/>
          </w:tcPr>
          <w:p w14:paraId="6CEB96F5"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295</w:t>
            </w:r>
          </w:p>
        </w:tc>
        <w:tc>
          <w:tcPr>
            <w:tcW w:w="1559" w:type="dxa"/>
            <w:tcBorders>
              <w:top w:val="single" w:sz="8" w:space="0" w:color="auto"/>
              <w:left w:val="nil"/>
              <w:bottom w:val="double" w:sz="6" w:space="0" w:color="auto"/>
              <w:right w:val="single" w:sz="8" w:space="0" w:color="auto"/>
            </w:tcBorders>
            <w:noWrap/>
            <w:vAlign w:val="bottom"/>
          </w:tcPr>
          <w:p w14:paraId="250B36EE"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587</w:t>
            </w:r>
          </w:p>
        </w:tc>
        <w:tc>
          <w:tcPr>
            <w:tcW w:w="1417" w:type="dxa"/>
            <w:tcBorders>
              <w:top w:val="single" w:sz="8" w:space="0" w:color="auto"/>
              <w:left w:val="nil"/>
              <w:bottom w:val="double" w:sz="6" w:space="0" w:color="auto"/>
              <w:right w:val="single" w:sz="8" w:space="0" w:color="auto"/>
            </w:tcBorders>
            <w:noWrap/>
            <w:vAlign w:val="bottom"/>
          </w:tcPr>
          <w:p w14:paraId="3A47211A"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882</w:t>
            </w:r>
          </w:p>
        </w:tc>
        <w:tc>
          <w:tcPr>
            <w:tcW w:w="1701" w:type="dxa"/>
            <w:tcBorders>
              <w:top w:val="single" w:sz="8" w:space="0" w:color="auto"/>
              <w:left w:val="single" w:sz="8" w:space="0" w:color="000000"/>
              <w:bottom w:val="double" w:sz="6" w:space="0" w:color="auto"/>
              <w:right w:val="single" w:sz="8" w:space="0" w:color="auto"/>
            </w:tcBorders>
            <w:noWrap/>
            <w:vAlign w:val="bottom"/>
          </w:tcPr>
          <w:p w14:paraId="55CDB7B6"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w:t>
            </w:r>
          </w:p>
        </w:tc>
        <w:tc>
          <w:tcPr>
            <w:tcW w:w="993" w:type="dxa"/>
            <w:tcBorders>
              <w:top w:val="single" w:sz="8" w:space="0" w:color="auto"/>
              <w:left w:val="single" w:sz="8" w:space="0" w:color="000000"/>
              <w:bottom w:val="double" w:sz="6" w:space="0" w:color="auto"/>
              <w:right w:val="single" w:sz="8" w:space="0" w:color="auto"/>
            </w:tcBorders>
          </w:tcPr>
          <w:p w14:paraId="500DB614" w14:textId="77777777" w:rsidR="007168E0" w:rsidRPr="00B077E3" w:rsidRDefault="007168E0" w:rsidP="00CF1904">
            <w:pPr>
              <w:jc w:val="center"/>
              <w:rPr>
                <w:rFonts w:ascii="Arial" w:hAnsi="Arial" w:cs="Arial"/>
                <w:b/>
                <w:bCs/>
                <w:sz w:val="20"/>
                <w:szCs w:val="20"/>
              </w:rPr>
            </w:pPr>
          </w:p>
          <w:p w14:paraId="390F0BDC" w14:textId="77777777" w:rsidR="007168E0" w:rsidRPr="00B077E3" w:rsidRDefault="007168E0" w:rsidP="00CF1904">
            <w:pPr>
              <w:jc w:val="center"/>
              <w:rPr>
                <w:rFonts w:ascii="Arial" w:hAnsi="Arial" w:cs="Arial"/>
                <w:b/>
                <w:bCs/>
                <w:sz w:val="20"/>
                <w:szCs w:val="20"/>
              </w:rPr>
            </w:pPr>
          </w:p>
          <w:p w14:paraId="1146D4A9" w14:textId="77777777" w:rsidR="007168E0" w:rsidRPr="00B077E3" w:rsidRDefault="007168E0" w:rsidP="00CF1904">
            <w:pPr>
              <w:jc w:val="center"/>
              <w:rPr>
                <w:rFonts w:ascii="Arial" w:hAnsi="Arial" w:cs="Arial"/>
                <w:b/>
                <w:bCs/>
                <w:sz w:val="20"/>
                <w:szCs w:val="20"/>
              </w:rPr>
            </w:pPr>
            <w:r w:rsidRPr="00B077E3">
              <w:rPr>
                <w:rFonts w:ascii="Arial" w:hAnsi="Arial" w:cs="Arial"/>
                <w:b/>
                <w:bCs/>
                <w:sz w:val="20"/>
                <w:szCs w:val="20"/>
              </w:rPr>
              <w:t>35,914</w:t>
            </w:r>
          </w:p>
        </w:tc>
      </w:tr>
    </w:tbl>
    <w:p w14:paraId="3D847F61" w14:textId="77777777" w:rsidR="00731051" w:rsidRDefault="00731051" w:rsidP="002C1459">
      <w:pPr>
        <w:spacing w:line="360" w:lineRule="auto"/>
        <w:ind w:left="-709" w:firstLine="142"/>
        <w:contextualSpacing/>
        <w:rPr>
          <w:rFonts w:ascii="Arial" w:hAnsi="Arial" w:cs="Arial"/>
          <w:b/>
        </w:rPr>
        <w:sectPr w:rsidR="00731051" w:rsidSect="00D116AB">
          <w:pgSz w:w="23811" w:h="16838" w:orient="landscape" w:code="8"/>
          <w:pgMar w:top="709" w:right="1276" w:bottom="1276" w:left="992" w:header="709" w:footer="709" w:gutter="0"/>
          <w:cols w:space="708"/>
          <w:docGrid w:linePitch="360"/>
        </w:sectPr>
      </w:pPr>
    </w:p>
    <w:p w14:paraId="174804F9" w14:textId="44FED95D" w:rsidR="00E26D69" w:rsidRDefault="00E26D69" w:rsidP="000845C9">
      <w:pPr>
        <w:spacing w:line="360" w:lineRule="auto"/>
        <w:ind w:left="-284" w:right="-710"/>
        <w:rPr>
          <w:rFonts w:ascii="Arial" w:hAnsi="Arial" w:cs="Arial"/>
          <w:bCs/>
        </w:rPr>
      </w:pPr>
      <w:r w:rsidRPr="00E26D69">
        <w:rPr>
          <w:rFonts w:ascii="Arial" w:hAnsi="Arial" w:cs="Arial"/>
          <w:bCs/>
        </w:rPr>
        <w:lastRenderedPageBreak/>
        <w:t xml:space="preserve">The charge in the Statement of Comprehensive Net Expenditure includes depreciation charged for the year and the net book value of </w:t>
      </w:r>
      <w:r w:rsidRPr="00E81243">
        <w:rPr>
          <w:rFonts w:ascii="Arial" w:hAnsi="Arial" w:cs="Arial"/>
          <w:bCs/>
        </w:rPr>
        <w:t>impairments £3</w:t>
      </w:r>
      <w:r w:rsidR="00D6573C">
        <w:rPr>
          <w:rFonts w:ascii="Arial" w:hAnsi="Arial" w:cs="Arial"/>
          <w:bCs/>
        </w:rPr>
        <w:t>.</w:t>
      </w:r>
      <w:r w:rsidR="00EE5CC7">
        <w:rPr>
          <w:rFonts w:ascii="Arial" w:hAnsi="Arial" w:cs="Arial"/>
          <w:bCs/>
        </w:rPr>
        <w:t>3</w:t>
      </w:r>
      <w:r w:rsidR="00460CE7">
        <w:rPr>
          <w:rFonts w:ascii="Arial" w:hAnsi="Arial" w:cs="Arial"/>
          <w:bCs/>
        </w:rPr>
        <w:t>m</w:t>
      </w:r>
      <w:r w:rsidR="00EA2B20">
        <w:rPr>
          <w:rFonts w:ascii="Arial" w:hAnsi="Arial" w:cs="Arial"/>
          <w:bCs/>
        </w:rPr>
        <w:t>.</w:t>
      </w:r>
      <w:r w:rsidRPr="00E26D69">
        <w:rPr>
          <w:rFonts w:ascii="Arial" w:hAnsi="Arial" w:cs="Arial"/>
          <w:bCs/>
        </w:rPr>
        <w:t xml:space="preserve"> </w:t>
      </w:r>
      <w:r w:rsidR="000B0EE9">
        <w:rPr>
          <w:rFonts w:ascii="Arial" w:hAnsi="Arial" w:cs="Arial"/>
          <w:bCs/>
        </w:rPr>
        <w:t xml:space="preserve"> </w:t>
      </w:r>
      <w:r w:rsidR="00831FC4" w:rsidRPr="000B0EE9">
        <w:rPr>
          <w:rFonts w:ascii="Arial" w:hAnsi="Arial" w:cs="Arial"/>
          <w:bCs/>
        </w:rPr>
        <w:t>The total carrying value of Property, Plant</w:t>
      </w:r>
      <w:r w:rsidR="00DE5ED3">
        <w:rPr>
          <w:rFonts w:ascii="Arial" w:hAnsi="Arial" w:cs="Arial"/>
          <w:bCs/>
        </w:rPr>
        <w:t>,</w:t>
      </w:r>
      <w:r w:rsidR="00831FC4" w:rsidRPr="000B0EE9">
        <w:rPr>
          <w:rFonts w:ascii="Arial" w:hAnsi="Arial" w:cs="Arial"/>
          <w:bCs/>
        </w:rPr>
        <w:t xml:space="preserve"> and Equipment as at 31 March 202</w:t>
      </w:r>
      <w:r w:rsidR="005C0CF1">
        <w:rPr>
          <w:rFonts w:ascii="Arial" w:hAnsi="Arial" w:cs="Arial"/>
          <w:bCs/>
        </w:rPr>
        <w:t>2</w:t>
      </w:r>
      <w:r w:rsidR="00831FC4" w:rsidRPr="000B0EE9">
        <w:rPr>
          <w:rFonts w:ascii="Arial" w:hAnsi="Arial" w:cs="Arial"/>
          <w:bCs/>
        </w:rPr>
        <w:t xml:space="preserve"> was £</w:t>
      </w:r>
      <w:r w:rsidR="00EA2B20">
        <w:rPr>
          <w:rFonts w:ascii="Arial" w:hAnsi="Arial" w:cs="Arial"/>
          <w:bCs/>
        </w:rPr>
        <w:t>4</w:t>
      </w:r>
      <w:r w:rsidR="005E2C8B">
        <w:rPr>
          <w:rFonts w:ascii="Arial" w:hAnsi="Arial" w:cs="Arial"/>
          <w:bCs/>
        </w:rPr>
        <w:t>0</w:t>
      </w:r>
      <w:r w:rsidR="00EA2B20">
        <w:rPr>
          <w:rFonts w:ascii="Arial" w:hAnsi="Arial" w:cs="Arial"/>
          <w:bCs/>
        </w:rPr>
        <w:t>.</w:t>
      </w:r>
      <w:r w:rsidR="005E2C8B">
        <w:rPr>
          <w:rFonts w:ascii="Arial" w:hAnsi="Arial" w:cs="Arial"/>
          <w:bCs/>
        </w:rPr>
        <w:t>2</w:t>
      </w:r>
      <w:r w:rsidR="00831FC4">
        <w:rPr>
          <w:rFonts w:ascii="Arial" w:hAnsi="Arial" w:cs="Arial"/>
          <w:bCs/>
        </w:rPr>
        <w:t>m</w:t>
      </w:r>
      <w:r w:rsidR="00831FC4" w:rsidRPr="000B0EE9">
        <w:rPr>
          <w:rFonts w:ascii="Arial" w:hAnsi="Arial" w:cs="Arial"/>
          <w:bCs/>
        </w:rPr>
        <w:t>.  Intangible assets</w:t>
      </w:r>
      <w:r w:rsidR="009C2934">
        <w:rPr>
          <w:rFonts w:ascii="Arial" w:hAnsi="Arial" w:cs="Arial"/>
          <w:bCs/>
        </w:rPr>
        <w:t xml:space="preserve"> </w:t>
      </w:r>
      <w:r w:rsidR="00831FC4" w:rsidRPr="000B0EE9">
        <w:rPr>
          <w:rFonts w:ascii="Arial" w:hAnsi="Arial" w:cs="Arial"/>
          <w:bCs/>
        </w:rPr>
        <w:t>were £</w:t>
      </w:r>
      <w:r w:rsidR="0027542E">
        <w:rPr>
          <w:rFonts w:ascii="Arial" w:hAnsi="Arial" w:cs="Arial"/>
          <w:bCs/>
        </w:rPr>
        <w:t>2</w:t>
      </w:r>
      <w:r w:rsidR="00EA2B20">
        <w:rPr>
          <w:rFonts w:ascii="Arial" w:hAnsi="Arial" w:cs="Arial"/>
          <w:bCs/>
        </w:rPr>
        <w:t>.</w:t>
      </w:r>
      <w:r w:rsidR="0027542E">
        <w:rPr>
          <w:rFonts w:ascii="Arial" w:hAnsi="Arial" w:cs="Arial"/>
          <w:bCs/>
        </w:rPr>
        <w:t>6</w:t>
      </w:r>
      <w:r w:rsidR="00831FC4">
        <w:rPr>
          <w:rFonts w:ascii="Arial" w:hAnsi="Arial" w:cs="Arial"/>
          <w:bCs/>
        </w:rPr>
        <w:t>m</w:t>
      </w:r>
      <w:r w:rsidR="0027542E">
        <w:rPr>
          <w:rFonts w:ascii="Arial" w:hAnsi="Arial" w:cs="Arial"/>
          <w:bCs/>
        </w:rPr>
        <w:t xml:space="preserve"> including assets under construction</w:t>
      </w:r>
      <w:r w:rsidR="00831FC4">
        <w:rPr>
          <w:rFonts w:ascii="Arial" w:hAnsi="Arial" w:cs="Arial"/>
          <w:bCs/>
        </w:rPr>
        <w:t>.</w:t>
      </w:r>
      <w:r w:rsidR="0027542E">
        <w:rPr>
          <w:rFonts w:ascii="Arial" w:hAnsi="Arial" w:cs="Arial"/>
          <w:bCs/>
        </w:rPr>
        <w:t xml:space="preserve"> </w:t>
      </w:r>
    </w:p>
    <w:p w14:paraId="20B278C7" w14:textId="77777777" w:rsidR="00BF3241" w:rsidRDefault="00BF3241" w:rsidP="000845C9">
      <w:pPr>
        <w:spacing w:line="360" w:lineRule="auto"/>
        <w:ind w:left="-284" w:right="-710"/>
        <w:rPr>
          <w:rFonts w:ascii="Arial" w:hAnsi="Arial" w:cs="Arial"/>
          <w:bCs/>
        </w:rPr>
      </w:pPr>
    </w:p>
    <w:p w14:paraId="65B01006" w14:textId="5FF2A5B4" w:rsidR="007B2703" w:rsidRDefault="0006281E" w:rsidP="000845C9">
      <w:pPr>
        <w:overflowPunct w:val="0"/>
        <w:autoSpaceDE w:val="0"/>
        <w:autoSpaceDN w:val="0"/>
        <w:adjustRightInd w:val="0"/>
        <w:spacing w:line="360" w:lineRule="auto"/>
        <w:ind w:left="-284" w:right="-710"/>
        <w:textAlignment w:val="baseline"/>
        <w:rPr>
          <w:rFonts w:ascii="Arial" w:hAnsi="Arial" w:cs="Arial"/>
        </w:rPr>
      </w:pPr>
      <w:r>
        <w:rPr>
          <w:rFonts w:ascii="Arial" w:hAnsi="Arial" w:cs="Arial"/>
        </w:rPr>
        <w:t xml:space="preserve">The </w:t>
      </w:r>
      <w:r w:rsidR="007E3E2E">
        <w:rPr>
          <w:rFonts w:ascii="Arial" w:hAnsi="Arial" w:cs="Arial"/>
        </w:rPr>
        <w:t xml:space="preserve">land and </w:t>
      </w:r>
      <w:r w:rsidR="005B54AE">
        <w:rPr>
          <w:rFonts w:ascii="Arial" w:hAnsi="Arial" w:cs="Arial"/>
        </w:rPr>
        <w:t>b</w:t>
      </w:r>
      <w:r w:rsidR="00E26D69" w:rsidRPr="00210805">
        <w:rPr>
          <w:rFonts w:ascii="Arial" w:hAnsi="Arial" w:cs="Arial"/>
        </w:rPr>
        <w:t>uilding</w:t>
      </w:r>
      <w:r w:rsidR="005B54AE">
        <w:rPr>
          <w:rFonts w:ascii="Arial" w:hAnsi="Arial" w:cs="Arial"/>
        </w:rPr>
        <w:t>’</w:t>
      </w:r>
      <w:r w:rsidR="00E26D69" w:rsidRPr="00210805">
        <w:rPr>
          <w:rFonts w:ascii="Arial" w:hAnsi="Arial" w:cs="Arial"/>
        </w:rPr>
        <w:t xml:space="preserve">s category includes properties whose </w:t>
      </w:r>
      <w:r w:rsidR="00615CDC">
        <w:rPr>
          <w:rFonts w:ascii="Arial" w:hAnsi="Arial" w:cs="Arial"/>
        </w:rPr>
        <w:t>current</w:t>
      </w:r>
      <w:r w:rsidR="00E26D69" w:rsidRPr="00210805">
        <w:rPr>
          <w:rFonts w:ascii="Arial" w:hAnsi="Arial" w:cs="Arial"/>
        </w:rPr>
        <w:t xml:space="preserve"> value (market value equivalent) was provided by Cushman and Wakefield</w:t>
      </w:r>
      <w:r w:rsidR="00DE5ED3">
        <w:rPr>
          <w:rFonts w:ascii="Arial" w:hAnsi="Arial" w:cs="Arial"/>
        </w:rPr>
        <w:t>, our property services advisor,</w:t>
      </w:r>
      <w:r w:rsidR="00E26D69" w:rsidRPr="00210805">
        <w:rPr>
          <w:rFonts w:ascii="Arial" w:hAnsi="Arial" w:cs="Arial"/>
        </w:rPr>
        <w:t xml:space="preserve"> </w:t>
      </w:r>
      <w:r w:rsidR="00E26D69" w:rsidRPr="004F34E3">
        <w:rPr>
          <w:rFonts w:ascii="Arial" w:hAnsi="Arial" w:cs="Arial"/>
        </w:rPr>
        <w:t>at £</w:t>
      </w:r>
      <w:r w:rsidR="004F34E3" w:rsidRPr="004F34E3">
        <w:rPr>
          <w:rFonts w:ascii="Arial" w:hAnsi="Arial" w:cs="Arial"/>
        </w:rPr>
        <w:t>4</w:t>
      </w:r>
      <w:r w:rsidR="00EE0889">
        <w:rPr>
          <w:rFonts w:ascii="Arial" w:hAnsi="Arial" w:cs="Arial"/>
        </w:rPr>
        <w:t>.</w:t>
      </w:r>
      <w:r w:rsidR="00BA7D26">
        <w:rPr>
          <w:rFonts w:ascii="Arial" w:hAnsi="Arial" w:cs="Arial"/>
        </w:rPr>
        <w:t>8</w:t>
      </w:r>
      <w:r w:rsidR="00E26D69" w:rsidRPr="004F34E3">
        <w:rPr>
          <w:rFonts w:ascii="Arial" w:hAnsi="Arial" w:cs="Arial"/>
        </w:rPr>
        <w:t>m on 31 March 202</w:t>
      </w:r>
      <w:r w:rsidR="00BA7D26">
        <w:rPr>
          <w:rFonts w:ascii="Arial" w:hAnsi="Arial" w:cs="Arial"/>
        </w:rPr>
        <w:t>2</w:t>
      </w:r>
      <w:r w:rsidR="00E26D69" w:rsidRPr="004F34E3">
        <w:rPr>
          <w:rFonts w:ascii="Arial" w:hAnsi="Arial" w:cs="Arial"/>
        </w:rPr>
        <w:t xml:space="preserve"> (£</w:t>
      </w:r>
      <w:r w:rsidR="00590F10">
        <w:rPr>
          <w:rFonts w:ascii="Arial" w:hAnsi="Arial" w:cs="Arial"/>
        </w:rPr>
        <w:t>4.8</w:t>
      </w:r>
      <w:r w:rsidR="005F446D">
        <w:rPr>
          <w:rFonts w:ascii="Arial" w:hAnsi="Arial" w:cs="Arial"/>
        </w:rPr>
        <w:t>m</w:t>
      </w:r>
      <w:r w:rsidR="00C16D59">
        <w:rPr>
          <w:rFonts w:ascii="Arial" w:hAnsi="Arial" w:cs="Arial"/>
        </w:rPr>
        <w:t xml:space="preserve"> at</w:t>
      </w:r>
      <w:r w:rsidR="00E26D69" w:rsidRPr="004F34E3">
        <w:rPr>
          <w:rFonts w:ascii="Arial" w:hAnsi="Arial" w:cs="Arial"/>
        </w:rPr>
        <w:t xml:space="preserve"> 31 March 20</w:t>
      </w:r>
      <w:r w:rsidR="00D1781A" w:rsidRPr="004F34E3">
        <w:rPr>
          <w:rFonts w:ascii="Arial" w:hAnsi="Arial" w:cs="Arial"/>
        </w:rPr>
        <w:t>2</w:t>
      </w:r>
      <w:r w:rsidR="003E143B">
        <w:rPr>
          <w:rFonts w:ascii="Arial" w:hAnsi="Arial" w:cs="Arial"/>
        </w:rPr>
        <w:t>1</w:t>
      </w:r>
      <w:r w:rsidR="00E26D69" w:rsidRPr="004F34E3">
        <w:rPr>
          <w:rFonts w:ascii="Arial" w:hAnsi="Arial" w:cs="Arial"/>
        </w:rPr>
        <w:t>).</w:t>
      </w:r>
      <w:r w:rsidR="001A7501" w:rsidRPr="00210805">
        <w:rPr>
          <w:rFonts w:ascii="Arial" w:hAnsi="Arial" w:cs="Arial"/>
        </w:rPr>
        <w:t xml:space="preserve"> </w:t>
      </w:r>
    </w:p>
    <w:p w14:paraId="3D621870" w14:textId="77777777" w:rsidR="007B2703" w:rsidRDefault="007B2703" w:rsidP="000845C9">
      <w:pPr>
        <w:overflowPunct w:val="0"/>
        <w:autoSpaceDE w:val="0"/>
        <w:autoSpaceDN w:val="0"/>
        <w:adjustRightInd w:val="0"/>
        <w:spacing w:line="360" w:lineRule="auto"/>
        <w:ind w:left="-284" w:right="-710"/>
        <w:textAlignment w:val="baseline"/>
        <w:rPr>
          <w:rFonts w:ascii="Arial" w:hAnsi="Arial" w:cs="Arial"/>
        </w:rPr>
      </w:pPr>
    </w:p>
    <w:p w14:paraId="293FB187" w14:textId="27C58615" w:rsidR="00E26D69" w:rsidRPr="00E26D69" w:rsidRDefault="00F017ED" w:rsidP="000845C9">
      <w:pPr>
        <w:overflowPunct w:val="0"/>
        <w:autoSpaceDE w:val="0"/>
        <w:autoSpaceDN w:val="0"/>
        <w:adjustRightInd w:val="0"/>
        <w:spacing w:line="360" w:lineRule="auto"/>
        <w:ind w:left="-284" w:right="-710"/>
        <w:textAlignment w:val="baseline"/>
        <w:rPr>
          <w:rFonts w:ascii="Arial" w:hAnsi="Arial" w:cs="Arial"/>
        </w:rPr>
      </w:pPr>
      <w:r>
        <w:rPr>
          <w:rFonts w:ascii="Arial" w:hAnsi="Arial" w:cs="Arial"/>
        </w:rPr>
        <w:t xml:space="preserve">The estimated costs of </w:t>
      </w:r>
      <w:r w:rsidR="00240330">
        <w:rPr>
          <w:rFonts w:ascii="Arial" w:hAnsi="Arial" w:cs="Arial"/>
        </w:rPr>
        <w:t>l</w:t>
      </w:r>
      <w:r w:rsidR="00E26D69" w:rsidRPr="00E26D69">
        <w:rPr>
          <w:rFonts w:ascii="Arial" w:hAnsi="Arial" w:cs="Arial"/>
        </w:rPr>
        <w:t xml:space="preserve">easehold buildings </w:t>
      </w:r>
      <w:r w:rsidR="00C858AB">
        <w:rPr>
          <w:rFonts w:ascii="Arial" w:hAnsi="Arial" w:cs="Arial"/>
        </w:rPr>
        <w:t>decommissioning</w:t>
      </w:r>
      <w:r w:rsidR="00E26D69" w:rsidRPr="00E26D69">
        <w:rPr>
          <w:rFonts w:ascii="Arial" w:hAnsi="Arial" w:cs="Arial"/>
        </w:rPr>
        <w:t xml:space="preserve"> costs</w:t>
      </w:r>
      <w:r w:rsidR="00716792">
        <w:rPr>
          <w:rFonts w:ascii="Arial" w:hAnsi="Arial" w:cs="Arial"/>
        </w:rPr>
        <w:t>,</w:t>
      </w:r>
      <w:r w:rsidR="00CF5B16">
        <w:rPr>
          <w:rFonts w:ascii="Arial" w:hAnsi="Arial" w:cs="Arial"/>
        </w:rPr>
        <w:t xml:space="preserve"> </w:t>
      </w:r>
      <w:r w:rsidR="000C7777" w:rsidRPr="00E26D69">
        <w:rPr>
          <w:rFonts w:ascii="Arial" w:hAnsi="Arial" w:cs="Arial"/>
        </w:rPr>
        <w:t xml:space="preserve">which is the estimated </w:t>
      </w:r>
      <w:r w:rsidR="000C7777">
        <w:rPr>
          <w:rFonts w:ascii="Arial" w:hAnsi="Arial" w:cs="Arial"/>
        </w:rPr>
        <w:t xml:space="preserve">increase in </w:t>
      </w:r>
      <w:r w:rsidR="000C7777" w:rsidRPr="00E26D69">
        <w:rPr>
          <w:rFonts w:ascii="Arial" w:hAnsi="Arial" w:cs="Arial"/>
        </w:rPr>
        <w:t>cost of returning the internal layout to the original form</w:t>
      </w:r>
      <w:r w:rsidR="00716792">
        <w:rPr>
          <w:rFonts w:ascii="Arial" w:hAnsi="Arial" w:cs="Arial"/>
        </w:rPr>
        <w:t>,</w:t>
      </w:r>
      <w:r w:rsidR="000C7777">
        <w:rPr>
          <w:rFonts w:ascii="Arial" w:hAnsi="Arial" w:cs="Arial"/>
        </w:rPr>
        <w:t xml:space="preserve"> were</w:t>
      </w:r>
      <w:r w:rsidR="00CF5B16">
        <w:rPr>
          <w:rFonts w:ascii="Arial" w:hAnsi="Arial" w:cs="Arial"/>
        </w:rPr>
        <w:t xml:space="preserve"> supplied by Cushman and Wakefield as</w:t>
      </w:r>
      <w:r>
        <w:rPr>
          <w:rFonts w:ascii="Arial" w:hAnsi="Arial" w:cs="Arial"/>
        </w:rPr>
        <w:t xml:space="preserve"> at 31 March 2020</w:t>
      </w:r>
      <w:r w:rsidR="0036015F">
        <w:rPr>
          <w:rFonts w:ascii="Arial" w:hAnsi="Arial" w:cs="Arial"/>
        </w:rPr>
        <w:t>.</w:t>
      </w:r>
      <w:r w:rsidRPr="00712F12">
        <w:rPr>
          <w:rFonts w:ascii="Arial" w:hAnsi="Arial" w:cs="Arial"/>
        </w:rPr>
        <w:t xml:space="preserve"> </w:t>
      </w:r>
      <w:r w:rsidR="0036015F">
        <w:rPr>
          <w:rFonts w:ascii="Arial" w:hAnsi="Arial" w:cs="Arial"/>
        </w:rPr>
        <w:t xml:space="preserve"> </w:t>
      </w:r>
      <w:r w:rsidR="00C16D59">
        <w:rPr>
          <w:rFonts w:ascii="Arial" w:hAnsi="Arial" w:cs="Arial"/>
        </w:rPr>
        <w:t>The</w:t>
      </w:r>
      <w:r w:rsidR="00CF5B16">
        <w:rPr>
          <w:rFonts w:ascii="Arial" w:hAnsi="Arial" w:cs="Arial"/>
        </w:rPr>
        <w:t xml:space="preserve"> value has subsequently been </w:t>
      </w:r>
      <w:r w:rsidRPr="00712F12">
        <w:rPr>
          <w:rFonts w:ascii="Arial" w:hAnsi="Arial" w:cs="Arial"/>
        </w:rPr>
        <w:t>indexed to reflect the costs of construction works</w:t>
      </w:r>
      <w:r w:rsidR="0036015F">
        <w:rPr>
          <w:rFonts w:ascii="Arial" w:hAnsi="Arial" w:cs="Arial"/>
        </w:rPr>
        <w:t>, £0.6 m in 2021/22 (</w:t>
      </w:r>
      <w:r w:rsidR="00760654">
        <w:rPr>
          <w:rFonts w:ascii="Arial" w:hAnsi="Arial" w:cs="Arial"/>
        </w:rPr>
        <w:t>£0.2m in 20</w:t>
      </w:r>
      <w:r w:rsidR="00C16D59">
        <w:rPr>
          <w:rFonts w:ascii="Arial" w:hAnsi="Arial" w:cs="Arial"/>
        </w:rPr>
        <w:t>20</w:t>
      </w:r>
      <w:r w:rsidR="00760654">
        <w:rPr>
          <w:rFonts w:ascii="Arial" w:hAnsi="Arial" w:cs="Arial"/>
        </w:rPr>
        <w:t>/21).</w:t>
      </w:r>
    </w:p>
    <w:p w14:paraId="0B8A3E4B" w14:textId="77777777" w:rsidR="00E26D69" w:rsidRPr="00E26D69" w:rsidRDefault="00E26D69" w:rsidP="000845C9">
      <w:pPr>
        <w:spacing w:line="360" w:lineRule="auto"/>
        <w:ind w:left="-284" w:right="-710"/>
        <w:rPr>
          <w:rFonts w:ascii="Arial" w:hAnsi="Arial" w:cs="Arial"/>
          <w:bCs/>
        </w:rPr>
      </w:pPr>
    </w:p>
    <w:p w14:paraId="51848A34" w14:textId="4E734DE9" w:rsidR="00E26D69" w:rsidRDefault="00E26D69" w:rsidP="000845C9">
      <w:pPr>
        <w:pStyle w:val="ListParagraph"/>
        <w:spacing w:line="360" w:lineRule="auto"/>
        <w:ind w:left="-284" w:right="-710"/>
        <w:contextualSpacing w:val="0"/>
        <w:rPr>
          <w:rFonts w:ascii="Arial" w:hAnsi="Arial" w:cs="Arial"/>
        </w:rPr>
      </w:pPr>
      <w:r w:rsidRPr="00712F12">
        <w:rPr>
          <w:rFonts w:ascii="Arial" w:hAnsi="Arial" w:cs="Arial"/>
        </w:rPr>
        <w:t>Gauging stations are specialised buildings. A full assessment of replacement cost was conducted by Cushman and Wakefield</w:t>
      </w:r>
      <w:r w:rsidR="00DE5ED3">
        <w:rPr>
          <w:rFonts w:ascii="Arial" w:hAnsi="Arial" w:cs="Arial"/>
        </w:rPr>
        <w:t xml:space="preserve"> </w:t>
      </w:r>
      <w:r w:rsidR="00C90814">
        <w:rPr>
          <w:rFonts w:ascii="Arial" w:hAnsi="Arial" w:cs="Arial"/>
        </w:rPr>
        <w:t>at</w:t>
      </w:r>
      <w:r w:rsidRPr="00712F12">
        <w:rPr>
          <w:rFonts w:ascii="Arial" w:hAnsi="Arial" w:cs="Arial"/>
        </w:rPr>
        <w:t xml:space="preserve"> 31 March 2018.  Their valuation was made using the depreciated replacement cost approach set out in the Royal Institution of Chartered Surveyors (RCIS) Red Book</w:t>
      </w:r>
      <w:r w:rsidRPr="00D9108C">
        <w:rPr>
          <w:rStyle w:val="FootnoteReference"/>
          <w:rFonts w:ascii="Arial" w:hAnsi="Arial" w:cs="Arial"/>
          <w:b/>
          <w:bCs/>
        </w:rPr>
        <w:footnoteReference w:id="19"/>
      </w:r>
      <w:r w:rsidRPr="00753FD9">
        <w:rPr>
          <w:rStyle w:val="FootnoteReference"/>
          <w:b/>
          <w:bCs/>
        </w:rPr>
        <w:t>.</w:t>
      </w:r>
      <w:r w:rsidRPr="00712F12">
        <w:rPr>
          <w:rFonts w:ascii="Arial" w:hAnsi="Arial" w:cs="Arial"/>
        </w:rPr>
        <w:t xml:space="preserve"> The net replacement cost was estimated at £14.1m for 354 gauging stations. SEPA owns the land for 25 gauging stations and 329 are on leased sites. </w:t>
      </w:r>
      <w:r w:rsidR="00006009" w:rsidRPr="000E63DB">
        <w:rPr>
          <w:rFonts w:ascii="Arial" w:hAnsi="Arial" w:cs="Arial"/>
        </w:rPr>
        <w:t>Following full revaluation on 31 March 2018</w:t>
      </w:r>
      <w:r w:rsidR="00883D37">
        <w:rPr>
          <w:rFonts w:ascii="Arial" w:hAnsi="Arial" w:cs="Arial"/>
        </w:rPr>
        <w:t>,</w:t>
      </w:r>
      <w:r w:rsidR="00006009" w:rsidRPr="000E63DB">
        <w:rPr>
          <w:rFonts w:ascii="Arial" w:hAnsi="Arial" w:cs="Arial"/>
        </w:rPr>
        <w:t xml:space="preserve"> we index gauging stations annually </w:t>
      </w:r>
      <w:r w:rsidR="000A6FF1">
        <w:rPr>
          <w:rFonts w:ascii="Arial" w:hAnsi="Arial" w:cs="Arial"/>
        </w:rPr>
        <w:t>in line with costs of construction works</w:t>
      </w:r>
      <w:r w:rsidR="00DE5ED3">
        <w:rPr>
          <w:rFonts w:ascii="Arial" w:hAnsi="Arial" w:cs="Arial"/>
        </w:rPr>
        <w:t>,</w:t>
      </w:r>
      <w:r w:rsidR="000A6FF1">
        <w:rPr>
          <w:rFonts w:ascii="Arial" w:hAnsi="Arial" w:cs="Arial"/>
        </w:rPr>
        <w:t xml:space="preserve"> </w:t>
      </w:r>
      <w:r w:rsidR="00B04FA0">
        <w:rPr>
          <w:rFonts w:ascii="Arial" w:hAnsi="Arial" w:cs="Arial"/>
        </w:rPr>
        <w:t xml:space="preserve">£4.2m in 2021/22 </w:t>
      </w:r>
      <w:r w:rsidR="004100FA">
        <w:rPr>
          <w:rFonts w:ascii="Arial" w:hAnsi="Arial" w:cs="Arial"/>
        </w:rPr>
        <w:t>(£1.2m in 2020/21).</w:t>
      </w:r>
      <w:r w:rsidR="00006009" w:rsidRPr="000E63DB">
        <w:rPr>
          <w:rFonts w:ascii="Arial" w:hAnsi="Arial" w:cs="Arial"/>
        </w:rPr>
        <w:t xml:space="preserve"> A full revaluation will be undertaken </w:t>
      </w:r>
      <w:r w:rsidR="004100FA">
        <w:rPr>
          <w:rFonts w:ascii="Arial" w:hAnsi="Arial" w:cs="Arial"/>
        </w:rPr>
        <w:t>in 2022/23</w:t>
      </w:r>
      <w:r w:rsidR="00543A78">
        <w:rPr>
          <w:rFonts w:ascii="Arial" w:hAnsi="Arial" w:cs="Arial"/>
        </w:rPr>
        <w:t>.</w:t>
      </w:r>
      <w:r w:rsidR="00006009" w:rsidRPr="000E63DB">
        <w:rPr>
          <w:rFonts w:ascii="Arial" w:hAnsi="Arial" w:cs="Arial"/>
        </w:rPr>
        <w:t xml:space="preserve"> </w:t>
      </w:r>
    </w:p>
    <w:p w14:paraId="3AD25E53" w14:textId="77777777" w:rsidR="00812D05" w:rsidRDefault="00812D05" w:rsidP="000845C9">
      <w:pPr>
        <w:pStyle w:val="ListParagraph"/>
        <w:spacing w:line="360" w:lineRule="auto"/>
        <w:ind w:left="-284" w:right="-710"/>
        <w:contextualSpacing w:val="0"/>
        <w:rPr>
          <w:rFonts w:ascii="Arial" w:hAnsi="Arial" w:cs="Arial"/>
        </w:rPr>
      </w:pPr>
    </w:p>
    <w:p w14:paraId="5306E4B3" w14:textId="318EEC3C" w:rsidR="00E26D69" w:rsidRDefault="00E26D69" w:rsidP="000845C9">
      <w:pPr>
        <w:overflowPunct w:val="0"/>
        <w:autoSpaceDE w:val="0"/>
        <w:autoSpaceDN w:val="0"/>
        <w:adjustRightInd w:val="0"/>
        <w:spacing w:line="360" w:lineRule="auto"/>
        <w:ind w:left="-284" w:right="-568"/>
        <w:textAlignment w:val="baseline"/>
        <w:rPr>
          <w:rFonts w:ascii="Arial" w:hAnsi="Arial" w:cs="Arial"/>
          <w:bCs/>
        </w:rPr>
      </w:pPr>
      <w:r w:rsidRPr="000F66D4">
        <w:rPr>
          <w:rFonts w:ascii="Arial" w:hAnsi="Arial" w:cs="Arial"/>
          <w:bCs/>
        </w:rPr>
        <w:t xml:space="preserve">The vessel (Sir John Murray) is </w:t>
      </w:r>
      <w:r w:rsidR="00574E65">
        <w:rPr>
          <w:rFonts w:ascii="Arial" w:hAnsi="Arial" w:cs="Arial"/>
          <w:bCs/>
        </w:rPr>
        <w:t xml:space="preserve">checked for impairment on </w:t>
      </w:r>
      <w:r w:rsidR="00D34BA5">
        <w:rPr>
          <w:rFonts w:ascii="Arial" w:hAnsi="Arial" w:cs="Arial"/>
          <w:bCs/>
        </w:rPr>
        <w:t xml:space="preserve">an </w:t>
      </w:r>
      <w:r w:rsidR="00574E65">
        <w:rPr>
          <w:rFonts w:ascii="Arial" w:hAnsi="Arial" w:cs="Arial"/>
          <w:bCs/>
        </w:rPr>
        <w:t xml:space="preserve">annual </w:t>
      </w:r>
      <w:r w:rsidR="001550B9">
        <w:rPr>
          <w:rFonts w:ascii="Arial" w:hAnsi="Arial" w:cs="Arial"/>
          <w:bCs/>
        </w:rPr>
        <w:t>basis,</w:t>
      </w:r>
      <w:r w:rsidR="00DE5ED3">
        <w:rPr>
          <w:rFonts w:ascii="Arial" w:hAnsi="Arial" w:cs="Arial"/>
          <w:bCs/>
        </w:rPr>
        <w:t xml:space="preserve"> and</w:t>
      </w:r>
      <w:r w:rsidR="00574E65">
        <w:rPr>
          <w:rFonts w:ascii="Arial" w:hAnsi="Arial" w:cs="Arial"/>
          <w:bCs/>
        </w:rPr>
        <w:t xml:space="preserve"> it is valued </w:t>
      </w:r>
      <w:r w:rsidRPr="000F66D4">
        <w:rPr>
          <w:rFonts w:ascii="Arial" w:hAnsi="Arial" w:cs="Arial"/>
          <w:bCs/>
        </w:rPr>
        <w:t>by Century Marine</w:t>
      </w:r>
      <w:r w:rsidR="000F66D4" w:rsidRPr="000F66D4">
        <w:rPr>
          <w:rFonts w:ascii="Arial" w:hAnsi="Arial" w:cs="Arial"/>
          <w:bCs/>
        </w:rPr>
        <w:t>.</w:t>
      </w:r>
      <w:r w:rsidRPr="000F66D4">
        <w:rPr>
          <w:rFonts w:ascii="Arial" w:hAnsi="Arial" w:cs="Arial"/>
          <w:bCs/>
        </w:rPr>
        <w:t xml:space="preserve"> </w:t>
      </w:r>
    </w:p>
    <w:p w14:paraId="53A7E202" w14:textId="77777777" w:rsidR="00812D05" w:rsidRPr="00E26D69" w:rsidRDefault="00812D05" w:rsidP="000845C9">
      <w:pPr>
        <w:overflowPunct w:val="0"/>
        <w:autoSpaceDE w:val="0"/>
        <w:autoSpaceDN w:val="0"/>
        <w:adjustRightInd w:val="0"/>
        <w:spacing w:line="360" w:lineRule="auto"/>
        <w:ind w:left="-284" w:right="-710"/>
        <w:textAlignment w:val="baseline"/>
        <w:rPr>
          <w:rFonts w:ascii="Arial" w:hAnsi="Arial" w:cs="Arial"/>
          <w:bCs/>
        </w:rPr>
      </w:pPr>
    </w:p>
    <w:p w14:paraId="23DCA197" w14:textId="7BD6E30B" w:rsidR="00E26D69" w:rsidRDefault="00E26D69" w:rsidP="000845C9">
      <w:pPr>
        <w:spacing w:line="360" w:lineRule="auto"/>
        <w:ind w:left="-284" w:right="-710"/>
        <w:rPr>
          <w:rFonts w:ascii="Arial" w:hAnsi="Arial" w:cs="Arial"/>
          <w:bCs/>
        </w:rPr>
      </w:pPr>
      <w:r w:rsidRPr="000F66D4">
        <w:rPr>
          <w:rFonts w:ascii="Arial" w:hAnsi="Arial" w:cs="Arial"/>
          <w:bCs/>
        </w:rPr>
        <w:t xml:space="preserve">Depreciated historic cost has been used as a proxy for the current value of fixtures and fittings, motor vehicles, plant and machinery, computer equipment, and software. </w:t>
      </w:r>
      <w:r w:rsidR="00932550" w:rsidRPr="000F66D4">
        <w:rPr>
          <w:rFonts w:ascii="Arial" w:hAnsi="Arial" w:cs="Arial"/>
          <w:bCs/>
        </w:rPr>
        <w:t>All</w:t>
      </w:r>
      <w:r w:rsidRPr="000F66D4">
        <w:rPr>
          <w:rFonts w:ascii="Arial" w:hAnsi="Arial" w:cs="Arial"/>
          <w:bCs/>
        </w:rPr>
        <w:t xml:space="preserve"> the assets in these categories have: (a) low values and short useful economic lives, which realistically reflect the life of the asset; and (b) a depreciation or amortisation charge, which provides a realistic reflection of </w:t>
      </w:r>
      <w:r w:rsidR="00B430A7" w:rsidRPr="000F66D4">
        <w:rPr>
          <w:rFonts w:ascii="Arial" w:hAnsi="Arial" w:cs="Arial"/>
          <w:bCs/>
        </w:rPr>
        <w:t>consumption. Intangible</w:t>
      </w:r>
      <w:r w:rsidRPr="000F66D4">
        <w:rPr>
          <w:rFonts w:ascii="Arial" w:hAnsi="Arial" w:cs="Arial"/>
          <w:bCs/>
        </w:rPr>
        <w:t xml:space="preserve"> non-current assets are all purchased software and in house developed software with a life of more than one year and a cost of more than £</w:t>
      </w:r>
      <w:r w:rsidR="000F66D4" w:rsidRPr="000F66D4">
        <w:rPr>
          <w:rFonts w:ascii="Arial" w:hAnsi="Arial" w:cs="Arial"/>
          <w:bCs/>
        </w:rPr>
        <w:t>10</w:t>
      </w:r>
      <w:r w:rsidR="00471F2C">
        <w:rPr>
          <w:rFonts w:ascii="Arial" w:hAnsi="Arial" w:cs="Arial"/>
          <w:bCs/>
        </w:rPr>
        <w:t>,000</w:t>
      </w:r>
      <w:r w:rsidRPr="000F66D4">
        <w:rPr>
          <w:rFonts w:ascii="Arial" w:hAnsi="Arial" w:cs="Arial"/>
          <w:bCs/>
        </w:rPr>
        <w:t xml:space="preserve"> including VAT.</w:t>
      </w:r>
      <w:r w:rsidR="00FF1B54" w:rsidRPr="00FF1B54">
        <w:rPr>
          <w:rFonts w:ascii="Arial" w:hAnsi="Arial" w:cs="Arial"/>
          <w:bCs/>
        </w:rPr>
        <w:t xml:space="preserve"> </w:t>
      </w:r>
    </w:p>
    <w:p w14:paraId="20493715" w14:textId="77777777" w:rsidR="00812D05" w:rsidRDefault="00812D05" w:rsidP="00BF3241">
      <w:pPr>
        <w:spacing w:line="360" w:lineRule="auto"/>
        <w:ind w:right="-425"/>
        <w:rPr>
          <w:rFonts w:ascii="Arial" w:hAnsi="Arial" w:cs="Arial"/>
          <w:bCs/>
        </w:rPr>
      </w:pPr>
    </w:p>
    <w:p w14:paraId="0DDCB3A2" w14:textId="11220F8F" w:rsidR="0084480F" w:rsidRDefault="006B492F" w:rsidP="008749AC">
      <w:pPr>
        <w:spacing w:line="360" w:lineRule="auto"/>
        <w:ind w:left="-284" w:right="-425"/>
        <w:rPr>
          <w:rFonts w:ascii="Arial" w:hAnsi="Arial" w:cs="Arial"/>
          <w:bCs/>
        </w:rPr>
      </w:pPr>
      <w:r>
        <w:rPr>
          <w:rFonts w:ascii="Arial" w:hAnsi="Arial" w:cs="Arial"/>
          <w:bCs/>
        </w:rPr>
        <w:t>The revaluation movements</w:t>
      </w:r>
      <w:r w:rsidR="00005935">
        <w:rPr>
          <w:rFonts w:ascii="Arial" w:hAnsi="Arial" w:cs="Arial"/>
          <w:bCs/>
        </w:rPr>
        <w:t xml:space="preserve"> of £</w:t>
      </w:r>
      <w:r w:rsidR="002307BD">
        <w:rPr>
          <w:rFonts w:ascii="Arial" w:hAnsi="Arial" w:cs="Arial"/>
          <w:bCs/>
        </w:rPr>
        <w:t>4.</w:t>
      </w:r>
      <w:r w:rsidR="005E3799">
        <w:rPr>
          <w:rFonts w:ascii="Arial" w:hAnsi="Arial" w:cs="Arial"/>
          <w:bCs/>
        </w:rPr>
        <w:t>5</w:t>
      </w:r>
      <w:r w:rsidR="00005935">
        <w:rPr>
          <w:rFonts w:ascii="Arial" w:hAnsi="Arial" w:cs="Arial"/>
          <w:bCs/>
        </w:rPr>
        <w:t xml:space="preserve">m have </w:t>
      </w:r>
      <w:r w:rsidR="00BB1A18">
        <w:rPr>
          <w:rFonts w:ascii="Arial" w:hAnsi="Arial" w:cs="Arial"/>
          <w:bCs/>
        </w:rPr>
        <w:t>b</w:t>
      </w:r>
      <w:r w:rsidR="00005935">
        <w:rPr>
          <w:rFonts w:ascii="Arial" w:hAnsi="Arial" w:cs="Arial"/>
          <w:bCs/>
        </w:rPr>
        <w:t>een offset by the movements on revaluation reserve held in taxpayers</w:t>
      </w:r>
      <w:r w:rsidR="008749AC">
        <w:rPr>
          <w:rFonts w:ascii="Arial" w:hAnsi="Arial" w:cs="Arial"/>
          <w:bCs/>
        </w:rPr>
        <w:t>’</w:t>
      </w:r>
      <w:r w:rsidR="00005935">
        <w:rPr>
          <w:rFonts w:ascii="Arial" w:hAnsi="Arial" w:cs="Arial"/>
          <w:bCs/>
        </w:rPr>
        <w:t xml:space="preserve"> </w:t>
      </w:r>
      <w:r w:rsidR="00EE76AB">
        <w:rPr>
          <w:rFonts w:ascii="Arial" w:hAnsi="Arial" w:cs="Arial"/>
          <w:bCs/>
        </w:rPr>
        <w:t>equity</w:t>
      </w:r>
      <w:r w:rsidR="00BB1A18">
        <w:rPr>
          <w:rFonts w:ascii="Arial" w:hAnsi="Arial" w:cs="Arial"/>
          <w:bCs/>
        </w:rPr>
        <w:t xml:space="preserve"> of £</w:t>
      </w:r>
      <w:r w:rsidR="00405889">
        <w:rPr>
          <w:rFonts w:ascii="Arial" w:hAnsi="Arial" w:cs="Arial"/>
          <w:bCs/>
        </w:rPr>
        <w:t>4</w:t>
      </w:r>
      <w:r w:rsidR="00BB1A18">
        <w:rPr>
          <w:rFonts w:ascii="Arial" w:hAnsi="Arial" w:cs="Arial"/>
          <w:bCs/>
        </w:rPr>
        <w:t>.</w:t>
      </w:r>
      <w:r w:rsidR="00405889">
        <w:rPr>
          <w:rFonts w:ascii="Arial" w:hAnsi="Arial" w:cs="Arial"/>
          <w:bCs/>
        </w:rPr>
        <w:t>3</w:t>
      </w:r>
      <w:r w:rsidR="00BB1A18">
        <w:rPr>
          <w:rFonts w:ascii="Arial" w:hAnsi="Arial" w:cs="Arial"/>
          <w:bCs/>
        </w:rPr>
        <w:t>m</w:t>
      </w:r>
      <w:r w:rsidR="00405889">
        <w:rPr>
          <w:rFonts w:ascii="Arial" w:hAnsi="Arial" w:cs="Arial"/>
          <w:bCs/>
        </w:rPr>
        <w:t xml:space="preserve"> and the comprehensive</w:t>
      </w:r>
      <w:r w:rsidR="003A3922">
        <w:rPr>
          <w:rFonts w:ascii="Arial" w:hAnsi="Arial" w:cs="Arial"/>
          <w:bCs/>
        </w:rPr>
        <w:t xml:space="preserve"> net expenditure £0.2m</w:t>
      </w:r>
      <w:r w:rsidR="000845C9">
        <w:rPr>
          <w:rFonts w:ascii="Arial" w:hAnsi="Arial" w:cs="Arial"/>
          <w:bCs/>
        </w:rPr>
        <w:t>.</w:t>
      </w:r>
    </w:p>
    <w:p w14:paraId="52FD5CE2" w14:textId="77777777" w:rsidR="00E56350" w:rsidRDefault="00E56350" w:rsidP="00BF3241">
      <w:pPr>
        <w:spacing w:line="360" w:lineRule="auto"/>
        <w:ind w:right="-425"/>
        <w:rPr>
          <w:rFonts w:ascii="Arial" w:hAnsi="Arial" w:cs="Arial"/>
          <w:bCs/>
        </w:rPr>
      </w:pPr>
    </w:p>
    <w:p w14:paraId="68ADBD94" w14:textId="4B2202ED" w:rsidR="00E26D69" w:rsidRPr="009A3B53" w:rsidRDefault="00E26D69" w:rsidP="000A1D9E">
      <w:pPr>
        <w:numPr>
          <w:ilvl w:val="0"/>
          <w:numId w:val="19"/>
        </w:numPr>
        <w:spacing w:line="360" w:lineRule="auto"/>
        <w:ind w:left="113" w:firstLine="567"/>
        <w:contextualSpacing/>
        <w:rPr>
          <w:rFonts w:ascii="Arial" w:hAnsi="Arial" w:cs="Arial"/>
          <w:b/>
        </w:rPr>
      </w:pPr>
      <w:bookmarkStart w:id="43" w:name="Note10cashandcashequivalents"/>
      <w:r w:rsidRPr="009A3B53">
        <w:rPr>
          <w:rFonts w:ascii="Arial" w:hAnsi="Arial" w:cs="Arial"/>
          <w:b/>
        </w:rPr>
        <w:t>Cash and cash equivalents</w:t>
      </w:r>
    </w:p>
    <w:bookmarkEnd w:id="43"/>
    <w:tbl>
      <w:tblPr>
        <w:tblW w:w="10349" w:type="dxa"/>
        <w:tblInd w:w="-284" w:type="dxa"/>
        <w:tblLook w:val="0000" w:firstRow="0" w:lastRow="0" w:firstColumn="0" w:lastColumn="0" w:noHBand="0" w:noVBand="0"/>
      </w:tblPr>
      <w:tblGrid>
        <w:gridCol w:w="6380"/>
        <w:gridCol w:w="1986"/>
        <w:gridCol w:w="1983"/>
      </w:tblGrid>
      <w:tr w:rsidR="00167866" w:rsidRPr="00E26D69" w14:paraId="10682201" w14:textId="77777777" w:rsidTr="00EA2ED2">
        <w:trPr>
          <w:trHeight w:val="397"/>
        </w:trPr>
        <w:tc>
          <w:tcPr>
            <w:tcW w:w="6380" w:type="dxa"/>
            <w:tcBorders>
              <w:top w:val="nil"/>
              <w:left w:val="nil"/>
              <w:bottom w:val="nil"/>
              <w:right w:val="nil"/>
            </w:tcBorders>
          </w:tcPr>
          <w:p w14:paraId="6C4EB699" w14:textId="77777777" w:rsidR="00E26D69" w:rsidRPr="009A3B53" w:rsidRDefault="00E26D69" w:rsidP="00CB03D3">
            <w:pPr>
              <w:spacing w:line="276" w:lineRule="auto"/>
              <w:jc w:val="right"/>
              <w:rPr>
                <w:rFonts w:ascii="Arial" w:hAnsi="Arial" w:cs="Arial"/>
                <w:b/>
                <w:bCs/>
              </w:rPr>
            </w:pPr>
          </w:p>
        </w:tc>
        <w:tc>
          <w:tcPr>
            <w:tcW w:w="1986" w:type="dxa"/>
            <w:tcBorders>
              <w:top w:val="nil"/>
              <w:left w:val="nil"/>
              <w:bottom w:val="nil"/>
              <w:right w:val="nil"/>
            </w:tcBorders>
            <w:shd w:val="clear" w:color="auto" w:fill="EAF1DD" w:themeFill="accent3" w:themeFillTint="33"/>
          </w:tcPr>
          <w:p w14:paraId="22BFF1A3" w14:textId="3C5709D4" w:rsidR="00E26D69" w:rsidRPr="00E26D69" w:rsidRDefault="00C90814" w:rsidP="00EA2ED2">
            <w:pPr>
              <w:spacing w:line="276" w:lineRule="auto"/>
              <w:jc w:val="right"/>
              <w:rPr>
                <w:rFonts w:ascii="Arial" w:hAnsi="Arial" w:cs="Arial"/>
                <w:b/>
                <w:bCs/>
              </w:rPr>
            </w:pPr>
            <w:r>
              <w:rPr>
                <w:rFonts w:ascii="Arial" w:hAnsi="Arial" w:cs="Arial"/>
                <w:b/>
                <w:bCs/>
              </w:rPr>
              <w:t>At</w:t>
            </w:r>
          </w:p>
          <w:p w14:paraId="494F9697" w14:textId="36C1D5C6" w:rsidR="00E26D69" w:rsidRDefault="00E26D69" w:rsidP="00EA2ED2">
            <w:pPr>
              <w:spacing w:line="276" w:lineRule="auto"/>
              <w:jc w:val="right"/>
              <w:rPr>
                <w:rFonts w:ascii="Arial" w:hAnsi="Arial" w:cs="Arial"/>
                <w:b/>
                <w:bCs/>
              </w:rPr>
            </w:pPr>
            <w:r w:rsidRPr="00E26D69">
              <w:rPr>
                <w:rFonts w:ascii="Arial" w:hAnsi="Arial" w:cs="Arial"/>
                <w:b/>
                <w:bCs/>
              </w:rPr>
              <w:t>31 March 202</w:t>
            </w:r>
            <w:r w:rsidR="00F17E39">
              <w:rPr>
                <w:rFonts w:ascii="Arial" w:hAnsi="Arial" w:cs="Arial"/>
                <w:b/>
                <w:bCs/>
              </w:rPr>
              <w:t>2</w:t>
            </w:r>
          </w:p>
          <w:p w14:paraId="4561A77F" w14:textId="77777777" w:rsidR="00DD34B6" w:rsidRPr="00E26D69" w:rsidRDefault="00DD34B6" w:rsidP="00EA2ED2">
            <w:pPr>
              <w:spacing w:line="276" w:lineRule="auto"/>
              <w:jc w:val="right"/>
              <w:rPr>
                <w:rFonts w:ascii="Arial" w:hAnsi="Arial" w:cs="Arial"/>
                <w:b/>
                <w:bCs/>
              </w:rPr>
            </w:pPr>
          </w:p>
          <w:p w14:paraId="0D50FB8C" w14:textId="77777777" w:rsidR="00E26D69" w:rsidRPr="00E26D69" w:rsidRDefault="00E26D69" w:rsidP="00EA2ED2">
            <w:pPr>
              <w:spacing w:line="276" w:lineRule="auto"/>
              <w:jc w:val="right"/>
              <w:rPr>
                <w:rFonts w:ascii="Arial" w:hAnsi="Arial" w:cs="Arial"/>
                <w:b/>
                <w:bCs/>
              </w:rPr>
            </w:pPr>
            <w:r w:rsidRPr="00E26D69">
              <w:rPr>
                <w:rFonts w:ascii="Arial" w:hAnsi="Arial" w:cs="Arial"/>
                <w:b/>
                <w:bCs/>
              </w:rPr>
              <w:t>£’000</w:t>
            </w:r>
          </w:p>
        </w:tc>
        <w:tc>
          <w:tcPr>
            <w:tcW w:w="1983" w:type="dxa"/>
            <w:tcBorders>
              <w:top w:val="nil"/>
              <w:left w:val="nil"/>
              <w:bottom w:val="nil"/>
              <w:right w:val="nil"/>
            </w:tcBorders>
          </w:tcPr>
          <w:p w14:paraId="76CED16B" w14:textId="73537468" w:rsidR="00E26D69" w:rsidRPr="00E26D69" w:rsidRDefault="00C90814" w:rsidP="00EA2ED2">
            <w:pPr>
              <w:spacing w:line="276" w:lineRule="auto"/>
              <w:jc w:val="right"/>
              <w:rPr>
                <w:rFonts w:ascii="Arial" w:hAnsi="Arial" w:cs="Arial"/>
                <w:b/>
                <w:bCs/>
              </w:rPr>
            </w:pPr>
            <w:r>
              <w:rPr>
                <w:rFonts w:ascii="Arial" w:hAnsi="Arial" w:cs="Arial"/>
                <w:b/>
                <w:bCs/>
              </w:rPr>
              <w:t>At</w:t>
            </w:r>
          </w:p>
          <w:p w14:paraId="2B170EDC" w14:textId="60D351DA" w:rsidR="00E26D69" w:rsidRDefault="00E26D69" w:rsidP="00EA2ED2">
            <w:pPr>
              <w:spacing w:line="276" w:lineRule="auto"/>
              <w:jc w:val="right"/>
              <w:rPr>
                <w:rFonts w:ascii="Arial" w:hAnsi="Arial" w:cs="Arial"/>
                <w:b/>
                <w:bCs/>
              </w:rPr>
            </w:pPr>
            <w:r w:rsidRPr="00E26D69">
              <w:rPr>
                <w:rFonts w:ascii="Arial" w:hAnsi="Arial" w:cs="Arial"/>
                <w:b/>
                <w:bCs/>
              </w:rPr>
              <w:t>31 March 20</w:t>
            </w:r>
            <w:r w:rsidR="001A1B06">
              <w:rPr>
                <w:rFonts w:ascii="Arial" w:hAnsi="Arial" w:cs="Arial"/>
                <w:b/>
                <w:bCs/>
              </w:rPr>
              <w:t>2</w:t>
            </w:r>
            <w:r w:rsidR="00F17E39">
              <w:rPr>
                <w:rFonts w:ascii="Arial" w:hAnsi="Arial" w:cs="Arial"/>
                <w:b/>
                <w:bCs/>
              </w:rPr>
              <w:t>1</w:t>
            </w:r>
          </w:p>
          <w:p w14:paraId="55536D03" w14:textId="77777777" w:rsidR="00E31840" w:rsidRPr="00E26D69" w:rsidRDefault="00E31840" w:rsidP="009A642E">
            <w:pPr>
              <w:spacing w:line="276" w:lineRule="auto"/>
              <w:rPr>
                <w:rFonts w:ascii="Arial" w:hAnsi="Arial" w:cs="Arial"/>
                <w:b/>
                <w:bCs/>
              </w:rPr>
            </w:pPr>
          </w:p>
          <w:p w14:paraId="2EA1CDFD" w14:textId="77777777" w:rsidR="00E26D69" w:rsidRPr="00E26D69" w:rsidRDefault="00E26D69" w:rsidP="00EA2ED2">
            <w:pPr>
              <w:spacing w:line="276" w:lineRule="auto"/>
              <w:jc w:val="right"/>
              <w:rPr>
                <w:rFonts w:ascii="Arial" w:hAnsi="Arial" w:cs="Arial"/>
                <w:b/>
                <w:bCs/>
              </w:rPr>
            </w:pPr>
            <w:r w:rsidRPr="00E26D69">
              <w:rPr>
                <w:rFonts w:ascii="Arial" w:hAnsi="Arial" w:cs="Arial"/>
                <w:b/>
                <w:bCs/>
              </w:rPr>
              <w:t>£’000</w:t>
            </w:r>
          </w:p>
        </w:tc>
      </w:tr>
      <w:tr w:rsidR="00167866" w:rsidRPr="00E26D69" w14:paraId="2F92D0CB" w14:textId="77777777" w:rsidTr="00EA2ED2">
        <w:trPr>
          <w:trHeight w:val="454"/>
        </w:trPr>
        <w:tc>
          <w:tcPr>
            <w:tcW w:w="6380" w:type="dxa"/>
            <w:tcBorders>
              <w:top w:val="nil"/>
              <w:left w:val="nil"/>
              <w:right w:val="nil"/>
            </w:tcBorders>
            <w:vAlign w:val="bottom"/>
          </w:tcPr>
          <w:p w14:paraId="05ED3198" w14:textId="1FF359A6" w:rsidR="00CF53AF" w:rsidRPr="00E26D69" w:rsidRDefault="00CF53AF" w:rsidP="00CF53AF">
            <w:pPr>
              <w:ind w:hanging="108"/>
              <w:rPr>
                <w:rFonts w:ascii="Arial" w:hAnsi="Arial" w:cs="Arial"/>
                <w:bCs/>
              </w:rPr>
            </w:pPr>
            <w:r w:rsidRPr="00E26D69">
              <w:rPr>
                <w:rFonts w:ascii="Arial" w:hAnsi="Arial" w:cs="Arial"/>
                <w:bCs/>
              </w:rPr>
              <w:t>Balance at 1 April 20</w:t>
            </w:r>
            <w:r>
              <w:rPr>
                <w:rFonts w:ascii="Arial" w:hAnsi="Arial" w:cs="Arial"/>
                <w:bCs/>
              </w:rPr>
              <w:t>2</w:t>
            </w:r>
            <w:r w:rsidR="00F17E39">
              <w:rPr>
                <w:rFonts w:ascii="Arial" w:hAnsi="Arial" w:cs="Arial"/>
                <w:bCs/>
              </w:rPr>
              <w:t>1</w:t>
            </w:r>
          </w:p>
        </w:tc>
        <w:tc>
          <w:tcPr>
            <w:tcW w:w="1986" w:type="dxa"/>
            <w:tcBorders>
              <w:top w:val="nil"/>
              <w:left w:val="nil"/>
              <w:right w:val="nil"/>
            </w:tcBorders>
            <w:shd w:val="clear" w:color="auto" w:fill="EAF1DD" w:themeFill="accent3" w:themeFillTint="33"/>
            <w:vAlign w:val="bottom"/>
          </w:tcPr>
          <w:p w14:paraId="779454A7" w14:textId="61E5B203" w:rsidR="00CF53AF" w:rsidRPr="00E26D69" w:rsidRDefault="000A4EA0" w:rsidP="00CF53AF">
            <w:pPr>
              <w:spacing w:line="276" w:lineRule="auto"/>
              <w:jc w:val="right"/>
              <w:rPr>
                <w:rFonts w:ascii="Arial" w:hAnsi="Arial" w:cs="Arial"/>
              </w:rPr>
            </w:pPr>
            <w:r>
              <w:rPr>
                <w:rFonts w:ascii="Arial" w:hAnsi="Arial" w:cs="Arial"/>
              </w:rPr>
              <w:t>4,731</w:t>
            </w:r>
          </w:p>
        </w:tc>
        <w:tc>
          <w:tcPr>
            <w:tcW w:w="1983" w:type="dxa"/>
            <w:tcBorders>
              <w:top w:val="nil"/>
              <w:left w:val="nil"/>
              <w:right w:val="nil"/>
            </w:tcBorders>
            <w:vAlign w:val="bottom"/>
          </w:tcPr>
          <w:p w14:paraId="108092F7" w14:textId="24E3E36B" w:rsidR="00CF53AF" w:rsidRPr="00E26D69" w:rsidRDefault="00CF53AF" w:rsidP="00CF53AF">
            <w:pPr>
              <w:spacing w:line="276" w:lineRule="auto"/>
              <w:jc w:val="right"/>
              <w:rPr>
                <w:rFonts w:ascii="Arial" w:hAnsi="Arial" w:cs="Arial"/>
              </w:rPr>
            </w:pPr>
            <w:r>
              <w:rPr>
                <w:rFonts w:ascii="Arial" w:hAnsi="Arial" w:cs="Arial"/>
              </w:rPr>
              <w:t>922</w:t>
            </w:r>
          </w:p>
        </w:tc>
      </w:tr>
      <w:tr w:rsidR="005A4491" w:rsidRPr="00E26D69" w14:paraId="1EAF5AB9" w14:textId="77777777" w:rsidTr="00EA2ED2">
        <w:trPr>
          <w:trHeight w:val="454"/>
        </w:trPr>
        <w:tc>
          <w:tcPr>
            <w:tcW w:w="6380" w:type="dxa"/>
            <w:tcBorders>
              <w:top w:val="nil"/>
              <w:left w:val="nil"/>
              <w:right w:val="nil"/>
            </w:tcBorders>
            <w:vAlign w:val="bottom"/>
          </w:tcPr>
          <w:p w14:paraId="2E60C507" w14:textId="77777777" w:rsidR="00CF53AF" w:rsidRPr="00E26D69" w:rsidRDefault="00CF53AF" w:rsidP="00CF53AF">
            <w:pPr>
              <w:ind w:left="-108"/>
              <w:rPr>
                <w:rFonts w:ascii="Arial" w:hAnsi="Arial" w:cs="Arial"/>
              </w:rPr>
            </w:pPr>
            <w:r w:rsidRPr="00E26D69">
              <w:rPr>
                <w:rFonts w:ascii="Arial" w:hAnsi="Arial" w:cs="Arial"/>
                <w:bCs/>
              </w:rPr>
              <w:t>Net change in cash and cash equivalent balances</w:t>
            </w:r>
          </w:p>
        </w:tc>
        <w:tc>
          <w:tcPr>
            <w:tcW w:w="1986" w:type="dxa"/>
            <w:tcBorders>
              <w:left w:val="nil"/>
              <w:bottom w:val="single" w:sz="4" w:space="0" w:color="auto"/>
              <w:right w:val="nil"/>
            </w:tcBorders>
            <w:shd w:val="clear" w:color="auto" w:fill="EAF1DD" w:themeFill="accent3" w:themeFillTint="33"/>
            <w:vAlign w:val="bottom"/>
          </w:tcPr>
          <w:p w14:paraId="517369BF" w14:textId="15BF34A9" w:rsidR="00CF53AF" w:rsidRPr="00E26D69" w:rsidRDefault="000A4EA0" w:rsidP="00CF53AF">
            <w:pPr>
              <w:spacing w:line="276" w:lineRule="auto"/>
              <w:jc w:val="right"/>
              <w:rPr>
                <w:rFonts w:ascii="Arial" w:hAnsi="Arial" w:cs="Arial"/>
              </w:rPr>
            </w:pPr>
            <w:r>
              <w:rPr>
                <w:rFonts w:ascii="Arial" w:hAnsi="Arial" w:cs="Arial"/>
              </w:rPr>
              <w:t>(2,58</w:t>
            </w:r>
            <w:r w:rsidR="00BD4701">
              <w:rPr>
                <w:rFonts w:ascii="Arial" w:hAnsi="Arial" w:cs="Arial"/>
              </w:rPr>
              <w:t>5</w:t>
            </w:r>
            <w:r>
              <w:rPr>
                <w:rFonts w:ascii="Arial" w:hAnsi="Arial" w:cs="Arial"/>
              </w:rPr>
              <w:t>)</w:t>
            </w:r>
          </w:p>
        </w:tc>
        <w:tc>
          <w:tcPr>
            <w:tcW w:w="1983" w:type="dxa"/>
            <w:tcBorders>
              <w:left w:val="nil"/>
              <w:bottom w:val="single" w:sz="4" w:space="0" w:color="auto"/>
              <w:right w:val="nil"/>
            </w:tcBorders>
            <w:vAlign w:val="bottom"/>
          </w:tcPr>
          <w:p w14:paraId="53AC93CF" w14:textId="4FA27934" w:rsidR="00CF53AF" w:rsidRPr="00E26D69" w:rsidRDefault="00CF53AF" w:rsidP="00CF53AF">
            <w:pPr>
              <w:spacing w:line="276" w:lineRule="auto"/>
              <w:jc w:val="right"/>
              <w:rPr>
                <w:rFonts w:ascii="Arial" w:hAnsi="Arial" w:cs="Arial"/>
              </w:rPr>
            </w:pPr>
            <w:r>
              <w:rPr>
                <w:rFonts w:ascii="Arial" w:hAnsi="Arial" w:cs="Arial"/>
              </w:rPr>
              <w:t>3,809</w:t>
            </w:r>
          </w:p>
        </w:tc>
      </w:tr>
      <w:tr w:rsidR="005A4491" w:rsidRPr="00E26D69" w14:paraId="0E42B4B5" w14:textId="77777777" w:rsidTr="00EA2ED2">
        <w:trPr>
          <w:trHeight w:val="454"/>
        </w:trPr>
        <w:tc>
          <w:tcPr>
            <w:tcW w:w="6380" w:type="dxa"/>
            <w:tcBorders>
              <w:left w:val="nil"/>
              <w:right w:val="nil"/>
            </w:tcBorders>
            <w:vAlign w:val="bottom"/>
          </w:tcPr>
          <w:p w14:paraId="48381B9C" w14:textId="30FEB71D" w:rsidR="00CF53AF" w:rsidRPr="00E26D69" w:rsidRDefault="00CF53AF" w:rsidP="00CF53AF">
            <w:pPr>
              <w:ind w:left="-108"/>
              <w:rPr>
                <w:rFonts w:ascii="Arial" w:hAnsi="Arial" w:cs="Arial"/>
              </w:rPr>
            </w:pPr>
            <w:r w:rsidRPr="00E26D69">
              <w:rPr>
                <w:rFonts w:ascii="Arial" w:hAnsi="Arial" w:cs="Arial"/>
              </w:rPr>
              <w:t>Balance at 31 March 202</w:t>
            </w:r>
            <w:r w:rsidR="00F17E39">
              <w:rPr>
                <w:rFonts w:ascii="Arial" w:hAnsi="Arial" w:cs="Arial"/>
              </w:rPr>
              <w:t>2</w:t>
            </w:r>
          </w:p>
        </w:tc>
        <w:tc>
          <w:tcPr>
            <w:tcW w:w="1986" w:type="dxa"/>
            <w:tcBorders>
              <w:top w:val="single" w:sz="4" w:space="0" w:color="auto"/>
              <w:left w:val="nil"/>
              <w:bottom w:val="double" w:sz="4" w:space="0" w:color="auto"/>
              <w:right w:val="nil"/>
            </w:tcBorders>
            <w:shd w:val="clear" w:color="auto" w:fill="EAF1DD" w:themeFill="accent3" w:themeFillTint="33"/>
            <w:vAlign w:val="bottom"/>
          </w:tcPr>
          <w:p w14:paraId="2B88168D" w14:textId="24E204A2" w:rsidR="00CF53AF" w:rsidRPr="00E26D69" w:rsidRDefault="000A4EA0" w:rsidP="00CF53AF">
            <w:pPr>
              <w:spacing w:line="276" w:lineRule="auto"/>
              <w:jc w:val="right"/>
              <w:rPr>
                <w:rFonts w:ascii="Arial" w:hAnsi="Arial" w:cs="Arial"/>
                <w:b/>
              </w:rPr>
            </w:pPr>
            <w:r>
              <w:rPr>
                <w:rFonts w:ascii="Arial" w:hAnsi="Arial" w:cs="Arial"/>
                <w:b/>
              </w:rPr>
              <w:t>2,14</w:t>
            </w:r>
            <w:r w:rsidR="00BD4701">
              <w:rPr>
                <w:rFonts w:ascii="Arial" w:hAnsi="Arial" w:cs="Arial"/>
                <w:b/>
              </w:rPr>
              <w:t>6</w:t>
            </w:r>
          </w:p>
        </w:tc>
        <w:tc>
          <w:tcPr>
            <w:tcW w:w="1983" w:type="dxa"/>
            <w:tcBorders>
              <w:top w:val="single" w:sz="4" w:space="0" w:color="auto"/>
              <w:left w:val="nil"/>
              <w:bottom w:val="double" w:sz="4" w:space="0" w:color="auto"/>
              <w:right w:val="nil"/>
            </w:tcBorders>
            <w:vAlign w:val="bottom"/>
          </w:tcPr>
          <w:p w14:paraId="1ED5E1C3" w14:textId="44A118B0" w:rsidR="00CF53AF" w:rsidRPr="00E26D69" w:rsidRDefault="00CF53AF" w:rsidP="00CF53AF">
            <w:pPr>
              <w:spacing w:line="276" w:lineRule="auto"/>
              <w:jc w:val="right"/>
              <w:rPr>
                <w:rFonts w:ascii="Arial" w:hAnsi="Arial" w:cs="Arial"/>
                <w:b/>
              </w:rPr>
            </w:pPr>
            <w:r>
              <w:rPr>
                <w:rFonts w:ascii="Arial" w:hAnsi="Arial" w:cs="Arial"/>
                <w:b/>
              </w:rPr>
              <w:t>4,731</w:t>
            </w:r>
          </w:p>
        </w:tc>
      </w:tr>
      <w:tr w:rsidR="00863090" w:rsidRPr="00E26D69" w14:paraId="710000E9" w14:textId="77777777" w:rsidTr="00EA2ED2">
        <w:trPr>
          <w:trHeight w:val="454"/>
        </w:trPr>
        <w:tc>
          <w:tcPr>
            <w:tcW w:w="6380" w:type="dxa"/>
            <w:tcBorders>
              <w:left w:val="nil"/>
              <w:right w:val="nil"/>
            </w:tcBorders>
            <w:vAlign w:val="bottom"/>
          </w:tcPr>
          <w:p w14:paraId="301B4671" w14:textId="77777777" w:rsidR="00CF53AF" w:rsidRPr="00E26D69" w:rsidRDefault="00CF53AF" w:rsidP="00CF53AF">
            <w:pPr>
              <w:ind w:left="-108"/>
              <w:rPr>
                <w:rFonts w:ascii="Arial" w:hAnsi="Arial" w:cs="Arial"/>
              </w:rPr>
            </w:pPr>
          </w:p>
        </w:tc>
        <w:tc>
          <w:tcPr>
            <w:tcW w:w="1986" w:type="dxa"/>
            <w:tcBorders>
              <w:top w:val="double" w:sz="4" w:space="0" w:color="auto"/>
              <w:left w:val="nil"/>
              <w:right w:val="nil"/>
            </w:tcBorders>
            <w:shd w:val="clear" w:color="auto" w:fill="EAF1DD" w:themeFill="accent3" w:themeFillTint="33"/>
            <w:vAlign w:val="bottom"/>
          </w:tcPr>
          <w:p w14:paraId="216A29DB" w14:textId="77777777" w:rsidR="00CF53AF" w:rsidRPr="00E26D69" w:rsidRDefault="00CF53AF" w:rsidP="00CF53AF">
            <w:pPr>
              <w:spacing w:line="276" w:lineRule="auto"/>
              <w:jc w:val="right"/>
              <w:rPr>
                <w:rFonts w:ascii="Arial" w:hAnsi="Arial" w:cs="Arial"/>
                <w:b/>
              </w:rPr>
            </w:pPr>
          </w:p>
        </w:tc>
        <w:tc>
          <w:tcPr>
            <w:tcW w:w="1983" w:type="dxa"/>
            <w:tcBorders>
              <w:top w:val="double" w:sz="4" w:space="0" w:color="auto"/>
              <w:left w:val="nil"/>
              <w:right w:val="nil"/>
            </w:tcBorders>
            <w:vAlign w:val="bottom"/>
          </w:tcPr>
          <w:p w14:paraId="00D47102" w14:textId="77777777" w:rsidR="00CF53AF" w:rsidRPr="00E26D69" w:rsidRDefault="00CF53AF" w:rsidP="00CF53AF">
            <w:pPr>
              <w:spacing w:line="276" w:lineRule="auto"/>
              <w:jc w:val="right"/>
              <w:rPr>
                <w:rFonts w:ascii="Arial" w:hAnsi="Arial" w:cs="Arial"/>
                <w:b/>
              </w:rPr>
            </w:pPr>
          </w:p>
        </w:tc>
      </w:tr>
      <w:tr w:rsidR="00167866" w:rsidRPr="00E26D69" w14:paraId="1E80BCCD" w14:textId="77777777" w:rsidTr="00EA2ED2">
        <w:trPr>
          <w:trHeight w:val="454"/>
        </w:trPr>
        <w:tc>
          <w:tcPr>
            <w:tcW w:w="6380" w:type="dxa"/>
            <w:tcBorders>
              <w:left w:val="nil"/>
              <w:right w:val="nil"/>
            </w:tcBorders>
            <w:vAlign w:val="bottom"/>
          </w:tcPr>
          <w:p w14:paraId="282FEAC6" w14:textId="77777777" w:rsidR="00CF53AF" w:rsidRPr="00E26D69" w:rsidRDefault="00CF53AF" w:rsidP="00CF53AF">
            <w:pPr>
              <w:ind w:left="-108"/>
              <w:rPr>
                <w:rFonts w:ascii="Arial" w:hAnsi="Arial" w:cs="Arial"/>
              </w:rPr>
            </w:pPr>
            <w:r w:rsidRPr="00E26D69">
              <w:rPr>
                <w:rFonts w:ascii="Arial" w:hAnsi="Arial" w:cs="Arial"/>
              </w:rPr>
              <w:t>The following balances were held in:</w:t>
            </w:r>
          </w:p>
        </w:tc>
        <w:tc>
          <w:tcPr>
            <w:tcW w:w="1986" w:type="dxa"/>
            <w:tcBorders>
              <w:left w:val="nil"/>
              <w:right w:val="nil"/>
            </w:tcBorders>
            <w:shd w:val="clear" w:color="auto" w:fill="EAF1DD" w:themeFill="accent3" w:themeFillTint="33"/>
            <w:vAlign w:val="bottom"/>
          </w:tcPr>
          <w:p w14:paraId="514E842C" w14:textId="77777777" w:rsidR="00CF53AF" w:rsidRPr="00E26D69" w:rsidRDefault="00CF53AF" w:rsidP="00CF53AF">
            <w:pPr>
              <w:spacing w:line="276" w:lineRule="auto"/>
              <w:jc w:val="right"/>
              <w:rPr>
                <w:rFonts w:ascii="Arial" w:hAnsi="Arial" w:cs="Arial"/>
                <w:b/>
              </w:rPr>
            </w:pPr>
          </w:p>
        </w:tc>
        <w:tc>
          <w:tcPr>
            <w:tcW w:w="1983" w:type="dxa"/>
            <w:tcBorders>
              <w:left w:val="nil"/>
              <w:right w:val="nil"/>
            </w:tcBorders>
            <w:vAlign w:val="bottom"/>
          </w:tcPr>
          <w:p w14:paraId="4C316872" w14:textId="77777777" w:rsidR="00CF53AF" w:rsidRPr="00E26D69" w:rsidRDefault="00CF53AF" w:rsidP="00CF53AF">
            <w:pPr>
              <w:spacing w:line="276" w:lineRule="auto"/>
              <w:jc w:val="right"/>
              <w:rPr>
                <w:rFonts w:ascii="Arial" w:hAnsi="Arial" w:cs="Arial"/>
                <w:b/>
              </w:rPr>
            </w:pPr>
          </w:p>
        </w:tc>
      </w:tr>
      <w:tr w:rsidR="00167866" w:rsidRPr="00E26D69" w14:paraId="5C435312" w14:textId="77777777" w:rsidTr="00EA2ED2">
        <w:trPr>
          <w:trHeight w:val="454"/>
        </w:trPr>
        <w:tc>
          <w:tcPr>
            <w:tcW w:w="6380" w:type="dxa"/>
            <w:tcBorders>
              <w:left w:val="nil"/>
              <w:right w:val="nil"/>
            </w:tcBorders>
            <w:vAlign w:val="bottom"/>
          </w:tcPr>
          <w:p w14:paraId="4BD7C0B7" w14:textId="77777777" w:rsidR="00CF53AF" w:rsidRPr="00E26D69" w:rsidRDefault="00CF53AF" w:rsidP="00CF53AF">
            <w:pPr>
              <w:ind w:left="-108"/>
              <w:rPr>
                <w:rFonts w:ascii="Arial" w:hAnsi="Arial" w:cs="Arial"/>
              </w:rPr>
            </w:pPr>
            <w:r w:rsidRPr="00E26D69">
              <w:rPr>
                <w:rFonts w:ascii="Arial" w:hAnsi="Arial" w:cs="Arial"/>
              </w:rPr>
              <w:t>Government banking services</w:t>
            </w:r>
          </w:p>
        </w:tc>
        <w:tc>
          <w:tcPr>
            <w:tcW w:w="1986" w:type="dxa"/>
            <w:tcBorders>
              <w:left w:val="nil"/>
              <w:right w:val="nil"/>
            </w:tcBorders>
            <w:shd w:val="clear" w:color="auto" w:fill="EAF1DD" w:themeFill="accent3" w:themeFillTint="33"/>
            <w:vAlign w:val="bottom"/>
          </w:tcPr>
          <w:p w14:paraId="2F0907D2" w14:textId="4865A0A1" w:rsidR="00CF53AF" w:rsidRPr="00E26D69" w:rsidRDefault="000A4EA0" w:rsidP="00CF53AF">
            <w:pPr>
              <w:spacing w:line="276" w:lineRule="auto"/>
              <w:jc w:val="right"/>
              <w:rPr>
                <w:rFonts w:ascii="Arial" w:hAnsi="Arial" w:cs="Arial"/>
              </w:rPr>
            </w:pPr>
            <w:r>
              <w:rPr>
                <w:rFonts w:ascii="Arial" w:hAnsi="Arial" w:cs="Arial"/>
              </w:rPr>
              <w:t>2,12</w:t>
            </w:r>
            <w:r w:rsidR="00BD4701">
              <w:rPr>
                <w:rFonts w:ascii="Arial" w:hAnsi="Arial" w:cs="Arial"/>
              </w:rPr>
              <w:t>8</w:t>
            </w:r>
          </w:p>
        </w:tc>
        <w:tc>
          <w:tcPr>
            <w:tcW w:w="1983" w:type="dxa"/>
            <w:tcBorders>
              <w:left w:val="nil"/>
              <w:right w:val="nil"/>
            </w:tcBorders>
            <w:vAlign w:val="bottom"/>
          </w:tcPr>
          <w:p w14:paraId="087DC6E1" w14:textId="06A3937B" w:rsidR="00CF53AF" w:rsidRPr="00E26D69" w:rsidRDefault="00CF53AF" w:rsidP="00CF53AF">
            <w:pPr>
              <w:spacing w:line="276" w:lineRule="auto"/>
              <w:jc w:val="right"/>
              <w:rPr>
                <w:rFonts w:ascii="Arial" w:hAnsi="Arial" w:cs="Arial"/>
              </w:rPr>
            </w:pPr>
            <w:r>
              <w:rPr>
                <w:rFonts w:ascii="Arial" w:hAnsi="Arial" w:cs="Arial"/>
              </w:rPr>
              <w:t>4,729</w:t>
            </w:r>
          </w:p>
        </w:tc>
      </w:tr>
      <w:tr w:rsidR="00863090" w:rsidRPr="00E26D69" w14:paraId="57104957" w14:textId="77777777" w:rsidTr="00EA2ED2">
        <w:trPr>
          <w:trHeight w:val="454"/>
        </w:trPr>
        <w:tc>
          <w:tcPr>
            <w:tcW w:w="6380" w:type="dxa"/>
            <w:tcBorders>
              <w:left w:val="nil"/>
              <w:right w:val="nil"/>
            </w:tcBorders>
            <w:vAlign w:val="bottom"/>
          </w:tcPr>
          <w:p w14:paraId="1DD6AF42" w14:textId="77777777" w:rsidR="00CF53AF" w:rsidRPr="00E26D69" w:rsidRDefault="00CF53AF" w:rsidP="00CF53AF">
            <w:pPr>
              <w:ind w:left="-108"/>
              <w:rPr>
                <w:rFonts w:ascii="Arial" w:hAnsi="Arial" w:cs="Arial"/>
              </w:rPr>
            </w:pPr>
            <w:r w:rsidRPr="00E26D69">
              <w:rPr>
                <w:rFonts w:ascii="Arial" w:hAnsi="Arial" w:cs="Arial"/>
              </w:rPr>
              <w:t>Commercial banks and cash in hand</w:t>
            </w:r>
          </w:p>
        </w:tc>
        <w:tc>
          <w:tcPr>
            <w:tcW w:w="1986" w:type="dxa"/>
            <w:tcBorders>
              <w:left w:val="nil"/>
              <w:bottom w:val="single" w:sz="4" w:space="0" w:color="auto"/>
              <w:right w:val="nil"/>
            </w:tcBorders>
            <w:shd w:val="clear" w:color="auto" w:fill="EAF1DD" w:themeFill="accent3" w:themeFillTint="33"/>
            <w:vAlign w:val="bottom"/>
          </w:tcPr>
          <w:p w14:paraId="500E4906" w14:textId="3A11F7A5" w:rsidR="00CF53AF" w:rsidRPr="00E26D69" w:rsidRDefault="000A4EA0" w:rsidP="00CF53AF">
            <w:pPr>
              <w:spacing w:line="276" w:lineRule="auto"/>
              <w:jc w:val="right"/>
              <w:rPr>
                <w:rFonts w:ascii="Arial" w:hAnsi="Arial" w:cs="Arial"/>
              </w:rPr>
            </w:pPr>
            <w:r>
              <w:rPr>
                <w:rFonts w:ascii="Arial" w:hAnsi="Arial" w:cs="Arial"/>
              </w:rPr>
              <w:t>1</w:t>
            </w:r>
            <w:r w:rsidR="00BA0A52">
              <w:rPr>
                <w:rFonts w:ascii="Arial" w:hAnsi="Arial" w:cs="Arial"/>
              </w:rPr>
              <w:t>8</w:t>
            </w:r>
          </w:p>
        </w:tc>
        <w:tc>
          <w:tcPr>
            <w:tcW w:w="1983" w:type="dxa"/>
            <w:tcBorders>
              <w:left w:val="nil"/>
              <w:bottom w:val="single" w:sz="4" w:space="0" w:color="auto"/>
              <w:right w:val="nil"/>
            </w:tcBorders>
            <w:vAlign w:val="bottom"/>
          </w:tcPr>
          <w:p w14:paraId="4F14410C" w14:textId="3E439A76" w:rsidR="00CF53AF" w:rsidRPr="00E26D69" w:rsidRDefault="00CF53AF" w:rsidP="00CF53AF">
            <w:pPr>
              <w:spacing w:line="276" w:lineRule="auto"/>
              <w:jc w:val="right"/>
              <w:rPr>
                <w:rFonts w:ascii="Arial" w:hAnsi="Arial" w:cs="Arial"/>
              </w:rPr>
            </w:pPr>
            <w:r>
              <w:rPr>
                <w:rFonts w:ascii="Arial" w:hAnsi="Arial" w:cs="Arial"/>
              </w:rPr>
              <w:t>2</w:t>
            </w:r>
          </w:p>
        </w:tc>
      </w:tr>
      <w:tr w:rsidR="005A4491" w:rsidRPr="00E26D69" w14:paraId="2709AC98" w14:textId="77777777" w:rsidTr="00EA2ED2">
        <w:trPr>
          <w:trHeight w:val="454"/>
        </w:trPr>
        <w:tc>
          <w:tcPr>
            <w:tcW w:w="6380" w:type="dxa"/>
            <w:tcBorders>
              <w:left w:val="nil"/>
              <w:right w:val="nil"/>
            </w:tcBorders>
            <w:vAlign w:val="bottom"/>
          </w:tcPr>
          <w:p w14:paraId="26DA8299" w14:textId="0BA87002" w:rsidR="00CF53AF" w:rsidRPr="00E26D69" w:rsidRDefault="00CF53AF" w:rsidP="00CF53AF">
            <w:pPr>
              <w:ind w:left="-108"/>
              <w:rPr>
                <w:rFonts w:ascii="Arial" w:hAnsi="Arial" w:cs="Arial"/>
              </w:rPr>
            </w:pPr>
            <w:r w:rsidRPr="00E26D69">
              <w:rPr>
                <w:rFonts w:ascii="Arial" w:hAnsi="Arial" w:cs="Arial"/>
              </w:rPr>
              <w:t>Balance at 31 March 202</w:t>
            </w:r>
            <w:r w:rsidR="00F17E39">
              <w:rPr>
                <w:rFonts w:ascii="Arial" w:hAnsi="Arial" w:cs="Arial"/>
              </w:rPr>
              <w:t>2</w:t>
            </w:r>
          </w:p>
        </w:tc>
        <w:tc>
          <w:tcPr>
            <w:tcW w:w="1986" w:type="dxa"/>
            <w:tcBorders>
              <w:top w:val="single" w:sz="4" w:space="0" w:color="auto"/>
              <w:left w:val="nil"/>
              <w:bottom w:val="double" w:sz="4" w:space="0" w:color="auto"/>
              <w:right w:val="nil"/>
            </w:tcBorders>
            <w:shd w:val="clear" w:color="auto" w:fill="EAF1DD" w:themeFill="accent3" w:themeFillTint="33"/>
            <w:vAlign w:val="bottom"/>
          </w:tcPr>
          <w:p w14:paraId="27D0E1F4" w14:textId="3AAA537F" w:rsidR="00CF53AF" w:rsidRPr="00E26D69" w:rsidRDefault="000A4EA0" w:rsidP="00CF53AF">
            <w:pPr>
              <w:spacing w:line="276" w:lineRule="auto"/>
              <w:jc w:val="right"/>
              <w:rPr>
                <w:rFonts w:ascii="Arial" w:hAnsi="Arial" w:cs="Arial"/>
                <w:b/>
              </w:rPr>
            </w:pPr>
            <w:r>
              <w:rPr>
                <w:rFonts w:ascii="Arial" w:hAnsi="Arial" w:cs="Arial"/>
                <w:b/>
              </w:rPr>
              <w:t>2,14</w:t>
            </w:r>
            <w:r w:rsidR="00763EAE">
              <w:rPr>
                <w:rFonts w:ascii="Arial" w:hAnsi="Arial" w:cs="Arial"/>
                <w:b/>
              </w:rPr>
              <w:t>6</w:t>
            </w:r>
          </w:p>
        </w:tc>
        <w:tc>
          <w:tcPr>
            <w:tcW w:w="1983" w:type="dxa"/>
            <w:tcBorders>
              <w:top w:val="single" w:sz="4" w:space="0" w:color="auto"/>
              <w:left w:val="nil"/>
              <w:bottom w:val="double" w:sz="4" w:space="0" w:color="auto"/>
              <w:right w:val="nil"/>
            </w:tcBorders>
            <w:vAlign w:val="bottom"/>
          </w:tcPr>
          <w:p w14:paraId="1379143A" w14:textId="2C442550" w:rsidR="00CF53AF" w:rsidRPr="00E26D69" w:rsidRDefault="00CF53AF" w:rsidP="00CF53AF">
            <w:pPr>
              <w:spacing w:line="276" w:lineRule="auto"/>
              <w:jc w:val="right"/>
              <w:rPr>
                <w:rFonts w:ascii="Arial" w:hAnsi="Arial" w:cs="Arial"/>
                <w:b/>
              </w:rPr>
            </w:pPr>
            <w:r>
              <w:rPr>
                <w:rFonts w:ascii="Arial" w:hAnsi="Arial" w:cs="Arial"/>
                <w:b/>
              </w:rPr>
              <w:t>4,731</w:t>
            </w:r>
          </w:p>
        </w:tc>
      </w:tr>
    </w:tbl>
    <w:p w14:paraId="6B51A4D2" w14:textId="77777777" w:rsidR="00FF1B54" w:rsidRDefault="00FF1B54" w:rsidP="00FF1B54">
      <w:pPr>
        <w:spacing w:line="360" w:lineRule="auto"/>
        <w:contextualSpacing/>
        <w:rPr>
          <w:rFonts w:ascii="Arial" w:hAnsi="Arial" w:cs="Arial"/>
          <w:b/>
        </w:rPr>
      </w:pPr>
    </w:p>
    <w:p w14:paraId="68BD4890" w14:textId="67D6A100" w:rsidR="00CB03D3" w:rsidRPr="000A4EA0" w:rsidRDefault="00CB03D3" w:rsidP="000A1D9E">
      <w:pPr>
        <w:numPr>
          <w:ilvl w:val="0"/>
          <w:numId w:val="19"/>
        </w:numPr>
        <w:spacing w:line="360" w:lineRule="auto"/>
        <w:ind w:left="113" w:firstLine="567"/>
        <w:contextualSpacing/>
        <w:rPr>
          <w:rFonts w:ascii="Arial" w:hAnsi="Arial" w:cs="Arial"/>
          <w:b/>
        </w:rPr>
      </w:pPr>
      <w:bookmarkStart w:id="44" w:name="Note11Tradeandotherreceivables"/>
      <w:r w:rsidRPr="000A4EA0">
        <w:rPr>
          <w:rFonts w:ascii="Arial" w:hAnsi="Arial" w:cs="Arial"/>
          <w:b/>
        </w:rPr>
        <w:t>Trade and other receivables</w:t>
      </w:r>
    </w:p>
    <w:bookmarkEnd w:id="44"/>
    <w:tbl>
      <w:tblPr>
        <w:tblW w:w="10349" w:type="dxa"/>
        <w:tblInd w:w="-284" w:type="dxa"/>
        <w:tblLook w:val="0000" w:firstRow="0" w:lastRow="0" w:firstColumn="0" w:lastColumn="0" w:noHBand="0" w:noVBand="0"/>
      </w:tblPr>
      <w:tblGrid>
        <w:gridCol w:w="6380"/>
        <w:gridCol w:w="1984"/>
        <w:gridCol w:w="1985"/>
      </w:tblGrid>
      <w:tr w:rsidR="00167866" w:rsidRPr="00E26D69" w14:paraId="5B37BFB3" w14:textId="77777777" w:rsidTr="000E58CC">
        <w:trPr>
          <w:trHeight w:val="397"/>
        </w:trPr>
        <w:tc>
          <w:tcPr>
            <w:tcW w:w="6380" w:type="dxa"/>
            <w:tcBorders>
              <w:top w:val="nil"/>
              <w:left w:val="nil"/>
              <w:bottom w:val="nil"/>
              <w:right w:val="nil"/>
            </w:tcBorders>
            <w:vAlign w:val="bottom"/>
          </w:tcPr>
          <w:p w14:paraId="499D0BB7" w14:textId="62D3A301" w:rsidR="00CB03D3" w:rsidRPr="00E26D69" w:rsidRDefault="00CB03D3" w:rsidP="00451AE8">
            <w:pPr>
              <w:ind w:left="-99"/>
              <w:rPr>
                <w:rFonts w:ascii="Arial" w:hAnsi="Arial" w:cs="Arial"/>
                <w:b/>
                <w:bCs/>
              </w:rPr>
            </w:pPr>
          </w:p>
          <w:p w14:paraId="3F74AAEC" w14:textId="77777777" w:rsidR="00E26D69" w:rsidRPr="00E26D69" w:rsidRDefault="00E26D69" w:rsidP="00451AE8">
            <w:pPr>
              <w:ind w:left="-99"/>
              <w:rPr>
                <w:rFonts w:ascii="Arial" w:hAnsi="Arial" w:cs="Arial"/>
                <w:b/>
                <w:bCs/>
              </w:rPr>
            </w:pPr>
          </w:p>
          <w:p w14:paraId="2C99AD0C" w14:textId="77777777" w:rsidR="006E0CC8" w:rsidRPr="00E26D69" w:rsidRDefault="006E0CC8" w:rsidP="000E58CC">
            <w:pPr>
              <w:rPr>
                <w:rFonts w:ascii="Arial" w:hAnsi="Arial" w:cs="Arial"/>
                <w:b/>
                <w:bCs/>
              </w:rPr>
            </w:pPr>
          </w:p>
          <w:p w14:paraId="6BD2C641" w14:textId="77777777" w:rsidR="00E26D69" w:rsidRPr="00E26D69" w:rsidRDefault="00E26D69" w:rsidP="00451AE8">
            <w:pPr>
              <w:ind w:left="-99"/>
              <w:rPr>
                <w:rFonts w:ascii="Arial" w:hAnsi="Arial" w:cs="Arial"/>
                <w:b/>
                <w:bCs/>
              </w:rPr>
            </w:pPr>
            <w:r w:rsidRPr="00E26D69">
              <w:rPr>
                <w:rFonts w:ascii="Arial" w:hAnsi="Arial" w:cs="Arial"/>
                <w:b/>
                <w:bCs/>
              </w:rPr>
              <w:t>Amounts falling due within one year</w:t>
            </w:r>
          </w:p>
        </w:tc>
        <w:tc>
          <w:tcPr>
            <w:tcW w:w="1984" w:type="dxa"/>
            <w:tcBorders>
              <w:top w:val="nil"/>
              <w:left w:val="nil"/>
              <w:bottom w:val="nil"/>
              <w:right w:val="nil"/>
            </w:tcBorders>
            <w:shd w:val="clear" w:color="auto" w:fill="EAF1DD" w:themeFill="accent3" w:themeFillTint="33"/>
          </w:tcPr>
          <w:p w14:paraId="100CAED1" w14:textId="2ABC5628" w:rsidR="00E26D69" w:rsidRPr="00E26D69" w:rsidRDefault="00C90814" w:rsidP="000E58CC">
            <w:pPr>
              <w:jc w:val="right"/>
              <w:rPr>
                <w:rFonts w:ascii="Arial" w:hAnsi="Arial" w:cs="Arial"/>
                <w:b/>
                <w:bCs/>
              </w:rPr>
            </w:pPr>
            <w:r>
              <w:rPr>
                <w:rFonts w:ascii="Arial" w:hAnsi="Arial" w:cs="Arial"/>
                <w:b/>
                <w:bCs/>
              </w:rPr>
              <w:t>At</w:t>
            </w:r>
          </w:p>
          <w:p w14:paraId="4B932C78" w14:textId="6EE8AA9F" w:rsidR="00E26D69" w:rsidRDefault="00E26D69" w:rsidP="000E58CC">
            <w:pPr>
              <w:jc w:val="right"/>
              <w:rPr>
                <w:rFonts w:ascii="Arial" w:hAnsi="Arial" w:cs="Arial"/>
                <w:b/>
                <w:bCs/>
              </w:rPr>
            </w:pPr>
            <w:r w:rsidRPr="00E26D69">
              <w:rPr>
                <w:rFonts w:ascii="Arial" w:hAnsi="Arial" w:cs="Arial"/>
                <w:b/>
                <w:bCs/>
              </w:rPr>
              <w:t>31 March 202</w:t>
            </w:r>
            <w:r w:rsidR="00F17E39">
              <w:rPr>
                <w:rFonts w:ascii="Arial" w:hAnsi="Arial" w:cs="Arial"/>
                <w:b/>
                <w:bCs/>
              </w:rPr>
              <w:t>2</w:t>
            </w:r>
          </w:p>
          <w:p w14:paraId="1C9C849F" w14:textId="77777777" w:rsidR="006E0CC8" w:rsidRPr="00E26D69" w:rsidRDefault="006E0CC8" w:rsidP="000E58CC">
            <w:pPr>
              <w:jc w:val="right"/>
              <w:rPr>
                <w:rFonts w:ascii="Arial" w:hAnsi="Arial" w:cs="Arial"/>
                <w:b/>
                <w:bCs/>
              </w:rPr>
            </w:pPr>
          </w:p>
          <w:p w14:paraId="681DD0AE" w14:textId="77777777" w:rsidR="00E26D69" w:rsidRPr="00E26D69" w:rsidRDefault="00E26D69" w:rsidP="000E58CC">
            <w:pPr>
              <w:jc w:val="right"/>
              <w:rPr>
                <w:rFonts w:ascii="Arial" w:hAnsi="Arial" w:cs="Arial"/>
                <w:b/>
                <w:bCs/>
              </w:rPr>
            </w:pPr>
            <w:r w:rsidRPr="00E26D69">
              <w:rPr>
                <w:rFonts w:ascii="Arial" w:hAnsi="Arial" w:cs="Arial"/>
                <w:b/>
                <w:bCs/>
              </w:rPr>
              <w:t>£’000</w:t>
            </w:r>
          </w:p>
        </w:tc>
        <w:tc>
          <w:tcPr>
            <w:tcW w:w="1985" w:type="dxa"/>
            <w:tcBorders>
              <w:top w:val="nil"/>
              <w:left w:val="nil"/>
              <w:bottom w:val="nil"/>
              <w:right w:val="nil"/>
            </w:tcBorders>
          </w:tcPr>
          <w:p w14:paraId="5ADBA24A" w14:textId="7DCEC9CC" w:rsidR="00E26D69" w:rsidRPr="00E26D69" w:rsidRDefault="00C90814" w:rsidP="00E31840">
            <w:pPr>
              <w:jc w:val="right"/>
              <w:rPr>
                <w:rFonts w:ascii="Arial" w:hAnsi="Arial" w:cs="Arial"/>
                <w:b/>
                <w:bCs/>
              </w:rPr>
            </w:pPr>
            <w:r>
              <w:rPr>
                <w:rFonts w:ascii="Arial" w:hAnsi="Arial" w:cs="Arial"/>
                <w:b/>
                <w:bCs/>
              </w:rPr>
              <w:t>At</w:t>
            </w:r>
          </w:p>
          <w:p w14:paraId="5BE2E8BD" w14:textId="1B7EFFA9" w:rsidR="00E26D69" w:rsidRDefault="00E26D69" w:rsidP="00E31840">
            <w:pPr>
              <w:jc w:val="right"/>
              <w:rPr>
                <w:rFonts w:ascii="Arial" w:hAnsi="Arial" w:cs="Arial"/>
                <w:b/>
                <w:bCs/>
              </w:rPr>
            </w:pPr>
            <w:r w:rsidRPr="00E26D69">
              <w:rPr>
                <w:rFonts w:ascii="Arial" w:hAnsi="Arial" w:cs="Arial"/>
                <w:b/>
                <w:bCs/>
              </w:rPr>
              <w:t>31 March 20</w:t>
            </w:r>
            <w:r w:rsidR="001A1B06">
              <w:rPr>
                <w:rFonts w:ascii="Arial" w:hAnsi="Arial" w:cs="Arial"/>
                <w:b/>
                <w:bCs/>
              </w:rPr>
              <w:t>2</w:t>
            </w:r>
            <w:r w:rsidR="00F17E39">
              <w:rPr>
                <w:rFonts w:ascii="Arial" w:hAnsi="Arial" w:cs="Arial"/>
                <w:b/>
                <w:bCs/>
              </w:rPr>
              <w:t>1</w:t>
            </w:r>
          </w:p>
          <w:p w14:paraId="549F4698" w14:textId="77777777" w:rsidR="00E31840" w:rsidRPr="00E26D69" w:rsidRDefault="00E31840" w:rsidP="000E58CC">
            <w:pPr>
              <w:rPr>
                <w:rFonts w:ascii="Arial" w:hAnsi="Arial" w:cs="Arial"/>
                <w:b/>
                <w:bCs/>
              </w:rPr>
            </w:pPr>
          </w:p>
          <w:p w14:paraId="2B0789A1" w14:textId="77777777" w:rsidR="00E26D69" w:rsidRPr="00E26D69" w:rsidRDefault="00E26D69" w:rsidP="00E31840">
            <w:pPr>
              <w:jc w:val="right"/>
              <w:rPr>
                <w:rFonts w:ascii="Arial" w:hAnsi="Arial" w:cs="Arial"/>
                <w:b/>
                <w:bCs/>
              </w:rPr>
            </w:pPr>
            <w:r w:rsidRPr="00E26D69">
              <w:rPr>
                <w:rFonts w:ascii="Arial" w:hAnsi="Arial" w:cs="Arial"/>
                <w:b/>
                <w:bCs/>
              </w:rPr>
              <w:t>£’000</w:t>
            </w:r>
          </w:p>
        </w:tc>
      </w:tr>
      <w:tr w:rsidR="00863090" w:rsidRPr="00E26D69" w14:paraId="1C768320" w14:textId="77777777" w:rsidTr="00926029">
        <w:trPr>
          <w:trHeight w:val="454"/>
        </w:trPr>
        <w:tc>
          <w:tcPr>
            <w:tcW w:w="6380" w:type="dxa"/>
            <w:tcBorders>
              <w:top w:val="nil"/>
              <w:left w:val="nil"/>
              <w:bottom w:val="nil"/>
              <w:right w:val="nil"/>
            </w:tcBorders>
            <w:vAlign w:val="bottom"/>
          </w:tcPr>
          <w:p w14:paraId="04C22A8B" w14:textId="77777777" w:rsidR="00F17E39" w:rsidRPr="00E26D69" w:rsidRDefault="00F17E39" w:rsidP="00F17E39">
            <w:pPr>
              <w:ind w:left="-99"/>
              <w:rPr>
                <w:rFonts w:ascii="Arial" w:hAnsi="Arial" w:cs="Arial"/>
              </w:rPr>
            </w:pPr>
            <w:r w:rsidRPr="00E26D69">
              <w:rPr>
                <w:rFonts w:ascii="Arial" w:hAnsi="Arial" w:cs="Arial"/>
              </w:rPr>
              <w:t>Trade receivables</w:t>
            </w:r>
          </w:p>
        </w:tc>
        <w:tc>
          <w:tcPr>
            <w:tcW w:w="1984" w:type="dxa"/>
            <w:tcBorders>
              <w:top w:val="nil"/>
              <w:left w:val="nil"/>
              <w:right w:val="nil"/>
            </w:tcBorders>
            <w:shd w:val="clear" w:color="auto" w:fill="EAF1DD" w:themeFill="accent3" w:themeFillTint="33"/>
            <w:vAlign w:val="bottom"/>
          </w:tcPr>
          <w:p w14:paraId="27E6DB48" w14:textId="2B5320F0" w:rsidR="00F17E39" w:rsidRPr="00E26D69" w:rsidRDefault="00E23C87" w:rsidP="00926029">
            <w:pPr>
              <w:jc w:val="right"/>
              <w:rPr>
                <w:rFonts w:ascii="Arial" w:hAnsi="Arial" w:cs="Arial"/>
              </w:rPr>
            </w:pPr>
            <w:r>
              <w:rPr>
                <w:rFonts w:ascii="Arial" w:hAnsi="Arial" w:cs="Arial"/>
              </w:rPr>
              <w:t>7,8</w:t>
            </w:r>
            <w:r w:rsidR="00904365">
              <w:rPr>
                <w:rFonts w:ascii="Arial" w:hAnsi="Arial" w:cs="Arial"/>
              </w:rPr>
              <w:t>6</w:t>
            </w:r>
            <w:r>
              <w:rPr>
                <w:rFonts w:ascii="Arial" w:hAnsi="Arial" w:cs="Arial"/>
              </w:rPr>
              <w:t>0</w:t>
            </w:r>
          </w:p>
        </w:tc>
        <w:tc>
          <w:tcPr>
            <w:tcW w:w="1985" w:type="dxa"/>
            <w:tcBorders>
              <w:top w:val="nil"/>
              <w:left w:val="nil"/>
              <w:right w:val="nil"/>
            </w:tcBorders>
            <w:vAlign w:val="bottom"/>
          </w:tcPr>
          <w:p w14:paraId="5E772941" w14:textId="2F8EBA55" w:rsidR="00F17E39" w:rsidRPr="00E26D69" w:rsidRDefault="00F17E39" w:rsidP="00926029">
            <w:pPr>
              <w:jc w:val="right"/>
              <w:rPr>
                <w:rFonts w:ascii="Arial" w:hAnsi="Arial" w:cs="Arial"/>
              </w:rPr>
            </w:pPr>
            <w:r>
              <w:rPr>
                <w:rFonts w:ascii="Arial" w:hAnsi="Arial" w:cs="Arial"/>
              </w:rPr>
              <w:t>4,171</w:t>
            </w:r>
          </w:p>
        </w:tc>
      </w:tr>
      <w:tr w:rsidR="005A4491" w:rsidRPr="00E26D69" w14:paraId="7F8D753D" w14:textId="77777777" w:rsidTr="00926029">
        <w:trPr>
          <w:trHeight w:val="454"/>
        </w:trPr>
        <w:tc>
          <w:tcPr>
            <w:tcW w:w="6380" w:type="dxa"/>
            <w:tcBorders>
              <w:top w:val="nil"/>
              <w:left w:val="nil"/>
              <w:bottom w:val="nil"/>
              <w:right w:val="nil"/>
            </w:tcBorders>
            <w:vAlign w:val="bottom"/>
          </w:tcPr>
          <w:p w14:paraId="0991144E" w14:textId="77777777" w:rsidR="00F17E39" w:rsidRPr="00E26D69" w:rsidRDefault="00F17E39" w:rsidP="00F17E39">
            <w:pPr>
              <w:ind w:left="-99"/>
              <w:rPr>
                <w:rFonts w:ascii="Arial" w:hAnsi="Arial" w:cs="Arial"/>
              </w:rPr>
            </w:pPr>
            <w:r w:rsidRPr="00E26D69">
              <w:rPr>
                <w:rFonts w:ascii="Arial" w:hAnsi="Arial" w:cs="Arial"/>
              </w:rPr>
              <w:t>Less provisions for bad debts</w:t>
            </w:r>
          </w:p>
        </w:tc>
        <w:tc>
          <w:tcPr>
            <w:tcW w:w="1984" w:type="dxa"/>
            <w:tcBorders>
              <w:top w:val="nil"/>
              <w:left w:val="nil"/>
              <w:bottom w:val="single" w:sz="4" w:space="0" w:color="auto"/>
              <w:right w:val="nil"/>
            </w:tcBorders>
            <w:shd w:val="clear" w:color="auto" w:fill="EAF1DD" w:themeFill="accent3" w:themeFillTint="33"/>
            <w:vAlign w:val="bottom"/>
          </w:tcPr>
          <w:p w14:paraId="1DC4B839" w14:textId="1C542C55" w:rsidR="00F17E39" w:rsidRPr="00E26D69" w:rsidRDefault="001856DB" w:rsidP="00926029">
            <w:pPr>
              <w:jc w:val="right"/>
              <w:rPr>
                <w:rFonts w:ascii="Arial" w:hAnsi="Arial" w:cs="Arial"/>
              </w:rPr>
            </w:pPr>
            <w:r>
              <w:rPr>
                <w:rFonts w:ascii="Arial" w:hAnsi="Arial" w:cs="Arial"/>
              </w:rPr>
              <w:t>(2,879)</w:t>
            </w:r>
          </w:p>
        </w:tc>
        <w:tc>
          <w:tcPr>
            <w:tcW w:w="1985" w:type="dxa"/>
            <w:tcBorders>
              <w:top w:val="nil"/>
              <w:left w:val="nil"/>
              <w:bottom w:val="single" w:sz="4" w:space="0" w:color="auto"/>
              <w:right w:val="nil"/>
            </w:tcBorders>
            <w:vAlign w:val="bottom"/>
          </w:tcPr>
          <w:p w14:paraId="1EDC2BEA" w14:textId="3C29BBCE" w:rsidR="00F17E39" w:rsidRPr="00E26D69" w:rsidRDefault="00F17E39" w:rsidP="00926029">
            <w:pPr>
              <w:jc w:val="right"/>
              <w:rPr>
                <w:rFonts w:ascii="Arial" w:hAnsi="Arial" w:cs="Arial"/>
              </w:rPr>
            </w:pPr>
            <w:r>
              <w:rPr>
                <w:rFonts w:ascii="Arial" w:hAnsi="Arial" w:cs="Arial"/>
              </w:rPr>
              <w:t>(2,197)</w:t>
            </w:r>
          </w:p>
        </w:tc>
      </w:tr>
      <w:tr w:rsidR="005A4491" w:rsidRPr="00E26D69" w14:paraId="047A1726" w14:textId="77777777" w:rsidTr="00926029">
        <w:trPr>
          <w:trHeight w:val="454"/>
        </w:trPr>
        <w:tc>
          <w:tcPr>
            <w:tcW w:w="6380" w:type="dxa"/>
            <w:tcBorders>
              <w:top w:val="nil"/>
              <w:left w:val="nil"/>
              <w:bottom w:val="nil"/>
              <w:right w:val="nil"/>
            </w:tcBorders>
            <w:vAlign w:val="bottom"/>
          </w:tcPr>
          <w:p w14:paraId="70D79F11" w14:textId="3BF15BDD" w:rsidR="00F17E39" w:rsidRPr="00E26D69" w:rsidRDefault="00F17E39" w:rsidP="00F17E39">
            <w:pPr>
              <w:ind w:left="-99"/>
              <w:rPr>
                <w:rFonts w:ascii="Arial" w:hAnsi="Arial" w:cs="Arial"/>
              </w:rPr>
            </w:pPr>
            <w:r w:rsidRPr="00E26D69">
              <w:rPr>
                <w:rFonts w:ascii="Arial" w:hAnsi="Arial" w:cs="Arial"/>
              </w:rPr>
              <w:t xml:space="preserve">Trade receivables </w:t>
            </w:r>
          </w:p>
        </w:tc>
        <w:tc>
          <w:tcPr>
            <w:tcW w:w="1984" w:type="dxa"/>
            <w:tcBorders>
              <w:top w:val="single" w:sz="4" w:space="0" w:color="auto"/>
              <w:left w:val="nil"/>
              <w:bottom w:val="nil"/>
              <w:right w:val="nil"/>
            </w:tcBorders>
            <w:shd w:val="clear" w:color="auto" w:fill="EAF1DD" w:themeFill="accent3" w:themeFillTint="33"/>
            <w:vAlign w:val="bottom"/>
          </w:tcPr>
          <w:p w14:paraId="1AFE3D66" w14:textId="23E9DDB3" w:rsidR="00F17E39" w:rsidRPr="00E26D69" w:rsidRDefault="00E23C87" w:rsidP="00926029">
            <w:pPr>
              <w:jc w:val="right"/>
              <w:rPr>
                <w:rFonts w:ascii="Arial" w:hAnsi="Arial" w:cs="Arial"/>
              </w:rPr>
            </w:pPr>
            <w:r>
              <w:rPr>
                <w:rFonts w:ascii="Arial" w:hAnsi="Arial" w:cs="Arial"/>
              </w:rPr>
              <w:t>4</w:t>
            </w:r>
            <w:r w:rsidR="001856DB">
              <w:rPr>
                <w:rFonts w:ascii="Arial" w:hAnsi="Arial" w:cs="Arial"/>
              </w:rPr>
              <w:t>,</w:t>
            </w:r>
            <w:r>
              <w:rPr>
                <w:rFonts w:ascii="Arial" w:hAnsi="Arial" w:cs="Arial"/>
              </w:rPr>
              <w:t>981</w:t>
            </w:r>
          </w:p>
        </w:tc>
        <w:tc>
          <w:tcPr>
            <w:tcW w:w="1985" w:type="dxa"/>
            <w:tcBorders>
              <w:top w:val="single" w:sz="4" w:space="0" w:color="auto"/>
              <w:left w:val="nil"/>
              <w:bottom w:val="nil"/>
              <w:right w:val="nil"/>
            </w:tcBorders>
            <w:vAlign w:val="bottom"/>
          </w:tcPr>
          <w:p w14:paraId="26862D06" w14:textId="0794805A" w:rsidR="00F17E39" w:rsidRPr="00E26D69" w:rsidRDefault="00F17E39" w:rsidP="00926029">
            <w:pPr>
              <w:jc w:val="right"/>
              <w:rPr>
                <w:rFonts w:ascii="Arial" w:hAnsi="Arial" w:cs="Arial"/>
              </w:rPr>
            </w:pPr>
            <w:r>
              <w:rPr>
                <w:rFonts w:ascii="Arial" w:hAnsi="Arial" w:cs="Arial"/>
              </w:rPr>
              <w:t>1,974</w:t>
            </w:r>
          </w:p>
        </w:tc>
      </w:tr>
      <w:tr w:rsidR="00167866" w:rsidRPr="00E26D69" w14:paraId="5D7EB6A1" w14:textId="77777777" w:rsidTr="00926029">
        <w:trPr>
          <w:trHeight w:val="454"/>
        </w:trPr>
        <w:tc>
          <w:tcPr>
            <w:tcW w:w="6380" w:type="dxa"/>
            <w:tcBorders>
              <w:top w:val="nil"/>
              <w:left w:val="nil"/>
              <w:bottom w:val="nil"/>
              <w:right w:val="nil"/>
            </w:tcBorders>
            <w:vAlign w:val="bottom"/>
          </w:tcPr>
          <w:p w14:paraId="5AD6C9B8" w14:textId="77777777" w:rsidR="00F17E39" w:rsidRPr="00E26D69" w:rsidRDefault="00F17E39" w:rsidP="00F17E39">
            <w:pPr>
              <w:ind w:left="-99"/>
              <w:rPr>
                <w:rFonts w:ascii="Arial" w:hAnsi="Arial" w:cs="Arial"/>
              </w:rPr>
            </w:pPr>
            <w:r w:rsidRPr="00E26D69">
              <w:rPr>
                <w:rFonts w:ascii="Arial" w:hAnsi="Arial" w:cs="Arial"/>
              </w:rPr>
              <w:t>Other trade receivables</w:t>
            </w:r>
          </w:p>
        </w:tc>
        <w:tc>
          <w:tcPr>
            <w:tcW w:w="1984" w:type="dxa"/>
            <w:tcBorders>
              <w:top w:val="nil"/>
              <w:left w:val="nil"/>
              <w:bottom w:val="nil"/>
              <w:right w:val="nil"/>
            </w:tcBorders>
            <w:shd w:val="clear" w:color="auto" w:fill="EAF1DD" w:themeFill="accent3" w:themeFillTint="33"/>
            <w:vAlign w:val="bottom"/>
          </w:tcPr>
          <w:p w14:paraId="7D058B88" w14:textId="0463B859" w:rsidR="00F17E39" w:rsidRPr="00E26D69" w:rsidRDefault="001856DB" w:rsidP="00926029">
            <w:pPr>
              <w:jc w:val="right"/>
              <w:rPr>
                <w:rFonts w:ascii="Arial" w:hAnsi="Arial" w:cs="Arial"/>
              </w:rPr>
            </w:pPr>
            <w:r>
              <w:rPr>
                <w:rFonts w:ascii="Arial" w:hAnsi="Arial" w:cs="Arial"/>
              </w:rPr>
              <w:t>2</w:t>
            </w:r>
          </w:p>
        </w:tc>
        <w:tc>
          <w:tcPr>
            <w:tcW w:w="1985" w:type="dxa"/>
            <w:tcBorders>
              <w:top w:val="nil"/>
              <w:left w:val="nil"/>
              <w:bottom w:val="nil"/>
              <w:right w:val="nil"/>
            </w:tcBorders>
            <w:vAlign w:val="bottom"/>
          </w:tcPr>
          <w:p w14:paraId="58C6CBA1" w14:textId="6B316C47" w:rsidR="00F17E39" w:rsidRPr="00547746" w:rsidRDefault="00F17E39" w:rsidP="00926029">
            <w:pPr>
              <w:jc w:val="right"/>
              <w:rPr>
                <w:rFonts w:ascii="Arial" w:hAnsi="Arial" w:cs="Arial"/>
              </w:rPr>
            </w:pPr>
            <w:r>
              <w:rPr>
                <w:rFonts w:ascii="Arial" w:hAnsi="Arial" w:cs="Arial"/>
              </w:rPr>
              <w:t>(3)</w:t>
            </w:r>
          </w:p>
        </w:tc>
      </w:tr>
      <w:tr w:rsidR="005A4491" w:rsidRPr="00E26D69" w14:paraId="373C1EFE" w14:textId="77777777" w:rsidTr="00926029">
        <w:trPr>
          <w:trHeight w:val="454"/>
        </w:trPr>
        <w:tc>
          <w:tcPr>
            <w:tcW w:w="6380" w:type="dxa"/>
            <w:tcBorders>
              <w:top w:val="nil"/>
              <w:left w:val="nil"/>
              <w:bottom w:val="nil"/>
              <w:right w:val="nil"/>
            </w:tcBorders>
            <w:vAlign w:val="bottom"/>
          </w:tcPr>
          <w:p w14:paraId="613121D7" w14:textId="77777777" w:rsidR="00F17E39" w:rsidRPr="00E26D69" w:rsidRDefault="00F17E39" w:rsidP="00F17E39">
            <w:pPr>
              <w:ind w:left="-99"/>
              <w:rPr>
                <w:rFonts w:ascii="Arial" w:hAnsi="Arial" w:cs="Arial"/>
              </w:rPr>
            </w:pPr>
            <w:r w:rsidRPr="00E26D69">
              <w:rPr>
                <w:rFonts w:ascii="Arial" w:hAnsi="Arial" w:cs="Arial"/>
              </w:rPr>
              <w:t>Prepayments and accrued income</w:t>
            </w:r>
          </w:p>
        </w:tc>
        <w:tc>
          <w:tcPr>
            <w:tcW w:w="1984" w:type="dxa"/>
            <w:tcBorders>
              <w:top w:val="nil"/>
              <w:left w:val="nil"/>
              <w:bottom w:val="single" w:sz="4" w:space="0" w:color="auto"/>
              <w:right w:val="nil"/>
            </w:tcBorders>
            <w:shd w:val="clear" w:color="auto" w:fill="EAF1DD" w:themeFill="accent3" w:themeFillTint="33"/>
            <w:vAlign w:val="bottom"/>
          </w:tcPr>
          <w:p w14:paraId="34EC2FC4" w14:textId="2571396F" w:rsidR="00F17E39" w:rsidRPr="00E26D69" w:rsidRDefault="000E62E2" w:rsidP="00926029">
            <w:pPr>
              <w:jc w:val="right"/>
              <w:rPr>
                <w:rFonts w:ascii="Arial" w:hAnsi="Arial" w:cs="Arial"/>
              </w:rPr>
            </w:pPr>
            <w:r>
              <w:rPr>
                <w:rFonts w:ascii="Arial" w:hAnsi="Arial" w:cs="Arial"/>
              </w:rPr>
              <w:t>2</w:t>
            </w:r>
            <w:r w:rsidR="001856DB">
              <w:rPr>
                <w:rFonts w:ascii="Arial" w:hAnsi="Arial" w:cs="Arial"/>
              </w:rPr>
              <w:t>,0</w:t>
            </w:r>
            <w:r>
              <w:rPr>
                <w:rFonts w:ascii="Arial" w:hAnsi="Arial" w:cs="Arial"/>
              </w:rPr>
              <w:t>8</w:t>
            </w:r>
            <w:r w:rsidR="001539CA">
              <w:rPr>
                <w:rFonts w:ascii="Arial" w:hAnsi="Arial" w:cs="Arial"/>
              </w:rPr>
              <w:t>5</w:t>
            </w:r>
          </w:p>
        </w:tc>
        <w:tc>
          <w:tcPr>
            <w:tcW w:w="1985" w:type="dxa"/>
            <w:tcBorders>
              <w:top w:val="nil"/>
              <w:left w:val="nil"/>
              <w:bottom w:val="single" w:sz="4" w:space="0" w:color="auto"/>
              <w:right w:val="nil"/>
            </w:tcBorders>
            <w:vAlign w:val="bottom"/>
          </w:tcPr>
          <w:p w14:paraId="63F132F0" w14:textId="2C65EF56" w:rsidR="00F17E39" w:rsidRPr="00E26D69" w:rsidRDefault="00F17E39" w:rsidP="00926029">
            <w:pPr>
              <w:jc w:val="right"/>
              <w:rPr>
                <w:rFonts w:ascii="Arial" w:hAnsi="Arial" w:cs="Arial"/>
              </w:rPr>
            </w:pPr>
            <w:r>
              <w:rPr>
                <w:rFonts w:ascii="Arial" w:hAnsi="Arial" w:cs="Arial"/>
              </w:rPr>
              <w:t>1,698</w:t>
            </w:r>
          </w:p>
        </w:tc>
      </w:tr>
      <w:tr w:rsidR="005A4491" w:rsidRPr="00E26D69" w14:paraId="543FE188" w14:textId="77777777" w:rsidTr="00926029">
        <w:trPr>
          <w:trHeight w:val="454"/>
        </w:trPr>
        <w:tc>
          <w:tcPr>
            <w:tcW w:w="6380" w:type="dxa"/>
            <w:tcBorders>
              <w:top w:val="nil"/>
              <w:left w:val="nil"/>
              <w:bottom w:val="nil"/>
              <w:right w:val="nil"/>
            </w:tcBorders>
            <w:vAlign w:val="bottom"/>
          </w:tcPr>
          <w:p w14:paraId="187DCF24" w14:textId="77777777" w:rsidR="00F17E39" w:rsidRPr="00E26D69" w:rsidRDefault="00F17E39" w:rsidP="00F17E39">
            <w:pPr>
              <w:ind w:left="-99"/>
              <w:rPr>
                <w:rFonts w:ascii="Arial" w:hAnsi="Arial" w:cs="Arial"/>
              </w:rPr>
            </w:pPr>
            <w:r w:rsidRPr="00E26D69">
              <w:rPr>
                <w:rFonts w:ascii="Arial" w:hAnsi="Arial" w:cs="Arial"/>
              </w:rPr>
              <w:t>Sub total</w:t>
            </w:r>
          </w:p>
        </w:tc>
        <w:tc>
          <w:tcPr>
            <w:tcW w:w="1984" w:type="dxa"/>
            <w:tcBorders>
              <w:top w:val="single" w:sz="4" w:space="0" w:color="auto"/>
              <w:left w:val="nil"/>
              <w:bottom w:val="single" w:sz="4" w:space="0" w:color="auto"/>
              <w:right w:val="nil"/>
            </w:tcBorders>
            <w:shd w:val="clear" w:color="auto" w:fill="EAF1DD" w:themeFill="accent3" w:themeFillTint="33"/>
            <w:vAlign w:val="bottom"/>
          </w:tcPr>
          <w:p w14:paraId="2D805BE4" w14:textId="021F5666" w:rsidR="00F17E39" w:rsidRPr="00E26D69" w:rsidRDefault="00E23C87" w:rsidP="00926029">
            <w:pPr>
              <w:jc w:val="right"/>
              <w:rPr>
                <w:rFonts w:ascii="Arial" w:hAnsi="Arial" w:cs="Arial"/>
                <w:b/>
              </w:rPr>
            </w:pPr>
            <w:r>
              <w:rPr>
                <w:rFonts w:ascii="Arial" w:hAnsi="Arial" w:cs="Arial"/>
                <w:b/>
              </w:rPr>
              <w:t>7,068</w:t>
            </w:r>
          </w:p>
        </w:tc>
        <w:tc>
          <w:tcPr>
            <w:tcW w:w="1985" w:type="dxa"/>
            <w:tcBorders>
              <w:top w:val="single" w:sz="4" w:space="0" w:color="auto"/>
              <w:left w:val="nil"/>
              <w:bottom w:val="single" w:sz="4" w:space="0" w:color="auto"/>
              <w:right w:val="nil"/>
            </w:tcBorders>
            <w:vAlign w:val="bottom"/>
          </w:tcPr>
          <w:p w14:paraId="3051FC11" w14:textId="3424251A" w:rsidR="00F17E39" w:rsidRPr="00E26D69" w:rsidRDefault="00F17E39" w:rsidP="00926029">
            <w:pPr>
              <w:jc w:val="right"/>
              <w:rPr>
                <w:rFonts w:ascii="Arial" w:hAnsi="Arial" w:cs="Arial"/>
                <w:b/>
              </w:rPr>
            </w:pPr>
            <w:r>
              <w:rPr>
                <w:rFonts w:ascii="Arial" w:hAnsi="Arial" w:cs="Arial"/>
                <w:b/>
              </w:rPr>
              <w:t>3,669</w:t>
            </w:r>
          </w:p>
        </w:tc>
      </w:tr>
      <w:tr w:rsidR="005A4491" w:rsidRPr="00E26D69" w14:paraId="1D20734B" w14:textId="77777777" w:rsidTr="00105D0B">
        <w:trPr>
          <w:trHeight w:val="454"/>
        </w:trPr>
        <w:tc>
          <w:tcPr>
            <w:tcW w:w="6380" w:type="dxa"/>
            <w:tcBorders>
              <w:top w:val="nil"/>
              <w:left w:val="nil"/>
              <w:bottom w:val="nil"/>
              <w:right w:val="nil"/>
            </w:tcBorders>
            <w:vAlign w:val="bottom"/>
          </w:tcPr>
          <w:p w14:paraId="122F8612" w14:textId="7180659D" w:rsidR="00F17E39" w:rsidRPr="005A6D15" w:rsidRDefault="00F17E39" w:rsidP="00F17E39">
            <w:pPr>
              <w:ind w:left="-99"/>
              <w:rPr>
                <w:rFonts w:ascii="Arial" w:hAnsi="Arial" w:cs="Arial"/>
                <w:b/>
                <w:bCs/>
              </w:rPr>
            </w:pPr>
            <w:r w:rsidRPr="00E26D69">
              <w:rPr>
                <w:rFonts w:ascii="Arial" w:hAnsi="Arial" w:cs="Arial"/>
                <w:b/>
                <w:bCs/>
              </w:rPr>
              <w:t xml:space="preserve">Amounts falling due after one year </w:t>
            </w:r>
          </w:p>
        </w:tc>
        <w:tc>
          <w:tcPr>
            <w:tcW w:w="1984" w:type="dxa"/>
            <w:tcBorders>
              <w:top w:val="single" w:sz="4" w:space="0" w:color="auto"/>
              <w:left w:val="nil"/>
              <w:right w:val="nil"/>
            </w:tcBorders>
            <w:shd w:val="clear" w:color="auto" w:fill="EAF1DD" w:themeFill="accent3" w:themeFillTint="33"/>
            <w:vAlign w:val="bottom"/>
          </w:tcPr>
          <w:p w14:paraId="44372912" w14:textId="12E53C16" w:rsidR="00F17E39" w:rsidRPr="00E26D69" w:rsidRDefault="00F17E39" w:rsidP="00105D0B">
            <w:pPr>
              <w:jc w:val="right"/>
              <w:rPr>
                <w:rFonts w:ascii="Arial" w:hAnsi="Arial" w:cs="Arial"/>
                <w:b/>
              </w:rPr>
            </w:pPr>
          </w:p>
        </w:tc>
        <w:tc>
          <w:tcPr>
            <w:tcW w:w="1985" w:type="dxa"/>
            <w:tcBorders>
              <w:top w:val="single" w:sz="4" w:space="0" w:color="auto"/>
              <w:left w:val="nil"/>
              <w:right w:val="nil"/>
            </w:tcBorders>
            <w:vAlign w:val="bottom"/>
          </w:tcPr>
          <w:p w14:paraId="132F6ACA" w14:textId="30DF90AD" w:rsidR="00F17E39" w:rsidRPr="00E26D69" w:rsidRDefault="00F17E39" w:rsidP="00F17E39">
            <w:pPr>
              <w:jc w:val="right"/>
              <w:rPr>
                <w:rFonts w:ascii="Arial" w:hAnsi="Arial" w:cs="Arial"/>
                <w:b/>
              </w:rPr>
            </w:pPr>
          </w:p>
        </w:tc>
      </w:tr>
      <w:tr w:rsidR="005A4491" w:rsidRPr="00E26D69" w14:paraId="04E7C507" w14:textId="77777777" w:rsidTr="00105D0B">
        <w:trPr>
          <w:trHeight w:val="454"/>
        </w:trPr>
        <w:tc>
          <w:tcPr>
            <w:tcW w:w="6380" w:type="dxa"/>
            <w:tcBorders>
              <w:top w:val="nil"/>
              <w:left w:val="nil"/>
              <w:bottom w:val="nil"/>
              <w:right w:val="nil"/>
            </w:tcBorders>
            <w:vAlign w:val="bottom"/>
          </w:tcPr>
          <w:p w14:paraId="28FEEBB6" w14:textId="2783454F" w:rsidR="00F17E39" w:rsidRPr="003F5F69" w:rsidRDefault="00F17E39" w:rsidP="00F17E39">
            <w:pPr>
              <w:ind w:left="-99"/>
              <w:rPr>
                <w:rFonts w:ascii="Arial" w:hAnsi="Arial" w:cs="Arial"/>
              </w:rPr>
            </w:pPr>
            <w:r w:rsidRPr="003F5F69">
              <w:rPr>
                <w:rFonts w:ascii="Arial" w:hAnsi="Arial" w:cs="Arial"/>
              </w:rPr>
              <w:t>Prepayments</w:t>
            </w:r>
          </w:p>
        </w:tc>
        <w:tc>
          <w:tcPr>
            <w:tcW w:w="1984" w:type="dxa"/>
            <w:tcBorders>
              <w:left w:val="nil"/>
              <w:bottom w:val="single" w:sz="4" w:space="0" w:color="auto"/>
              <w:right w:val="nil"/>
            </w:tcBorders>
            <w:shd w:val="clear" w:color="auto" w:fill="EAF1DD" w:themeFill="accent3" w:themeFillTint="33"/>
            <w:vAlign w:val="bottom"/>
          </w:tcPr>
          <w:p w14:paraId="56A56C99" w14:textId="44C14C4D" w:rsidR="00F17E39" w:rsidRPr="00E26D69" w:rsidRDefault="003A3922" w:rsidP="00105D0B">
            <w:pPr>
              <w:jc w:val="right"/>
              <w:rPr>
                <w:rFonts w:ascii="Arial" w:hAnsi="Arial" w:cs="Arial"/>
                <w:b/>
              </w:rPr>
            </w:pPr>
            <w:r>
              <w:rPr>
                <w:rFonts w:ascii="Arial" w:hAnsi="Arial" w:cs="Arial"/>
                <w:b/>
              </w:rPr>
              <w:t>-</w:t>
            </w:r>
          </w:p>
        </w:tc>
        <w:tc>
          <w:tcPr>
            <w:tcW w:w="1985" w:type="dxa"/>
            <w:tcBorders>
              <w:left w:val="nil"/>
              <w:bottom w:val="single" w:sz="4" w:space="0" w:color="auto"/>
              <w:right w:val="nil"/>
            </w:tcBorders>
            <w:vAlign w:val="bottom"/>
          </w:tcPr>
          <w:p w14:paraId="23440E5D" w14:textId="2827C776" w:rsidR="00F17E39" w:rsidRPr="00E26D69" w:rsidRDefault="00F17E39" w:rsidP="00F17E39">
            <w:pPr>
              <w:jc w:val="right"/>
              <w:rPr>
                <w:rFonts w:ascii="Arial" w:hAnsi="Arial" w:cs="Arial"/>
                <w:b/>
              </w:rPr>
            </w:pPr>
            <w:r>
              <w:rPr>
                <w:rFonts w:ascii="Arial" w:hAnsi="Arial" w:cs="Arial"/>
                <w:b/>
              </w:rPr>
              <w:t>-</w:t>
            </w:r>
          </w:p>
        </w:tc>
      </w:tr>
      <w:tr w:rsidR="005A4491" w:rsidRPr="00E26D69" w14:paraId="4552338A" w14:textId="77777777" w:rsidTr="008C7D85">
        <w:trPr>
          <w:trHeight w:val="454"/>
        </w:trPr>
        <w:tc>
          <w:tcPr>
            <w:tcW w:w="6380" w:type="dxa"/>
            <w:tcBorders>
              <w:top w:val="nil"/>
              <w:left w:val="nil"/>
              <w:bottom w:val="nil"/>
              <w:right w:val="nil"/>
            </w:tcBorders>
            <w:vAlign w:val="bottom"/>
          </w:tcPr>
          <w:p w14:paraId="00F3C8A9" w14:textId="77777777" w:rsidR="00F17E39" w:rsidRPr="00E26D69" w:rsidRDefault="00F17E39" w:rsidP="00F17E39">
            <w:pPr>
              <w:ind w:left="-108"/>
              <w:rPr>
                <w:rFonts w:ascii="Arial" w:hAnsi="Arial" w:cs="Arial"/>
              </w:rPr>
            </w:pPr>
          </w:p>
        </w:tc>
        <w:tc>
          <w:tcPr>
            <w:tcW w:w="1984" w:type="dxa"/>
            <w:tcBorders>
              <w:top w:val="single" w:sz="4" w:space="0" w:color="auto"/>
              <w:left w:val="nil"/>
              <w:bottom w:val="double" w:sz="4" w:space="0" w:color="auto"/>
              <w:right w:val="nil"/>
            </w:tcBorders>
            <w:shd w:val="clear" w:color="auto" w:fill="EAF1DD" w:themeFill="accent3" w:themeFillTint="33"/>
            <w:vAlign w:val="bottom"/>
          </w:tcPr>
          <w:p w14:paraId="2365A8A7" w14:textId="416C4118" w:rsidR="00EF1542" w:rsidRPr="00E26D69" w:rsidRDefault="00E23C87" w:rsidP="008C7D85">
            <w:pPr>
              <w:jc w:val="right"/>
              <w:rPr>
                <w:rFonts w:ascii="Arial" w:hAnsi="Arial" w:cs="Arial"/>
                <w:b/>
              </w:rPr>
            </w:pPr>
            <w:r>
              <w:rPr>
                <w:rFonts w:ascii="Arial" w:hAnsi="Arial" w:cs="Arial"/>
                <w:b/>
              </w:rPr>
              <w:t>7</w:t>
            </w:r>
            <w:r w:rsidR="00EF1542">
              <w:rPr>
                <w:rFonts w:ascii="Arial" w:hAnsi="Arial" w:cs="Arial"/>
                <w:b/>
              </w:rPr>
              <w:t>,</w:t>
            </w:r>
            <w:r w:rsidR="00172A7C">
              <w:rPr>
                <w:rFonts w:ascii="Arial" w:hAnsi="Arial" w:cs="Arial"/>
                <w:b/>
              </w:rPr>
              <w:t>068</w:t>
            </w:r>
          </w:p>
        </w:tc>
        <w:tc>
          <w:tcPr>
            <w:tcW w:w="1985" w:type="dxa"/>
            <w:tcBorders>
              <w:top w:val="single" w:sz="4" w:space="0" w:color="auto"/>
              <w:left w:val="nil"/>
              <w:bottom w:val="double" w:sz="4" w:space="0" w:color="auto"/>
              <w:right w:val="nil"/>
            </w:tcBorders>
            <w:vAlign w:val="bottom"/>
          </w:tcPr>
          <w:p w14:paraId="0E03DD6C" w14:textId="564035DB" w:rsidR="00F17E39" w:rsidRPr="00E26D69" w:rsidRDefault="00F17E39" w:rsidP="008C7D85">
            <w:pPr>
              <w:jc w:val="right"/>
              <w:rPr>
                <w:rFonts w:ascii="Arial" w:hAnsi="Arial" w:cs="Arial"/>
                <w:b/>
              </w:rPr>
            </w:pPr>
            <w:r>
              <w:rPr>
                <w:rFonts w:ascii="Arial" w:hAnsi="Arial" w:cs="Arial"/>
                <w:b/>
              </w:rPr>
              <w:t>3,669</w:t>
            </w:r>
          </w:p>
        </w:tc>
      </w:tr>
    </w:tbl>
    <w:p w14:paraId="7D901945" w14:textId="77777777" w:rsidR="00E26D69" w:rsidRPr="00E26D69" w:rsidRDefault="00E26D69" w:rsidP="00E26D69">
      <w:pPr>
        <w:spacing w:line="360" w:lineRule="auto"/>
        <w:rPr>
          <w:rFonts w:ascii="Arial" w:hAnsi="Arial" w:cs="Arial"/>
          <w:bCs/>
        </w:rPr>
      </w:pPr>
    </w:p>
    <w:p w14:paraId="45939988" w14:textId="4EC68617" w:rsidR="0059002D" w:rsidRDefault="00E26D69" w:rsidP="0059002D">
      <w:pPr>
        <w:spacing w:line="360" w:lineRule="auto"/>
        <w:ind w:left="-284" w:right="-568"/>
        <w:rPr>
          <w:rFonts w:ascii="Arial" w:hAnsi="Arial" w:cs="Arial"/>
        </w:rPr>
      </w:pPr>
      <w:r w:rsidRPr="00424C99">
        <w:rPr>
          <w:rFonts w:ascii="Arial" w:hAnsi="Arial" w:cs="Arial"/>
        </w:rPr>
        <w:t>At the year end, the total bad debt provision is £</w:t>
      </w:r>
      <w:r w:rsidR="00F0440E" w:rsidRPr="00424C99">
        <w:rPr>
          <w:rFonts w:ascii="Arial" w:hAnsi="Arial" w:cs="Arial"/>
        </w:rPr>
        <w:t>2</w:t>
      </w:r>
      <w:r w:rsidR="00AF2A9B" w:rsidRPr="00424C99">
        <w:rPr>
          <w:rFonts w:ascii="Arial" w:hAnsi="Arial" w:cs="Arial"/>
        </w:rPr>
        <w:t>.</w:t>
      </w:r>
      <w:r w:rsidR="00D14F1D" w:rsidRPr="00424C99">
        <w:rPr>
          <w:rFonts w:ascii="Arial" w:hAnsi="Arial" w:cs="Arial"/>
        </w:rPr>
        <w:t>9</w:t>
      </w:r>
      <w:r w:rsidR="00AF2A9B" w:rsidRPr="00424C99">
        <w:rPr>
          <w:rFonts w:ascii="Arial" w:hAnsi="Arial" w:cs="Arial"/>
        </w:rPr>
        <w:t>m</w:t>
      </w:r>
      <w:r w:rsidRPr="00424C99">
        <w:rPr>
          <w:rFonts w:ascii="Arial" w:hAnsi="Arial" w:cs="Arial"/>
        </w:rPr>
        <w:t xml:space="preserve"> (20</w:t>
      </w:r>
      <w:r w:rsidR="00A9538D" w:rsidRPr="00424C99">
        <w:rPr>
          <w:rFonts w:ascii="Arial" w:hAnsi="Arial" w:cs="Arial"/>
        </w:rPr>
        <w:t>2</w:t>
      </w:r>
      <w:r w:rsidR="00567AC0">
        <w:rPr>
          <w:rFonts w:ascii="Arial" w:hAnsi="Arial" w:cs="Arial"/>
        </w:rPr>
        <w:t>0</w:t>
      </w:r>
      <w:r w:rsidR="00F0440E" w:rsidRPr="00424C99">
        <w:rPr>
          <w:rFonts w:ascii="Arial" w:hAnsi="Arial" w:cs="Arial"/>
        </w:rPr>
        <w:t>/2</w:t>
      </w:r>
      <w:r w:rsidR="00567AC0">
        <w:rPr>
          <w:rFonts w:ascii="Arial" w:hAnsi="Arial" w:cs="Arial"/>
        </w:rPr>
        <w:t>1</w:t>
      </w:r>
      <w:r w:rsidR="00F0440E" w:rsidRPr="00424C99">
        <w:rPr>
          <w:rFonts w:ascii="Arial" w:hAnsi="Arial" w:cs="Arial"/>
        </w:rPr>
        <w:t>– £</w:t>
      </w:r>
      <w:r w:rsidR="00A9538D" w:rsidRPr="00424C99">
        <w:rPr>
          <w:rFonts w:ascii="Arial" w:hAnsi="Arial" w:cs="Arial"/>
        </w:rPr>
        <w:t>2.2m</w:t>
      </w:r>
      <w:r w:rsidRPr="00424C99">
        <w:rPr>
          <w:rFonts w:ascii="Arial" w:hAnsi="Arial" w:cs="Arial"/>
        </w:rPr>
        <w:t>)</w:t>
      </w:r>
      <w:r w:rsidR="00E31840">
        <w:rPr>
          <w:rFonts w:ascii="Arial" w:hAnsi="Arial" w:cs="Arial"/>
        </w:rPr>
        <w:t>.</w:t>
      </w:r>
      <w:r w:rsidR="00EE065E">
        <w:rPr>
          <w:rFonts w:ascii="Arial" w:hAnsi="Arial" w:cs="Arial"/>
        </w:rPr>
        <w:t xml:space="preserve"> </w:t>
      </w:r>
    </w:p>
    <w:p w14:paraId="24D6F1A8" w14:textId="77777777" w:rsidR="0059002D" w:rsidRDefault="0059002D" w:rsidP="0059002D">
      <w:pPr>
        <w:spacing w:line="360" w:lineRule="auto"/>
        <w:ind w:left="-284" w:right="-568"/>
        <w:rPr>
          <w:rFonts w:ascii="Arial" w:hAnsi="Arial" w:cs="Arial"/>
          <w:b/>
        </w:rPr>
      </w:pPr>
    </w:p>
    <w:p w14:paraId="23D36E50" w14:textId="451B9A0A" w:rsidR="000845C9" w:rsidRPr="00C52AAD" w:rsidRDefault="00983105" w:rsidP="002C5D83">
      <w:pPr>
        <w:spacing w:line="360" w:lineRule="auto"/>
        <w:ind w:left="-284" w:right="-568"/>
        <w:rPr>
          <w:rFonts w:ascii="Arial" w:hAnsi="Arial" w:cs="Arial"/>
          <w:b/>
        </w:rPr>
      </w:pPr>
      <w:bookmarkStart w:id="45" w:name="Note12Tradeandotherpayables"/>
      <w:r>
        <w:rPr>
          <w:rFonts w:ascii="Arial" w:hAnsi="Arial" w:cs="Arial"/>
          <w:b/>
        </w:rPr>
        <w:t xml:space="preserve">Note 12. </w:t>
      </w:r>
      <w:r w:rsidR="0059002D">
        <w:rPr>
          <w:rFonts w:ascii="Arial" w:hAnsi="Arial" w:cs="Arial"/>
          <w:b/>
        </w:rPr>
        <w:t>T</w:t>
      </w:r>
      <w:r w:rsidR="00E26D69" w:rsidRPr="00C52AAD">
        <w:rPr>
          <w:rFonts w:ascii="Arial" w:hAnsi="Arial" w:cs="Arial"/>
          <w:b/>
        </w:rPr>
        <w:t>rade and other payables</w:t>
      </w:r>
    </w:p>
    <w:bookmarkEnd w:id="45"/>
    <w:tbl>
      <w:tblPr>
        <w:tblW w:w="10774" w:type="dxa"/>
        <w:tblInd w:w="-284" w:type="dxa"/>
        <w:tblLook w:val="0000" w:firstRow="0" w:lastRow="0" w:firstColumn="0" w:lastColumn="0" w:noHBand="0" w:noVBand="0"/>
      </w:tblPr>
      <w:tblGrid>
        <w:gridCol w:w="6380"/>
        <w:gridCol w:w="2225"/>
        <w:gridCol w:w="2169"/>
      </w:tblGrid>
      <w:tr w:rsidR="00167866" w:rsidRPr="00E26D69" w14:paraId="5AED781E" w14:textId="77777777" w:rsidTr="00E31840">
        <w:trPr>
          <w:trHeight w:val="454"/>
        </w:trPr>
        <w:tc>
          <w:tcPr>
            <w:tcW w:w="6380" w:type="dxa"/>
            <w:tcBorders>
              <w:top w:val="nil"/>
              <w:left w:val="nil"/>
              <w:bottom w:val="nil"/>
              <w:right w:val="nil"/>
            </w:tcBorders>
            <w:vAlign w:val="bottom"/>
          </w:tcPr>
          <w:p w14:paraId="39CCA940" w14:textId="77777777" w:rsidR="00E26D69" w:rsidRPr="00E26D69" w:rsidRDefault="00E26D69" w:rsidP="00227957">
            <w:pPr>
              <w:ind w:left="-99"/>
              <w:rPr>
                <w:rFonts w:ascii="Arial" w:hAnsi="Arial" w:cs="Arial"/>
                <w:b/>
              </w:rPr>
            </w:pPr>
          </w:p>
          <w:p w14:paraId="7B85D3FD" w14:textId="77777777" w:rsidR="00E26D69" w:rsidRPr="00E26D69" w:rsidRDefault="00E26D69" w:rsidP="00227957">
            <w:pPr>
              <w:ind w:left="-99"/>
              <w:rPr>
                <w:rFonts w:ascii="Arial" w:hAnsi="Arial" w:cs="Arial"/>
                <w:b/>
              </w:rPr>
            </w:pPr>
          </w:p>
          <w:p w14:paraId="582285A6" w14:textId="77777777" w:rsidR="00E26D69" w:rsidRPr="00E26D69" w:rsidRDefault="00E26D69" w:rsidP="00227957">
            <w:pPr>
              <w:ind w:left="-99"/>
              <w:rPr>
                <w:rFonts w:ascii="Arial" w:hAnsi="Arial" w:cs="Arial"/>
                <w:b/>
              </w:rPr>
            </w:pPr>
          </w:p>
          <w:p w14:paraId="3F6E0B25" w14:textId="77777777" w:rsidR="00E26D69" w:rsidRPr="00E26D69" w:rsidRDefault="00E26D69" w:rsidP="00227957">
            <w:pPr>
              <w:ind w:left="-99"/>
              <w:rPr>
                <w:rFonts w:ascii="Arial" w:hAnsi="Arial" w:cs="Arial"/>
                <w:b/>
                <w:bCs/>
              </w:rPr>
            </w:pPr>
            <w:r w:rsidRPr="00E26D69">
              <w:rPr>
                <w:rFonts w:ascii="Arial" w:hAnsi="Arial" w:cs="Arial"/>
                <w:b/>
              </w:rPr>
              <w:t>Amounts falling due within one year</w:t>
            </w:r>
          </w:p>
        </w:tc>
        <w:tc>
          <w:tcPr>
            <w:tcW w:w="2225" w:type="dxa"/>
            <w:tcBorders>
              <w:top w:val="nil"/>
              <w:left w:val="nil"/>
              <w:bottom w:val="nil"/>
              <w:right w:val="nil"/>
            </w:tcBorders>
            <w:shd w:val="clear" w:color="auto" w:fill="EAF1DD" w:themeFill="accent3" w:themeFillTint="33"/>
            <w:vAlign w:val="bottom"/>
          </w:tcPr>
          <w:p w14:paraId="7BAE5C1C" w14:textId="57FB2505" w:rsidR="00E26D69" w:rsidRPr="00E26D69" w:rsidRDefault="00C90814" w:rsidP="00227957">
            <w:pPr>
              <w:jc w:val="right"/>
              <w:rPr>
                <w:rFonts w:ascii="Arial" w:hAnsi="Arial" w:cs="Arial"/>
                <w:b/>
                <w:bCs/>
              </w:rPr>
            </w:pPr>
            <w:r>
              <w:rPr>
                <w:rFonts w:ascii="Arial" w:hAnsi="Arial" w:cs="Arial"/>
                <w:b/>
                <w:bCs/>
              </w:rPr>
              <w:t>At</w:t>
            </w:r>
          </w:p>
          <w:p w14:paraId="77875B65" w14:textId="22123A07" w:rsidR="00E26D69" w:rsidRDefault="00E26D69" w:rsidP="00227957">
            <w:pPr>
              <w:jc w:val="right"/>
              <w:rPr>
                <w:rFonts w:ascii="Arial" w:hAnsi="Arial" w:cs="Arial"/>
                <w:b/>
                <w:bCs/>
              </w:rPr>
            </w:pPr>
            <w:r w:rsidRPr="00E26D69">
              <w:rPr>
                <w:rFonts w:ascii="Arial" w:hAnsi="Arial" w:cs="Arial"/>
                <w:b/>
                <w:bCs/>
              </w:rPr>
              <w:t>31 March 202</w:t>
            </w:r>
            <w:r w:rsidR="004E24A3">
              <w:rPr>
                <w:rFonts w:ascii="Arial" w:hAnsi="Arial" w:cs="Arial"/>
                <w:b/>
                <w:bCs/>
              </w:rPr>
              <w:t>2</w:t>
            </w:r>
          </w:p>
          <w:p w14:paraId="4D736FA5" w14:textId="77777777" w:rsidR="00227957" w:rsidRPr="00E26D69" w:rsidRDefault="00227957" w:rsidP="00227957">
            <w:pPr>
              <w:jc w:val="right"/>
              <w:rPr>
                <w:rFonts w:ascii="Arial" w:hAnsi="Arial" w:cs="Arial"/>
                <w:b/>
                <w:bCs/>
              </w:rPr>
            </w:pPr>
          </w:p>
          <w:p w14:paraId="1ECA2ADA" w14:textId="77777777" w:rsidR="00E26D69" w:rsidRPr="00E26D69" w:rsidRDefault="00E26D69" w:rsidP="00227957">
            <w:pPr>
              <w:jc w:val="right"/>
              <w:rPr>
                <w:rFonts w:ascii="Arial" w:hAnsi="Arial" w:cs="Arial"/>
                <w:b/>
                <w:bCs/>
              </w:rPr>
            </w:pPr>
            <w:r w:rsidRPr="00E26D69">
              <w:rPr>
                <w:rFonts w:ascii="Arial" w:hAnsi="Arial" w:cs="Arial"/>
                <w:b/>
                <w:bCs/>
              </w:rPr>
              <w:t>£’000</w:t>
            </w:r>
          </w:p>
        </w:tc>
        <w:tc>
          <w:tcPr>
            <w:tcW w:w="2169" w:type="dxa"/>
            <w:tcBorders>
              <w:top w:val="nil"/>
              <w:left w:val="nil"/>
              <w:bottom w:val="nil"/>
              <w:right w:val="nil"/>
            </w:tcBorders>
            <w:vAlign w:val="bottom"/>
          </w:tcPr>
          <w:p w14:paraId="4CDABC18" w14:textId="1110A0D9" w:rsidR="00E26D69" w:rsidRPr="00E26D69" w:rsidRDefault="00C90814" w:rsidP="00227957">
            <w:pPr>
              <w:jc w:val="right"/>
              <w:rPr>
                <w:rFonts w:ascii="Arial" w:hAnsi="Arial" w:cs="Arial"/>
                <w:b/>
                <w:bCs/>
              </w:rPr>
            </w:pPr>
            <w:r>
              <w:rPr>
                <w:rFonts w:ascii="Arial" w:hAnsi="Arial" w:cs="Arial"/>
                <w:b/>
                <w:bCs/>
              </w:rPr>
              <w:t>At</w:t>
            </w:r>
          </w:p>
          <w:p w14:paraId="7B1B13E6" w14:textId="0F83A1ED" w:rsidR="00E26D69" w:rsidRDefault="00E26D69" w:rsidP="00227957">
            <w:pPr>
              <w:jc w:val="right"/>
              <w:rPr>
                <w:rFonts w:ascii="Arial" w:hAnsi="Arial" w:cs="Arial"/>
                <w:b/>
                <w:bCs/>
              </w:rPr>
            </w:pPr>
            <w:r w:rsidRPr="00E26D69">
              <w:rPr>
                <w:rFonts w:ascii="Arial" w:hAnsi="Arial" w:cs="Arial"/>
                <w:b/>
                <w:bCs/>
              </w:rPr>
              <w:t>31 March 20</w:t>
            </w:r>
            <w:r w:rsidR="002F3420">
              <w:rPr>
                <w:rFonts w:ascii="Arial" w:hAnsi="Arial" w:cs="Arial"/>
                <w:b/>
                <w:bCs/>
              </w:rPr>
              <w:t>2</w:t>
            </w:r>
            <w:r w:rsidR="004E24A3">
              <w:rPr>
                <w:rFonts w:ascii="Arial" w:hAnsi="Arial" w:cs="Arial"/>
                <w:b/>
                <w:bCs/>
              </w:rPr>
              <w:t>1</w:t>
            </w:r>
          </w:p>
          <w:p w14:paraId="4203128F" w14:textId="77777777" w:rsidR="00227957" w:rsidRPr="00E26D69" w:rsidRDefault="00227957" w:rsidP="00227957">
            <w:pPr>
              <w:jc w:val="right"/>
              <w:rPr>
                <w:rFonts w:ascii="Arial" w:hAnsi="Arial" w:cs="Arial"/>
                <w:b/>
                <w:bCs/>
              </w:rPr>
            </w:pPr>
          </w:p>
          <w:p w14:paraId="58D7693F" w14:textId="77777777" w:rsidR="00E26D69" w:rsidRPr="00E26D69" w:rsidRDefault="00E26D69" w:rsidP="00227957">
            <w:pPr>
              <w:jc w:val="right"/>
              <w:rPr>
                <w:rFonts w:ascii="Arial" w:hAnsi="Arial" w:cs="Arial"/>
                <w:b/>
                <w:bCs/>
              </w:rPr>
            </w:pPr>
            <w:r w:rsidRPr="00E26D69">
              <w:rPr>
                <w:rFonts w:ascii="Arial" w:hAnsi="Arial" w:cs="Arial"/>
                <w:b/>
                <w:bCs/>
              </w:rPr>
              <w:t>£’000</w:t>
            </w:r>
          </w:p>
        </w:tc>
      </w:tr>
      <w:tr w:rsidR="00863090" w:rsidRPr="00E26D69" w14:paraId="0EBE94E1" w14:textId="77777777" w:rsidTr="00E31840">
        <w:trPr>
          <w:trHeight w:val="454"/>
        </w:trPr>
        <w:tc>
          <w:tcPr>
            <w:tcW w:w="6380" w:type="dxa"/>
            <w:tcBorders>
              <w:top w:val="nil"/>
              <w:left w:val="nil"/>
              <w:bottom w:val="nil"/>
              <w:right w:val="nil"/>
            </w:tcBorders>
            <w:vAlign w:val="bottom"/>
          </w:tcPr>
          <w:p w14:paraId="6325F5C1" w14:textId="77777777" w:rsidR="004E24A3" w:rsidRPr="00E26D69" w:rsidRDefault="004E24A3" w:rsidP="004E24A3">
            <w:pPr>
              <w:ind w:left="-99"/>
              <w:rPr>
                <w:rFonts w:ascii="Arial" w:hAnsi="Arial" w:cs="Arial"/>
              </w:rPr>
            </w:pPr>
            <w:r w:rsidRPr="00E26D69">
              <w:rPr>
                <w:rFonts w:ascii="Arial" w:hAnsi="Arial" w:cs="Arial"/>
              </w:rPr>
              <w:t>Trade payables</w:t>
            </w:r>
          </w:p>
        </w:tc>
        <w:tc>
          <w:tcPr>
            <w:tcW w:w="2225" w:type="dxa"/>
            <w:tcBorders>
              <w:top w:val="nil"/>
              <w:left w:val="nil"/>
              <w:right w:val="nil"/>
            </w:tcBorders>
            <w:shd w:val="clear" w:color="auto" w:fill="EAF1DD" w:themeFill="accent3" w:themeFillTint="33"/>
            <w:vAlign w:val="bottom"/>
          </w:tcPr>
          <w:p w14:paraId="4251EBAB" w14:textId="534ADACC" w:rsidR="004E24A3" w:rsidRPr="00E26D69" w:rsidRDefault="00C52AAD" w:rsidP="004E24A3">
            <w:pPr>
              <w:jc w:val="right"/>
              <w:rPr>
                <w:rFonts w:ascii="Arial" w:hAnsi="Arial" w:cs="Arial"/>
              </w:rPr>
            </w:pPr>
            <w:r>
              <w:rPr>
                <w:rFonts w:ascii="Arial" w:hAnsi="Arial" w:cs="Arial"/>
              </w:rPr>
              <w:t>(</w:t>
            </w:r>
            <w:r w:rsidR="0007603D">
              <w:rPr>
                <w:rFonts w:ascii="Arial" w:hAnsi="Arial" w:cs="Arial"/>
              </w:rPr>
              <w:t>1</w:t>
            </w:r>
            <w:r w:rsidR="00172A7C">
              <w:rPr>
                <w:rFonts w:ascii="Arial" w:hAnsi="Arial" w:cs="Arial"/>
              </w:rPr>
              <w:t>,8</w:t>
            </w:r>
            <w:r w:rsidR="0012692B">
              <w:rPr>
                <w:rFonts w:ascii="Arial" w:hAnsi="Arial" w:cs="Arial"/>
              </w:rPr>
              <w:t>6</w:t>
            </w:r>
            <w:r w:rsidR="00783224">
              <w:rPr>
                <w:rFonts w:ascii="Arial" w:hAnsi="Arial" w:cs="Arial"/>
              </w:rPr>
              <w:t>6</w:t>
            </w:r>
            <w:r>
              <w:rPr>
                <w:rFonts w:ascii="Arial" w:hAnsi="Arial" w:cs="Arial"/>
              </w:rPr>
              <w:t>)</w:t>
            </w:r>
          </w:p>
        </w:tc>
        <w:tc>
          <w:tcPr>
            <w:tcW w:w="2169" w:type="dxa"/>
            <w:tcBorders>
              <w:top w:val="nil"/>
              <w:left w:val="nil"/>
              <w:right w:val="nil"/>
            </w:tcBorders>
            <w:vAlign w:val="bottom"/>
          </w:tcPr>
          <w:p w14:paraId="5BCAD0F1" w14:textId="11E43404" w:rsidR="004E24A3" w:rsidRPr="00E26D69" w:rsidRDefault="004E24A3" w:rsidP="004E24A3">
            <w:pPr>
              <w:jc w:val="right"/>
              <w:rPr>
                <w:rFonts w:ascii="Arial" w:hAnsi="Arial" w:cs="Arial"/>
              </w:rPr>
            </w:pPr>
            <w:r>
              <w:rPr>
                <w:rFonts w:ascii="Arial" w:hAnsi="Arial" w:cs="Arial"/>
              </w:rPr>
              <w:t>(18)</w:t>
            </w:r>
          </w:p>
        </w:tc>
      </w:tr>
      <w:tr w:rsidR="00863090" w:rsidRPr="00E26D69" w14:paraId="79F181C1" w14:textId="77777777" w:rsidTr="00E31840">
        <w:trPr>
          <w:trHeight w:val="454"/>
        </w:trPr>
        <w:tc>
          <w:tcPr>
            <w:tcW w:w="6380" w:type="dxa"/>
            <w:tcBorders>
              <w:top w:val="nil"/>
              <w:left w:val="nil"/>
              <w:bottom w:val="nil"/>
              <w:right w:val="nil"/>
            </w:tcBorders>
            <w:vAlign w:val="bottom"/>
          </w:tcPr>
          <w:p w14:paraId="406241B9" w14:textId="77777777" w:rsidR="004E24A3" w:rsidRPr="00E26D69" w:rsidRDefault="004E24A3" w:rsidP="004E24A3">
            <w:pPr>
              <w:ind w:left="-99"/>
              <w:rPr>
                <w:rFonts w:ascii="Arial" w:hAnsi="Arial" w:cs="Arial"/>
              </w:rPr>
            </w:pPr>
            <w:r w:rsidRPr="00055FDF">
              <w:rPr>
                <w:rFonts w:ascii="Arial" w:hAnsi="Arial" w:cs="Arial"/>
              </w:rPr>
              <w:t>Other taxes and social</w:t>
            </w:r>
            <w:r w:rsidRPr="00E26D69">
              <w:rPr>
                <w:rFonts w:ascii="Arial" w:hAnsi="Arial" w:cs="Arial"/>
              </w:rPr>
              <w:t xml:space="preserve"> security</w:t>
            </w:r>
          </w:p>
        </w:tc>
        <w:tc>
          <w:tcPr>
            <w:tcW w:w="2225" w:type="dxa"/>
            <w:tcBorders>
              <w:top w:val="nil"/>
              <w:left w:val="nil"/>
              <w:right w:val="nil"/>
            </w:tcBorders>
            <w:shd w:val="clear" w:color="auto" w:fill="EAF1DD" w:themeFill="accent3" w:themeFillTint="33"/>
            <w:vAlign w:val="bottom"/>
          </w:tcPr>
          <w:p w14:paraId="148022B6" w14:textId="34691176" w:rsidR="004E24A3" w:rsidRPr="00E26D69" w:rsidRDefault="00C52AAD" w:rsidP="004E24A3">
            <w:pPr>
              <w:jc w:val="right"/>
              <w:rPr>
                <w:rFonts w:ascii="Arial" w:hAnsi="Arial" w:cs="Arial"/>
              </w:rPr>
            </w:pPr>
            <w:r>
              <w:rPr>
                <w:rFonts w:ascii="Arial" w:hAnsi="Arial" w:cs="Arial"/>
              </w:rPr>
              <w:t>(</w:t>
            </w:r>
            <w:r w:rsidR="0007603D">
              <w:rPr>
                <w:rFonts w:ascii="Arial" w:hAnsi="Arial" w:cs="Arial"/>
              </w:rPr>
              <w:t>1,238</w:t>
            </w:r>
            <w:r>
              <w:rPr>
                <w:rFonts w:ascii="Arial" w:hAnsi="Arial" w:cs="Arial"/>
              </w:rPr>
              <w:t>)</w:t>
            </w:r>
          </w:p>
        </w:tc>
        <w:tc>
          <w:tcPr>
            <w:tcW w:w="2169" w:type="dxa"/>
            <w:tcBorders>
              <w:top w:val="nil"/>
              <w:left w:val="nil"/>
              <w:right w:val="nil"/>
            </w:tcBorders>
            <w:vAlign w:val="bottom"/>
          </w:tcPr>
          <w:p w14:paraId="12C0650E" w14:textId="3CE074FC" w:rsidR="004E24A3" w:rsidRPr="00E26D69" w:rsidRDefault="004E24A3" w:rsidP="004E24A3">
            <w:pPr>
              <w:jc w:val="right"/>
              <w:rPr>
                <w:rFonts w:ascii="Arial" w:hAnsi="Arial" w:cs="Arial"/>
              </w:rPr>
            </w:pPr>
            <w:r>
              <w:rPr>
                <w:rFonts w:ascii="Arial" w:hAnsi="Arial" w:cs="Arial"/>
              </w:rPr>
              <w:t>(1,253)</w:t>
            </w:r>
          </w:p>
        </w:tc>
      </w:tr>
      <w:tr w:rsidR="00863090" w:rsidRPr="00E26D69" w14:paraId="21BCB1DC" w14:textId="77777777" w:rsidTr="00E31840">
        <w:trPr>
          <w:trHeight w:val="454"/>
        </w:trPr>
        <w:tc>
          <w:tcPr>
            <w:tcW w:w="6380" w:type="dxa"/>
            <w:tcBorders>
              <w:top w:val="nil"/>
              <w:left w:val="nil"/>
              <w:bottom w:val="nil"/>
              <w:right w:val="nil"/>
            </w:tcBorders>
            <w:vAlign w:val="bottom"/>
          </w:tcPr>
          <w:p w14:paraId="410BC7BE" w14:textId="77777777" w:rsidR="004E24A3" w:rsidRPr="00E26D69" w:rsidRDefault="004E24A3" w:rsidP="004E24A3">
            <w:pPr>
              <w:ind w:left="-99"/>
              <w:rPr>
                <w:rFonts w:ascii="Arial" w:hAnsi="Arial" w:cs="Arial"/>
              </w:rPr>
            </w:pPr>
            <w:r w:rsidRPr="00E26D69">
              <w:rPr>
                <w:rFonts w:ascii="Arial" w:hAnsi="Arial" w:cs="Arial"/>
              </w:rPr>
              <w:t xml:space="preserve">VAT </w:t>
            </w:r>
          </w:p>
        </w:tc>
        <w:tc>
          <w:tcPr>
            <w:tcW w:w="2225" w:type="dxa"/>
            <w:tcBorders>
              <w:left w:val="nil"/>
              <w:right w:val="nil"/>
            </w:tcBorders>
            <w:shd w:val="clear" w:color="auto" w:fill="EAF1DD" w:themeFill="accent3" w:themeFillTint="33"/>
            <w:vAlign w:val="bottom"/>
          </w:tcPr>
          <w:p w14:paraId="7BFA9CF6" w14:textId="0AA01DA2" w:rsidR="004E24A3" w:rsidRPr="00E26D69" w:rsidRDefault="00C52AAD" w:rsidP="004E24A3">
            <w:pPr>
              <w:jc w:val="right"/>
              <w:rPr>
                <w:rFonts w:ascii="Arial" w:hAnsi="Arial" w:cs="Arial"/>
              </w:rPr>
            </w:pPr>
            <w:r>
              <w:rPr>
                <w:rFonts w:ascii="Arial" w:hAnsi="Arial" w:cs="Arial"/>
              </w:rPr>
              <w:t>(</w:t>
            </w:r>
            <w:r w:rsidR="0007603D">
              <w:rPr>
                <w:rFonts w:ascii="Arial" w:hAnsi="Arial" w:cs="Arial"/>
              </w:rPr>
              <w:t>126</w:t>
            </w:r>
            <w:r w:rsidR="004648B7">
              <w:rPr>
                <w:rFonts w:ascii="Arial" w:hAnsi="Arial" w:cs="Arial"/>
              </w:rPr>
              <w:t>)</w:t>
            </w:r>
          </w:p>
        </w:tc>
        <w:tc>
          <w:tcPr>
            <w:tcW w:w="2169" w:type="dxa"/>
            <w:tcBorders>
              <w:left w:val="nil"/>
              <w:right w:val="nil"/>
            </w:tcBorders>
            <w:vAlign w:val="bottom"/>
          </w:tcPr>
          <w:p w14:paraId="58647A82" w14:textId="0C4D146B" w:rsidR="004E24A3" w:rsidRPr="00E26D69" w:rsidRDefault="004E24A3" w:rsidP="004E24A3">
            <w:pPr>
              <w:jc w:val="right"/>
              <w:rPr>
                <w:rFonts w:ascii="Arial" w:hAnsi="Arial" w:cs="Arial"/>
              </w:rPr>
            </w:pPr>
            <w:r>
              <w:rPr>
                <w:rFonts w:ascii="Arial" w:hAnsi="Arial" w:cs="Arial"/>
              </w:rPr>
              <w:t>(38)</w:t>
            </w:r>
          </w:p>
        </w:tc>
      </w:tr>
      <w:tr w:rsidR="005A4491" w:rsidRPr="00E26D69" w14:paraId="2AD07101" w14:textId="77777777" w:rsidTr="00E31840">
        <w:trPr>
          <w:trHeight w:val="454"/>
        </w:trPr>
        <w:tc>
          <w:tcPr>
            <w:tcW w:w="6380" w:type="dxa"/>
            <w:tcBorders>
              <w:top w:val="nil"/>
              <w:left w:val="nil"/>
              <w:bottom w:val="nil"/>
              <w:right w:val="nil"/>
            </w:tcBorders>
            <w:vAlign w:val="bottom"/>
          </w:tcPr>
          <w:p w14:paraId="3BC6BE45" w14:textId="61DC594D" w:rsidR="004E24A3" w:rsidRPr="00E26D69" w:rsidRDefault="004E24A3" w:rsidP="00583EFC">
            <w:pPr>
              <w:ind w:left="-99"/>
              <w:rPr>
                <w:rFonts w:ascii="Arial" w:hAnsi="Arial" w:cs="Arial"/>
              </w:rPr>
            </w:pPr>
            <w:r w:rsidRPr="00E26D69">
              <w:rPr>
                <w:rFonts w:ascii="Arial" w:hAnsi="Arial" w:cs="Arial"/>
              </w:rPr>
              <w:t xml:space="preserve">Accruals and </w:t>
            </w:r>
            <w:r w:rsidR="006F027C">
              <w:rPr>
                <w:rFonts w:ascii="Arial" w:hAnsi="Arial" w:cs="Arial"/>
              </w:rPr>
              <w:t>defer</w:t>
            </w:r>
            <w:r w:rsidR="00583EFC">
              <w:rPr>
                <w:rFonts w:ascii="Arial" w:hAnsi="Arial" w:cs="Arial"/>
              </w:rPr>
              <w:t>r</w:t>
            </w:r>
            <w:r w:rsidRPr="00E26D69">
              <w:rPr>
                <w:rFonts w:ascii="Arial" w:hAnsi="Arial" w:cs="Arial"/>
              </w:rPr>
              <w:t>ed income</w:t>
            </w:r>
          </w:p>
        </w:tc>
        <w:tc>
          <w:tcPr>
            <w:tcW w:w="2225" w:type="dxa"/>
            <w:tcBorders>
              <w:left w:val="nil"/>
              <w:bottom w:val="single" w:sz="4" w:space="0" w:color="auto"/>
              <w:right w:val="nil"/>
            </w:tcBorders>
            <w:shd w:val="clear" w:color="auto" w:fill="EAF1DD" w:themeFill="accent3" w:themeFillTint="33"/>
            <w:vAlign w:val="bottom"/>
          </w:tcPr>
          <w:p w14:paraId="527E3F26" w14:textId="20EF556D" w:rsidR="004E24A3" w:rsidRPr="00E26D69" w:rsidRDefault="00C52AAD" w:rsidP="004E24A3">
            <w:pPr>
              <w:jc w:val="right"/>
              <w:rPr>
                <w:rFonts w:ascii="Arial" w:hAnsi="Arial" w:cs="Arial"/>
              </w:rPr>
            </w:pPr>
            <w:r>
              <w:rPr>
                <w:rFonts w:ascii="Arial" w:hAnsi="Arial" w:cs="Arial"/>
              </w:rPr>
              <w:t>(6,24</w:t>
            </w:r>
            <w:r w:rsidR="00AA335C">
              <w:rPr>
                <w:rFonts w:ascii="Arial" w:hAnsi="Arial" w:cs="Arial"/>
              </w:rPr>
              <w:t>7</w:t>
            </w:r>
            <w:r>
              <w:rPr>
                <w:rFonts w:ascii="Arial" w:hAnsi="Arial" w:cs="Arial"/>
              </w:rPr>
              <w:t>)</w:t>
            </w:r>
          </w:p>
        </w:tc>
        <w:tc>
          <w:tcPr>
            <w:tcW w:w="2169" w:type="dxa"/>
            <w:tcBorders>
              <w:left w:val="nil"/>
              <w:bottom w:val="single" w:sz="4" w:space="0" w:color="auto"/>
              <w:right w:val="nil"/>
            </w:tcBorders>
            <w:vAlign w:val="bottom"/>
          </w:tcPr>
          <w:p w14:paraId="504965BA" w14:textId="6685CF12" w:rsidR="004E24A3" w:rsidRPr="00E26D69" w:rsidRDefault="004E24A3" w:rsidP="004E24A3">
            <w:pPr>
              <w:jc w:val="right"/>
              <w:rPr>
                <w:rFonts w:ascii="Arial" w:hAnsi="Arial" w:cs="Arial"/>
              </w:rPr>
            </w:pPr>
            <w:r>
              <w:rPr>
                <w:rFonts w:ascii="Arial" w:hAnsi="Arial" w:cs="Arial"/>
              </w:rPr>
              <w:t>(9,901)</w:t>
            </w:r>
          </w:p>
        </w:tc>
      </w:tr>
      <w:tr w:rsidR="005A4491" w:rsidRPr="00E26D69" w14:paraId="103575E5" w14:textId="77777777" w:rsidTr="00E31840">
        <w:trPr>
          <w:trHeight w:val="454"/>
        </w:trPr>
        <w:tc>
          <w:tcPr>
            <w:tcW w:w="6380" w:type="dxa"/>
            <w:tcBorders>
              <w:top w:val="nil"/>
              <w:left w:val="nil"/>
              <w:bottom w:val="nil"/>
              <w:right w:val="nil"/>
            </w:tcBorders>
            <w:vAlign w:val="bottom"/>
          </w:tcPr>
          <w:p w14:paraId="198C0470" w14:textId="77777777" w:rsidR="004E24A3" w:rsidRPr="00E26D69" w:rsidRDefault="004E24A3" w:rsidP="004E24A3">
            <w:pPr>
              <w:ind w:left="-108"/>
              <w:rPr>
                <w:rFonts w:ascii="Arial" w:hAnsi="Arial" w:cs="Arial"/>
                <w:bCs/>
              </w:rPr>
            </w:pPr>
          </w:p>
        </w:tc>
        <w:tc>
          <w:tcPr>
            <w:tcW w:w="2225" w:type="dxa"/>
            <w:tcBorders>
              <w:top w:val="single" w:sz="4" w:space="0" w:color="auto"/>
              <w:left w:val="nil"/>
              <w:bottom w:val="double" w:sz="6" w:space="0" w:color="auto"/>
              <w:right w:val="nil"/>
            </w:tcBorders>
            <w:shd w:val="clear" w:color="auto" w:fill="EAF1DD" w:themeFill="accent3" w:themeFillTint="33"/>
            <w:vAlign w:val="bottom"/>
          </w:tcPr>
          <w:p w14:paraId="2B9304B2" w14:textId="4F5A5FBE" w:rsidR="004E24A3" w:rsidRPr="00E26D69" w:rsidRDefault="001E2407" w:rsidP="004E24A3">
            <w:pPr>
              <w:jc w:val="right"/>
              <w:rPr>
                <w:rFonts w:ascii="Arial" w:hAnsi="Arial" w:cs="Arial"/>
                <w:b/>
              </w:rPr>
            </w:pPr>
            <w:r>
              <w:rPr>
                <w:rFonts w:ascii="Arial" w:hAnsi="Arial" w:cs="Arial"/>
                <w:b/>
              </w:rPr>
              <w:t>(</w:t>
            </w:r>
            <w:r w:rsidR="0012692B">
              <w:rPr>
                <w:rFonts w:ascii="Arial" w:hAnsi="Arial" w:cs="Arial"/>
                <w:b/>
              </w:rPr>
              <w:t>9</w:t>
            </w:r>
            <w:r>
              <w:rPr>
                <w:rFonts w:ascii="Arial" w:hAnsi="Arial" w:cs="Arial"/>
                <w:b/>
              </w:rPr>
              <w:t>,</w:t>
            </w:r>
            <w:r w:rsidR="0012692B">
              <w:rPr>
                <w:rFonts w:ascii="Arial" w:hAnsi="Arial" w:cs="Arial"/>
                <w:b/>
              </w:rPr>
              <w:t>477</w:t>
            </w:r>
            <w:r>
              <w:rPr>
                <w:rFonts w:ascii="Arial" w:hAnsi="Arial" w:cs="Arial"/>
                <w:b/>
              </w:rPr>
              <w:t>)</w:t>
            </w:r>
          </w:p>
        </w:tc>
        <w:tc>
          <w:tcPr>
            <w:tcW w:w="2169" w:type="dxa"/>
            <w:tcBorders>
              <w:top w:val="single" w:sz="4" w:space="0" w:color="auto"/>
              <w:left w:val="nil"/>
              <w:bottom w:val="double" w:sz="6" w:space="0" w:color="auto"/>
              <w:right w:val="nil"/>
            </w:tcBorders>
            <w:vAlign w:val="bottom"/>
          </w:tcPr>
          <w:p w14:paraId="4227E97F" w14:textId="79B92EE8" w:rsidR="004E24A3" w:rsidRPr="00E26D69" w:rsidRDefault="004E24A3" w:rsidP="004E24A3">
            <w:pPr>
              <w:jc w:val="right"/>
              <w:rPr>
                <w:rFonts w:ascii="Arial" w:hAnsi="Arial" w:cs="Arial"/>
                <w:b/>
              </w:rPr>
            </w:pPr>
            <w:r>
              <w:rPr>
                <w:rFonts w:ascii="Arial" w:hAnsi="Arial" w:cs="Arial"/>
                <w:b/>
              </w:rPr>
              <w:t>(11,210)</w:t>
            </w:r>
          </w:p>
        </w:tc>
      </w:tr>
    </w:tbl>
    <w:p w14:paraId="2D4F6922" w14:textId="77777777" w:rsidR="00983105" w:rsidRDefault="00983105" w:rsidP="00983105">
      <w:pPr>
        <w:spacing w:line="360" w:lineRule="auto"/>
        <w:contextualSpacing/>
        <w:rPr>
          <w:rFonts w:ascii="Arial" w:hAnsi="Arial" w:cs="Arial"/>
          <w:b/>
        </w:rPr>
      </w:pPr>
    </w:p>
    <w:p w14:paraId="656E6080" w14:textId="77777777" w:rsidR="00E70E01" w:rsidRDefault="00E70E01" w:rsidP="00983105">
      <w:pPr>
        <w:spacing w:line="360" w:lineRule="auto"/>
        <w:contextualSpacing/>
        <w:rPr>
          <w:rFonts w:ascii="Arial" w:hAnsi="Arial" w:cs="Arial"/>
          <w:b/>
        </w:rPr>
      </w:pPr>
    </w:p>
    <w:p w14:paraId="12570609" w14:textId="12F1E643" w:rsidR="000845C9" w:rsidRDefault="00983105" w:rsidP="002C5D83">
      <w:pPr>
        <w:spacing w:line="360" w:lineRule="auto"/>
        <w:ind w:left="-284"/>
        <w:contextualSpacing/>
        <w:rPr>
          <w:rFonts w:ascii="Arial" w:hAnsi="Arial" w:cs="Arial"/>
          <w:b/>
        </w:rPr>
      </w:pPr>
      <w:bookmarkStart w:id="46" w:name="Note13Provisionforliabilitiesandcharges"/>
      <w:r>
        <w:rPr>
          <w:rFonts w:ascii="Arial" w:hAnsi="Arial" w:cs="Arial"/>
          <w:b/>
        </w:rPr>
        <w:t xml:space="preserve">Note 13. </w:t>
      </w:r>
      <w:r w:rsidR="00E26D69" w:rsidRPr="00C52AAD">
        <w:rPr>
          <w:rFonts w:ascii="Arial" w:hAnsi="Arial" w:cs="Arial"/>
          <w:b/>
        </w:rPr>
        <w:t>Provision for liabilities and charges</w:t>
      </w:r>
      <w:r w:rsidR="00833F90" w:rsidRPr="00C52AAD">
        <w:rPr>
          <w:rFonts w:ascii="Arial" w:hAnsi="Arial" w:cs="Arial"/>
          <w:b/>
        </w:rPr>
        <w:t xml:space="preserve"> to March 202</w:t>
      </w:r>
      <w:r w:rsidR="00994AED" w:rsidRPr="00C52AAD">
        <w:rPr>
          <w:rFonts w:ascii="Arial" w:hAnsi="Arial" w:cs="Arial"/>
          <w:b/>
        </w:rPr>
        <w:t>2</w:t>
      </w:r>
    </w:p>
    <w:p w14:paraId="4AD524B7" w14:textId="77777777" w:rsidR="00374D82" w:rsidRPr="00C52AAD" w:rsidRDefault="00374D82" w:rsidP="002C5D83">
      <w:pPr>
        <w:spacing w:line="360" w:lineRule="auto"/>
        <w:ind w:left="-284"/>
        <w:contextualSpacing/>
        <w:rPr>
          <w:rFonts w:ascii="Arial" w:hAnsi="Arial" w:cs="Arial"/>
          <w:b/>
        </w:rPr>
      </w:pPr>
    </w:p>
    <w:tbl>
      <w:tblPr>
        <w:tblW w:w="10774" w:type="dxa"/>
        <w:tblInd w:w="-284" w:type="dxa"/>
        <w:shd w:val="clear" w:color="auto" w:fill="EAF1DD" w:themeFill="accent3" w:themeFillTint="33"/>
        <w:tblLayout w:type="fixed"/>
        <w:tblLook w:val="0000" w:firstRow="0" w:lastRow="0" w:firstColumn="0" w:lastColumn="0" w:noHBand="0" w:noVBand="0"/>
      </w:tblPr>
      <w:tblGrid>
        <w:gridCol w:w="3119"/>
        <w:gridCol w:w="1418"/>
        <w:gridCol w:w="2551"/>
        <w:gridCol w:w="1560"/>
        <w:gridCol w:w="2126"/>
      </w:tblGrid>
      <w:tr w:rsidR="00722032" w:rsidRPr="00E26D69" w14:paraId="27A7344B" w14:textId="77777777" w:rsidTr="00E31840">
        <w:trPr>
          <w:trHeight w:val="454"/>
        </w:trPr>
        <w:tc>
          <w:tcPr>
            <w:tcW w:w="3119" w:type="dxa"/>
            <w:tcBorders>
              <w:top w:val="nil"/>
              <w:left w:val="nil"/>
              <w:bottom w:val="nil"/>
              <w:right w:val="nil"/>
            </w:tcBorders>
            <w:vAlign w:val="bottom"/>
          </w:tcPr>
          <w:bookmarkEnd w:id="46"/>
          <w:p w14:paraId="69B1F900" w14:textId="5F6A8D01" w:rsidR="00E26D69" w:rsidRPr="00E26D69" w:rsidRDefault="00E26D69" w:rsidP="00EF5E89">
            <w:pPr>
              <w:ind w:left="-108"/>
              <w:rPr>
                <w:rFonts w:ascii="Arial" w:hAnsi="Arial" w:cs="Arial"/>
                <w:b/>
                <w:bCs/>
              </w:rPr>
            </w:pPr>
            <w:r w:rsidRPr="00E26D69">
              <w:rPr>
                <w:rFonts w:ascii="Arial" w:hAnsi="Arial" w:cs="Arial"/>
                <w:b/>
              </w:rPr>
              <w:t>Year to 31 March 202</w:t>
            </w:r>
            <w:r w:rsidR="00994AED">
              <w:rPr>
                <w:rFonts w:ascii="Arial" w:hAnsi="Arial" w:cs="Arial"/>
                <w:b/>
              </w:rPr>
              <w:t>2</w:t>
            </w:r>
          </w:p>
        </w:tc>
        <w:tc>
          <w:tcPr>
            <w:tcW w:w="1418" w:type="dxa"/>
            <w:tcBorders>
              <w:top w:val="nil"/>
              <w:left w:val="nil"/>
              <w:bottom w:val="nil"/>
              <w:right w:val="nil"/>
            </w:tcBorders>
            <w:shd w:val="clear" w:color="auto" w:fill="EAF1DD" w:themeFill="accent3" w:themeFillTint="33"/>
            <w:vAlign w:val="bottom"/>
          </w:tcPr>
          <w:p w14:paraId="6BAA573B" w14:textId="77777777" w:rsidR="00E26D69" w:rsidRPr="00E26D69" w:rsidRDefault="00E26D69" w:rsidP="007603EF">
            <w:pPr>
              <w:jc w:val="right"/>
              <w:rPr>
                <w:rFonts w:ascii="Arial" w:hAnsi="Arial" w:cs="Arial"/>
                <w:b/>
                <w:bCs/>
              </w:rPr>
            </w:pPr>
            <w:r w:rsidRPr="00E26D69">
              <w:rPr>
                <w:rFonts w:ascii="Arial" w:hAnsi="Arial" w:cs="Arial"/>
                <w:b/>
                <w:bCs/>
              </w:rPr>
              <w:t>Unfunded pension</w:t>
            </w:r>
          </w:p>
          <w:p w14:paraId="071967CE" w14:textId="2DED6B1C" w:rsidR="00E26D69" w:rsidRDefault="0013068E" w:rsidP="007603EF">
            <w:pPr>
              <w:jc w:val="right"/>
              <w:rPr>
                <w:rFonts w:ascii="Arial" w:hAnsi="Arial" w:cs="Arial"/>
                <w:b/>
                <w:bCs/>
              </w:rPr>
            </w:pPr>
            <w:r>
              <w:rPr>
                <w:rFonts w:ascii="Arial" w:hAnsi="Arial" w:cs="Arial"/>
                <w:b/>
                <w:bCs/>
              </w:rPr>
              <w:t>l</w:t>
            </w:r>
            <w:r w:rsidR="00E26D69" w:rsidRPr="00E26D69">
              <w:rPr>
                <w:rFonts w:ascii="Arial" w:hAnsi="Arial" w:cs="Arial"/>
                <w:b/>
                <w:bCs/>
              </w:rPr>
              <w:t>iabilities</w:t>
            </w:r>
          </w:p>
          <w:p w14:paraId="6871E35F" w14:textId="77777777" w:rsidR="00FC37D4" w:rsidRDefault="00FC37D4" w:rsidP="00894E62">
            <w:pPr>
              <w:rPr>
                <w:rFonts w:ascii="Arial" w:hAnsi="Arial" w:cs="Arial"/>
                <w:b/>
                <w:bCs/>
              </w:rPr>
            </w:pPr>
          </w:p>
          <w:p w14:paraId="00E1514C" w14:textId="3661BCF6" w:rsidR="007603EF" w:rsidRPr="00E26D69" w:rsidRDefault="007603EF" w:rsidP="007603EF">
            <w:pPr>
              <w:jc w:val="right"/>
              <w:rPr>
                <w:rFonts w:ascii="Arial" w:hAnsi="Arial" w:cs="Arial"/>
                <w:b/>
                <w:bCs/>
              </w:rPr>
            </w:pPr>
            <w:r>
              <w:rPr>
                <w:rFonts w:ascii="Arial" w:hAnsi="Arial" w:cs="Arial"/>
                <w:b/>
                <w:bCs/>
              </w:rPr>
              <w:t>£’000</w:t>
            </w:r>
          </w:p>
        </w:tc>
        <w:tc>
          <w:tcPr>
            <w:tcW w:w="2551" w:type="dxa"/>
            <w:tcBorders>
              <w:top w:val="nil"/>
              <w:left w:val="nil"/>
              <w:bottom w:val="nil"/>
              <w:right w:val="nil"/>
            </w:tcBorders>
            <w:shd w:val="clear" w:color="auto" w:fill="EAF1DD" w:themeFill="accent3" w:themeFillTint="33"/>
            <w:vAlign w:val="bottom"/>
          </w:tcPr>
          <w:p w14:paraId="5EF88296" w14:textId="77777777" w:rsidR="00E26D69" w:rsidRPr="00E26D69" w:rsidRDefault="00E26D69" w:rsidP="007603EF">
            <w:pPr>
              <w:ind w:left="612" w:hanging="612"/>
              <w:jc w:val="right"/>
              <w:rPr>
                <w:rFonts w:ascii="Arial" w:hAnsi="Arial" w:cs="Arial"/>
                <w:b/>
                <w:bCs/>
              </w:rPr>
            </w:pPr>
            <w:r w:rsidRPr="00E26D69">
              <w:rPr>
                <w:rFonts w:ascii="Arial" w:hAnsi="Arial" w:cs="Arial"/>
                <w:b/>
                <w:bCs/>
              </w:rPr>
              <w:t>Provision for leased</w:t>
            </w:r>
          </w:p>
          <w:p w14:paraId="2FF522EB" w14:textId="4D1BCC72" w:rsidR="002B29C7" w:rsidRDefault="0013068E" w:rsidP="007603EF">
            <w:pPr>
              <w:ind w:left="612" w:hanging="612"/>
              <w:jc w:val="right"/>
              <w:rPr>
                <w:rFonts w:ascii="Arial" w:hAnsi="Arial" w:cs="Arial"/>
                <w:b/>
                <w:bCs/>
              </w:rPr>
            </w:pPr>
            <w:r>
              <w:rPr>
                <w:rFonts w:ascii="Arial" w:hAnsi="Arial" w:cs="Arial"/>
                <w:b/>
                <w:bCs/>
              </w:rPr>
              <w:t>p</w:t>
            </w:r>
            <w:r w:rsidR="002B29C7">
              <w:rPr>
                <w:rFonts w:ascii="Arial" w:hAnsi="Arial" w:cs="Arial"/>
                <w:b/>
                <w:bCs/>
              </w:rPr>
              <w:t>roperty</w:t>
            </w:r>
          </w:p>
          <w:p w14:paraId="7B4160A6" w14:textId="2BF4976B" w:rsidR="00E26D69" w:rsidRDefault="00C96532" w:rsidP="007603EF">
            <w:pPr>
              <w:ind w:left="612" w:hanging="612"/>
              <w:jc w:val="right"/>
              <w:rPr>
                <w:rFonts w:ascii="Arial" w:hAnsi="Arial" w:cs="Arial"/>
                <w:b/>
                <w:bCs/>
              </w:rPr>
            </w:pPr>
            <w:r>
              <w:rPr>
                <w:rFonts w:ascii="Arial" w:hAnsi="Arial" w:cs="Arial"/>
                <w:b/>
                <w:bCs/>
              </w:rPr>
              <w:t>d</w:t>
            </w:r>
            <w:r w:rsidR="00E26D69" w:rsidRPr="00E26D69">
              <w:rPr>
                <w:rFonts w:ascii="Arial" w:hAnsi="Arial" w:cs="Arial"/>
                <w:b/>
                <w:bCs/>
              </w:rPr>
              <w:t>ecommissioning</w:t>
            </w:r>
          </w:p>
          <w:p w14:paraId="6DE0F439" w14:textId="77777777" w:rsidR="00FC37D4" w:rsidRDefault="00FC37D4" w:rsidP="00894E62">
            <w:pPr>
              <w:rPr>
                <w:rFonts w:ascii="Arial" w:hAnsi="Arial" w:cs="Arial"/>
                <w:b/>
                <w:bCs/>
              </w:rPr>
            </w:pPr>
          </w:p>
          <w:p w14:paraId="7EB69440" w14:textId="4532671C" w:rsidR="007603EF" w:rsidRPr="00E26D69" w:rsidRDefault="007603EF" w:rsidP="007603EF">
            <w:pPr>
              <w:ind w:left="612" w:hanging="612"/>
              <w:jc w:val="right"/>
              <w:rPr>
                <w:rFonts w:ascii="Arial" w:hAnsi="Arial" w:cs="Arial"/>
                <w:b/>
                <w:bCs/>
              </w:rPr>
            </w:pPr>
            <w:r>
              <w:rPr>
                <w:rFonts w:ascii="Arial" w:hAnsi="Arial" w:cs="Arial"/>
                <w:b/>
                <w:bCs/>
              </w:rPr>
              <w:t>£’000</w:t>
            </w:r>
          </w:p>
        </w:tc>
        <w:tc>
          <w:tcPr>
            <w:tcW w:w="1560" w:type="dxa"/>
            <w:tcBorders>
              <w:top w:val="nil"/>
              <w:left w:val="nil"/>
              <w:bottom w:val="nil"/>
              <w:right w:val="nil"/>
            </w:tcBorders>
            <w:shd w:val="clear" w:color="auto" w:fill="EAF1DD" w:themeFill="accent3" w:themeFillTint="33"/>
            <w:vAlign w:val="bottom"/>
          </w:tcPr>
          <w:p w14:paraId="5C091B3C" w14:textId="77777777" w:rsidR="00E26D69" w:rsidRDefault="00EA7EF2" w:rsidP="0009383E">
            <w:pPr>
              <w:ind w:left="79"/>
              <w:jc w:val="right"/>
              <w:rPr>
                <w:rFonts w:ascii="Arial" w:hAnsi="Arial" w:cs="Arial"/>
                <w:b/>
                <w:bCs/>
              </w:rPr>
            </w:pPr>
            <w:r>
              <w:rPr>
                <w:rFonts w:ascii="Arial" w:hAnsi="Arial" w:cs="Arial"/>
                <w:b/>
                <w:bCs/>
              </w:rPr>
              <w:t>Life assurance provision</w:t>
            </w:r>
          </w:p>
          <w:p w14:paraId="0ACC6C30" w14:textId="77777777" w:rsidR="00FC37D4" w:rsidRDefault="00FC37D4" w:rsidP="0009383E">
            <w:pPr>
              <w:jc w:val="right"/>
              <w:rPr>
                <w:rFonts w:ascii="Arial" w:hAnsi="Arial" w:cs="Arial"/>
                <w:b/>
                <w:bCs/>
              </w:rPr>
            </w:pPr>
          </w:p>
          <w:p w14:paraId="3D6245CC" w14:textId="7D58DF05" w:rsidR="007603EF" w:rsidRPr="00E26D69" w:rsidRDefault="007603EF" w:rsidP="0009383E">
            <w:pPr>
              <w:ind w:left="79"/>
              <w:jc w:val="right"/>
              <w:rPr>
                <w:rFonts w:ascii="Arial" w:hAnsi="Arial" w:cs="Arial"/>
                <w:b/>
                <w:bCs/>
              </w:rPr>
            </w:pPr>
            <w:r>
              <w:rPr>
                <w:rFonts w:ascii="Arial" w:hAnsi="Arial" w:cs="Arial"/>
                <w:b/>
                <w:bCs/>
              </w:rPr>
              <w:t>£’000</w:t>
            </w:r>
          </w:p>
        </w:tc>
        <w:tc>
          <w:tcPr>
            <w:tcW w:w="2126" w:type="dxa"/>
            <w:tcBorders>
              <w:top w:val="nil"/>
              <w:left w:val="nil"/>
              <w:bottom w:val="nil"/>
              <w:right w:val="nil"/>
            </w:tcBorders>
            <w:shd w:val="clear" w:color="auto" w:fill="EAF1DD" w:themeFill="accent3" w:themeFillTint="33"/>
            <w:vAlign w:val="bottom"/>
          </w:tcPr>
          <w:p w14:paraId="66C18220" w14:textId="77777777" w:rsidR="007603EF" w:rsidRDefault="0009383E" w:rsidP="0009383E">
            <w:pPr>
              <w:jc w:val="right"/>
              <w:rPr>
                <w:rFonts w:ascii="Arial" w:hAnsi="Arial" w:cs="Arial"/>
                <w:b/>
                <w:bCs/>
              </w:rPr>
            </w:pPr>
            <w:r>
              <w:rPr>
                <w:rFonts w:ascii="Arial" w:hAnsi="Arial" w:cs="Arial"/>
                <w:b/>
                <w:bCs/>
              </w:rPr>
              <w:t xml:space="preserve">Total provision for liabilities and charges </w:t>
            </w:r>
          </w:p>
          <w:p w14:paraId="1A500E7D" w14:textId="77777777" w:rsidR="0009383E" w:rsidRDefault="0009383E" w:rsidP="0009383E">
            <w:pPr>
              <w:jc w:val="right"/>
              <w:rPr>
                <w:rFonts w:ascii="Arial" w:hAnsi="Arial" w:cs="Arial"/>
                <w:b/>
                <w:bCs/>
              </w:rPr>
            </w:pPr>
          </w:p>
          <w:p w14:paraId="7E1C8856" w14:textId="7846D72F" w:rsidR="0009383E" w:rsidRPr="00E26D69" w:rsidRDefault="0009383E" w:rsidP="0009383E">
            <w:pPr>
              <w:jc w:val="right"/>
              <w:rPr>
                <w:rFonts w:ascii="Arial" w:hAnsi="Arial" w:cs="Arial"/>
                <w:b/>
                <w:bCs/>
              </w:rPr>
            </w:pPr>
            <w:r>
              <w:rPr>
                <w:rFonts w:ascii="Arial" w:hAnsi="Arial" w:cs="Arial"/>
                <w:b/>
                <w:bCs/>
              </w:rPr>
              <w:t>£’000</w:t>
            </w:r>
          </w:p>
        </w:tc>
      </w:tr>
      <w:tr w:rsidR="00722032" w:rsidRPr="00E26D69" w14:paraId="56657CB3" w14:textId="77777777" w:rsidTr="00E31840">
        <w:trPr>
          <w:trHeight w:val="454"/>
        </w:trPr>
        <w:tc>
          <w:tcPr>
            <w:tcW w:w="3119" w:type="dxa"/>
            <w:tcBorders>
              <w:top w:val="nil"/>
              <w:left w:val="nil"/>
              <w:bottom w:val="nil"/>
              <w:right w:val="nil"/>
            </w:tcBorders>
            <w:vAlign w:val="bottom"/>
          </w:tcPr>
          <w:p w14:paraId="122F52D5" w14:textId="240B1783" w:rsidR="00E26D69" w:rsidRPr="00E26D69" w:rsidRDefault="00E26D69" w:rsidP="00EF5E89">
            <w:pPr>
              <w:ind w:left="-108"/>
              <w:rPr>
                <w:rFonts w:ascii="Arial" w:hAnsi="Arial" w:cs="Arial"/>
              </w:rPr>
            </w:pPr>
            <w:r w:rsidRPr="00E26D69">
              <w:rPr>
                <w:rFonts w:ascii="Arial" w:hAnsi="Arial" w:cs="Arial"/>
              </w:rPr>
              <w:t>Balance at 1 April 20</w:t>
            </w:r>
            <w:r w:rsidR="007B16A5">
              <w:rPr>
                <w:rFonts w:ascii="Arial" w:hAnsi="Arial" w:cs="Arial"/>
              </w:rPr>
              <w:t>2</w:t>
            </w:r>
            <w:r w:rsidR="00994AED">
              <w:rPr>
                <w:rFonts w:ascii="Arial" w:hAnsi="Arial" w:cs="Arial"/>
              </w:rPr>
              <w:t>1</w:t>
            </w:r>
          </w:p>
        </w:tc>
        <w:tc>
          <w:tcPr>
            <w:tcW w:w="1418" w:type="dxa"/>
            <w:tcBorders>
              <w:top w:val="nil"/>
              <w:left w:val="nil"/>
              <w:bottom w:val="nil"/>
              <w:right w:val="nil"/>
            </w:tcBorders>
            <w:shd w:val="clear" w:color="auto" w:fill="EAF1DD" w:themeFill="accent3" w:themeFillTint="33"/>
            <w:vAlign w:val="bottom"/>
          </w:tcPr>
          <w:p w14:paraId="3C896170" w14:textId="5F5DA479" w:rsidR="00E26D69" w:rsidRPr="00E26D69" w:rsidRDefault="00AF14AC" w:rsidP="007603EF">
            <w:pPr>
              <w:jc w:val="right"/>
              <w:rPr>
                <w:rFonts w:ascii="Arial" w:hAnsi="Arial" w:cs="Arial"/>
              </w:rPr>
            </w:pPr>
            <w:r>
              <w:rPr>
                <w:rFonts w:ascii="Arial" w:hAnsi="Arial" w:cs="Arial"/>
              </w:rPr>
              <w:t>1,850</w:t>
            </w:r>
          </w:p>
        </w:tc>
        <w:tc>
          <w:tcPr>
            <w:tcW w:w="2551" w:type="dxa"/>
            <w:tcBorders>
              <w:top w:val="nil"/>
              <w:left w:val="nil"/>
              <w:bottom w:val="nil"/>
              <w:right w:val="nil"/>
            </w:tcBorders>
            <w:shd w:val="clear" w:color="auto" w:fill="EAF1DD" w:themeFill="accent3" w:themeFillTint="33"/>
            <w:vAlign w:val="bottom"/>
          </w:tcPr>
          <w:p w14:paraId="7D6BD808" w14:textId="45C9B345" w:rsidR="00E26D69" w:rsidRPr="00E26D69" w:rsidRDefault="00AF14AC" w:rsidP="007603EF">
            <w:pPr>
              <w:jc w:val="right"/>
              <w:rPr>
                <w:rFonts w:ascii="Arial" w:hAnsi="Arial" w:cs="Arial"/>
              </w:rPr>
            </w:pPr>
            <w:r>
              <w:rPr>
                <w:rFonts w:ascii="Arial" w:hAnsi="Arial" w:cs="Arial"/>
              </w:rPr>
              <w:t>2,639</w:t>
            </w:r>
          </w:p>
        </w:tc>
        <w:tc>
          <w:tcPr>
            <w:tcW w:w="1560" w:type="dxa"/>
            <w:tcBorders>
              <w:top w:val="nil"/>
              <w:left w:val="nil"/>
              <w:bottom w:val="nil"/>
              <w:right w:val="nil"/>
            </w:tcBorders>
            <w:shd w:val="clear" w:color="auto" w:fill="EAF1DD" w:themeFill="accent3" w:themeFillTint="33"/>
            <w:vAlign w:val="bottom"/>
          </w:tcPr>
          <w:p w14:paraId="2D4B9CA6" w14:textId="1202FFE7" w:rsidR="00E26D69" w:rsidRPr="00E26D69" w:rsidRDefault="00AF14AC" w:rsidP="007603EF">
            <w:pPr>
              <w:ind w:left="79"/>
              <w:jc w:val="right"/>
              <w:rPr>
                <w:rFonts w:ascii="Arial" w:hAnsi="Arial" w:cs="Arial"/>
              </w:rPr>
            </w:pPr>
            <w:r>
              <w:rPr>
                <w:rFonts w:ascii="Arial" w:hAnsi="Arial" w:cs="Arial"/>
              </w:rPr>
              <w:t>418</w:t>
            </w:r>
          </w:p>
        </w:tc>
        <w:tc>
          <w:tcPr>
            <w:tcW w:w="2126" w:type="dxa"/>
            <w:tcBorders>
              <w:top w:val="nil"/>
              <w:left w:val="nil"/>
              <w:bottom w:val="nil"/>
              <w:right w:val="nil"/>
            </w:tcBorders>
            <w:shd w:val="clear" w:color="auto" w:fill="EAF1DD" w:themeFill="accent3" w:themeFillTint="33"/>
            <w:vAlign w:val="bottom"/>
          </w:tcPr>
          <w:p w14:paraId="48C55BF4" w14:textId="4A8360EB" w:rsidR="00E26D69" w:rsidRPr="00E26D69" w:rsidRDefault="00ED7145" w:rsidP="0009383E">
            <w:pPr>
              <w:ind w:left="79"/>
              <w:jc w:val="right"/>
              <w:rPr>
                <w:rFonts w:ascii="Arial" w:hAnsi="Arial" w:cs="Arial"/>
              </w:rPr>
            </w:pPr>
            <w:r>
              <w:rPr>
                <w:rFonts w:ascii="Arial" w:hAnsi="Arial" w:cs="Arial"/>
              </w:rPr>
              <w:t>4,907</w:t>
            </w:r>
          </w:p>
        </w:tc>
      </w:tr>
      <w:tr w:rsidR="00722032" w:rsidRPr="00E26D69" w14:paraId="5DB4D885" w14:textId="77777777" w:rsidTr="00E31840">
        <w:trPr>
          <w:trHeight w:val="454"/>
        </w:trPr>
        <w:tc>
          <w:tcPr>
            <w:tcW w:w="3119" w:type="dxa"/>
            <w:tcBorders>
              <w:top w:val="nil"/>
              <w:left w:val="nil"/>
              <w:bottom w:val="nil"/>
              <w:right w:val="nil"/>
            </w:tcBorders>
            <w:vAlign w:val="bottom"/>
          </w:tcPr>
          <w:p w14:paraId="4CE22530" w14:textId="77777777" w:rsidR="00E26D69" w:rsidRPr="00E26D69" w:rsidRDefault="00E26D69" w:rsidP="00EF5E89">
            <w:pPr>
              <w:ind w:left="-108"/>
              <w:rPr>
                <w:rFonts w:ascii="Arial" w:hAnsi="Arial" w:cs="Arial"/>
              </w:rPr>
            </w:pPr>
            <w:r w:rsidRPr="00E26D69">
              <w:rPr>
                <w:rFonts w:ascii="Arial" w:hAnsi="Arial" w:cs="Arial"/>
              </w:rPr>
              <w:t>Actuarial valuation changes</w:t>
            </w:r>
          </w:p>
        </w:tc>
        <w:tc>
          <w:tcPr>
            <w:tcW w:w="1418" w:type="dxa"/>
            <w:tcBorders>
              <w:top w:val="nil"/>
              <w:left w:val="nil"/>
              <w:bottom w:val="nil"/>
              <w:right w:val="nil"/>
            </w:tcBorders>
            <w:shd w:val="clear" w:color="auto" w:fill="EAF1DD" w:themeFill="accent3" w:themeFillTint="33"/>
            <w:vAlign w:val="bottom"/>
          </w:tcPr>
          <w:p w14:paraId="1AB98C17" w14:textId="6F59E9E3" w:rsidR="00E26D69" w:rsidRPr="00E26D69" w:rsidRDefault="00ED7145" w:rsidP="007603EF">
            <w:pPr>
              <w:jc w:val="right"/>
              <w:rPr>
                <w:rFonts w:ascii="Arial" w:hAnsi="Arial" w:cs="Arial"/>
              </w:rPr>
            </w:pPr>
            <w:r>
              <w:rPr>
                <w:rFonts w:ascii="Arial" w:hAnsi="Arial" w:cs="Arial"/>
              </w:rPr>
              <w:t>2</w:t>
            </w:r>
            <w:r w:rsidR="001E2BF2">
              <w:rPr>
                <w:rFonts w:ascii="Arial" w:hAnsi="Arial" w:cs="Arial"/>
              </w:rPr>
              <w:t>2</w:t>
            </w:r>
          </w:p>
        </w:tc>
        <w:tc>
          <w:tcPr>
            <w:tcW w:w="2551" w:type="dxa"/>
            <w:tcBorders>
              <w:top w:val="nil"/>
              <w:left w:val="nil"/>
              <w:bottom w:val="nil"/>
              <w:right w:val="nil"/>
            </w:tcBorders>
            <w:shd w:val="clear" w:color="auto" w:fill="EAF1DD" w:themeFill="accent3" w:themeFillTint="33"/>
            <w:vAlign w:val="bottom"/>
          </w:tcPr>
          <w:p w14:paraId="5B40062D" w14:textId="74278A33" w:rsidR="00E26D69" w:rsidRPr="00E26D69" w:rsidRDefault="004B758D" w:rsidP="007603EF">
            <w:pPr>
              <w:jc w:val="right"/>
              <w:rPr>
                <w:rFonts w:ascii="Arial" w:hAnsi="Arial" w:cs="Arial"/>
              </w:rPr>
            </w:pPr>
            <w:r>
              <w:rPr>
                <w:rFonts w:ascii="Arial" w:hAnsi="Arial" w:cs="Arial"/>
              </w:rPr>
              <w:t>-</w:t>
            </w:r>
          </w:p>
        </w:tc>
        <w:tc>
          <w:tcPr>
            <w:tcW w:w="1560" w:type="dxa"/>
            <w:tcBorders>
              <w:top w:val="nil"/>
              <w:left w:val="nil"/>
              <w:bottom w:val="nil"/>
              <w:right w:val="nil"/>
            </w:tcBorders>
            <w:shd w:val="clear" w:color="auto" w:fill="EAF1DD" w:themeFill="accent3" w:themeFillTint="33"/>
            <w:vAlign w:val="bottom"/>
          </w:tcPr>
          <w:p w14:paraId="4239D28D" w14:textId="2DA85F40" w:rsidR="00E26D69" w:rsidRPr="00E26D69" w:rsidRDefault="00ED7145" w:rsidP="007603EF">
            <w:pPr>
              <w:ind w:left="79"/>
              <w:jc w:val="right"/>
              <w:rPr>
                <w:rFonts w:ascii="Arial" w:hAnsi="Arial" w:cs="Arial"/>
              </w:rPr>
            </w:pPr>
            <w:r>
              <w:rPr>
                <w:rFonts w:ascii="Arial" w:hAnsi="Arial" w:cs="Arial"/>
              </w:rPr>
              <w:t>82</w:t>
            </w:r>
          </w:p>
        </w:tc>
        <w:tc>
          <w:tcPr>
            <w:tcW w:w="2126" w:type="dxa"/>
            <w:tcBorders>
              <w:top w:val="nil"/>
              <w:left w:val="nil"/>
              <w:bottom w:val="nil"/>
              <w:right w:val="nil"/>
            </w:tcBorders>
            <w:shd w:val="clear" w:color="auto" w:fill="EAF1DD" w:themeFill="accent3" w:themeFillTint="33"/>
            <w:vAlign w:val="bottom"/>
          </w:tcPr>
          <w:p w14:paraId="3F4F3BC5" w14:textId="1B64B16F" w:rsidR="00E26D69" w:rsidRPr="00E26D69" w:rsidRDefault="00657275" w:rsidP="0009383E">
            <w:pPr>
              <w:ind w:left="79"/>
              <w:jc w:val="right"/>
              <w:rPr>
                <w:rFonts w:ascii="Arial" w:hAnsi="Arial" w:cs="Arial"/>
              </w:rPr>
            </w:pPr>
            <w:r>
              <w:rPr>
                <w:rFonts w:ascii="Arial" w:hAnsi="Arial" w:cs="Arial"/>
              </w:rPr>
              <w:t>104</w:t>
            </w:r>
          </w:p>
        </w:tc>
      </w:tr>
      <w:tr w:rsidR="009D198E" w:rsidRPr="00E26D69" w14:paraId="3B7ADEF9" w14:textId="77777777" w:rsidTr="000A558E">
        <w:trPr>
          <w:trHeight w:val="720"/>
        </w:trPr>
        <w:tc>
          <w:tcPr>
            <w:tcW w:w="3119" w:type="dxa"/>
            <w:tcBorders>
              <w:top w:val="nil"/>
              <w:left w:val="nil"/>
              <w:bottom w:val="nil"/>
              <w:right w:val="nil"/>
            </w:tcBorders>
            <w:vAlign w:val="bottom"/>
          </w:tcPr>
          <w:p w14:paraId="4EEF1E5D" w14:textId="3736CFD1" w:rsidR="009D198E" w:rsidRPr="00E26D69" w:rsidRDefault="009D198E" w:rsidP="00EF5E89">
            <w:pPr>
              <w:ind w:left="-108"/>
              <w:rPr>
                <w:rFonts w:ascii="Arial" w:hAnsi="Arial" w:cs="Arial"/>
              </w:rPr>
            </w:pPr>
            <w:r>
              <w:rPr>
                <w:rFonts w:ascii="Arial" w:hAnsi="Arial" w:cs="Arial"/>
              </w:rPr>
              <w:t xml:space="preserve">Decommissioning </w:t>
            </w:r>
            <w:r w:rsidR="006E1693">
              <w:rPr>
                <w:rFonts w:ascii="Arial" w:hAnsi="Arial" w:cs="Arial"/>
              </w:rPr>
              <w:t>r</w:t>
            </w:r>
            <w:r>
              <w:rPr>
                <w:rFonts w:ascii="Arial" w:hAnsi="Arial" w:cs="Arial"/>
              </w:rPr>
              <w:t>evaluation</w:t>
            </w:r>
          </w:p>
        </w:tc>
        <w:tc>
          <w:tcPr>
            <w:tcW w:w="1418" w:type="dxa"/>
            <w:tcBorders>
              <w:top w:val="nil"/>
              <w:left w:val="nil"/>
              <w:bottom w:val="nil"/>
              <w:right w:val="nil"/>
            </w:tcBorders>
            <w:shd w:val="clear" w:color="auto" w:fill="EAF1DD" w:themeFill="accent3" w:themeFillTint="33"/>
            <w:vAlign w:val="bottom"/>
          </w:tcPr>
          <w:p w14:paraId="466CA463" w14:textId="77777777" w:rsidR="009D198E" w:rsidRDefault="009D198E" w:rsidP="007603EF">
            <w:pPr>
              <w:jc w:val="right"/>
              <w:rPr>
                <w:rFonts w:ascii="Arial" w:hAnsi="Arial" w:cs="Arial"/>
              </w:rPr>
            </w:pPr>
          </w:p>
        </w:tc>
        <w:tc>
          <w:tcPr>
            <w:tcW w:w="2551" w:type="dxa"/>
            <w:tcBorders>
              <w:top w:val="nil"/>
              <w:left w:val="nil"/>
              <w:bottom w:val="nil"/>
              <w:right w:val="nil"/>
            </w:tcBorders>
            <w:shd w:val="clear" w:color="auto" w:fill="EAF1DD" w:themeFill="accent3" w:themeFillTint="33"/>
            <w:vAlign w:val="bottom"/>
          </w:tcPr>
          <w:p w14:paraId="50EB3232" w14:textId="17FD8AD8" w:rsidR="009D198E" w:rsidRDefault="00657275" w:rsidP="007603EF">
            <w:pPr>
              <w:jc w:val="right"/>
              <w:rPr>
                <w:rFonts w:ascii="Arial" w:hAnsi="Arial" w:cs="Arial"/>
              </w:rPr>
            </w:pPr>
            <w:r>
              <w:rPr>
                <w:rFonts w:ascii="Arial" w:hAnsi="Arial" w:cs="Arial"/>
              </w:rPr>
              <w:t>647</w:t>
            </w:r>
          </w:p>
        </w:tc>
        <w:tc>
          <w:tcPr>
            <w:tcW w:w="1560" w:type="dxa"/>
            <w:tcBorders>
              <w:top w:val="nil"/>
              <w:left w:val="nil"/>
              <w:bottom w:val="nil"/>
              <w:right w:val="nil"/>
            </w:tcBorders>
            <w:shd w:val="clear" w:color="auto" w:fill="EAF1DD" w:themeFill="accent3" w:themeFillTint="33"/>
            <w:vAlign w:val="bottom"/>
          </w:tcPr>
          <w:p w14:paraId="69F185E6" w14:textId="5FC35610" w:rsidR="009D198E" w:rsidRDefault="004B758D" w:rsidP="007603EF">
            <w:pPr>
              <w:ind w:left="79"/>
              <w:jc w:val="right"/>
              <w:rPr>
                <w:rFonts w:ascii="Arial" w:hAnsi="Arial" w:cs="Arial"/>
              </w:rPr>
            </w:pPr>
            <w:r>
              <w:rPr>
                <w:rFonts w:ascii="Arial" w:hAnsi="Arial" w:cs="Arial"/>
              </w:rPr>
              <w:t>-</w:t>
            </w:r>
          </w:p>
        </w:tc>
        <w:tc>
          <w:tcPr>
            <w:tcW w:w="2126" w:type="dxa"/>
            <w:tcBorders>
              <w:top w:val="nil"/>
              <w:left w:val="nil"/>
              <w:bottom w:val="nil"/>
              <w:right w:val="nil"/>
            </w:tcBorders>
            <w:shd w:val="clear" w:color="auto" w:fill="EAF1DD" w:themeFill="accent3" w:themeFillTint="33"/>
            <w:vAlign w:val="bottom"/>
          </w:tcPr>
          <w:p w14:paraId="71AAAB4F" w14:textId="1EC563AE" w:rsidR="009D198E" w:rsidRDefault="00657275" w:rsidP="0009383E">
            <w:pPr>
              <w:ind w:left="79"/>
              <w:jc w:val="right"/>
              <w:rPr>
                <w:rFonts w:ascii="Arial" w:hAnsi="Arial" w:cs="Arial"/>
              </w:rPr>
            </w:pPr>
            <w:r>
              <w:rPr>
                <w:rFonts w:ascii="Arial" w:hAnsi="Arial" w:cs="Arial"/>
              </w:rPr>
              <w:t>647</w:t>
            </w:r>
          </w:p>
        </w:tc>
      </w:tr>
      <w:tr w:rsidR="00722032" w:rsidRPr="00E26D69" w14:paraId="3E290541" w14:textId="77777777" w:rsidTr="00E31840">
        <w:trPr>
          <w:trHeight w:val="454"/>
        </w:trPr>
        <w:tc>
          <w:tcPr>
            <w:tcW w:w="3119" w:type="dxa"/>
            <w:tcBorders>
              <w:top w:val="nil"/>
              <w:left w:val="nil"/>
              <w:bottom w:val="nil"/>
              <w:right w:val="nil"/>
            </w:tcBorders>
            <w:vAlign w:val="bottom"/>
          </w:tcPr>
          <w:p w14:paraId="7DE34BFE" w14:textId="77777777" w:rsidR="00E26D69" w:rsidRPr="00E26D69" w:rsidRDefault="00E26D69" w:rsidP="00EF5E89">
            <w:pPr>
              <w:ind w:left="-108"/>
              <w:rPr>
                <w:rFonts w:ascii="Arial" w:hAnsi="Arial" w:cs="Arial"/>
              </w:rPr>
            </w:pPr>
            <w:r w:rsidRPr="00E26D69">
              <w:rPr>
                <w:rFonts w:ascii="Arial" w:hAnsi="Arial" w:cs="Arial"/>
              </w:rPr>
              <w:t xml:space="preserve">Utilised in year </w:t>
            </w:r>
          </w:p>
        </w:tc>
        <w:tc>
          <w:tcPr>
            <w:tcW w:w="1418" w:type="dxa"/>
            <w:tcBorders>
              <w:top w:val="nil"/>
              <w:left w:val="nil"/>
              <w:bottom w:val="nil"/>
              <w:right w:val="nil"/>
            </w:tcBorders>
            <w:shd w:val="clear" w:color="auto" w:fill="EAF1DD" w:themeFill="accent3" w:themeFillTint="33"/>
            <w:vAlign w:val="bottom"/>
          </w:tcPr>
          <w:p w14:paraId="13E73BC6" w14:textId="18031E64" w:rsidR="00E26D69" w:rsidRPr="00E26D69" w:rsidRDefault="00ED7145" w:rsidP="007603EF">
            <w:pPr>
              <w:jc w:val="right"/>
              <w:rPr>
                <w:rFonts w:ascii="Arial" w:hAnsi="Arial" w:cs="Arial"/>
              </w:rPr>
            </w:pPr>
            <w:r>
              <w:rPr>
                <w:rFonts w:ascii="Arial" w:hAnsi="Arial" w:cs="Arial"/>
              </w:rPr>
              <w:t>(14</w:t>
            </w:r>
            <w:r w:rsidR="001E2BF2">
              <w:rPr>
                <w:rFonts w:ascii="Arial" w:hAnsi="Arial" w:cs="Arial"/>
              </w:rPr>
              <w:t>1</w:t>
            </w:r>
            <w:r>
              <w:rPr>
                <w:rFonts w:ascii="Arial" w:hAnsi="Arial" w:cs="Arial"/>
              </w:rPr>
              <w:t>)</w:t>
            </w:r>
          </w:p>
        </w:tc>
        <w:tc>
          <w:tcPr>
            <w:tcW w:w="2551" w:type="dxa"/>
            <w:tcBorders>
              <w:top w:val="nil"/>
              <w:left w:val="nil"/>
              <w:bottom w:val="nil"/>
              <w:right w:val="nil"/>
            </w:tcBorders>
            <w:shd w:val="clear" w:color="auto" w:fill="EAF1DD" w:themeFill="accent3" w:themeFillTint="33"/>
            <w:vAlign w:val="bottom"/>
          </w:tcPr>
          <w:p w14:paraId="28ECCF02" w14:textId="2BEDBABE" w:rsidR="00E26D69" w:rsidRPr="00E26D69" w:rsidRDefault="004B758D" w:rsidP="007603EF">
            <w:pPr>
              <w:jc w:val="right"/>
              <w:rPr>
                <w:rFonts w:ascii="Arial" w:hAnsi="Arial" w:cs="Arial"/>
              </w:rPr>
            </w:pPr>
            <w:r>
              <w:rPr>
                <w:rFonts w:ascii="Arial" w:hAnsi="Arial" w:cs="Arial"/>
              </w:rPr>
              <w:t>-</w:t>
            </w:r>
          </w:p>
        </w:tc>
        <w:tc>
          <w:tcPr>
            <w:tcW w:w="1560" w:type="dxa"/>
            <w:tcBorders>
              <w:top w:val="nil"/>
              <w:left w:val="nil"/>
              <w:bottom w:val="nil"/>
              <w:right w:val="nil"/>
            </w:tcBorders>
            <w:shd w:val="clear" w:color="auto" w:fill="EAF1DD" w:themeFill="accent3" w:themeFillTint="33"/>
            <w:vAlign w:val="bottom"/>
          </w:tcPr>
          <w:p w14:paraId="1FCE3C6C" w14:textId="754CC7CA" w:rsidR="00E26D69" w:rsidRPr="00E26D69" w:rsidRDefault="00C61E36" w:rsidP="007603EF">
            <w:pPr>
              <w:ind w:left="79"/>
              <w:jc w:val="right"/>
              <w:rPr>
                <w:rFonts w:ascii="Arial" w:hAnsi="Arial" w:cs="Arial"/>
              </w:rPr>
            </w:pPr>
            <w:r>
              <w:rPr>
                <w:rFonts w:ascii="Arial" w:hAnsi="Arial" w:cs="Arial"/>
              </w:rPr>
              <w:t>(83)</w:t>
            </w:r>
          </w:p>
        </w:tc>
        <w:tc>
          <w:tcPr>
            <w:tcW w:w="2126" w:type="dxa"/>
            <w:tcBorders>
              <w:top w:val="nil"/>
              <w:left w:val="nil"/>
              <w:bottom w:val="nil"/>
              <w:right w:val="nil"/>
            </w:tcBorders>
            <w:shd w:val="clear" w:color="auto" w:fill="EAF1DD" w:themeFill="accent3" w:themeFillTint="33"/>
            <w:vAlign w:val="bottom"/>
          </w:tcPr>
          <w:p w14:paraId="45F0B3A8" w14:textId="1FBD3AE0" w:rsidR="00E26D69" w:rsidRPr="00E26D69" w:rsidRDefault="00C61E36" w:rsidP="0009383E">
            <w:pPr>
              <w:ind w:left="79"/>
              <w:jc w:val="right"/>
              <w:rPr>
                <w:rFonts w:ascii="Arial" w:hAnsi="Arial" w:cs="Arial"/>
              </w:rPr>
            </w:pPr>
            <w:r>
              <w:rPr>
                <w:rFonts w:ascii="Arial" w:hAnsi="Arial" w:cs="Arial"/>
              </w:rPr>
              <w:t>(22</w:t>
            </w:r>
            <w:r w:rsidR="008F163C">
              <w:rPr>
                <w:rFonts w:ascii="Arial" w:hAnsi="Arial" w:cs="Arial"/>
              </w:rPr>
              <w:t>4</w:t>
            </w:r>
            <w:r>
              <w:rPr>
                <w:rFonts w:ascii="Arial" w:hAnsi="Arial" w:cs="Arial"/>
              </w:rPr>
              <w:t>)</w:t>
            </w:r>
          </w:p>
        </w:tc>
      </w:tr>
      <w:tr w:rsidR="00863090" w:rsidRPr="00E26D69" w14:paraId="37A34156" w14:textId="77777777" w:rsidTr="00E31840">
        <w:trPr>
          <w:trHeight w:val="454"/>
        </w:trPr>
        <w:tc>
          <w:tcPr>
            <w:tcW w:w="3119" w:type="dxa"/>
            <w:tcBorders>
              <w:top w:val="nil"/>
              <w:left w:val="nil"/>
              <w:bottom w:val="nil"/>
              <w:right w:val="nil"/>
            </w:tcBorders>
            <w:vAlign w:val="bottom"/>
          </w:tcPr>
          <w:p w14:paraId="46BB648E" w14:textId="6D749049" w:rsidR="00E26D69" w:rsidRPr="00E26D69" w:rsidRDefault="00C90814" w:rsidP="00EF5E89">
            <w:pPr>
              <w:ind w:left="-108"/>
              <w:rPr>
                <w:rFonts w:ascii="Arial" w:hAnsi="Arial" w:cs="Arial"/>
              </w:rPr>
            </w:pPr>
            <w:r>
              <w:rPr>
                <w:rFonts w:ascii="Arial" w:hAnsi="Arial" w:cs="Arial"/>
              </w:rPr>
              <w:t>At</w:t>
            </w:r>
            <w:r w:rsidR="00E26D69" w:rsidRPr="00E26D69">
              <w:rPr>
                <w:rFonts w:ascii="Arial" w:hAnsi="Arial" w:cs="Arial"/>
              </w:rPr>
              <w:t xml:space="preserve"> 31 March 202</w:t>
            </w:r>
            <w:r w:rsidR="00994AED">
              <w:rPr>
                <w:rFonts w:ascii="Arial" w:hAnsi="Arial" w:cs="Arial"/>
              </w:rPr>
              <w:t>2</w:t>
            </w:r>
          </w:p>
        </w:tc>
        <w:tc>
          <w:tcPr>
            <w:tcW w:w="1418" w:type="dxa"/>
            <w:tcBorders>
              <w:top w:val="single" w:sz="4" w:space="0" w:color="auto"/>
              <w:left w:val="nil"/>
              <w:bottom w:val="double" w:sz="6" w:space="0" w:color="auto"/>
              <w:right w:val="nil"/>
            </w:tcBorders>
            <w:shd w:val="clear" w:color="auto" w:fill="EAF1DD" w:themeFill="accent3" w:themeFillTint="33"/>
            <w:vAlign w:val="bottom"/>
          </w:tcPr>
          <w:p w14:paraId="1E0D828A" w14:textId="021F458E" w:rsidR="00E26D69" w:rsidRPr="00E26D69" w:rsidRDefault="00C61E36" w:rsidP="007603EF">
            <w:pPr>
              <w:jc w:val="right"/>
              <w:rPr>
                <w:rFonts w:ascii="Arial" w:hAnsi="Arial" w:cs="Arial"/>
                <w:b/>
              </w:rPr>
            </w:pPr>
            <w:r>
              <w:rPr>
                <w:rFonts w:ascii="Arial" w:hAnsi="Arial" w:cs="Arial"/>
                <w:b/>
              </w:rPr>
              <w:t>1,73</w:t>
            </w:r>
            <w:r w:rsidR="00291B90">
              <w:rPr>
                <w:rFonts w:ascii="Arial" w:hAnsi="Arial" w:cs="Arial"/>
                <w:b/>
              </w:rPr>
              <w:t>1</w:t>
            </w:r>
          </w:p>
        </w:tc>
        <w:tc>
          <w:tcPr>
            <w:tcW w:w="2551" w:type="dxa"/>
            <w:tcBorders>
              <w:top w:val="single" w:sz="4" w:space="0" w:color="auto"/>
              <w:left w:val="nil"/>
              <w:bottom w:val="double" w:sz="6" w:space="0" w:color="auto"/>
              <w:right w:val="nil"/>
            </w:tcBorders>
            <w:shd w:val="clear" w:color="auto" w:fill="EAF1DD" w:themeFill="accent3" w:themeFillTint="33"/>
            <w:vAlign w:val="bottom"/>
          </w:tcPr>
          <w:p w14:paraId="0755B1A4" w14:textId="3E342D63" w:rsidR="00E26D69" w:rsidRPr="00E26D69" w:rsidRDefault="00C61E36" w:rsidP="007603EF">
            <w:pPr>
              <w:jc w:val="right"/>
              <w:rPr>
                <w:rFonts w:ascii="Arial" w:hAnsi="Arial" w:cs="Arial"/>
                <w:b/>
              </w:rPr>
            </w:pPr>
            <w:r>
              <w:rPr>
                <w:rFonts w:ascii="Arial" w:hAnsi="Arial" w:cs="Arial"/>
                <w:b/>
              </w:rPr>
              <w:t>3,28</w:t>
            </w:r>
            <w:r w:rsidR="00CF69F0">
              <w:rPr>
                <w:rFonts w:ascii="Arial" w:hAnsi="Arial" w:cs="Arial"/>
                <w:b/>
              </w:rPr>
              <w:t>6</w:t>
            </w:r>
          </w:p>
        </w:tc>
        <w:tc>
          <w:tcPr>
            <w:tcW w:w="1560" w:type="dxa"/>
            <w:tcBorders>
              <w:top w:val="single" w:sz="4" w:space="0" w:color="auto"/>
              <w:left w:val="nil"/>
              <w:bottom w:val="double" w:sz="6" w:space="0" w:color="auto"/>
              <w:right w:val="nil"/>
            </w:tcBorders>
            <w:shd w:val="clear" w:color="auto" w:fill="EAF1DD" w:themeFill="accent3" w:themeFillTint="33"/>
            <w:vAlign w:val="bottom"/>
          </w:tcPr>
          <w:p w14:paraId="7D8C9B52" w14:textId="5F1B1892" w:rsidR="00E26D69" w:rsidRPr="00E26D69" w:rsidRDefault="00C61E36" w:rsidP="002D5845">
            <w:pPr>
              <w:jc w:val="right"/>
              <w:rPr>
                <w:rFonts w:ascii="Arial" w:hAnsi="Arial" w:cs="Arial"/>
                <w:b/>
              </w:rPr>
            </w:pPr>
            <w:r>
              <w:rPr>
                <w:rFonts w:ascii="Arial" w:hAnsi="Arial" w:cs="Arial"/>
                <w:b/>
              </w:rPr>
              <w:t>417</w:t>
            </w:r>
          </w:p>
        </w:tc>
        <w:tc>
          <w:tcPr>
            <w:tcW w:w="2126" w:type="dxa"/>
            <w:tcBorders>
              <w:top w:val="single" w:sz="4" w:space="0" w:color="auto"/>
              <w:left w:val="nil"/>
              <w:bottom w:val="double" w:sz="6" w:space="0" w:color="auto"/>
              <w:right w:val="nil"/>
            </w:tcBorders>
            <w:shd w:val="clear" w:color="auto" w:fill="EAF1DD" w:themeFill="accent3" w:themeFillTint="33"/>
            <w:vAlign w:val="bottom"/>
          </w:tcPr>
          <w:p w14:paraId="162F8237" w14:textId="5CD9C10E" w:rsidR="00E26D69" w:rsidRPr="00E26D69" w:rsidRDefault="006E2530" w:rsidP="0009383E">
            <w:pPr>
              <w:ind w:left="79"/>
              <w:jc w:val="right"/>
              <w:rPr>
                <w:rFonts w:ascii="Arial" w:hAnsi="Arial" w:cs="Arial"/>
                <w:b/>
              </w:rPr>
            </w:pPr>
            <w:r>
              <w:rPr>
                <w:rFonts w:ascii="Arial" w:hAnsi="Arial" w:cs="Arial"/>
                <w:b/>
              </w:rPr>
              <w:t>5,434</w:t>
            </w:r>
          </w:p>
        </w:tc>
      </w:tr>
      <w:tr w:rsidR="00722032" w:rsidRPr="00E26D69" w14:paraId="6AFB1AB6" w14:textId="77777777" w:rsidTr="00E31840">
        <w:trPr>
          <w:trHeight w:val="454"/>
        </w:trPr>
        <w:tc>
          <w:tcPr>
            <w:tcW w:w="3119" w:type="dxa"/>
            <w:tcBorders>
              <w:top w:val="nil"/>
              <w:left w:val="nil"/>
              <w:bottom w:val="nil"/>
              <w:right w:val="nil"/>
            </w:tcBorders>
            <w:vAlign w:val="bottom"/>
          </w:tcPr>
          <w:p w14:paraId="7C01571C" w14:textId="77777777" w:rsidR="00E26D69" w:rsidRPr="00E26D69" w:rsidRDefault="00E26D69" w:rsidP="00EF5E89">
            <w:pPr>
              <w:ind w:left="-108"/>
              <w:rPr>
                <w:rFonts w:ascii="Arial" w:hAnsi="Arial" w:cs="Arial"/>
              </w:rPr>
            </w:pPr>
            <w:r w:rsidRPr="00E26D69">
              <w:rPr>
                <w:rFonts w:ascii="Arial" w:hAnsi="Arial" w:cs="Arial"/>
              </w:rPr>
              <w:t>Liabilities due &gt; 1 year</w:t>
            </w:r>
          </w:p>
        </w:tc>
        <w:tc>
          <w:tcPr>
            <w:tcW w:w="1418" w:type="dxa"/>
            <w:tcBorders>
              <w:top w:val="nil"/>
              <w:left w:val="nil"/>
              <w:bottom w:val="nil"/>
              <w:right w:val="nil"/>
            </w:tcBorders>
            <w:shd w:val="clear" w:color="auto" w:fill="EAF1DD" w:themeFill="accent3" w:themeFillTint="33"/>
            <w:vAlign w:val="bottom"/>
          </w:tcPr>
          <w:p w14:paraId="5A77C5BB" w14:textId="6C0E9496" w:rsidR="00E26D69" w:rsidRPr="00E26D69" w:rsidRDefault="006E2530" w:rsidP="007603EF">
            <w:pPr>
              <w:jc w:val="right"/>
              <w:rPr>
                <w:rFonts w:ascii="Arial" w:hAnsi="Arial" w:cs="Arial"/>
              </w:rPr>
            </w:pPr>
            <w:r>
              <w:rPr>
                <w:rFonts w:ascii="Arial" w:hAnsi="Arial" w:cs="Arial"/>
              </w:rPr>
              <w:t>1,5</w:t>
            </w:r>
            <w:r w:rsidR="001E2BF2">
              <w:rPr>
                <w:rFonts w:ascii="Arial" w:hAnsi="Arial" w:cs="Arial"/>
              </w:rPr>
              <w:t>90</w:t>
            </w:r>
          </w:p>
        </w:tc>
        <w:tc>
          <w:tcPr>
            <w:tcW w:w="2551" w:type="dxa"/>
            <w:tcBorders>
              <w:top w:val="nil"/>
              <w:left w:val="nil"/>
              <w:bottom w:val="nil"/>
              <w:right w:val="nil"/>
            </w:tcBorders>
            <w:shd w:val="clear" w:color="auto" w:fill="EAF1DD" w:themeFill="accent3" w:themeFillTint="33"/>
            <w:vAlign w:val="bottom"/>
          </w:tcPr>
          <w:p w14:paraId="3FE97AD0" w14:textId="008CAB31" w:rsidR="00E26D69" w:rsidRPr="00E26D69" w:rsidRDefault="006E2530" w:rsidP="007603EF">
            <w:pPr>
              <w:jc w:val="right"/>
              <w:rPr>
                <w:rFonts w:ascii="Arial" w:hAnsi="Arial" w:cs="Arial"/>
              </w:rPr>
            </w:pPr>
            <w:r>
              <w:rPr>
                <w:rFonts w:ascii="Arial" w:hAnsi="Arial" w:cs="Arial"/>
              </w:rPr>
              <w:t>3,28</w:t>
            </w:r>
            <w:r w:rsidR="00CF69F0">
              <w:rPr>
                <w:rFonts w:ascii="Arial" w:hAnsi="Arial" w:cs="Arial"/>
              </w:rPr>
              <w:t>6</w:t>
            </w:r>
          </w:p>
        </w:tc>
        <w:tc>
          <w:tcPr>
            <w:tcW w:w="1560" w:type="dxa"/>
            <w:tcBorders>
              <w:top w:val="nil"/>
              <w:left w:val="nil"/>
              <w:bottom w:val="nil"/>
              <w:right w:val="nil"/>
            </w:tcBorders>
            <w:shd w:val="clear" w:color="auto" w:fill="EAF1DD" w:themeFill="accent3" w:themeFillTint="33"/>
            <w:vAlign w:val="bottom"/>
          </w:tcPr>
          <w:p w14:paraId="7B195C45" w14:textId="4D40C897" w:rsidR="00E26D69" w:rsidRPr="00E26D69" w:rsidRDefault="003C443A" w:rsidP="007603EF">
            <w:pPr>
              <w:ind w:left="79"/>
              <w:jc w:val="right"/>
              <w:rPr>
                <w:rFonts w:ascii="Arial" w:hAnsi="Arial" w:cs="Arial"/>
              </w:rPr>
            </w:pPr>
            <w:r>
              <w:rPr>
                <w:rFonts w:ascii="Arial" w:hAnsi="Arial" w:cs="Arial"/>
              </w:rPr>
              <w:t>334</w:t>
            </w:r>
          </w:p>
        </w:tc>
        <w:tc>
          <w:tcPr>
            <w:tcW w:w="2126" w:type="dxa"/>
            <w:tcBorders>
              <w:top w:val="nil"/>
              <w:left w:val="nil"/>
              <w:bottom w:val="nil"/>
              <w:right w:val="nil"/>
            </w:tcBorders>
            <w:shd w:val="clear" w:color="auto" w:fill="EAF1DD" w:themeFill="accent3" w:themeFillTint="33"/>
            <w:vAlign w:val="bottom"/>
          </w:tcPr>
          <w:p w14:paraId="16F5B3B0" w14:textId="6236BEB9" w:rsidR="00E26D69" w:rsidRPr="00E26D69" w:rsidRDefault="006E2530" w:rsidP="0009383E">
            <w:pPr>
              <w:ind w:left="79"/>
              <w:jc w:val="right"/>
              <w:rPr>
                <w:rFonts w:ascii="Arial" w:hAnsi="Arial" w:cs="Arial"/>
              </w:rPr>
            </w:pPr>
            <w:r>
              <w:rPr>
                <w:rFonts w:ascii="Arial" w:hAnsi="Arial" w:cs="Arial"/>
              </w:rPr>
              <w:t>5,2</w:t>
            </w:r>
            <w:r w:rsidR="008F163C">
              <w:rPr>
                <w:rFonts w:ascii="Arial" w:hAnsi="Arial" w:cs="Arial"/>
              </w:rPr>
              <w:t>10</w:t>
            </w:r>
          </w:p>
        </w:tc>
      </w:tr>
      <w:tr w:rsidR="00722032" w:rsidRPr="00E26D69" w14:paraId="4E756BF4" w14:textId="77777777" w:rsidTr="00E31840">
        <w:trPr>
          <w:trHeight w:val="454"/>
        </w:trPr>
        <w:tc>
          <w:tcPr>
            <w:tcW w:w="3119" w:type="dxa"/>
            <w:tcBorders>
              <w:top w:val="nil"/>
              <w:left w:val="nil"/>
              <w:bottom w:val="nil"/>
              <w:right w:val="nil"/>
            </w:tcBorders>
            <w:vAlign w:val="bottom"/>
          </w:tcPr>
          <w:p w14:paraId="3E3CA5AA" w14:textId="77777777" w:rsidR="00E26D69" w:rsidRPr="00E26D69" w:rsidRDefault="00E26D69" w:rsidP="00EF5E89">
            <w:pPr>
              <w:ind w:left="-108"/>
              <w:rPr>
                <w:rFonts w:ascii="Arial" w:hAnsi="Arial" w:cs="Arial"/>
              </w:rPr>
            </w:pPr>
            <w:r w:rsidRPr="00E26D69">
              <w:rPr>
                <w:rFonts w:ascii="Arial" w:hAnsi="Arial" w:cs="Arial"/>
              </w:rPr>
              <w:t>Liabilities due &lt; 1 year</w:t>
            </w:r>
          </w:p>
        </w:tc>
        <w:tc>
          <w:tcPr>
            <w:tcW w:w="1418" w:type="dxa"/>
            <w:tcBorders>
              <w:top w:val="nil"/>
              <w:left w:val="nil"/>
              <w:bottom w:val="nil"/>
              <w:right w:val="nil"/>
            </w:tcBorders>
            <w:shd w:val="clear" w:color="auto" w:fill="EAF1DD" w:themeFill="accent3" w:themeFillTint="33"/>
            <w:vAlign w:val="bottom"/>
          </w:tcPr>
          <w:p w14:paraId="37AC33D0" w14:textId="3D5C5859" w:rsidR="00E26D69" w:rsidRPr="00E26D69" w:rsidRDefault="006E2530" w:rsidP="007603EF">
            <w:pPr>
              <w:jc w:val="right"/>
              <w:rPr>
                <w:rFonts w:ascii="Arial" w:hAnsi="Arial" w:cs="Arial"/>
              </w:rPr>
            </w:pPr>
            <w:r>
              <w:rPr>
                <w:rFonts w:ascii="Arial" w:hAnsi="Arial" w:cs="Arial"/>
              </w:rPr>
              <w:t>14</w:t>
            </w:r>
            <w:r w:rsidR="001E2BF2">
              <w:rPr>
                <w:rFonts w:ascii="Arial" w:hAnsi="Arial" w:cs="Arial"/>
              </w:rPr>
              <w:t>1</w:t>
            </w:r>
          </w:p>
        </w:tc>
        <w:tc>
          <w:tcPr>
            <w:tcW w:w="2551" w:type="dxa"/>
            <w:tcBorders>
              <w:top w:val="nil"/>
              <w:left w:val="nil"/>
              <w:bottom w:val="nil"/>
              <w:right w:val="nil"/>
            </w:tcBorders>
            <w:shd w:val="clear" w:color="auto" w:fill="EAF1DD" w:themeFill="accent3" w:themeFillTint="33"/>
            <w:vAlign w:val="bottom"/>
          </w:tcPr>
          <w:p w14:paraId="644C9039" w14:textId="5A21DA5F" w:rsidR="00E26D69" w:rsidRPr="00E26D69" w:rsidRDefault="004B758D" w:rsidP="007603EF">
            <w:pPr>
              <w:jc w:val="right"/>
              <w:rPr>
                <w:rFonts w:ascii="Arial" w:hAnsi="Arial" w:cs="Arial"/>
              </w:rPr>
            </w:pPr>
            <w:r>
              <w:rPr>
                <w:rFonts w:ascii="Arial" w:hAnsi="Arial" w:cs="Arial"/>
              </w:rPr>
              <w:t>-</w:t>
            </w:r>
          </w:p>
        </w:tc>
        <w:tc>
          <w:tcPr>
            <w:tcW w:w="1560" w:type="dxa"/>
            <w:tcBorders>
              <w:top w:val="nil"/>
              <w:left w:val="nil"/>
              <w:bottom w:val="nil"/>
              <w:right w:val="nil"/>
            </w:tcBorders>
            <w:shd w:val="clear" w:color="auto" w:fill="EAF1DD" w:themeFill="accent3" w:themeFillTint="33"/>
            <w:vAlign w:val="bottom"/>
          </w:tcPr>
          <w:p w14:paraId="6845B67E" w14:textId="6FF94955" w:rsidR="00E26D69" w:rsidRPr="00E26D69" w:rsidRDefault="003C443A" w:rsidP="007603EF">
            <w:pPr>
              <w:ind w:left="79"/>
              <w:jc w:val="right"/>
              <w:rPr>
                <w:rFonts w:ascii="Arial" w:hAnsi="Arial" w:cs="Arial"/>
              </w:rPr>
            </w:pPr>
            <w:r>
              <w:rPr>
                <w:rFonts w:ascii="Arial" w:hAnsi="Arial" w:cs="Arial"/>
              </w:rPr>
              <w:t>83</w:t>
            </w:r>
          </w:p>
        </w:tc>
        <w:tc>
          <w:tcPr>
            <w:tcW w:w="2126" w:type="dxa"/>
            <w:tcBorders>
              <w:top w:val="nil"/>
              <w:left w:val="nil"/>
              <w:bottom w:val="nil"/>
              <w:right w:val="nil"/>
            </w:tcBorders>
            <w:shd w:val="clear" w:color="auto" w:fill="EAF1DD" w:themeFill="accent3" w:themeFillTint="33"/>
            <w:vAlign w:val="bottom"/>
          </w:tcPr>
          <w:p w14:paraId="5576ED2B" w14:textId="4ACD7147" w:rsidR="00E26D69" w:rsidRPr="00E26D69" w:rsidRDefault="003C443A" w:rsidP="0009383E">
            <w:pPr>
              <w:ind w:left="79"/>
              <w:jc w:val="right"/>
              <w:rPr>
                <w:rFonts w:ascii="Arial" w:hAnsi="Arial" w:cs="Arial"/>
              </w:rPr>
            </w:pPr>
            <w:r>
              <w:rPr>
                <w:rFonts w:ascii="Arial" w:hAnsi="Arial" w:cs="Arial"/>
              </w:rPr>
              <w:t>22</w:t>
            </w:r>
            <w:r w:rsidR="008F163C">
              <w:rPr>
                <w:rFonts w:ascii="Arial" w:hAnsi="Arial" w:cs="Arial"/>
              </w:rPr>
              <w:t>4</w:t>
            </w:r>
          </w:p>
        </w:tc>
      </w:tr>
      <w:tr w:rsidR="00863090" w:rsidRPr="00E26D69" w14:paraId="0452C738" w14:textId="77777777" w:rsidTr="00E31840">
        <w:trPr>
          <w:trHeight w:val="454"/>
        </w:trPr>
        <w:tc>
          <w:tcPr>
            <w:tcW w:w="3119" w:type="dxa"/>
            <w:tcBorders>
              <w:top w:val="nil"/>
              <w:left w:val="nil"/>
              <w:bottom w:val="nil"/>
              <w:right w:val="nil"/>
            </w:tcBorders>
            <w:vAlign w:val="bottom"/>
          </w:tcPr>
          <w:p w14:paraId="09BB479C" w14:textId="6E7B1485" w:rsidR="00E26D69" w:rsidRPr="00E26D69" w:rsidRDefault="00C90814" w:rsidP="00EF5E89">
            <w:pPr>
              <w:ind w:left="-108"/>
              <w:rPr>
                <w:rFonts w:ascii="Arial" w:hAnsi="Arial" w:cs="Arial"/>
              </w:rPr>
            </w:pPr>
            <w:r>
              <w:rPr>
                <w:rFonts w:ascii="Arial" w:hAnsi="Arial" w:cs="Arial"/>
              </w:rPr>
              <w:t>At</w:t>
            </w:r>
            <w:r w:rsidR="00E26D69" w:rsidRPr="00E26D69">
              <w:rPr>
                <w:rFonts w:ascii="Arial" w:hAnsi="Arial" w:cs="Arial"/>
              </w:rPr>
              <w:t xml:space="preserve"> 31 March 202</w:t>
            </w:r>
            <w:r w:rsidR="00994AED">
              <w:rPr>
                <w:rFonts w:ascii="Arial" w:hAnsi="Arial" w:cs="Arial"/>
              </w:rPr>
              <w:t>2</w:t>
            </w:r>
          </w:p>
        </w:tc>
        <w:tc>
          <w:tcPr>
            <w:tcW w:w="1418" w:type="dxa"/>
            <w:tcBorders>
              <w:top w:val="single" w:sz="4" w:space="0" w:color="auto"/>
              <w:left w:val="nil"/>
              <w:bottom w:val="double" w:sz="6" w:space="0" w:color="auto"/>
              <w:right w:val="nil"/>
            </w:tcBorders>
            <w:shd w:val="clear" w:color="auto" w:fill="EAF1DD" w:themeFill="accent3" w:themeFillTint="33"/>
            <w:vAlign w:val="bottom"/>
          </w:tcPr>
          <w:p w14:paraId="70B6E896" w14:textId="110A990D" w:rsidR="00E26D69" w:rsidRPr="00E26D69" w:rsidRDefault="00AA5315" w:rsidP="007603EF">
            <w:pPr>
              <w:jc w:val="right"/>
              <w:rPr>
                <w:rFonts w:ascii="Arial" w:hAnsi="Arial" w:cs="Arial"/>
                <w:b/>
              </w:rPr>
            </w:pPr>
            <w:r>
              <w:rPr>
                <w:rFonts w:ascii="Arial" w:hAnsi="Arial" w:cs="Arial"/>
                <w:b/>
              </w:rPr>
              <w:t>1,73</w:t>
            </w:r>
            <w:r w:rsidR="001E2BF2">
              <w:rPr>
                <w:rFonts w:ascii="Arial" w:hAnsi="Arial" w:cs="Arial"/>
                <w:b/>
              </w:rPr>
              <w:t>1</w:t>
            </w:r>
          </w:p>
        </w:tc>
        <w:tc>
          <w:tcPr>
            <w:tcW w:w="2551" w:type="dxa"/>
            <w:tcBorders>
              <w:top w:val="single" w:sz="4" w:space="0" w:color="auto"/>
              <w:left w:val="nil"/>
              <w:bottom w:val="double" w:sz="6" w:space="0" w:color="auto"/>
              <w:right w:val="nil"/>
            </w:tcBorders>
            <w:shd w:val="clear" w:color="auto" w:fill="EAF1DD" w:themeFill="accent3" w:themeFillTint="33"/>
            <w:vAlign w:val="bottom"/>
          </w:tcPr>
          <w:p w14:paraId="3405B62F" w14:textId="112406B2" w:rsidR="00E26D69" w:rsidRPr="00E26D69" w:rsidRDefault="003C443A" w:rsidP="007603EF">
            <w:pPr>
              <w:jc w:val="right"/>
              <w:rPr>
                <w:rFonts w:ascii="Arial" w:hAnsi="Arial" w:cs="Arial"/>
                <w:b/>
              </w:rPr>
            </w:pPr>
            <w:r>
              <w:rPr>
                <w:rFonts w:ascii="Arial" w:hAnsi="Arial" w:cs="Arial"/>
                <w:b/>
              </w:rPr>
              <w:t>3,286</w:t>
            </w:r>
          </w:p>
        </w:tc>
        <w:tc>
          <w:tcPr>
            <w:tcW w:w="1560" w:type="dxa"/>
            <w:tcBorders>
              <w:top w:val="single" w:sz="4" w:space="0" w:color="auto"/>
              <w:left w:val="nil"/>
              <w:bottom w:val="double" w:sz="6" w:space="0" w:color="auto"/>
              <w:right w:val="nil"/>
            </w:tcBorders>
            <w:shd w:val="clear" w:color="auto" w:fill="EAF1DD" w:themeFill="accent3" w:themeFillTint="33"/>
            <w:vAlign w:val="bottom"/>
          </w:tcPr>
          <w:p w14:paraId="5A2AEDEF" w14:textId="7D8B78D6" w:rsidR="00E26D69" w:rsidRPr="00E26D69" w:rsidRDefault="003C443A" w:rsidP="007603EF">
            <w:pPr>
              <w:ind w:left="79"/>
              <w:jc w:val="right"/>
              <w:rPr>
                <w:rFonts w:ascii="Arial" w:hAnsi="Arial" w:cs="Arial"/>
                <w:b/>
              </w:rPr>
            </w:pPr>
            <w:r>
              <w:rPr>
                <w:rFonts w:ascii="Arial" w:hAnsi="Arial" w:cs="Arial"/>
                <w:b/>
              </w:rPr>
              <w:t>417</w:t>
            </w:r>
          </w:p>
        </w:tc>
        <w:tc>
          <w:tcPr>
            <w:tcW w:w="2126" w:type="dxa"/>
            <w:tcBorders>
              <w:top w:val="single" w:sz="4" w:space="0" w:color="auto"/>
              <w:left w:val="nil"/>
              <w:bottom w:val="double" w:sz="6" w:space="0" w:color="auto"/>
              <w:right w:val="nil"/>
            </w:tcBorders>
            <w:shd w:val="clear" w:color="auto" w:fill="EAF1DD" w:themeFill="accent3" w:themeFillTint="33"/>
            <w:vAlign w:val="bottom"/>
          </w:tcPr>
          <w:p w14:paraId="3BF6C0E4" w14:textId="774CFBC9" w:rsidR="00E26D69" w:rsidRPr="00E26D69" w:rsidRDefault="003C443A" w:rsidP="0009383E">
            <w:pPr>
              <w:ind w:left="79"/>
              <w:jc w:val="right"/>
              <w:rPr>
                <w:rFonts w:ascii="Arial" w:hAnsi="Arial" w:cs="Arial"/>
                <w:b/>
              </w:rPr>
            </w:pPr>
            <w:r>
              <w:rPr>
                <w:rFonts w:ascii="Arial" w:hAnsi="Arial" w:cs="Arial"/>
                <w:b/>
              </w:rPr>
              <w:t>5,434</w:t>
            </w:r>
          </w:p>
        </w:tc>
      </w:tr>
    </w:tbl>
    <w:p w14:paraId="0637D9E7" w14:textId="3520E9E9" w:rsidR="00795998" w:rsidRPr="00E26D69" w:rsidRDefault="000845C9" w:rsidP="00CB03D3">
      <w:pPr>
        <w:spacing w:line="276" w:lineRule="auto"/>
        <w:contextualSpacing/>
        <w:rPr>
          <w:rFonts w:ascii="Arial" w:hAnsi="Arial" w:cs="Arial"/>
          <w:b/>
        </w:rPr>
      </w:pPr>
      <w:r>
        <w:rPr>
          <w:rFonts w:ascii="Arial" w:hAnsi="Arial" w:cs="Arial"/>
          <w:b/>
        </w:rPr>
        <w:br w:type="page"/>
      </w:r>
    </w:p>
    <w:p w14:paraId="5C8A9260" w14:textId="479A075F" w:rsidR="004C0D50" w:rsidRDefault="004C0D50" w:rsidP="004C0D50">
      <w:pPr>
        <w:spacing w:line="360" w:lineRule="auto"/>
        <w:ind w:left="-284"/>
        <w:contextualSpacing/>
        <w:rPr>
          <w:rFonts w:ascii="Arial" w:hAnsi="Arial" w:cs="Arial"/>
          <w:b/>
        </w:rPr>
      </w:pPr>
      <w:r w:rsidRPr="00E26D69">
        <w:rPr>
          <w:rFonts w:ascii="Arial" w:hAnsi="Arial" w:cs="Arial"/>
          <w:b/>
        </w:rPr>
        <w:lastRenderedPageBreak/>
        <w:t>Provision for liabilities and charges</w:t>
      </w:r>
      <w:r>
        <w:rPr>
          <w:rFonts w:ascii="Arial" w:hAnsi="Arial" w:cs="Arial"/>
          <w:b/>
        </w:rPr>
        <w:t xml:space="preserve"> to March 202</w:t>
      </w:r>
      <w:r w:rsidR="00791225">
        <w:rPr>
          <w:rFonts w:ascii="Arial" w:hAnsi="Arial" w:cs="Arial"/>
          <w:b/>
        </w:rPr>
        <w:t>1</w:t>
      </w:r>
    </w:p>
    <w:p w14:paraId="55EC82F0" w14:textId="77777777" w:rsidR="00374D82" w:rsidRPr="00E26D69" w:rsidRDefault="00374D82" w:rsidP="004C0D50">
      <w:pPr>
        <w:spacing w:line="360" w:lineRule="auto"/>
        <w:ind w:left="-284"/>
        <w:contextualSpacing/>
        <w:rPr>
          <w:rFonts w:ascii="Arial" w:hAnsi="Arial" w:cs="Arial"/>
          <w:b/>
        </w:rPr>
      </w:pPr>
    </w:p>
    <w:tbl>
      <w:tblPr>
        <w:tblW w:w="10774" w:type="dxa"/>
        <w:tblInd w:w="-284" w:type="dxa"/>
        <w:shd w:val="clear" w:color="auto" w:fill="EAF1DD" w:themeFill="accent3" w:themeFillTint="33"/>
        <w:tblLayout w:type="fixed"/>
        <w:tblLook w:val="0000" w:firstRow="0" w:lastRow="0" w:firstColumn="0" w:lastColumn="0" w:noHBand="0" w:noVBand="0"/>
      </w:tblPr>
      <w:tblGrid>
        <w:gridCol w:w="3119"/>
        <w:gridCol w:w="1418"/>
        <w:gridCol w:w="2551"/>
        <w:gridCol w:w="1560"/>
        <w:gridCol w:w="2126"/>
      </w:tblGrid>
      <w:tr w:rsidR="00C03C5F" w:rsidRPr="00E26D69" w14:paraId="2D72C417" w14:textId="77777777" w:rsidTr="00AF3D16">
        <w:trPr>
          <w:trHeight w:val="454"/>
        </w:trPr>
        <w:tc>
          <w:tcPr>
            <w:tcW w:w="3119" w:type="dxa"/>
            <w:tcBorders>
              <w:top w:val="nil"/>
              <w:left w:val="nil"/>
              <w:bottom w:val="nil"/>
              <w:right w:val="nil"/>
            </w:tcBorders>
            <w:vAlign w:val="bottom"/>
          </w:tcPr>
          <w:p w14:paraId="4B1E59AC" w14:textId="28661555" w:rsidR="00791225" w:rsidRPr="00E26D69" w:rsidRDefault="00791225" w:rsidP="00791225">
            <w:pPr>
              <w:ind w:left="-108"/>
              <w:rPr>
                <w:rFonts w:ascii="Arial" w:hAnsi="Arial" w:cs="Arial"/>
                <w:b/>
                <w:bCs/>
              </w:rPr>
            </w:pPr>
            <w:r w:rsidRPr="00E26D69">
              <w:rPr>
                <w:rFonts w:ascii="Arial" w:hAnsi="Arial" w:cs="Arial"/>
                <w:b/>
              </w:rPr>
              <w:t>Year to 31 March 202</w:t>
            </w:r>
            <w:r>
              <w:rPr>
                <w:rFonts w:ascii="Arial" w:hAnsi="Arial" w:cs="Arial"/>
                <w:b/>
              </w:rPr>
              <w:t>1</w:t>
            </w:r>
          </w:p>
        </w:tc>
        <w:tc>
          <w:tcPr>
            <w:tcW w:w="1418" w:type="dxa"/>
            <w:tcBorders>
              <w:top w:val="nil"/>
              <w:left w:val="nil"/>
              <w:bottom w:val="nil"/>
              <w:right w:val="nil"/>
            </w:tcBorders>
            <w:vAlign w:val="bottom"/>
          </w:tcPr>
          <w:p w14:paraId="7F00AF4A" w14:textId="77777777" w:rsidR="00791225" w:rsidRPr="00EB119B" w:rsidRDefault="00791225" w:rsidP="00791225">
            <w:pPr>
              <w:jc w:val="right"/>
              <w:rPr>
                <w:rFonts w:ascii="Arial" w:hAnsi="Arial" w:cs="Arial"/>
                <w:b/>
                <w:bCs/>
              </w:rPr>
            </w:pPr>
            <w:r w:rsidRPr="00EB119B">
              <w:rPr>
                <w:rFonts w:ascii="Arial" w:hAnsi="Arial" w:cs="Arial"/>
                <w:b/>
                <w:bCs/>
              </w:rPr>
              <w:t>Unfunded pension</w:t>
            </w:r>
          </w:p>
          <w:p w14:paraId="5851ADAE" w14:textId="77777777" w:rsidR="00791225" w:rsidRPr="00EB119B" w:rsidRDefault="00791225" w:rsidP="00791225">
            <w:pPr>
              <w:jc w:val="right"/>
              <w:rPr>
                <w:rFonts w:ascii="Arial" w:hAnsi="Arial" w:cs="Arial"/>
                <w:b/>
                <w:bCs/>
              </w:rPr>
            </w:pPr>
            <w:r w:rsidRPr="00EB119B">
              <w:rPr>
                <w:rFonts w:ascii="Arial" w:hAnsi="Arial" w:cs="Arial"/>
                <w:b/>
                <w:bCs/>
              </w:rPr>
              <w:t>liabilities</w:t>
            </w:r>
          </w:p>
          <w:p w14:paraId="5080D988" w14:textId="77777777" w:rsidR="00791225" w:rsidRPr="00EB119B" w:rsidRDefault="00791225" w:rsidP="00791225">
            <w:pPr>
              <w:rPr>
                <w:rFonts w:ascii="Arial" w:hAnsi="Arial" w:cs="Arial"/>
                <w:b/>
                <w:bCs/>
              </w:rPr>
            </w:pPr>
          </w:p>
          <w:p w14:paraId="09D48389" w14:textId="7A2610C4" w:rsidR="00791225" w:rsidRPr="00EB119B" w:rsidRDefault="00791225" w:rsidP="00791225">
            <w:pPr>
              <w:jc w:val="right"/>
              <w:rPr>
                <w:rFonts w:ascii="Arial" w:hAnsi="Arial" w:cs="Arial"/>
                <w:b/>
                <w:bCs/>
              </w:rPr>
            </w:pPr>
            <w:r w:rsidRPr="00EB119B">
              <w:rPr>
                <w:rFonts w:ascii="Arial" w:hAnsi="Arial" w:cs="Arial"/>
                <w:b/>
                <w:bCs/>
              </w:rPr>
              <w:t>£’000</w:t>
            </w:r>
          </w:p>
        </w:tc>
        <w:tc>
          <w:tcPr>
            <w:tcW w:w="2551" w:type="dxa"/>
            <w:tcBorders>
              <w:top w:val="nil"/>
              <w:left w:val="nil"/>
              <w:bottom w:val="nil"/>
              <w:right w:val="nil"/>
            </w:tcBorders>
            <w:vAlign w:val="bottom"/>
          </w:tcPr>
          <w:p w14:paraId="35A3B6A6" w14:textId="77777777" w:rsidR="00791225" w:rsidRPr="00EB119B" w:rsidRDefault="00791225" w:rsidP="00791225">
            <w:pPr>
              <w:ind w:left="612" w:hanging="612"/>
              <w:jc w:val="right"/>
              <w:rPr>
                <w:rFonts w:ascii="Arial" w:hAnsi="Arial" w:cs="Arial"/>
                <w:b/>
                <w:bCs/>
              </w:rPr>
            </w:pPr>
            <w:r w:rsidRPr="00EB119B">
              <w:rPr>
                <w:rFonts w:ascii="Arial" w:hAnsi="Arial" w:cs="Arial"/>
                <w:b/>
                <w:bCs/>
              </w:rPr>
              <w:t>Provision for leased</w:t>
            </w:r>
          </w:p>
          <w:p w14:paraId="64A2D61E" w14:textId="77777777" w:rsidR="00791225" w:rsidRPr="00EB119B" w:rsidRDefault="00791225" w:rsidP="00791225">
            <w:pPr>
              <w:ind w:left="612" w:hanging="612"/>
              <w:jc w:val="right"/>
              <w:rPr>
                <w:rFonts w:ascii="Arial" w:hAnsi="Arial" w:cs="Arial"/>
                <w:b/>
                <w:bCs/>
              </w:rPr>
            </w:pPr>
            <w:r w:rsidRPr="00EB119B">
              <w:rPr>
                <w:rFonts w:ascii="Arial" w:hAnsi="Arial" w:cs="Arial"/>
                <w:b/>
                <w:bCs/>
              </w:rPr>
              <w:t>property</w:t>
            </w:r>
          </w:p>
          <w:p w14:paraId="55FD389B" w14:textId="77777777" w:rsidR="00791225" w:rsidRPr="00EB119B" w:rsidRDefault="00791225" w:rsidP="00791225">
            <w:pPr>
              <w:ind w:left="612" w:hanging="612"/>
              <w:jc w:val="right"/>
              <w:rPr>
                <w:rFonts w:ascii="Arial" w:hAnsi="Arial" w:cs="Arial"/>
                <w:b/>
                <w:bCs/>
              </w:rPr>
            </w:pPr>
            <w:r w:rsidRPr="00EB119B">
              <w:rPr>
                <w:rFonts w:ascii="Arial" w:hAnsi="Arial" w:cs="Arial"/>
                <w:b/>
                <w:bCs/>
              </w:rPr>
              <w:t>decommissioning</w:t>
            </w:r>
          </w:p>
          <w:p w14:paraId="6E7167E0" w14:textId="77777777" w:rsidR="00791225" w:rsidRPr="00EB119B" w:rsidRDefault="00791225" w:rsidP="00791225">
            <w:pPr>
              <w:rPr>
                <w:rFonts w:ascii="Arial" w:hAnsi="Arial" w:cs="Arial"/>
                <w:b/>
                <w:bCs/>
              </w:rPr>
            </w:pPr>
          </w:p>
          <w:p w14:paraId="609FDB37" w14:textId="0FAAE6DA" w:rsidR="00791225" w:rsidRPr="00EB119B" w:rsidRDefault="00791225" w:rsidP="00791225">
            <w:pPr>
              <w:ind w:left="612" w:hanging="612"/>
              <w:jc w:val="right"/>
              <w:rPr>
                <w:rFonts w:ascii="Arial" w:hAnsi="Arial" w:cs="Arial"/>
                <w:b/>
                <w:bCs/>
              </w:rPr>
            </w:pPr>
            <w:r w:rsidRPr="00EB119B">
              <w:rPr>
                <w:rFonts w:ascii="Arial" w:hAnsi="Arial" w:cs="Arial"/>
                <w:b/>
                <w:bCs/>
              </w:rPr>
              <w:t>£’000</w:t>
            </w:r>
          </w:p>
        </w:tc>
        <w:tc>
          <w:tcPr>
            <w:tcW w:w="1560" w:type="dxa"/>
            <w:tcBorders>
              <w:top w:val="nil"/>
              <w:left w:val="nil"/>
              <w:bottom w:val="nil"/>
              <w:right w:val="nil"/>
            </w:tcBorders>
            <w:vAlign w:val="bottom"/>
          </w:tcPr>
          <w:p w14:paraId="4A390CA8" w14:textId="77777777" w:rsidR="00791225" w:rsidRPr="00EB119B" w:rsidRDefault="00791225" w:rsidP="00791225">
            <w:pPr>
              <w:ind w:left="79"/>
              <w:jc w:val="right"/>
              <w:rPr>
                <w:rFonts w:ascii="Arial" w:hAnsi="Arial" w:cs="Arial"/>
                <w:b/>
                <w:bCs/>
              </w:rPr>
            </w:pPr>
            <w:r w:rsidRPr="00EB119B">
              <w:rPr>
                <w:rFonts w:ascii="Arial" w:hAnsi="Arial" w:cs="Arial"/>
                <w:b/>
                <w:bCs/>
              </w:rPr>
              <w:t>Life assurance provision</w:t>
            </w:r>
          </w:p>
          <w:p w14:paraId="09A75995" w14:textId="77777777" w:rsidR="00791225" w:rsidRPr="00EB119B" w:rsidRDefault="00791225" w:rsidP="00791225">
            <w:pPr>
              <w:jc w:val="right"/>
              <w:rPr>
                <w:rFonts w:ascii="Arial" w:hAnsi="Arial" w:cs="Arial"/>
                <w:b/>
                <w:bCs/>
              </w:rPr>
            </w:pPr>
          </w:p>
          <w:p w14:paraId="507C396A" w14:textId="742466B8" w:rsidR="00791225" w:rsidRPr="00EB119B" w:rsidRDefault="00791225" w:rsidP="00791225">
            <w:pPr>
              <w:ind w:left="79"/>
              <w:jc w:val="right"/>
              <w:rPr>
                <w:rFonts w:ascii="Arial" w:hAnsi="Arial" w:cs="Arial"/>
                <w:b/>
                <w:bCs/>
              </w:rPr>
            </w:pPr>
            <w:r w:rsidRPr="00EB119B">
              <w:rPr>
                <w:rFonts w:ascii="Arial" w:hAnsi="Arial" w:cs="Arial"/>
                <w:b/>
                <w:bCs/>
              </w:rPr>
              <w:t>£’000</w:t>
            </w:r>
          </w:p>
        </w:tc>
        <w:tc>
          <w:tcPr>
            <w:tcW w:w="2126" w:type="dxa"/>
            <w:tcBorders>
              <w:top w:val="nil"/>
              <w:left w:val="nil"/>
              <w:bottom w:val="nil"/>
              <w:right w:val="nil"/>
            </w:tcBorders>
            <w:vAlign w:val="bottom"/>
          </w:tcPr>
          <w:p w14:paraId="248688E4" w14:textId="77777777" w:rsidR="00791225" w:rsidRPr="00EB119B" w:rsidRDefault="00791225" w:rsidP="00791225">
            <w:pPr>
              <w:jc w:val="right"/>
              <w:rPr>
                <w:rFonts w:ascii="Arial" w:hAnsi="Arial" w:cs="Arial"/>
                <w:b/>
                <w:bCs/>
              </w:rPr>
            </w:pPr>
            <w:r w:rsidRPr="00EB119B">
              <w:rPr>
                <w:rFonts w:ascii="Arial" w:hAnsi="Arial" w:cs="Arial"/>
                <w:b/>
                <w:bCs/>
              </w:rPr>
              <w:t xml:space="preserve">Total provision for liabilities and charges </w:t>
            </w:r>
          </w:p>
          <w:p w14:paraId="583E4DDF" w14:textId="77777777" w:rsidR="00791225" w:rsidRPr="00EB119B" w:rsidRDefault="00791225" w:rsidP="00791225">
            <w:pPr>
              <w:jc w:val="right"/>
              <w:rPr>
                <w:rFonts w:ascii="Arial" w:hAnsi="Arial" w:cs="Arial"/>
                <w:b/>
                <w:bCs/>
              </w:rPr>
            </w:pPr>
          </w:p>
          <w:p w14:paraId="68BCC8DD" w14:textId="693E42F2" w:rsidR="00791225" w:rsidRPr="00EB119B" w:rsidRDefault="00791225" w:rsidP="00791225">
            <w:pPr>
              <w:jc w:val="right"/>
              <w:rPr>
                <w:rFonts w:ascii="Arial" w:hAnsi="Arial" w:cs="Arial"/>
                <w:b/>
                <w:bCs/>
              </w:rPr>
            </w:pPr>
            <w:r w:rsidRPr="00EB119B">
              <w:rPr>
                <w:rFonts w:ascii="Arial" w:hAnsi="Arial" w:cs="Arial"/>
                <w:b/>
                <w:bCs/>
              </w:rPr>
              <w:t>£’000</w:t>
            </w:r>
          </w:p>
        </w:tc>
      </w:tr>
      <w:tr w:rsidR="00C03C5F" w:rsidRPr="00E26D69" w14:paraId="37648177" w14:textId="77777777" w:rsidTr="00AF3D16">
        <w:trPr>
          <w:trHeight w:val="454"/>
        </w:trPr>
        <w:tc>
          <w:tcPr>
            <w:tcW w:w="3119" w:type="dxa"/>
            <w:tcBorders>
              <w:top w:val="nil"/>
              <w:left w:val="nil"/>
              <w:bottom w:val="nil"/>
              <w:right w:val="nil"/>
            </w:tcBorders>
            <w:vAlign w:val="bottom"/>
          </w:tcPr>
          <w:p w14:paraId="26D97F39" w14:textId="1DB72F9B" w:rsidR="00791225" w:rsidRPr="00E26D69" w:rsidRDefault="00791225" w:rsidP="00791225">
            <w:pPr>
              <w:ind w:left="-108"/>
              <w:rPr>
                <w:rFonts w:ascii="Arial" w:hAnsi="Arial" w:cs="Arial"/>
              </w:rPr>
            </w:pPr>
            <w:r w:rsidRPr="00E26D69">
              <w:rPr>
                <w:rFonts w:ascii="Arial" w:hAnsi="Arial" w:cs="Arial"/>
              </w:rPr>
              <w:t>Balance at 1 April 20</w:t>
            </w:r>
            <w:r>
              <w:rPr>
                <w:rFonts w:ascii="Arial" w:hAnsi="Arial" w:cs="Arial"/>
              </w:rPr>
              <w:t>20</w:t>
            </w:r>
          </w:p>
        </w:tc>
        <w:tc>
          <w:tcPr>
            <w:tcW w:w="1418" w:type="dxa"/>
            <w:tcBorders>
              <w:top w:val="nil"/>
              <w:left w:val="nil"/>
              <w:bottom w:val="nil"/>
              <w:right w:val="nil"/>
            </w:tcBorders>
            <w:vAlign w:val="bottom"/>
          </w:tcPr>
          <w:p w14:paraId="00F27185" w14:textId="7200B8C3" w:rsidR="00791225" w:rsidRPr="00EB119B" w:rsidRDefault="00791225" w:rsidP="00791225">
            <w:pPr>
              <w:jc w:val="right"/>
              <w:rPr>
                <w:rFonts w:ascii="Arial" w:hAnsi="Arial" w:cs="Arial"/>
              </w:rPr>
            </w:pPr>
            <w:r w:rsidRPr="00EB119B">
              <w:rPr>
                <w:rFonts w:ascii="Arial" w:hAnsi="Arial" w:cs="Arial"/>
              </w:rPr>
              <w:t>1,800</w:t>
            </w:r>
          </w:p>
        </w:tc>
        <w:tc>
          <w:tcPr>
            <w:tcW w:w="2551" w:type="dxa"/>
            <w:tcBorders>
              <w:top w:val="nil"/>
              <w:left w:val="nil"/>
              <w:bottom w:val="nil"/>
              <w:right w:val="nil"/>
            </w:tcBorders>
            <w:vAlign w:val="bottom"/>
          </w:tcPr>
          <w:p w14:paraId="6FF9BD8D" w14:textId="10ED3D31" w:rsidR="00791225" w:rsidRPr="00EB119B" w:rsidRDefault="00791225" w:rsidP="00791225">
            <w:pPr>
              <w:jc w:val="right"/>
              <w:rPr>
                <w:rFonts w:ascii="Arial" w:hAnsi="Arial" w:cs="Arial"/>
              </w:rPr>
            </w:pPr>
            <w:r w:rsidRPr="00EB119B">
              <w:rPr>
                <w:rFonts w:ascii="Arial" w:hAnsi="Arial" w:cs="Arial"/>
              </w:rPr>
              <w:t>2,448</w:t>
            </w:r>
          </w:p>
        </w:tc>
        <w:tc>
          <w:tcPr>
            <w:tcW w:w="1560" w:type="dxa"/>
            <w:tcBorders>
              <w:top w:val="nil"/>
              <w:left w:val="nil"/>
              <w:bottom w:val="nil"/>
              <w:right w:val="nil"/>
            </w:tcBorders>
            <w:vAlign w:val="bottom"/>
          </w:tcPr>
          <w:p w14:paraId="5AE9B9F1" w14:textId="5E63788F" w:rsidR="00791225" w:rsidRPr="00EB119B" w:rsidRDefault="00791225" w:rsidP="00791225">
            <w:pPr>
              <w:ind w:left="79"/>
              <w:jc w:val="right"/>
              <w:rPr>
                <w:rFonts w:ascii="Arial" w:hAnsi="Arial" w:cs="Arial"/>
              </w:rPr>
            </w:pPr>
            <w:r w:rsidRPr="00EB119B">
              <w:rPr>
                <w:rFonts w:ascii="Arial" w:hAnsi="Arial" w:cs="Arial"/>
              </w:rPr>
              <w:t>486</w:t>
            </w:r>
          </w:p>
        </w:tc>
        <w:tc>
          <w:tcPr>
            <w:tcW w:w="2126" w:type="dxa"/>
            <w:tcBorders>
              <w:top w:val="nil"/>
              <w:left w:val="nil"/>
              <w:bottom w:val="nil"/>
              <w:right w:val="nil"/>
            </w:tcBorders>
            <w:vAlign w:val="bottom"/>
          </w:tcPr>
          <w:p w14:paraId="538F3156" w14:textId="2238CA47" w:rsidR="00791225" w:rsidRPr="00EB119B" w:rsidRDefault="00791225" w:rsidP="00791225">
            <w:pPr>
              <w:ind w:left="79"/>
              <w:jc w:val="right"/>
              <w:rPr>
                <w:rFonts w:ascii="Arial" w:hAnsi="Arial" w:cs="Arial"/>
              </w:rPr>
            </w:pPr>
            <w:r w:rsidRPr="00EB119B">
              <w:rPr>
                <w:rFonts w:ascii="Arial" w:hAnsi="Arial" w:cs="Arial"/>
              </w:rPr>
              <w:t>4,734</w:t>
            </w:r>
          </w:p>
        </w:tc>
      </w:tr>
      <w:tr w:rsidR="00C03C5F" w:rsidRPr="00E26D69" w14:paraId="61B2AC6C" w14:textId="77777777" w:rsidTr="00AF3D16">
        <w:trPr>
          <w:trHeight w:val="454"/>
        </w:trPr>
        <w:tc>
          <w:tcPr>
            <w:tcW w:w="3119" w:type="dxa"/>
            <w:tcBorders>
              <w:top w:val="nil"/>
              <w:left w:val="nil"/>
              <w:bottom w:val="nil"/>
              <w:right w:val="nil"/>
            </w:tcBorders>
            <w:vAlign w:val="bottom"/>
          </w:tcPr>
          <w:p w14:paraId="25C7882D" w14:textId="7047A348" w:rsidR="00791225" w:rsidRPr="00E26D69" w:rsidRDefault="00791225" w:rsidP="00791225">
            <w:pPr>
              <w:ind w:left="-108"/>
              <w:rPr>
                <w:rFonts w:ascii="Arial" w:hAnsi="Arial" w:cs="Arial"/>
              </w:rPr>
            </w:pPr>
            <w:r w:rsidRPr="00E26D69">
              <w:rPr>
                <w:rFonts w:ascii="Arial" w:hAnsi="Arial" w:cs="Arial"/>
              </w:rPr>
              <w:t>New provision</w:t>
            </w:r>
          </w:p>
        </w:tc>
        <w:tc>
          <w:tcPr>
            <w:tcW w:w="1418" w:type="dxa"/>
            <w:tcBorders>
              <w:top w:val="nil"/>
              <w:left w:val="nil"/>
              <w:bottom w:val="nil"/>
              <w:right w:val="nil"/>
            </w:tcBorders>
            <w:vAlign w:val="bottom"/>
          </w:tcPr>
          <w:p w14:paraId="72BFE6EF" w14:textId="20151D6B" w:rsidR="00791225" w:rsidRPr="00EB119B" w:rsidRDefault="00791225" w:rsidP="00791225">
            <w:pPr>
              <w:jc w:val="right"/>
              <w:rPr>
                <w:rFonts w:ascii="Arial" w:hAnsi="Arial" w:cs="Arial"/>
              </w:rPr>
            </w:pPr>
            <w:r w:rsidRPr="00EB119B">
              <w:rPr>
                <w:rFonts w:ascii="Arial" w:hAnsi="Arial" w:cs="Arial"/>
              </w:rPr>
              <w:t>-</w:t>
            </w:r>
          </w:p>
        </w:tc>
        <w:tc>
          <w:tcPr>
            <w:tcW w:w="2551" w:type="dxa"/>
            <w:tcBorders>
              <w:top w:val="nil"/>
              <w:left w:val="nil"/>
              <w:bottom w:val="nil"/>
              <w:right w:val="nil"/>
            </w:tcBorders>
            <w:vAlign w:val="bottom"/>
          </w:tcPr>
          <w:p w14:paraId="470B4EB1" w14:textId="230D51E5" w:rsidR="00791225" w:rsidRPr="00EB119B" w:rsidRDefault="00791225" w:rsidP="00791225">
            <w:pPr>
              <w:jc w:val="right"/>
              <w:rPr>
                <w:rFonts w:ascii="Arial" w:hAnsi="Arial" w:cs="Arial"/>
              </w:rPr>
            </w:pPr>
            <w:r w:rsidRPr="00EB119B">
              <w:rPr>
                <w:rFonts w:ascii="Arial" w:hAnsi="Arial" w:cs="Arial"/>
              </w:rPr>
              <w:t>191</w:t>
            </w:r>
          </w:p>
        </w:tc>
        <w:tc>
          <w:tcPr>
            <w:tcW w:w="1560" w:type="dxa"/>
            <w:tcBorders>
              <w:top w:val="nil"/>
              <w:left w:val="nil"/>
              <w:bottom w:val="nil"/>
              <w:right w:val="nil"/>
            </w:tcBorders>
            <w:vAlign w:val="bottom"/>
          </w:tcPr>
          <w:p w14:paraId="17D6BD7C" w14:textId="3F8A597E" w:rsidR="00791225" w:rsidRPr="00EB119B" w:rsidRDefault="00791225" w:rsidP="00791225">
            <w:pPr>
              <w:ind w:left="79"/>
              <w:jc w:val="right"/>
              <w:rPr>
                <w:rFonts w:ascii="Arial" w:hAnsi="Arial" w:cs="Arial"/>
              </w:rPr>
            </w:pPr>
            <w:r w:rsidRPr="00EB119B">
              <w:rPr>
                <w:rFonts w:ascii="Arial" w:hAnsi="Arial" w:cs="Arial"/>
              </w:rPr>
              <w:t>-</w:t>
            </w:r>
          </w:p>
        </w:tc>
        <w:tc>
          <w:tcPr>
            <w:tcW w:w="2126" w:type="dxa"/>
            <w:tcBorders>
              <w:top w:val="nil"/>
              <w:left w:val="nil"/>
              <w:bottom w:val="nil"/>
              <w:right w:val="nil"/>
            </w:tcBorders>
            <w:vAlign w:val="bottom"/>
          </w:tcPr>
          <w:p w14:paraId="24300814" w14:textId="175DE442" w:rsidR="00791225" w:rsidRPr="00EB119B" w:rsidRDefault="00791225" w:rsidP="00791225">
            <w:pPr>
              <w:ind w:left="79"/>
              <w:jc w:val="right"/>
              <w:rPr>
                <w:rFonts w:ascii="Arial" w:hAnsi="Arial" w:cs="Arial"/>
              </w:rPr>
            </w:pPr>
            <w:r w:rsidRPr="00EB119B">
              <w:rPr>
                <w:rFonts w:ascii="Arial" w:hAnsi="Arial" w:cs="Arial"/>
              </w:rPr>
              <w:t>191</w:t>
            </w:r>
          </w:p>
        </w:tc>
      </w:tr>
      <w:tr w:rsidR="00C03C5F" w:rsidRPr="00E26D69" w14:paraId="17D5A941" w14:textId="77777777" w:rsidTr="00AF3D16">
        <w:trPr>
          <w:trHeight w:val="454"/>
        </w:trPr>
        <w:tc>
          <w:tcPr>
            <w:tcW w:w="3119" w:type="dxa"/>
            <w:tcBorders>
              <w:top w:val="nil"/>
              <w:left w:val="nil"/>
              <w:bottom w:val="nil"/>
              <w:right w:val="nil"/>
            </w:tcBorders>
            <w:vAlign w:val="bottom"/>
          </w:tcPr>
          <w:p w14:paraId="1E8D9E2D" w14:textId="12087B7B" w:rsidR="00791225" w:rsidRPr="00E26D69" w:rsidRDefault="00791225" w:rsidP="00791225">
            <w:pPr>
              <w:ind w:left="-108"/>
              <w:rPr>
                <w:rFonts w:ascii="Arial" w:hAnsi="Arial" w:cs="Arial"/>
              </w:rPr>
            </w:pPr>
            <w:r w:rsidRPr="00E26D69">
              <w:rPr>
                <w:rFonts w:ascii="Arial" w:hAnsi="Arial" w:cs="Arial"/>
              </w:rPr>
              <w:t>Actuarial valuation changes</w:t>
            </w:r>
          </w:p>
        </w:tc>
        <w:tc>
          <w:tcPr>
            <w:tcW w:w="1418" w:type="dxa"/>
            <w:tcBorders>
              <w:top w:val="nil"/>
              <w:left w:val="nil"/>
              <w:bottom w:val="nil"/>
              <w:right w:val="nil"/>
            </w:tcBorders>
            <w:vAlign w:val="bottom"/>
          </w:tcPr>
          <w:p w14:paraId="39F9F040" w14:textId="45F6F748" w:rsidR="00791225" w:rsidRPr="00EB119B" w:rsidRDefault="00791225" w:rsidP="00791225">
            <w:pPr>
              <w:jc w:val="right"/>
              <w:rPr>
                <w:rFonts w:ascii="Arial" w:hAnsi="Arial" w:cs="Arial"/>
              </w:rPr>
            </w:pPr>
            <w:r w:rsidRPr="00EB119B">
              <w:rPr>
                <w:rFonts w:ascii="Arial" w:hAnsi="Arial" w:cs="Arial"/>
              </w:rPr>
              <w:t>193</w:t>
            </w:r>
          </w:p>
        </w:tc>
        <w:tc>
          <w:tcPr>
            <w:tcW w:w="2551" w:type="dxa"/>
            <w:tcBorders>
              <w:top w:val="nil"/>
              <w:left w:val="nil"/>
              <w:bottom w:val="nil"/>
              <w:right w:val="nil"/>
            </w:tcBorders>
            <w:vAlign w:val="bottom"/>
          </w:tcPr>
          <w:p w14:paraId="4482A12A" w14:textId="7FFF1CA9" w:rsidR="00791225" w:rsidRPr="00EB119B" w:rsidRDefault="00791225" w:rsidP="00791225">
            <w:pPr>
              <w:jc w:val="right"/>
              <w:rPr>
                <w:rFonts w:ascii="Arial" w:hAnsi="Arial" w:cs="Arial"/>
              </w:rPr>
            </w:pPr>
            <w:r w:rsidRPr="00EB119B">
              <w:rPr>
                <w:rFonts w:ascii="Arial" w:hAnsi="Arial" w:cs="Arial"/>
              </w:rPr>
              <w:t>-</w:t>
            </w:r>
          </w:p>
        </w:tc>
        <w:tc>
          <w:tcPr>
            <w:tcW w:w="1560" w:type="dxa"/>
            <w:tcBorders>
              <w:top w:val="nil"/>
              <w:left w:val="nil"/>
              <w:bottom w:val="nil"/>
              <w:right w:val="nil"/>
            </w:tcBorders>
            <w:vAlign w:val="bottom"/>
          </w:tcPr>
          <w:p w14:paraId="626DA0E5" w14:textId="62D98839" w:rsidR="00791225" w:rsidRPr="00EB119B" w:rsidRDefault="00791225" w:rsidP="00791225">
            <w:pPr>
              <w:ind w:left="79"/>
              <w:jc w:val="right"/>
              <w:rPr>
                <w:rFonts w:ascii="Arial" w:hAnsi="Arial" w:cs="Arial"/>
              </w:rPr>
            </w:pPr>
            <w:r w:rsidRPr="00EB119B">
              <w:rPr>
                <w:rFonts w:ascii="Arial" w:hAnsi="Arial" w:cs="Arial"/>
              </w:rPr>
              <w:t>(19)</w:t>
            </w:r>
          </w:p>
        </w:tc>
        <w:tc>
          <w:tcPr>
            <w:tcW w:w="2126" w:type="dxa"/>
            <w:tcBorders>
              <w:top w:val="nil"/>
              <w:left w:val="nil"/>
              <w:bottom w:val="nil"/>
              <w:right w:val="nil"/>
            </w:tcBorders>
            <w:vAlign w:val="bottom"/>
          </w:tcPr>
          <w:p w14:paraId="22C26CD3" w14:textId="4E06DC1E" w:rsidR="00791225" w:rsidRPr="00EB119B" w:rsidRDefault="00791225" w:rsidP="00791225">
            <w:pPr>
              <w:ind w:left="79"/>
              <w:jc w:val="right"/>
              <w:rPr>
                <w:rFonts w:ascii="Arial" w:hAnsi="Arial" w:cs="Arial"/>
              </w:rPr>
            </w:pPr>
            <w:r w:rsidRPr="00EB119B">
              <w:rPr>
                <w:rFonts w:ascii="Arial" w:hAnsi="Arial" w:cs="Arial"/>
              </w:rPr>
              <w:t>174</w:t>
            </w:r>
          </w:p>
        </w:tc>
      </w:tr>
      <w:tr w:rsidR="00C03C5F" w:rsidRPr="00E26D69" w14:paraId="34F78154" w14:textId="77777777" w:rsidTr="00AF3D16">
        <w:trPr>
          <w:trHeight w:val="454"/>
        </w:trPr>
        <w:tc>
          <w:tcPr>
            <w:tcW w:w="3119" w:type="dxa"/>
            <w:tcBorders>
              <w:top w:val="nil"/>
              <w:left w:val="nil"/>
              <w:bottom w:val="nil"/>
              <w:right w:val="nil"/>
            </w:tcBorders>
            <w:vAlign w:val="bottom"/>
          </w:tcPr>
          <w:p w14:paraId="7ACAEAD7" w14:textId="7977ADCC" w:rsidR="00791225" w:rsidRPr="00E26D69" w:rsidRDefault="00791225" w:rsidP="00791225">
            <w:pPr>
              <w:ind w:left="-108"/>
              <w:rPr>
                <w:rFonts w:ascii="Arial" w:hAnsi="Arial" w:cs="Arial"/>
              </w:rPr>
            </w:pPr>
            <w:r w:rsidRPr="00E26D69">
              <w:rPr>
                <w:rFonts w:ascii="Arial" w:hAnsi="Arial" w:cs="Arial"/>
              </w:rPr>
              <w:t xml:space="preserve">Utilised in year </w:t>
            </w:r>
          </w:p>
        </w:tc>
        <w:tc>
          <w:tcPr>
            <w:tcW w:w="1418" w:type="dxa"/>
            <w:tcBorders>
              <w:top w:val="nil"/>
              <w:left w:val="nil"/>
              <w:bottom w:val="nil"/>
              <w:right w:val="nil"/>
            </w:tcBorders>
            <w:vAlign w:val="bottom"/>
          </w:tcPr>
          <w:p w14:paraId="55A03E34" w14:textId="3D4039B5" w:rsidR="00791225" w:rsidRPr="00EB119B" w:rsidRDefault="00791225" w:rsidP="00791225">
            <w:pPr>
              <w:jc w:val="right"/>
              <w:rPr>
                <w:rFonts w:ascii="Arial" w:hAnsi="Arial" w:cs="Arial"/>
              </w:rPr>
            </w:pPr>
            <w:r w:rsidRPr="00EB119B">
              <w:rPr>
                <w:rFonts w:ascii="Arial" w:hAnsi="Arial" w:cs="Arial"/>
              </w:rPr>
              <w:t>(143)</w:t>
            </w:r>
          </w:p>
        </w:tc>
        <w:tc>
          <w:tcPr>
            <w:tcW w:w="2551" w:type="dxa"/>
            <w:tcBorders>
              <w:top w:val="nil"/>
              <w:left w:val="nil"/>
              <w:bottom w:val="nil"/>
              <w:right w:val="nil"/>
            </w:tcBorders>
            <w:vAlign w:val="bottom"/>
          </w:tcPr>
          <w:p w14:paraId="7F7F33B8" w14:textId="70714B44" w:rsidR="00791225" w:rsidRPr="00EB119B" w:rsidRDefault="00791225" w:rsidP="00791225">
            <w:pPr>
              <w:jc w:val="right"/>
              <w:rPr>
                <w:rFonts w:ascii="Arial" w:hAnsi="Arial" w:cs="Arial"/>
              </w:rPr>
            </w:pPr>
            <w:r w:rsidRPr="00EB119B">
              <w:rPr>
                <w:rFonts w:ascii="Arial" w:hAnsi="Arial" w:cs="Arial"/>
              </w:rPr>
              <w:t>-</w:t>
            </w:r>
          </w:p>
        </w:tc>
        <w:tc>
          <w:tcPr>
            <w:tcW w:w="1560" w:type="dxa"/>
            <w:tcBorders>
              <w:top w:val="nil"/>
              <w:left w:val="nil"/>
              <w:bottom w:val="nil"/>
              <w:right w:val="nil"/>
            </w:tcBorders>
            <w:vAlign w:val="bottom"/>
          </w:tcPr>
          <w:p w14:paraId="4DF00A16" w14:textId="45F22A52" w:rsidR="00791225" w:rsidRPr="00EB119B" w:rsidRDefault="00791225" w:rsidP="00791225">
            <w:pPr>
              <w:ind w:left="79"/>
              <w:jc w:val="right"/>
              <w:rPr>
                <w:rFonts w:ascii="Arial" w:hAnsi="Arial" w:cs="Arial"/>
              </w:rPr>
            </w:pPr>
            <w:r w:rsidRPr="00EB119B">
              <w:rPr>
                <w:rFonts w:ascii="Arial" w:hAnsi="Arial" w:cs="Arial"/>
              </w:rPr>
              <w:t>(49)</w:t>
            </w:r>
          </w:p>
        </w:tc>
        <w:tc>
          <w:tcPr>
            <w:tcW w:w="2126" w:type="dxa"/>
            <w:tcBorders>
              <w:top w:val="nil"/>
              <w:left w:val="nil"/>
              <w:bottom w:val="nil"/>
              <w:right w:val="nil"/>
            </w:tcBorders>
            <w:vAlign w:val="bottom"/>
          </w:tcPr>
          <w:p w14:paraId="0CBFCBBB" w14:textId="3A04F2FF" w:rsidR="00791225" w:rsidRPr="00EB119B" w:rsidRDefault="00791225" w:rsidP="00791225">
            <w:pPr>
              <w:ind w:left="79"/>
              <w:jc w:val="right"/>
              <w:rPr>
                <w:rFonts w:ascii="Arial" w:hAnsi="Arial" w:cs="Arial"/>
              </w:rPr>
            </w:pPr>
            <w:r w:rsidRPr="00EB119B">
              <w:rPr>
                <w:rFonts w:ascii="Arial" w:hAnsi="Arial" w:cs="Arial"/>
              </w:rPr>
              <w:t>(192)</w:t>
            </w:r>
          </w:p>
        </w:tc>
      </w:tr>
      <w:tr w:rsidR="00167866" w:rsidRPr="00E26D69" w14:paraId="5B056CE1" w14:textId="77777777" w:rsidTr="00AF3D16">
        <w:trPr>
          <w:trHeight w:val="454"/>
        </w:trPr>
        <w:tc>
          <w:tcPr>
            <w:tcW w:w="3119" w:type="dxa"/>
            <w:tcBorders>
              <w:top w:val="nil"/>
              <w:left w:val="nil"/>
              <w:bottom w:val="nil"/>
              <w:right w:val="nil"/>
            </w:tcBorders>
            <w:vAlign w:val="bottom"/>
          </w:tcPr>
          <w:p w14:paraId="1629366E" w14:textId="511408F6" w:rsidR="00791225" w:rsidRPr="00E26D69" w:rsidRDefault="00791225" w:rsidP="00791225">
            <w:pPr>
              <w:ind w:left="-108"/>
              <w:rPr>
                <w:rFonts w:ascii="Arial" w:hAnsi="Arial" w:cs="Arial"/>
              </w:rPr>
            </w:pPr>
            <w:r>
              <w:rPr>
                <w:rFonts w:ascii="Arial" w:hAnsi="Arial" w:cs="Arial"/>
              </w:rPr>
              <w:t>At</w:t>
            </w:r>
            <w:r w:rsidRPr="00E26D69">
              <w:rPr>
                <w:rFonts w:ascii="Arial" w:hAnsi="Arial" w:cs="Arial"/>
              </w:rPr>
              <w:t xml:space="preserve"> 31 March 202</w:t>
            </w:r>
            <w:r>
              <w:rPr>
                <w:rFonts w:ascii="Arial" w:hAnsi="Arial" w:cs="Arial"/>
              </w:rPr>
              <w:t>1</w:t>
            </w:r>
          </w:p>
        </w:tc>
        <w:tc>
          <w:tcPr>
            <w:tcW w:w="1418" w:type="dxa"/>
            <w:tcBorders>
              <w:top w:val="single" w:sz="4" w:space="0" w:color="auto"/>
              <w:left w:val="nil"/>
              <w:bottom w:val="double" w:sz="6" w:space="0" w:color="auto"/>
              <w:right w:val="nil"/>
            </w:tcBorders>
            <w:vAlign w:val="bottom"/>
          </w:tcPr>
          <w:p w14:paraId="4619D54E" w14:textId="4841024E" w:rsidR="00791225" w:rsidRPr="00EB119B" w:rsidRDefault="00791225" w:rsidP="00791225">
            <w:pPr>
              <w:jc w:val="right"/>
              <w:rPr>
                <w:rFonts w:ascii="Arial" w:hAnsi="Arial" w:cs="Arial"/>
                <w:b/>
              </w:rPr>
            </w:pPr>
            <w:r w:rsidRPr="00EB119B">
              <w:rPr>
                <w:rFonts w:ascii="Arial" w:hAnsi="Arial" w:cs="Arial"/>
                <w:b/>
              </w:rPr>
              <w:t>1,850</w:t>
            </w:r>
          </w:p>
        </w:tc>
        <w:tc>
          <w:tcPr>
            <w:tcW w:w="2551" w:type="dxa"/>
            <w:tcBorders>
              <w:top w:val="single" w:sz="4" w:space="0" w:color="auto"/>
              <w:left w:val="nil"/>
              <w:bottom w:val="double" w:sz="6" w:space="0" w:color="auto"/>
              <w:right w:val="nil"/>
            </w:tcBorders>
            <w:vAlign w:val="bottom"/>
          </w:tcPr>
          <w:p w14:paraId="6818E5C7" w14:textId="4EE18550" w:rsidR="00791225" w:rsidRPr="00EB119B" w:rsidRDefault="00791225" w:rsidP="00791225">
            <w:pPr>
              <w:jc w:val="right"/>
              <w:rPr>
                <w:rFonts w:ascii="Arial" w:hAnsi="Arial" w:cs="Arial"/>
                <w:b/>
              </w:rPr>
            </w:pPr>
            <w:r w:rsidRPr="00EB119B">
              <w:rPr>
                <w:rFonts w:ascii="Arial" w:hAnsi="Arial" w:cs="Arial"/>
                <w:b/>
              </w:rPr>
              <w:t>2,639</w:t>
            </w:r>
          </w:p>
        </w:tc>
        <w:tc>
          <w:tcPr>
            <w:tcW w:w="1560" w:type="dxa"/>
            <w:tcBorders>
              <w:top w:val="single" w:sz="4" w:space="0" w:color="auto"/>
              <w:left w:val="nil"/>
              <w:bottom w:val="double" w:sz="6" w:space="0" w:color="auto"/>
              <w:right w:val="nil"/>
            </w:tcBorders>
            <w:vAlign w:val="bottom"/>
          </w:tcPr>
          <w:p w14:paraId="1E33F855" w14:textId="4C97A1EA" w:rsidR="00791225" w:rsidRPr="00EB119B" w:rsidRDefault="00791225" w:rsidP="00791225">
            <w:pPr>
              <w:ind w:left="79"/>
              <w:jc w:val="right"/>
              <w:rPr>
                <w:rFonts w:ascii="Arial" w:hAnsi="Arial" w:cs="Arial"/>
                <w:b/>
              </w:rPr>
            </w:pPr>
            <w:r w:rsidRPr="00EB119B">
              <w:rPr>
                <w:rFonts w:ascii="Arial" w:hAnsi="Arial" w:cs="Arial"/>
                <w:b/>
              </w:rPr>
              <w:t>418</w:t>
            </w:r>
          </w:p>
        </w:tc>
        <w:tc>
          <w:tcPr>
            <w:tcW w:w="2126" w:type="dxa"/>
            <w:tcBorders>
              <w:top w:val="single" w:sz="4" w:space="0" w:color="auto"/>
              <w:left w:val="nil"/>
              <w:bottom w:val="double" w:sz="6" w:space="0" w:color="auto"/>
              <w:right w:val="nil"/>
            </w:tcBorders>
            <w:vAlign w:val="bottom"/>
          </w:tcPr>
          <w:p w14:paraId="4ACAA414" w14:textId="4E32CADF" w:rsidR="00791225" w:rsidRPr="00EB119B" w:rsidRDefault="00791225" w:rsidP="00791225">
            <w:pPr>
              <w:ind w:left="79"/>
              <w:jc w:val="right"/>
              <w:rPr>
                <w:rFonts w:ascii="Arial" w:hAnsi="Arial" w:cs="Arial"/>
                <w:b/>
              </w:rPr>
            </w:pPr>
            <w:r w:rsidRPr="00EB119B">
              <w:rPr>
                <w:rFonts w:ascii="Arial" w:hAnsi="Arial" w:cs="Arial"/>
                <w:b/>
              </w:rPr>
              <w:t>4,907</w:t>
            </w:r>
          </w:p>
        </w:tc>
      </w:tr>
      <w:tr w:rsidR="00C03C5F" w:rsidRPr="00E26D69" w14:paraId="2EA880B8" w14:textId="77777777" w:rsidTr="00AF3D16">
        <w:trPr>
          <w:trHeight w:val="454"/>
        </w:trPr>
        <w:tc>
          <w:tcPr>
            <w:tcW w:w="3119" w:type="dxa"/>
            <w:tcBorders>
              <w:top w:val="nil"/>
              <w:left w:val="nil"/>
              <w:bottom w:val="nil"/>
              <w:right w:val="nil"/>
            </w:tcBorders>
            <w:vAlign w:val="bottom"/>
          </w:tcPr>
          <w:p w14:paraId="7A2ED6DD" w14:textId="75307E31" w:rsidR="00791225" w:rsidRPr="00E26D69" w:rsidRDefault="00791225" w:rsidP="00791225">
            <w:pPr>
              <w:ind w:left="-108"/>
              <w:rPr>
                <w:rFonts w:ascii="Arial" w:hAnsi="Arial" w:cs="Arial"/>
              </w:rPr>
            </w:pPr>
            <w:r w:rsidRPr="00E26D69">
              <w:rPr>
                <w:rFonts w:ascii="Arial" w:hAnsi="Arial" w:cs="Arial"/>
              </w:rPr>
              <w:t>Liabilities due &gt; 1 year</w:t>
            </w:r>
          </w:p>
        </w:tc>
        <w:tc>
          <w:tcPr>
            <w:tcW w:w="1418" w:type="dxa"/>
            <w:tcBorders>
              <w:top w:val="nil"/>
              <w:left w:val="nil"/>
              <w:bottom w:val="nil"/>
              <w:right w:val="nil"/>
            </w:tcBorders>
            <w:vAlign w:val="bottom"/>
          </w:tcPr>
          <w:p w14:paraId="71F5E866" w14:textId="458081CE" w:rsidR="00791225" w:rsidRPr="00EB119B" w:rsidRDefault="00791225" w:rsidP="00791225">
            <w:pPr>
              <w:jc w:val="right"/>
              <w:rPr>
                <w:rFonts w:ascii="Arial" w:hAnsi="Arial" w:cs="Arial"/>
              </w:rPr>
            </w:pPr>
            <w:r w:rsidRPr="00EB119B">
              <w:rPr>
                <w:rFonts w:ascii="Arial" w:hAnsi="Arial" w:cs="Arial"/>
              </w:rPr>
              <w:t>1,707</w:t>
            </w:r>
          </w:p>
        </w:tc>
        <w:tc>
          <w:tcPr>
            <w:tcW w:w="2551" w:type="dxa"/>
            <w:tcBorders>
              <w:top w:val="nil"/>
              <w:left w:val="nil"/>
              <w:bottom w:val="nil"/>
              <w:right w:val="nil"/>
            </w:tcBorders>
            <w:vAlign w:val="bottom"/>
          </w:tcPr>
          <w:p w14:paraId="01E184AC" w14:textId="266F8B8C" w:rsidR="00791225" w:rsidRPr="00EB119B" w:rsidRDefault="00791225" w:rsidP="00791225">
            <w:pPr>
              <w:jc w:val="right"/>
              <w:rPr>
                <w:rFonts w:ascii="Arial" w:hAnsi="Arial" w:cs="Arial"/>
              </w:rPr>
            </w:pPr>
            <w:r w:rsidRPr="00EB119B">
              <w:rPr>
                <w:rFonts w:ascii="Arial" w:hAnsi="Arial" w:cs="Arial"/>
              </w:rPr>
              <w:t>2,639</w:t>
            </w:r>
          </w:p>
        </w:tc>
        <w:tc>
          <w:tcPr>
            <w:tcW w:w="1560" w:type="dxa"/>
            <w:tcBorders>
              <w:top w:val="nil"/>
              <w:left w:val="nil"/>
              <w:bottom w:val="nil"/>
              <w:right w:val="nil"/>
            </w:tcBorders>
            <w:vAlign w:val="bottom"/>
          </w:tcPr>
          <w:p w14:paraId="43AB7873" w14:textId="38000CFE" w:rsidR="00791225" w:rsidRPr="00EB119B" w:rsidRDefault="00791225" w:rsidP="00791225">
            <w:pPr>
              <w:ind w:left="79"/>
              <w:jc w:val="right"/>
              <w:rPr>
                <w:rFonts w:ascii="Arial" w:hAnsi="Arial" w:cs="Arial"/>
              </w:rPr>
            </w:pPr>
            <w:r w:rsidRPr="00EB119B">
              <w:rPr>
                <w:rFonts w:ascii="Arial" w:hAnsi="Arial" w:cs="Arial"/>
              </w:rPr>
              <w:t>418</w:t>
            </w:r>
          </w:p>
        </w:tc>
        <w:tc>
          <w:tcPr>
            <w:tcW w:w="2126" w:type="dxa"/>
            <w:tcBorders>
              <w:top w:val="nil"/>
              <w:left w:val="nil"/>
              <w:bottom w:val="nil"/>
              <w:right w:val="nil"/>
            </w:tcBorders>
            <w:vAlign w:val="bottom"/>
          </w:tcPr>
          <w:p w14:paraId="2438B5F0" w14:textId="008D9413" w:rsidR="00791225" w:rsidRPr="00EB119B" w:rsidRDefault="00791225" w:rsidP="00791225">
            <w:pPr>
              <w:ind w:left="79"/>
              <w:jc w:val="right"/>
              <w:rPr>
                <w:rFonts w:ascii="Arial" w:hAnsi="Arial" w:cs="Arial"/>
              </w:rPr>
            </w:pPr>
            <w:r w:rsidRPr="00EB119B">
              <w:rPr>
                <w:rFonts w:ascii="Arial" w:hAnsi="Arial" w:cs="Arial"/>
              </w:rPr>
              <w:t>4,764</w:t>
            </w:r>
          </w:p>
        </w:tc>
      </w:tr>
      <w:tr w:rsidR="00C03C5F" w:rsidRPr="00E26D69" w14:paraId="1491D383" w14:textId="77777777" w:rsidTr="00AF3D16">
        <w:trPr>
          <w:trHeight w:val="454"/>
        </w:trPr>
        <w:tc>
          <w:tcPr>
            <w:tcW w:w="3119" w:type="dxa"/>
            <w:tcBorders>
              <w:top w:val="nil"/>
              <w:left w:val="nil"/>
              <w:bottom w:val="nil"/>
              <w:right w:val="nil"/>
            </w:tcBorders>
            <w:vAlign w:val="bottom"/>
          </w:tcPr>
          <w:p w14:paraId="115EE618" w14:textId="1D670866" w:rsidR="00791225" w:rsidRPr="00E26D69" w:rsidRDefault="00791225" w:rsidP="00791225">
            <w:pPr>
              <w:ind w:left="-108"/>
              <w:rPr>
                <w:rFonts w:ascii="Arial" w:hAnsi="Arial" w:cs="Arial"/>
              </w:rPr>
            </w:pPr>
            <w:r w:rsidRPr="00E26D69">
              <w:rPr>
                <w:rFonts w:ascii="Arial" w:hAnsi="Arial" w:cs="Arial"/>
              </w:rPr>
              <w:t>Liabilities due &lt; 1 year</w:t>
            </w:r>
          </w:p>
        </w:tc>
        <w:tc>
          <w:tcPr>
            <w:tcW w:w="1418" w:type="dxa"/>
            <w:tcBorders>
              <w:top w:val="nil"/>
              <w:left w:val="nil"/>
              <w:bottom w:val="nil"/>
              <w:right w:val="nil"/>
            </w:tcBorders>
            <w:vAlign w:val="bottom"/>
          </w:tcPr>
          <w:p w14:paraId="00ADD2A2" w14:textId="3EFBF37A" w:rsidR="00791225" w:rsidRPr="00EB119B" w:rsidRDefault="00791225" w:rsidP="00791225">
            <w:pPr>
              <w:jc w:val="right"/>
              <w:rPr>
                <w:rFonts w:ascii="Arial" w:hAnsi="Arial" w:cs="Arial"/>
              </w:rPr>
            </w:pPr>
            <w:r w:rsidRPr="00EB119B">
              <w:rPr>
                <w:rFonts w:ascii="Arial" w:hAnsi="Arial" w:cs="Arial"/>
              </w:rPr>
              <w:t>143</w:t>
            </w:r>
          </w:p>
        </w:tc>
        <w:tc>
          <w:tcPr>
            <w:tcW w:w="2551" w:type="dxa"/>
            <w:tcBorders>
              <w:top w:val="nil"/>
              <w:left w:val="nil"/>
              <w:bottom w:val="nil"/>
              <w:right w:val="nil"/>
            </w:tcBorders>
            <w:vAlign w:val="bottom"/>
          </w:tcPr>
          <w:p w14:paraId="27762EE6" w14:textId="5861F329" w:rsidR="00791225" w:rsidRPr="00EB119B" w:rsidRDefault="00791225" w:rsidP="00791225">
            <w:pPr>
              <w:jc w:val="right"/>
              <w:rPr>
                <w:rFonts w:ascii="Arial" w:hAnsi="Arial" w:cs="Arial"/>
              </w:rPr>
            </w:pPr>
            <w:r w:rsidRPr="00EB119B">
              <w:rPr>
                <w:rFonts w:ascii="Arial" w:hAnsi="Arial" w:cs="Arial"/>
              </w:rPr>
              <w:t>-</w:t>
            </w:r>
          </w:p>
        </w:tc>
        <w:tc>
          <w:tcPr>
            <w:tcW w:w="1560" w:type="dxa"/>
            <w:tcBorders>
              <w:top w:val="nil"/>
              <w:left w:val="nil"/>
              <w:bottom w:val="nil"/>
              <w:right w:val="nil"/>
            </w:tcBorders>
            <w:vAlign w:val="bottom"/>
          </w:tcPr>
          <w:p w14:paraId="7BF2012C" w14:textId="451AAE95" w:rsidR="00791225" w:rsidRPr="00EB119B" w:rsidRDefault="00791225" w:rsidP="00791225">
            <w:pPr>
              <w:ind w:left="79"/>
              <w:jc w:val="right"/>
              <w:rPr>
                <w:rFonts w:ascii="Arial" w:hAnsi="Arial" w:cs="Arial"/>
              </w:rPr>
            </w:pPr>
            <w:r w:rsidRPr="00EB119B">
              <w:rPr>
                <w:rFonts w:ascii="Arial" w:hAnsi="Arial" w:cs="Arial"/>
              </w:rPr>
              <w:t>-</w:t>
            </w:r>
          </w:p>
        </w:tc>
        <w:tc>
          <w:tcPr>
            <w:tcW w:w="2126" w:type="dxa"/>
            <w:tcBorders>
              <w:top w:val="nil"/>
              <w:left w:val="nil"/>
              <w:bottom w:val="nil"/>
              <w:right w:val="nil"/>
            </w:tcBorders>
            <w:vAlign w:val="bottom"/>
          </w:tcPr>
          <w:p w14:paraId="0E23F59A" w14:textId="742468E1" w:rsidR="00791225" w:rsidRPr="00EB119B" w:rsidRDefault="00791225" w:rsidP="00791225">
            <w:pPr>
              <w:ind w:left="79"/>
              <w:jc w:val="right"/>
              <w:rPr>
                <w:rFonts w:ascii="Arial" w:hAnsi="Arial" w:cs="Arial"/>
              </w:rPr>
            </w:pPr>
            <w:r w:rsidRPr="00EB119B">
              <w:rPr>
                <w:rFonts w:ascii="Arial" w:hAnsi="Arial" w:cs="Arial"/>
              </w:rPr>
              <w:t>143</w:t>
            </w:r>
          </w:p>
        </w:tc>
      </w:tr>
      <w:tr w:rsidR="00167866" w:rsidRPr="00E26D69" w14:paraId="7C74E9F2" w14:textId="77777777" w:rsidTr="00AF3D16">
        <w:trPr>
          <w:trHeight w:val="454"/>
        </w:trPr>
        <w:tc>
          <w:tcPr>
            <w:tcW w:w="3119" w:type="dxa"/>
            <w:tcBorders>
              <w:top w:val="nil"/>
              <w:left w:val="nil"/>
              <w:bottom w:val="nil"/>
              <w:right w:val="nil"/>
            </w:tcBorders>
            <w:vAlign w:val="bottom"/>
          </w:tcPr>
          <w:p w14:paraId="396C15C4" w14:textId="0FFF5CED" w:rsidR="00791225" w:rsidRPr="00E26D69" w:rsidRDefault="00791225" w:rsidP="00791225">
            <w:pPr>
              <w:ind w:left="-108"/>
              <w:rPr>
                <w:rFonts w:ascii="Arial" w:hAnsi="Arial" w:cs="Arial"/>
              </w:rPr>
            </w:pPr>
            <w:r>
              <w:rPr>
                <w:rFonts w:ascii="Arial" w:hAnsi="Arial" w:cs="Arial"/>
              </w:rPr>
              <w:t>At</w:t>
            </w:r>
            <w:r w:rsidRPr="00E26D69">
              <w:rPr>
                <w:rFonts w:ascii="Arial" w:hAnsi="Arial" w:cs="Arial"/>
              </w:rPr>
              <w:t xml:space="preserve"> 31 March 202</w:t>
            </w:r>
            <w:r>
              <w:rPr>
                <w:rFonts w:ascii="Arial" w:hAnsi="Arial" w:cs="Arial"/>
              </w:rPr>
              <w:t>1</w:t>
            </w:r>
          </w:p>
        </w:tc>
        <w:tc>
          <w:tcPr>
            <w:tcW w:w="1418" w:type="dxa"/>
            <w:tcBorders>
              <w:top w:val="single" w:sz="4" w:space="0" w:color="auto"/>
              <w:left w:val="nil"/>
              <w:bottom w:val="double" w:sz="6" w:space="0" w:color="auto"/>
              <w:right w:val="nil"/>
            </w:tcBorders>
            <w:vAlign w:val="bottom"/>
          </w:tcPr>
          <w:p w14:paraId="028BDD7E" w14:textId="5C78C460" w:rsidR="00791225" w:rsidRPr="00EB119B" w:rsidRDefault="00791225" w:rsidP="00791225">
            <w:pPr>
              <w:jc w:val="right"/>
              <w:rPr>
                <w:rFonts w:ascii="Arial" w:hAnsi="Arial" w:cs="Arial"/>
                <w:b/>
              </w:rPr>
            </w:pPr>
            <w:r w:rsidRPr="00EB119B">
              <w:rPr>
                <w:rFonts w:ascii="Arial" w:hAnsi="Arial" w:cs="Arial"/>
                <w:b/>
              </w:rPr>
              <w:t>1,850</w:t>
            </w:r>
          </w:p>
        </w:tc>
        <w:tc>
          <w:tcPr>
            <w:tcW w:w="2551" w:type="dxa"/>
            <w:tcBorders>
              <w:top w:val="single" w:sz="4" w:space="0" w:color="auto"/>
              <w:left w:val="nil"/>
              <w:bottom w:val="double" w:sz="6" w:space="0" w:color="auto"/>
              <w:right w:val="nil"/>
            </w:tcBorders>
            <w:vAlign w:val="bottom"/>
          </w:tcPr>
          <w:p w14:paraId="4ABCE3B8" w14:textId="036315A4" w:rsidR="00791225" w:rsidRPr="00EB119B" w:rsidRDefault="00791225" w:rsidP="00791225">
            <w:pPr>
              <w:jc w:val="right"/>
              <w:rPr>
                <w:rFonts w:ascii="Arial" w:hAnsi="Arial" w:cs="Arial"/>
                <w:b/>
              </w:rPr>
            </w:pPr>
            <w:r w:rsidRPr="00EB119B">
              <w:rPr>
                <w:rFonts w:ascii="Arial" w:hAnsi="Arial" w:cs="Arial"/>
                <w:b/>
              </w:rPr>
              <w:t>2,639</w:t>
            </w:r>
          </w:p>
        </w:tc>
        <w:tc>
          <w:tcPr>
            <w:tcW w:w="1560" w:type="dxa"/>
            <w:tcBorders>
              <w:top w:val="single" w:sz="4" w:space="0" w:color="auto"/>
              <w:left w:val="nil"/>
              <w:bottom w:val="double" w:sz="6" w:space="0" w:color="auto"/>
              <w:right w:val="nil"/>
            </w:tcBorders>
            <w:vAlign w:val="bottom"/>
          </w:tcPr>
          <w:p w14:paraId="4B78E57C" w14:textId="7AB24FC8" w:rsidR="00791225" w:rsidRPr="00EB119B" w:rsidRDefault="00791225" w:rsidP="00791225">
            <w:pPr>
              <w:ind w:left="79"/>
              <w:jc w:val="right"/>
              <w:rPr>
                <w:rFonts w:ascii="Arial" w:hAnsi="Arial" w:cs="Arial"/>
                <w:b/>
              </w:rPr>
            </w:pPr>
            <w:r w:rsidRPr="00EB119B">
              <w:rPr>
                <w:rFonts w:ascii="Arial" w:hAnsi="Arial" w:cs="Arial"/>
                <w:b/>
              </w:rPr>
              <w:t>418</w:t>
            </w:r>
          </w:p>
        </w:tc>
        <w:tc>
          <w:tcPr>
            <w:tcW w:w="2126" w:type="dxa"/>
            <w:tcBorders>
              <w:top w:val="single" w:sz="4" w:space="0" w:color="auto"/>
              <w:left w:val="nil"/>
              <w:bottom w:val="double" w:sz="6" w:space="0" w:color="auto"/>
              <w:right w:val="nil"/>
            </w:tcBorders>
            <w:vAlign w:val="bottom"/>
          </w:tcPr>
          <w:p w14:paraId="78089624" w14:textId="4326E88A" w:rsidR="00791225" w:rsidRPr="00EB119B" w:rsidRDefault="00791225" w:rsidP="00791225">
            <w:pPr>
              <w:ind w:left="79"/>
              <w:jc w:val="right"/>
              <w:rPr>
                <w:rFonts w:ascii="Arial" w:hAnsi="Arial" w:cs="Arial"/>
                <w:b/>
              </w:rPr>
            </w:pPr>
            <w:r w:rsidRPr="00EB119B">
              <w:rPr>
                <w:rFonts w:ascii="Arial" w:hAnsi="Arial" w:cs="Arial"/>
                <w:b/>
              </w:rPr>
              <w:t>4,907</w:t>
            </w:r>
          </w:p>
        </w:tc>
      </w:tr>
    </w:tbl>
    <w:p w14:paraId="29AA19BD" w14:textId="77777777" w:rsidR="00E26D69" w:rsidRPr="00E26D69" w:rsidRDefault="00E26D69" w:rsidP="00CB03D3">
      <w:pPr>
        <w:spacing w:line="276" w:lineRule="auto"/>
        <w:rPr>
          <w:rFonts w:ascii="Arial" w:hAnsi="Arial" w:cs="Arial"/>
          <w:b/>
          <w:bCs/>
        </w:rPr>
      </w:pPr>
    </w:p>
    <w:p w14:paraId="2397797C" w14:textId="77777777" w:rsidR="00C34B60" w:rsidRDefault="00C34B60" w:rsidP="00442059">
      <w:pPr>
        <w:spacing w:line="360" w:lineRule="auto"/>
        <w:ind w:left="-284" w:right="-710"/>
        <w:rPr>
          <w:rFonts w:ascii="Arial" w:hAnsi="Arial" w:cs="Arial"/>
        </w:rPr>
      </w:pPr>
    </w:p>
    <w:p w14:paraId="7B036664" w14:textId="58C5493C" w:rsidR="00E26D69" w:rsidRPr="00E26D69" w:rsidRDefault="00E26D69" w:rsidP="00442059">
      <w:pPr>
        <w:spacing w:line="360" w:lineRule="auto"/>
        <w:ind w:left="-284" w:right="-710"/>
        <w:rPr>
          <w:rFonts w:ascii="Arial" w:hAnsi="Arial" w:cs="Arial"/>
        </w:rPr>
      </w:pPr>
      <w:r w:rsidRPr="00E26D69">
        <w:rPr>
          <w:rFonts w:ascii="Arial" w:hAnsi="Arial" w:cs="Arial"/>
        </w:rPr>
        <w:t xml:space="preserve">The unfunded pension liabilities represent liabilities in respect of pension commitments inherited by SEPA from predecessor bodies and a former SEPA Chair. These liabilities are mainly payable to other authorities for the costs of former employee pensions and include one direct payment to a pensioner. </w:t>
      </w:r>
    </w:p>
    <w:p w14:paraId="4C7C15C5" w14:textId="77777777" w:rsidR="00E26D69" w:rsidRPr="00E26D69" w:rsidRDefault="00E26D69" w:rsidP="00442059">
      <w:pPr>
        <w:spacing w:line="360" w:lineRule="auto"/>
        <w:ind w:left="-284" w:right="-710"/>
        <w:rPr>
          <w:rFonts w:ascii="Arial" w:hAnsi="Arial" w:cs="Arial"/>
        </w:rPr>
      </w:pPr>
    </w:p>
    <w:p w14:paraId="7081B8B1" w14:textId="76D17C21" w:rsidR="00812D21" w:rsidRDefault="00E26D69" w:rsidP="00442059">
      <w:pPr>
        <w:spacing w:line="360" w:lineRule="auto"/>
        <w:ind w:left="-284" w:right="-710"/>
        <w:rPr>
          <w:rFonts w:ascii="Arial" w:hAnsi="Arial" w:cs="Arial"/>
        </w:rPr>
      </w:pPr>
      <w:r w:rsidRPr="00C140E0">
        <w:rPr>
          <w:rFonts w:ascii="Arial" w:hAnsi="Arial" w:cs="Arial"/>
        </w:rPr>
        <w:t>There is also a provision at 31 March 202</w:t>
      </w:r>
      <w:r w:rsidR="00F95AAC">
        <w:rPr>
          <w:rFonts w:ascii="Arial" w:hAnsi="Arial" w:cs="Arial"/>
        </w:rPr>
        <w:t>2</w:t>
      </w:r>
      <w:r w:rsidRPr="00C140E0">
        <w:rPr>
          <w:rFonts w:ascii="Arial" w:hAnsi="Arial" w:cs="Arial"/>
        </w:rPr>
        <w:t xml:space="preserve"> for the </w:t>
      </w:r>
      <w:r w:rsidR="004257C2">
        <w:rPr>
          <w:rFonts w:ascii="Arial" w:hAnsi="Arial" w:cs="Arial"/>
        </w:rPr>
        <w:t>l</w:t>
      </w:r>
      <w:r w:rsidRPr="00C140E0">
        <w:rPr>
          <w:rFonts w:ascii="Arial" w:hAnsi="Arial" w:cs="Arial"/>
        </w:rPr>
        <w:t xml:space="preserve">ife </w:t>
      </w:r>
      <w:r w:rsidR="004257C2">
        <w:rPr>
          <w:rFonts w:ascii="Arial" w:hAnsi="Arial" w:cs="Arial"/>
        </w:rPr>
        <w:t>a</w:t>
      </w:r>
      <w:r w:rsidRPr="00C140E0">
        <w:rPr>
          <w:rFonts w:ascii="Arial" w:hAnsi="Arial" w:cs="Arial"/>
        </w:rPr>
        <w:t xml:space="preserve">ssurance liability. Hymans Robertson have estimated SEPA’s liability to pay death in service benefits on all staff in post at the end of the year. </w:t>
      </w:r>
    </w:p>
    <w:p w14:paraId="3559D758" w14:textId="77777777" w:rsidR="00812D21" w:rsidRDefault="00812D21" w:rsidP="00442059">
      <w:pPr>
        <w:spacing w:line="360" w:lineRule="auto"/>
        <w:ind w:left="-284" w:right="-710"/>
        <w:rPr>
          <w:rFonts w:ascii="Arial" w:hAnsi="Arial" w:cs="Arial"/>
        </w:rPr>
      </w:pPr>
    </w:p>
    <w:p w14:paraId="4F5C01C1" w14:textId="75804612" w:rsidR="00E26D69" w:rsidRDefault="00E26D69" w:rsidP="00442059">
      <w:pPr>
        <w:spacing w:line="360" w:lineRule="auto"/>
        <w:ind w:left="-284" w:right="-710"/>
        <w:rPr>
          <w:rFonts w:ascii="Arial" w:hAnsi="Arial" w:cs="Arial"/>
        </w:rPr>
      </w:pPr>
      <w:r w:rsidRPr="00C140E0">
        <w:rPr>
          <w:rFonts w:ascii="Arial" w:hAnsi="Arial" w:cs="Arial"/>
        </w:rPr>
        <w:t>The property decommissioning provision is the potential cost of reinstating leased properties to their original floorplan as estimated by Cushman and Wakefield at 31 March 2020</w:t>
      </w:r>
      <w:r w:rsidR="00A92102">
        <w:rPr>
          <w:rFonts w:ascii="Arial" w:hAnsi="Arial" w:cs="Arial"/>
        </w:rPr>
        <w:t>,</w:t>
      </w:r>
      <w:r w:rsidR="00F95AAC">
        <w:rPr>
          <w:rFonts w:ascii="Arial" w:hAnsi="Arial" w:cs="Arial"/>
        </w:rPr>
        <w:t xml:space="preserve"> and subsequently </w:t>
      </w:r>
      <w:r w:rsidR="00E0198F">
        <w:rPr>
          <w:rFonts w:ascii="Arial" w:hAnsi="Arial" w:cs="Arial"/>
        </w:rPr>
        <w:t>indexed for the increase in construction costs</w:t>
      </w:r>
      <w:r w:rsidR="00F95AAC">
        <w:rPr>
          <w:rFonts w:ascii="Arial" w:hAnsi="Arial" w:cs="Arial"/>
        </w:rPr>
        <w:t>.</w:t>
      </w:r>
      <w:r w:rsidRPr="00C140E0">
        <w:rPr>
          <w:rFonts w:ascii="Arial" w:hAnsi="Arial" w:cs="Arial"/>
        </w:rPr>
        <w:t xml:space="preserve"> </w:t>
      </w:r>
    </w:p>
    <w:p w14:paraId="0D91C9D7" w14:textId="3A45D90B" w:rsidR="005058F8" w:rsidRPr="00C140E0" w:rsidRDefault="00436266" w:rsidP="00436266">
      <w:pPr>
        <w:spacing w:line="360" w:lineRule="auto"/>
        <w:ind w:left="-284" w:right="-710"/>
        <w:rPr>
          <w:rFonts w:ascii="Arial" w:hAnsi="Arial" w:cs="Arial"/>
        </w:rPr>
      </w:pPr>
      <w:r>
        <w:rPr>
          <w:rFonts w:ascii="Arial" w:hAnsi="Arial" w:cs="Arial"/>
        </w:rPr>
        <w:br w:type="page"/>
      </w:r>
    </w:p>
    <w:p w14:paraId="43A38AAB" w14:textId="360CC104" w:rsidR="00FB09F9" w:rsidRPr="001C1822" w:rsidRDefault="00645F58" w:rsidP="000845C9">
      <w:pPr>
        <w:spacing w:line="360" w:lineRule="auto"/>
        <w:ind w:left="-426" w:firstLine="142"/>
        <w:contextualSpacing/>
        <w:rPr>
          <w:rFonts w:ascii="Arial" w:hAnsi="Arial" w:cs="Arial"/>
          <w:b/>
        </w:rPr>
      </w:pPr>
      <w:bookmarkStart w:id="47" w:name="Note14Financialcommitments"/>
      <w:r>
        <w:rPr>
          <w:rFonts w:ascii="Arial" w:hAnsi="Arial" w:cs="Arial"/>
          <w:b/>
        </w:rPr>
        <w:lastRenderedPageBreak/>
        <w:t>Note 14.</w:t>
      </w:r>
      <w:r w:rsidR="00E26D69" w:rsidRPr="00C140E0">
        <w:rPr>
          <w:rFonts w:ascii="Arial" w:hAnsi="Arial" w:cs="Arial"/>
          <w:b/>
        </w:rPr>
        <w:t xml:space="preserve"> </w:t>
      </w:r>
      <w:r>
        <w:rPr>
          <w:rFonts w:ascii="Arial" w:hAnsi="Arial" w:cs="Arial"/>
          <w:b/>
        </w:rPr>
        <w:t xml:space="preserve"> </w:t>
      </w:r>
      <w:r w:rsidR="00E26D69" w:rsidRPr="001C1822">
        <w:rPr>
          <w:rFonts w:ascii="Arial" w:hAnsi="Arial" w:cs="Arial"/>
          <w:b/>
        </w:rPr>
        <w:t>Financial commitments</w:t>
      </w:r>
    </w:p>
    <w:bookmarkEnd w:id="47"/>
    <w:p w14:paraId="1672E69E" w14:textId="2BFFB57F" w:rsidR="002F037C" w:rsidRDefault="00E26D69" w:rsidP="00442059">
      <w:pPr>
        <w:spacing w:line="360" w:lineRule="auto"/>
        <w:ind w:left="-284" w:right="-852"/>
        <w:rPr>
          <w:rFonts w:ascii="Arial" w:hAnsi="Arial" w:cs="Arial"/>
        </w:rPr>
      </w:pPr>
      <w:r w:rsidRPr="00E26D69">
        <w:rPr>
          <w:rFonts w:ascii="Arial" w:hAnsi="Arial" w:cs="Arial"/>
        </w:rPr>
        <w:t>There are capital commitments at 31 March 202</w:t>
      </w:r>
      <w:r w:rsidR="00DF2F1A">
        <w:rPr>
          <w:rFonts w:ascii="Arial" w:hAnsi="Arial" w:cs="Arial"/>
        </w:rPr>
        <w:t>2</w:t>
      </w:r>
      <w:r w:rsidRPr="00E26D69">
        <w:rPr>
          <w:rFonts w:ascii="Arial" w:hAnsi="Arial" w:cs="Arial"/>
        </w:rPr>
        <w:t xml:space="preserve"> of </w:t>
      </w:r>
      <w:r w:rsidR="005178A3" w:rsidRPr="001C1822">
        <w:rPr>
          <w:rFonts w:ascii="Arial" w:hAnsi="Arial" w:cs="Arial"/>
          <w:color w:val="000000"/>
        </w:rPr>
        <w:t>£</w:t>
      </w:r>
      <w:r w:rsidR="0060749F">
        <w:rPr>
          <w:rFonts w:ascii="Arial" w:hAnsi="Arial" w:cs="Arial"/>
          <w:color w:val="000000"/>
        </w:rPr>
        <w:t>1.0</w:t>
      </w:r>
      <w:r w:rsidR="00AF2A9B" w:rsidRPr="001C1822">
        <w:rPr>
          <w:rFonts w:ascii="Arial" w:hAnsi="Arial" w:cs="Arial"/>
          <w:color w:val="000000"/>
        </w:rPr>
        <w:t>m</w:t>
      </w:r>
      <w:r w:rsidR="00AC72E5" w:rsidRPr="001C1822">
        <w:rPr>
          <w:rFonts w:ascii="Arial" w:hAnsi="Arial" w:cs="Arial"/>
          <w:color w:val="000000"/>
        </w:rPr>
        <w:t xml:space="preserve"> </w:t>
      </w:r>
      <w:r w:rsidRPr="001C1822">
        <w:rPr>
          <w:rFonts w:ascii="Arial" w:hAnsi="Arial" w:cs="Arial"/>
        </w:rPr>
        <w:t>(20</w:t>
      </w:r>
      <w:r w:rsidR="00DF2F1A" w:rsidRPr="001C1822">
        <w:rPr>
          <w:rFonts w:ascii="Arial" w:hAnsi="Arial" w:cs="Arial"/>
        </w:rPr>
        <w:t>20</w:t>
      </w:r>
      <w:r w:rsidRPr="001C1822">
        <w:rPr>
          <w:rFonts w:ascii="Arial" w:hAnsi="Arial" w:cs="Arial"/>
        </w:rPr>
        <w:t>/</w:t>
      </w:r>
      <w:r w:rsidR="00125423" w:rsidRPr="001C1822">
        <w:rPr>
          <w:rFonts w:ascii="Arial" w:hAnsi="Arial" w:cs="Arial"/>
        </w:rPr>
        <w:t>2</w:t>
      </w:r>
      <w:r w:rsidR="00DF2F1A" w:rsidRPr="001C1822">
        <w:rPr>
          <w:rFonts w:ascii="Arial" w:hAnsi="Arial" w:cs="Arial"/>
        </w:rPr>
        <w:t>1</w:t>
      </w:r>
      <w:r w:rsidRPr="001C1822">
        <w:rPr>
          <w:rFonts w:ascii="Arial" w:hAnsi="Arial" w:cs="Arial"/>
        </w:rPr>
        <w:t xml:space="preserve"> - £</w:t>
      </w:r>
      <w:r w:rsidR="00DF2F1A" w:rsidRPr="001C1822">
        <w:rPr>
          <w:rFonts w:ascii="Arial" w:hAnsi="Arial" w:cs="Arial"/>
        </w:rPr>
        <w:t>1</w:t>
      </w:r>
      <w:r w:rsidR="00AF2A9B" w:rsidRPr="001C1822">
        <w:rPr>
          <w:rFonts w:ascii="Arial" w:hAnsi="Arial" w:cs="Arial"/>
        </w:rPr>
        <w:t>.0m</w:t>
      </w:r>
      <w:r w:rsidRPr="001C1822">
        <w:rPr>
          <w:rFonts w:ascii="Arial" w:hAnsi="Arial" w:cs="Arial"/>
        </w:rPr>
        <w:t>).</w:t>
      </w:r>
      <w:r w:rsidR="00BF1876">
        <w:rPr>
          <w:rFonts w:ascii="Arial" w:hAnsi="Arial" w:cs="Arial"/>
        </w:rPr>
        <w:t xml:space="preserve"> The commitments at </w:t>
      </w:r>
      <w:r w:rsidR="001F1B57">
        <w:rPr>
          <w:rFonts w:ascii="Arial" w:hAnsi="Arial" w:cs="Arial"/>
        </w:rPr>
        <w:t xml:space="preserve">31 </w:t>
      </w:r>
      <w:r w:rsidR="00BF1876">
        <w:rPr>
          <w:rFonts w:ascii="Arial" w:hAnsi="Arial" w:cs="Arial"/>
        </w:rPr>
        <w:t xml:space="preserve">March 2022 relate </w:t>
      </w:r>
      <w:r w:rsidR="007756BC">
        <w:rPr>
          <w:rFonts w:ascii="Arial" w:hAnsi="Arial" w:cs="Arial"/>
        </w:rPr>
        <w:t>the national pluvial flood hazard mapping project.</w:t>
      </w:r>
    </w:p>
    <w:tbl>
      <w:tblPr>
        <w:tblW w:w="10774" w:type="dxa"/>
        <w:tblInd w:w="-284" w:type="dxa"/>
        <w:tblLook w:val="0000" w:firstRow="0" w:lastRow="0" w:firstColumn="0" w:lastColumn="0" w:noHBand="0" w:noVBand="0"/>
      </w:tblPr>
      <w:tblGrid>
        <w:gridCol w:w="6380"/>
        <w:gridCol w:w="2225"/>
        <w:gridCol w:w="2169"/>
      </w:tblGrid>
      <w:tr w:rsidR="00F44322" w:rsidRPr="00E26D69" w14:paraId="29BFD031" w14:textId="77777777">
        <w:trPr>
          <w:trHeight w:val="454"/>
        </w:trPr>
        <w:tc>
          <w:tcPr>
            <w:tcW w:w="6380" w:type="dxa"/>
            <w:tcBorders>
              <w:top w:val="nil"/>
              <w:left w:val="nil"/>
              <w:bottom w:val="nil"/>
              <w:right w:val="nil"/>
            </w:tcBorders>
            <w:vAlign w:val="bottom"/>
          </w:tcPr>
          <w:p w14:paraId="255571DB" w14:textId="77777777" w:rsidR="00F44322" w:rsidRPr="00E26D69" w:rsidRDefault="00F44322">
            <w:pPr>
              <w:ind w:left="-99"/>
              <w:rPr>
                <w:rFonts w:ascii="Arial" w:hAnsi="Arial" w:cs="Arial"/>
                <w:b/>
              </w:rPr>
            </w:pPr>
          </w:p>
          <w:p w14:paraId="59FDACA2" w14:textId="77777777" w:rsidR="00F44322" w:rsidRPr="00E26D69" w:rsidRDefault="00F44322">
            <w:pPr>
              <w:ind w:left="-99"/>
              <w:rPr>
                <w:rFonts w:ascii="Arial" w:hAnsi="Arial" w:cs="Arial"/>
                <w:b/>
              </w:rPr>
            </w:pPr>
          </w:p>
          <w:p w14:paraId="73D4A707" w14:textId="77777777" w:rsidR="00F44322" w:rsidRPr="00E26D69" w:rsidRDefault="00F44322">
            <w:pPr>
              <w:ind w:left="-99"/>
              <w:rPr>
                <w:rFonts w:ascii="Arial" w:hAnsi="Arial" w:cs="Arial"/>
                <w:b/>
              </w:rPr>
            </w:pPr>
          </w:p>
          <w:p w14:paraId="4018B220" w14:textId="7C23AB79" w:rsidR="00F44322" w:rsidRPr="00E26D69" w:rsidRDefault="00F44322">
            <w:pPr>
              <w:ind w:left="-99"/>
              <w:rPr>
                <w:rFonts w:ascii="Arial" w:hAnsi="Arial" w:cs="Arial"/>
                <w:b/>
                <w:bCs/>
              </w:rPr>
            </w:pPr>
          </w:p>
        </w:tc>
        <w:tc>
          <w:tcPr>
            <w:tcW w:w="2225" w:type="dxa"/>
            <w:tcBorders>
              <w:top w:val="nil"/>
              <w:left w:val="nil"/>
              <w:bottom w:val="nil"/>
              <w:right w:val="nil"/>
            </w:tcBorders>
            <w:shd w:val="clear" w:color="auto" w:fill="EAF1DD" w:themeFill="accent3" w:themeFillTint="33"/>
            <w:vAlign w:val="bottom"/>
          </w:tcPr>
          <w:p w14:paraId="0E7655C3" w14:textId="77777777" w:rsidR="00F44322" w:rsidRPr="00E26D69" w:rsidRDefault="00F44322">
            <w:pPr>
              <w:jc w:val="right"/>
              <w:rPr>
                <w:rFonts w:ascii="Arial" w:hAnsi="Arial" w:cs="Arial"/>
                <w:b/>
                <w:bCs/>
              </w:rPr>
            </w:pPr>
            <w:r>
              <w:rPr>
                <w:rFonts w:ascii="Arial" w:hAnsi="Arial" w:cs="Arial"/>
                <w:b/>
                <w:bCs/>
              </w:rPr>
              <w:t>At</w:t>
            </w:r>
          </w:p>
          <w:p w14:paraId="6CC4CF09" w14:textId="77777777" w:rsidR="00F44322" w:rsidRDefault="00F44322">
            <w:pPr>
              <w:jc w:val="right"/>
              <w:rPr>
                <w:rFonts w:ascii="Arial" w:hAnsi="Arial" w:cs="Arial"/>
                <w:b/>
                <w:bCs/>
              </w:rPr>
            </w:pPr>
            <w:r w:rsidRPr="00E26D69">
              <w:rPr>
                <w:rFonts w:ascii="Arial" w:hAnsi="Arial" w:cs="Arial"/>
                <w:b/>
                <w:bCs/>
              </w:rPr>
              <w:t>31 March 202</w:t>
            </w:r>
            <w:r>
              <w:rPr>
                <w:rFonts w:ascii="Arial" w:hAnsi="Arial" w:cs="Arial"/>
                <w:b/>
                <w:bCs/>
              </w:rPr>
              <w:t>2</w:t>
            </w:r>
          </w:p>
          <w:p w14:paraId="55478B1F" w14:textId="77777777" w:rsidR="00F44322" w:rsidRPr="00E26D69" w:rsidRDefault="00F44322">
            <w:pPr>
              <w:jc w:val="right"/>
              <w:rPr>
                <w:rFonts w:ascii="Arial" w:hAnsi="Arial" w:cs="Arial"/>
                <w:b/>
                <w:bCs/>
              </w:rPr>
            </w:pPr>
          </w:p>
          <w:p w14:paraId="34B11208" w14:textId="77777777" w:rsidR="00F44322" w:rsidRPr="00E26D69" w:rsidRDefault="00F44322">
            <w:pPr>
              <w:jc w:val="right"/>
              <w:rPr>
                <w:rFonts w:ascii="Arial" w:hAnsi="Arial" w:cs="Arial"/>
                <w:b/>
                <w:bCs/>
              </w:rPr>
            </w:pPr>
            <w:r w:rsidRPr="00E26D69">
              <w:rPr>
                <w:rFonts w:ascii="Arial" w:hAnsi="Arial" w:cs="Arial"/>
                <w:b/>
                <w:bCs/>
              </w:rPr>
              <w:t>£’000</w:t>
            </w:r>
          </w:p>
        </w:tc>
        <w:tc>
          <w:tcPr>
            <w:tcW w:w="2169" w:type="dxa"/>
            <w:tcBorders>
              <w:top w:val="nil"/>
              <w:left w:val="nil"/>
              <w:bottom w:val="nil"/>
              <w:right w:val="nil"/>
            </w:tcBorders>
            <w:vAlign w:val="bottom"/>
          </w:tcPr>
          <w:p w14:paraId="080D9AB8" w14:textId="77777777" w:rsidR="00F44322" w:rsidRPr="00E26D69" w:rsidRDefault="00F44322">
            <w:pPr>
              <w:jc w:val="right"/>
              <w:rPr>
                <w:rFonts w:ascii="Arial" w:hAnsi="Arial" w:cs="Arial"/>
                <w:b/>
                <w:bCs/>
              </w:rPr>
            </w:pPr>
            <w:r>
              <w:rPr>
                <w:rFonts w:ascii="Arial" w:hAnsi="Arial" w:cs="Arial"/>
                <w:b/>
                <w:bCs/>
              </w:rPr>
              <w:t>At</w:t>
            </w:r>
          </w:p>
          <w:p w14:paraId="0CF54835" w14:textId="77777777" w:rsidR="00F44322" w:rsidRDefault="00F44322">
            <w:pPr>
              <w:jc w:val="right"/>
              <w:rPr>
                <w:rFonts w:ascii="Arial" w:hAnsi="Arial" w:cs="Arial"/>
                <w:b/>
                <w:bCs/>
              </w:rPr>
            </w:pPr>
            <w:r w:rsidRPr="00E26D69">
              <w:rPr>
                <w:rFonts w:ascii="Arial" w:hAnsi="Arial" w:cs="Arial"/>
                <w:b/>
                <w:bCs/>
              </w:rPr>
              <w:t>31 March 20</w:t>
            </w:r>
            <w:r>
              <w:rPr>
                <w:rFonts w:ascii="Arial" w:hAnsi="Arial" w:cs="Arial"/>
                <w:b/>
                <w:bCs/>
              </w:rPr>
              <w:t>21</w:t>
            </w:r>
          </w:p>
          <w:p w14:paraId="38DFD80B" w14:textId="77777777" w:rsidR="00F44322" w:rsidRPr="00E26D69" w:rsidRDefault="00F44322">
            <w:pPr>
              <w:jc w:val="right"/>
              <w:rPr>
                <w:rFonts w:ascii="Arial" w:hAnsi="Arial" w:cs="Arial"/>
                <w:b/>
                <w:bCs/>
              </w:rPr>
            </w:pPr>
          </w:p>
          <w:p w14:paraId="7E700013" w14:textId="77777777" w:rsidR="00F44322" w:rsidRPr="00E26D69" w:rsidRDefault="00F44322">
            <w:pPr>
              <w:jc w:val="right"/>
              <w:rPr>
                <w:rFonts w:ascii="Arial" w:hAnsi="Arial" w:cs="Arial"/>
                <w:b/>
                <w:bCs/>
              </w:rPr>
            </w:pPr>
            <w:r w:rsidRPr="00E26D69">
              <w:rPr>
                <w:rFonts w:ascii="Arial" w:hAnsi="Arial" w:cs="Arial"/>
                <w:b/>
                <w:bCs/>
              </w:rPr>
              <w:t>£’000</w:t>
            </w:r>
          </w:p>
        </w:tc>
      </w:tr>
      <w:tr w:rsidR="00F44322" w:rsidRPr="00E26D69" w14:paraId="0A6A4DD6" w14:textId="77777777">
        <w:trPr>
          <w:trHeight w:val="454"/>
        </w:trPr>
        <w:tc>
          <w:tcPr>
            <w:tcW w:w="6380" w:type="dxa"/>
            <w:tcBorders>
              <w:top w:val="nil"/>
              <w:left w:val="nil"/>
              <w:bottom w:val="nil"/>
              <w:right w:val="nil"/>
            </w:tcBorders>
            <w:vAlign w:val="bottom"/>
          </w:tcPr>
          <w:p w14:paraId="3EA2A1DF" w14:textId="38A07BD1" w:rsidR="00F44322" w:rsidRPr="00E26D69" w:rsidRDefault="00853E08">
            <w:pPr>
              <w:ind w:left="-99"/>
              <w:rPr>
                <w:rFonts w:ascii="Arial" w:hAnsi="Arial" w:cs="Arial"/>
              </w:rPr>
            </w:pPr>
            <w:r>
              <w:rPr>
                <w:rFonts w:ascii="Arial" w:hAnsi="Arial" w:cs="Arial"/>
              </w:rPr>
              <w:t xml:space="preserve">Assets </w:t>
            </w:r>
            <w:r w:rsidR="007E32FE">
              <w:rPr>
                <w:rFonts w:ascii="Arial" w:hAnsi="Arial" w:cs="Arial"/>
              </w:rPr>
              <w:t>u</w:t>
            </w:r>
            <w:r>
              <w:rPr>
                <w:rFonts w:ascii="Arial" w:hAnsi="Arial" w:cs="Arial"/>
              </w:rPr>
              <w:t xml:space="preserve">nder </w:t>
            </w:r>
            <w:r w:rsidR="007E32FE">
              <w:rPr>
                <w:rFonts w:ascii="Arial" w:hAnsi="Arial" w:cs="Arial"/>
              </w:rPr>
              <w:t>c</w:t>
            </w:r>
            <w:r>
              <w:rPr>
                <w:rFonts w:ascii="Arial" w:hAnsi="Arial" w:cs="Arial"/>
              </w:rPr>
              <w:t>onstruction</w:t>
            </w:r>
          </w:p>
        </w:tc>
        <w:tc>
          <w:tcPr>
            <w:tcW w:w="2225" w:type="dxa"/>
            <w:tcBorders>
              <w:top w:val="nil"/>
              <w:left w:val="nil"/>
              <w:right w:val="nil"/>
            </w:tcBorders>
            <w:shd w:val="clear" w:color="auto" w:fill="EAF1DD" w:themeFill="accent3" w:themeFillTint="33"/>
            <w:vAlign w:val="bottom"/>
          </w:tcPr>
          <w:p w14:paraId="0028B917" w14:textId="6531DC5E" w:rsidR="00F44322" w:rsidRPr="00E26D69" w:rsidRDefault="001F1B57">
            <w:pPr>
              <w:jc w:val="right"/>
              <w:rPr>
                <w:rFonts w:ascii="Arial" w:hAnsi="Arial" w:cs="Arial"/>
              </w:rPr>
            </w:pPr>
            <w:r>
              <w:rPr>
                <w:rFonts w:ascii="Arial" w:hAnsi="Arial" w:cs="Arial"/>
              </w:rPr>
              <w:t>989</w:t>
            </w:r>
          </w:p>
        </w:tc>
        <w:tc>
          <w:tcPr>
            <w:tcW w:w="2169" w:type="dxa"/>
            <w:tcBorders>
              <w:top w:val="nil"/>
              <w:left w:val="nil"/>
              <w:right w:val="nil"/>
            </w:tcBorders>
            <w:vAlign w:val="bottom"/>
          </w:tcPr>
          <w:p w14:paraId="35514900" w14:textId="6C2389B5" w:rsidR="00F44322" w:rsidRPr="00E26D69" w:rsidRDefault="008F6EBD">
            <w:pPr>
              <w:jc w:val="right"/>
              <w:rPr>
                <w:rFonts w:ascii="Arial" w:hAnsi="Arial" w:cs="Arial"/>
              </w:rPr>
            </w:pPr>
            <w:r>
              <w:rPr>
                <w:rFonts w:ascii="Arial" w:hAnsi="Arial" w:cs="Arial"/>
              </w:rPr>
              <w:t>212</w:t>
            </w:r>
          </w:p>
        </w:tc>
      </w:tr>
      <w:tr w:rsidR="00F44322" w:rsidRPr="00E26D69" w14:paraId="74516B64" w14:textId="77777777">
        <w:trPr>
          <w:trHeight w:val="454"/>
        </w:trPr>
        <w:tc>
          <w:tcPr>
            <w:tcW w:w="6380" w:type="dxa"/>
            <w:tcBorders>
              <w:top w:val="nil"/>
              <w:left w:val="nil"/>
              <w:bottom w:val="nil"/>
              <w:right w:val="nil"/>
            </w:tcBorders>
            <w:vAlign w:val="bottom"/>
          </w:tcPr>
          <w:p w14:paraId="2B38BB86" w14:textId="3CEED3D1" w:rsidR="00F44322" w:rsidRPr="00E26D69" w:rsidRDefault="002A1C86">
            <w:pPr>
              <w:ind w:left="-99"/>
              <w:rPr>
                <w:rFonts w:ascii="Arial" w:hAnsi="Arial" w:cs="Arial"/>
              </w:rPr>
            </w:pPr>
            <w:r>
              <w:rPr>
                <w:rFonts w:ascii="Arial" w:hAnsi="Arial" w:cs="Arial"/>
              </w:rPr>
              <w:t xml:space="preserve">Computer </w:t>
            </w:r>
            <w:r w:rsidR="007E32FE">
              <w:rPr>
                <w:rFonts w:ascii="Arial" w:hAnsi="Arial" w:cs="Arial"/>
              </w:rPr>
              <w:t>e</w:t>
            </w:r>
            <w:r>
              <w:rPr>
                <w:rFonts w:ascii="Arial" w:hAnsi="Arial" w:cs="Arial"/>
              </w:rPr>
              <w:t>quipment</w:t>
            </w:r>
          </w:p>
        </w:tc>
        <w:tc>
          <w:tcPr>
            <w:tcW w:w="2225" w:type="dxa"/>
            <w:tcBorders>
              <w:top w:val="nil"/>
              <w:left w:val="nil"/>
              <w:right w:val="nil"/>
            </w:tcBorders>
            <w:shd w:val="clear" w:color="auto" w:fill="EAF1DD" w:themeFill="accent3" w:themeFillTint="33"/>
            <w:vAlign w:val="bottom"/>
          </w:tcPr>
          <w:p w14:paraId="3A7EC0AC" w14:textId="0F47B6F3" w:rsidR="00F44322" w:rsidRPr="00E26D69" w:rsidRDefault="001F1B57">
            <w:pPr>
              <w:jc w:val="right"/>
              <w:rPr>
                <w:rFonts w:ascii="Arial" w:hAnsi="Arial" w:cs="Arial"/>
              </w:rPr>
            </w:pPr>
            <w:r>
              <w:rPr>
                <w:rFonts w:ascii="Arial" w:hAnsi="Arial" w:cs="Arial"/>
              </w:rPr>
              <w:t>-</w:t>
            </w:r>
          </w:p>
        </w:tc>
        <w:tc>
          <w:tcPr>
            <w:tcW w:w="2169" w:type="dxa"/>
            <w:tcBorders>
              <w:top w:val="nil"/>
              <w:left w:val="nil"/>
              <w:right w:val="nil"/>
            </w:tcBorders>
            <w:vAlign w:val="bottom"/>
          </w:tcPr>
          <w:p w14:paraId="2BB25AC8" w14:textId="01A1475A" w:rsidR="00F44322" w:rsidRPr="00E26D69" w:rsidRDefault="008F6EBD">
            <w:pPr>
              <w:jc w:val="right"/>
              <w:rPr>
                <w:rFonts w:ascii="Arial" w:hAnsi="Arial" w:cs="Arial"/>
              </w:rPr>
            </w:pPr>
            <w:r>
              <w:rPr>
                <w:rFonts w:ascii="Arial" w:hAnsi="Arial" w:cs="Arial"/>
              </w:rPr>
              <w:t>831</w:t>
            </w:r>
          </w:p>
        </w:tc>
      </w:tr>
      <w:tr w:rsidR="00853E08" w:rsidRPr="00E26D69" w14:paraId="2DC6F170" w14:textId="77777777">
        <w:trPr>
          <w:trHeight w:val="454"/>
        </w:trPr>
        <w:tc>
          <w:tcPr>
            <w:tcW w:w="6380" w:type="dxa"/>
            <w:tcBorders>
              <w:top w:val="nil"/>
              <w:left w:val="nil"/>
              <w:bottom w:val="nil"/>
              <w:right w:val="nil"/>
            </w:tcBorders>
            <w:vAlign w:val="bottom"/>
          </w:tcPr>
          <w:p w14:paraId="18938932" w14:textId="1F3E76BD" w:rsidR="00853E08" w:rsidRPr="00055FDF" w:rsidRDefault="002A1C86">
            <w:pPr>
              <w:ind w:left="-99"/>
              <w:rPr>
                <w:rFonts w:ascii="Arial" w:hAnsi="Arial" w:cs="Arial"/>
              </w:rPr>
            </w:pPr>
            <w:r>
              <w:rPr>
                <w:rFonts w:ascii="Arial" w:hAnsi="Arial" w:cs="Arial"/>
              </w:rPr>
              <w:t xml:space="preserve">Gauging </w:t>
            </w:r>
            <w:r w:rsidR="007E32FE">
              <w:rPr>
                <w:rFonts w:ascii="Arial" w:hAnsi="Arial" w:cs="Arial"/>
              </w:rPr>
              <w:t>s</w:t>
            </w:r>
            <w:r>
              <w:rPr>
                <w:rFonts w:ascii="Arial" w:hAnsi="Arial" w:cs="Arial"/>
              </w:rPr>
              <w:t>tations</w:t>
            </w:r>
          </w:p>
        </w:tc>
        <w:tc>
          <w:tcPr>
            <w:tcW w:w="2225" w:type="dxa"/>
            <w:tcBorders>
              <w:top w:val="nil"/>
              <w:left w:val="nil"/>
              <w:right w:val="nil"/>
            </w:tcBorders>
            <w:shd w:val="clear" w:color="auto" w:fill="EAF1DD" w:themeFill="accent3" w:themeFillTint="33"/>
            <w:vAlign w:val="bottom"/>
          </w:tcPr>
          <w:p w14:paraId="6F03138F" w14:textId="03F168C9" w:rsidR="00853E08" w:rsidRDefault="001F1B57">
            <w:pPr>
              <w:jc w:val="right"/>
              <w:rPr>
                <w:rFonts w:ascii="Arial" w:hAnsi="Arial" w:cs="Arial"/>
              </w:rPr>
            </w:pPr>
            <w:r>
              <w:rPr>
                <w:rFonts w:ascii="Arial" w:hAnsi="Arial" w:cs="Arial"/>
              </w:rPr>
              <w:t>-</w:t>
            </w:r>
          </w:p>
        </w:tc>
        <w:tc>
          <w:tcPr>
            <w:tcW w:w="2169" w:type="dxa"/>
            <w:tcBorders>
              <w:top w:val="nil"/>
              <w:left w:val="nil"/>
              <w:right w:val="nil"/>
            </w:tcBorders>
            <w:vAlign w:val="bottom"/>
          </w:tcPr>
          <w:p w14:paraId="64125154" w14:textId="55C3E635" w:rsidR="00853E08" w:rsidRDefault="009D5953">
            <w:pPr>
              <w:jc w:val="right"/>
              <w:rPr>
                <w:rFonts w:ascii="Arial" w:hAnsi="Arial" w:cs="Arial"/>
              </w:rPr>
            </w:pPr>
            <w:r>
              <w:rPr>
                <w:rFonts w:ascii="Arial" w:hAnsi="Arial" w:cs="Arial"/>
              </w:rPr>
              <w:t>-</w:t>
            </w:r>
          </w:p>
        </w:tc>
      </w:tr>
      <w:tr w:rsidR="00F44322" w:rsidRPr="00E26D69" w14:paraId="5C600887" w14:textId="77777777">
        <w:trPr>
          <w:trHeight w:val="454"/>
        </w:trPr>
        <w:tc>
          <w:tcPr>
            <w:tcW w:w="6380" w:type="dxa"/>
            <w:tcBorders>
              <w:top w:val="nil"/>
              <w:left w:val="nil"/>
              <w:bottom w:val="nil"/>
              <w:right w:val="nil"/>
            </w:tcBorders>
            <w:vAlign w:val="bottom"/>
          </w:tcPr>
          <w:p w14:paraId="7291D921" w14:textId="42307FEB" w:rsidR="00F44322" w:rsidRPr="00E26D69" w:rsidRDefault="002A1C86">
            <w:pPr>
              <w:ind w:left="-99"/>
              <w:rPr>
                <w:rFonts w:ascii="Arial" w:hAnsi="Arial" w:cs="Arial"/>
              </w:rPr>
            </w:pPr>
            <w:r>
              <w:rPr>
                <w:rFonts w:ascii="Arial" w:hAnsi="Arial" w:cs="Arial"/>
              </w:rPr>
              <w:t xml:space="preserve">Plant &amp; </w:t>
            </w:r>
            <w:r w:rsidR="007E32FE">
              <w:rPr>
                <w:rFonts w:ascii="Arial" w:hAnsi="Arial" w:cs="Arial"/>
              </w:rPr>
              <w:t>e</w:t>
            </w:r>
            <w:r>
              <w:rPr>
                <w:rFonts w:ascii="Arial" w:hAnsi="Arial" w:cs="Arial"/>
              </w:rPr>
              <w:t>quipment</w:t>
            </w:r>
          </w:p>
        </w:tc>
        <w:tc>
          <w:tcPr>
            <w:tcW w:w="2225" w:type="dxa"/>
            <w:tcBorders>
              <w:left w:val="nil"/>
              <w:right w:val="nil"/>
            </w:tcBorders>
            <w:shd w:val="clear" w:color="auto" w:fill="EAF1DD" w:themeFill="accent3" w:themeFillTint="33"/>
            <w:vAlign w:val="bottom"/>
          </w:tcPr>
          <w:p w14:paraId="6043C64A" w14:textId="577B9C9A" w:rsidR="00F44322" w:rsidRPr="00E26D69" w:rsidRDefault="001F1B57">
            <w:pPr>
              <w:jc w:val="right"/>
              <w:rPr>
                <w:rFonts w:ascii="Arial" w:hAnsi="Arial" w:cs="Arial"/>
              </w:rPr>
            </w:pPr>
            <w:r>
              <w:rPr>
                <w:rFonts w:ascii="Arial" w:hAnsi="Arial" w:cs="Arial"/>
              </w:rPr>
              <w:t>-</w:t>
            </w:r>
          </w:p>
        </w:tc>
        <w:tc>
          <w:tcPr>
            <w:tcW w:w="2169" w:type="dxa"/>
            <w:tcBorders>
              <w:left w:val="nil"/>
              <w:right w:val="nil"/>
            </w:tcBorders>
            <w:vAlign w:val="bottom"/>
          </w:tcPr>
          <w:p w14:paraId="231AF61A" w14:textId="41A54DD6" w:rsidR="00F44322" w:rsidRPr="00E26D69" w:rsidRDefault="009D5953">
            <w:pPr>
              <w:jc w:val="right"/>
              <w:rPr>
                <w:rFonts w:ascii="Arial" w:hAnsi="Arial" w:cs="Arial"/>
              </w:rPr>
            </w:pPr>
            <w:r>
              <w:rPr>
                <w:rFonts w:ascii="Arial" w:hAnsi="Arial" w:cs="Arial"/>
              </w:rPr>
              <w:t>-</w:t>
            </w:r>
          </w:p>
        </w:tc>
      </w:tr>
      <w:tr w:rsidR="00F44322" w:rsidRPr="00E26D69" w14:paraId="302B8D16" w14:textId="77777777">
        <w:trPr>
          <w:trHeight w:val="454"/>
        </w:trPr>
        <w:tc>
          <w:tcPr>
            <w:tcW w:w="6380" w:type="dxa"/>
            <w:tcBorders>
              <w:top w:val="nil"/>
              <w:left w:val="nil"/>
              <w:bottom w:val="nil"/>
              <w:right w:val="nil"/>
            </w:tcBorders>
            <w:vAlign w:val="bottom"/>
          </w:tcPr>
          <w:p w14:paraId="6B340F03" w14:textId="23276177" w:rsidR="00F44322" w:rsidRPr="00E26D69" w:rsidRDefault="002A1C86">
            <w:pPr>
              <w:ind w:left="-99"/>
              <w:rPr>
                <w:rFonts w:ascii="Arial" w:hAnsi="Arial" w:cs="Arial"/>
              </w:rPr>
            </w:pPr>
            <w:r>
              <w:rPr>
                <w:rFonts w:ascii="Arial" w:hAnsi="Arial" w:cs="Arial"/>
              </w:rPr>
              <w:t xml:space="preserve">Software </w:t>
            </w:r>
            <w:r w:rsidR="007E32FE">
              <w:rPr>
                <w:rFonts w:ascii="Arial" w:hAnsi="Arial" w:cs="Arial"/>
              </w:rPr>
              <w:t>p</w:t>
            </w:r>
            <w:r>
              <w:rPr>
                <w:rFonts w:ascii="Arial" w:hAnsi="Arial" w:cs="Arial"/>
              </w:rPr>
              <w:t>urchased</w:t>
            </w:r>
          </w:p>
        </w:tc>
        <w:tc>
          <w:tcPr>
            <w:tcW w:w="2225" w:type="dxa"/>
            <w:tcBorders>
              <w:left w:val="nil"/>
              <w:bottom w:val="single" w:sz="4" w:space="0" w:color="auto"/>
              <w:right w:val="nil"/>
            </w:tcBorders>
            <w:shd w:val="clear" w:color="auto" w:fill="EAF1DD" w:themeFill="accent3" w:themeFillTint="33"/>
            <w:vAlign w:val="bottom"/>
          </w:tcPr>
          <w:p w14:paraId="4730DC7A" w14:textId="0FC137A3" w:rsidR="00F44322" w:rsidRPr="00E26D69" w:rsidRDefault="001F1B57">
            <w:pPr>
              <w:jc w:val="right"/>
              <w:rPr>
                <w:rFonts w:ascii="Arial" w:hAnsi="Arial" w:cs="Arial"/>
              </w:rPr>
            </w:pPr>
            <w:r>
              <w:rPr>
                <w:rFonts w:ascii="Arial" w:hAnsi="Arial" w:cs="Arial"/>
              </w:rPr>
              <w:t>-</w:t>
            </w:r>
          </w:p>
        </w:tc>
        <w:tc>
          <w:tcPr>
            <w:tcW w:w="2169" w:type="dxa"/>
            <w:tcBorders>
              <w:left w:val="nil"/>
              <w:bottom w:val="single" w:sz="4" w:space="0" w:color="auto"/>
              <w:right w:val="nil"/>
            </w:tcBorders>
            <w:vAlign w:val="bottom"/>
          </w:tcPr>
          <w:p w14:paraId="38870DDC" w14:textId="7EF789B1" w:rsidR="00F44322" w:rsidRPr="00E26D69" w:rsidRDefault="009D5953">
            <w:pPr>
              <w:jc w:val="right"/>
              <w:rPr>
                <w:rFonts w:ascii="Arial" w:hAnsi="Arial" w:cs="Arial"/>
              </w:rPr>
            </w:pPr>
            <w:r>
              <w:rPr>
                <w:rFonts w:ascii="Arial" w:hAnsi="Arial" w:cs="Arial"/>
              </w:rPr>
              <w:t>-</w:t>
            </w:r>
          </w:p>
        </w:tc>
      </w:tr>
      <w:tr w:rsidR="00F44322" w:rsidRPr="00E26D69" w14:paraId="480F2169" w14:textId="77777777">
        <w:trPr>
          <w:trHeight w:val="454"/>
        </w:trPr>
        <w:tc>
          <w:tcPr>
            <w:tcW w:w="6380" w:type="dxa"/>
            <w:tcBorders>
              <w:top w:val="nil"/>
              <w:left w:val="nil"/>
              <w:bottom w:val="nil"/>
              <w:right w:val="nil"/>
            </w:tcBorders>
            <w:vAlign w:val="bottom"/>
          </w:tcPr>
          <w:p w14:paraId="11D04881" w14:textId="77777777" w:rsidR="00F44322" w:rsidRPr="00E26D69" w:rsidRDefault="00F44322">
            <w:pPr>
              <w:ind w:left="-108"/>
              <w:rPr>
                <w:rFonts w:ascii="Arial" w:hAnsi="Arial" w:cs="Arial"/>
                <w:bCs/>
              </w:rPr>
            </w:pPr>
          </w:p>
        </w:tc>
        <w:tc>
          <w:tcPr>
            <w:tcW w:w="2225" w:type="dxa"/>
            <w:tcBorders>
              <w:top w:val="single" w:sz="4" w:space="0" w:color="auto"/>
              <w:left w:val="nil"/>
              <w:bottom w:val="double" w:sz="6" w:space="0" w:color="auto"/>
              <w:right w:val="nil"/>
            </w:tcBorders>
            <w:shd w:val="clear" w:color="auto" w:fill="EAF1DD" w:themeFill="accent3" w:themeFillTint="33"/>
            <w:vAlign w:val="bottom"/>
          </w:tcPr>
          <w:p w14:paraId="7E7A4996" w14:textId="04736724" w:rsidR="00F44322" w:rsidRPr="00E26D69" w:rsidRDefault="00451138">
            <w:pPr>
              <w:jc w:val="right"/>
              <w:rPr>
                <w:rFonts w:ascii="Arial" w:hAnsi="Arial" w:cs="Arial"/>
                <w:b/>
              </w:rPr>
            </w:pPr>
            <w:r>
              <w:rPr>
                <w:rFonts w:ascii="Arial" w:hAnsi="Arial" w:cs="Arial"/>
                <w:b/>
              </w:rPr>
              <w:t>989</w:t>
            </w:r>
          </w:p>
        </w:tc>
        <w:tc>
          <w:tcPr>
            <w:tcW w:w="2169" w:type="dxa"/>
            <w:tcBorders>
              <w:top w:val="single" w:sz="4" w:space="0" w:color="auto"/>
              <w:left w:val="nil"/>
              <w:bottom w:val="double" w:sz="6" w:space="0" w:color="auto"/>
              <w:right w:val="nil"/>
            </w:tcBorders>
            <w:vAlign w:val="bottom"/>
          </w:tcPr>
          <w:p w14:paraId="3465FFB2" w14:textId="2D19538E" w:rsidR="00F44322" w:rsidRPr="00E26D69" w:rsidRDefault="001F1B57">
            <w:pPr>
              <w:jc w:val="right"/>
              <w:rPr>
                <w:rFonts w:ascii="Arial" w:hAnsi="Arial" w:cs="Arial"/>
                <w:b/>
              </w:rPr>
            </w:pPr>
            <w:r>
              <w:rPr>
                <w:rFonts w:ascii="Arial" w:hAnsi="Arial" w:cs="Arial"/>
                <w:b/>
              </w:rPr>
              <w:t>1,043</w:t>
            </w:r>
          </w:p>
        </w:tc>
      </w:tr>
    </w:tbl>
    <w:p w14:paraId="6903DA55" w14:textId="77777777" w:rsidR="007720F6" w:rsidRDefault="007720F6" w:rsidP="00442059">
      <w:pPr>
        <w:spacing w:line="360" w:lineRule="auto"/>
        <w:ind w:left="-284" w:right="-852"/>
        <w:rPr>
          <w:rFonts w:ascii="Arial" w:hAnsi="Arial" w:cs="Arial"/>
        </w:rPr>
      </w:pPr>
    </w:p>
    <w:p w14:paraId="66E9A03E" w14:textId="6FBE0CF4" w:rsidR="00E26D69" w:rsidRPr="00E26D69" w:rsidRDefault="00E26D69" w:rsidP="00442059">
      <w:pPr>
        <w:spacing w:line="360" w:lineRule="auto"/>
        <w:ind w:left="-284" w:right="-852"/>
        <w:rPr>
          <w:rFonts w:ascii="Arial" w:hAnsi="Arial" w:cs="Arial"/>
        </w:rPr>
      </w:pPr>
      <w:r w:rsidRPr="00E26D69">
        <w:rPr>
          <w:rFonts w:ascii="Arial" w:hAnsi="Arial" w:cs="Arial"/>
        </w:rPr>
        <w:t>The table below provides information regarding expenditure committed to in future financial years. The analysis of land and buildings, lease</w:t>
      </w:r>
      <w:r w:rsidR="00442059">
        <w:rPr>
          <w:rFonts w:ascii="Arial" w:hAnsi="Arial" w:cs="Arial"/>
        </w:rPr>
        <w:t>,</w:t>
      </w:r>
      <w:r w:rsidRPr="00E26D69">
        <w:rPr>
          <w:rFonts w:ascii="Arial" w:hAnsi="Arial" w:cs="Arial"/>
        </w:rPr>
        <w:t xml:space="preserve"> and rental costs are subdivided to show the total costs related to the length of the lease left to run.</w:t>
      </w:r>
    </w:p>
    <w:p w14:paraId="2BB5699A" w14:textId="77777777" w:rsidR="00E26D69" w:rsidRPr="00E26D69" w:rsidRDefault="00E26D69" w:rsidP="00442059">
      <w:pPr>
        <w:spacing w:line="360" w:lineRule="auto"/>
        <w:ind w:left="-284" w:right="-852"/>
        <w:rPr>
          <w:rFonts w:ascii="Arial" w:hAnsi="Arial" w:cs="Arial"/>
        </w:rPr>
      </w:pPr>
    </w:p>
    <w:p w14:paraId="36FCCF7A" w14:textId="77777777" w:rsidR="007720F6" w:rsidRDefault="00E26D69" w:rsidP="00442059">
      <w:pPr>
        <w:spacing w:line="360" w:lineRule="auto"/>
        <w:ind w:left="-284" w:right="-568"/>
        <w:rPr>
          <w:rFonts w:ascii="Arial" w:hAnsi="Arial" w:cs="Arial"/>
          <w:color w:val="000000"/>
        </w:rPr>
      </w:pPr>
      <w:r w:rsidRPr="00E26D69">
        <w:rPr>
          <w:rFonts w:ascii="Arial" w:hAnsi="Arial" w:cs="Arial"/>
          <w:color w:val="000000"/>
        </w:rPr>
        <w:t xml:space="preserve">All contractual land and building leases are ‘full repairing’ leases and the basis of all future lease payments is as deemed at the point of agreement. </w:t>
      </w:r>
    </w:p>
    <w:p w14:paraId="3E38FA9F" w14:textId="77777777" w:rsidR="00040897" w:rsidRPr="00E26D69" w:rsidRDefault="00040897" w:rsidP="00442059">
      <w:pPr>
        <w:spacing w:line="360" w:lineRule="auto"/>
        <w:ind w:left="-284" w:right="-568"/>
        <w:rPr>
          <w:rFonts w:ascii="Arial" w:hAnsi="Arial" w:cs="Arial"/>
          <w:color w:val="000000"/>
        </w:rPr>
      </w:pPr>
    </w:p>
    <w:p w14:paraId="02942A31" w14:textId="0B7FA664" w:rsidR="00260C6A" w:rsidRPr="00040897" w:rsidRDefault="00260C6A" w:rsidP="00040897">
      <w:pPr>
        <w:pStyle w:val="Caption"/>
        <w:keepNext/>
        <w:ind w:left="-284"/>
        <w:rPr>
          <w:rFonts w:ascii="Arial" w:hAnsi="Arial" w:cs="Arial"/>
          <w:color w:val="000000" w:themeColor="text1"/>
          <w:sz w:val="24"/>
          <w:szCs w:val="24"/>
        </w:rPr>
      </w:pPr>
      <w:r w:rsidRPr="00040897">
        <w:rPr>
          <w:rFonts w:ascii="Arial" w:hAnsi="Arial" w:cs="Arial"/>
          <w:color w:val="000000" w:themeColor="text1"/>
          <w:sz w:val="24"/>
          <w:szCs w:val="24"/>
        </w:rPr>
        <w:t xml:space="preserve">Total commitments under operating leases </w:t>
      </w:r>
      <w:r w:rsidR="00C90814">
        <w:rPr>
          <w:rFonts w:ascii="Arial" w:hAnsi="Arial" w:cs="Arial"/>
          <w:color w:val="000000" w:themeColor="text1"/>
          <w:sz w:val="24"/>
          <w:szCs w:val="24"/>
        </w:rPr>
        <w:t>at</w:t>
      </w:r>
      <w:r w:rsidRPr="00040897">
        <w:rPr>
          <w:rFonts w:ascii="Arial" w:hAnsi="Arial" w:cs="Arial"/>
          <w:color w:val="000000" w:themeColor="text1"/>
          <w:sz w:val="24"/>
          <w:szCs w:val="24"/>
        </w:rPr>
        <w:t xml:space="preserve"> 31 March 202</w:t>
      </w:r>
      <w:r w:rsidR="00D71A30">
        <w:rPr>
          <w:rFonts w:ascii="Arial" w:hAnsi="Arial" w:cs="Arial"/>
          <w:color w:val="000000" w:themeColor="text1"/>
          <w:sz w:val="24"/>
          <w:szCs w:val="24"/>
        </w:rPr>
        <w:t>2</w:t>
      </w:r>
    </w:p>
    <w:tbl>
      <w:tblPr>
        <w:tblW w:w="10490" w:type="dxa"/>
        <w:tblInd w:w="-284" w:type="dxa"/>
        <w:tblLook w:val="04A0" w:firstRow="1" w:lastRow="0" w:firstColumn="1" w:lastColumn="0" w:noHBand="0" w:noVBand="1"/>
      </w:tblPr>
      <w:tblGrid>
        <w:gridCol w:w="4392"/>
        <w:gridCol w:w="1421"/>
        <w:gridCol w:w="1559"/>
        <w:gridCol w:w="1559"/>
        <w:gridCol w:w="1559"/>
      </w:tblGrid>
      <w:tr w:rsidR="00E26D69" w:rsidRPr="00E26D69" w14:paraId="4BAC5218" w14:textId="77777777" w:rsidTr="000845C9">
        <w:trPr>
          <w:trHeight w:val="454"/>
        </w:trPr>
        <w:tc>
          <w:tcPr>
            <w:tcW w:w="4392" w:type="dxa"/>
            <w:tcBorders>
              <w:top w:val="nil"/>
              <w:left w:val="nil"/>
              <w:bottom w:val="nil"/>
              <w:right w:val="nil"/>
            </w:tcBorders>
            <w:hideMark/>
          </w:tcPr>
          <w:p w14:paraId="69EEEE30" w14:textId="4F83D528" w:rsidR="00260C6A" w:rsidRPr="00E26D69" w:rsidRDefault="00260C6A" w:rsidP="0085094A">
            <w:pPr>
              <w:rPr>
                <w:rFonts w:ascii="Arial" w:hAnsi="Arial" w:cs="Arial"/>
                <w:b/>
                <w:bCs/>
              </w:rPr>
            </w:pPr>
          </w:p>
        </w:tc>
        <w:tc>
          <w:tcPr>
            <w:tcW w:w="2980" w:type="dxa"/>
            <w:gridSpan w:val="2"/>
            <w:tcBorders>
              <w:top w:val="nil"/>
              <w:left w:val="nil"/>
              <w:bottom w:val="nil"/>
              <w:right w:val="nil"/>
            </w:tcBorders>
            <w:vAlign w:val="bottom"/>
            <w:hideMark/>
          </w:tcPr>
          <w:p w14:paraId="0E34A805" w14:textId="77777777" w:rsidR="00E26D69" w:rsidRPr="00E26D69" w:rsidRDefault="00E26D69" w:rsidP="0085094A">
            <w:pPr>
              <w:jc w:val="center"/>
              <w:rPr>
                <w:rFonts w:ascii="Arial" w:hAnsi="Arial" w:cs="Arial"/>
                <w:b/>
                <w:bCs/>
              </w:rPr>
            </w:pPr>
            <w:r w:rsidRPr="00E26D69">
              <w:rPr>
                <w:rFonts w:ascii="Arial" w:hAnsi="Arial" w:cs="Arial"/>
                <w:b/>
                <w:bCs/>
              </w:rPr>
              <w:t>Land and buildings</w:t>
            </w:r>
          </w:p>
        </w:tc>
        <w:tc>
          <w:tcPr>
            <w:tcW w:w="3118" w:type="dxa"/>
            <w:gridSpan w:val="2"/>
            <w:tcBorders>
              <w:top w:val="nil"/>
              <w:left w:val="nil"/>
              <w:bottom w:val="nil"/>
              <w:right w:val="nil"/>
            </w:tcBorders>
            <w:vAlign w:val="bottom"/>
            <w:hideMark/>
          </w:tcPr>
          <w:p w14:paraId="151E6F9B" w14:textId="77777777" w:rsidR="00E26D69" w:rsidRPr="00E26D69" w:rsidRDefault="00E26D69" w:rsidP="0085094A">
            <w:pPr>
              <w:jc w:val="center"/>
              <w:rPr>
                <w:rFonts w:ascii="Arial" w:hAnsi="Arial" w:cs="Arial"/>
                <w:b/>
                <w:bCs/>
              </w:rPr>
            </w:pPr>
            <w:r w:rsidRPr="00E26D69">
              <w:rPr>
                <w:rFonts w:ascii="Arial" w:hAnsi="Arial" w:cs="Arial"/>
                <w:b/>
                <w:bCs/>
              </w:rPr>
              <w:t>Other</w:t>
            </w:r>
          </w:p>
        </w:tc>
      </w:tr>
      <w:tr w:rsidR="005A4491" w:rsidRPr="00E26D69" w14:paraId="6A1175D9" w14:textId="77777777" w:rsidTr="000845C9">
        <w:trPr>
          <w:trHeight w:val="454"/>
        </w:trPr>
        <w:tc>
          <w:tcPr>
            <w:tcW w:w="4392" w:type="dxa"/>
            <w:tcBorders>
              <w:top w:val="nil"/>
              <w:left w:val="nil"/>
              <w:bottom w:val="nil"/>
              <w:right w:val="nil"/>
            </w:tcBorders>
            <w:vAlign w:val="bottom"/>
            <w:hideMark/>
          </w:tcPr>
          <w:p w14:paraId="07B48E22" w14:textId="77777777" w:rsidR="00EE278B" w:rsidRPr="00E26D69" w:rsidRDefault="00EE278B" w:rsidP="00EE278B">
            <w:pPr>
              <w:rPr>
                <w:rFonts w:ascii="Arial" w:hAnsi="Arial" w:cs="Arial"/>
              </w:rPr>
            </w:pPr>
          </w:p>
        </w:tc>
        <w:tc>
          <w:tcPr>
            <w:tcW w:w="1421" w:type="dxa"/>
            <w:tcBorders>
              <w:top w:val="nil"/>
              <w:left w:val="nil"/>
              <w:bottom w:val="nil"/>
              <w:right w:val="nil"/>
            </w:tcBorders>
            <w:shd w:val="clear" w:color="auto" w:fill="EAF1DD" w:themeFill="accent3" w:themeFillTint="33"/>
            <w:vAlign w:val="bottom"/>
          </w:tcPr>
          <w:p w14:paraId="34BD7622" w14:textId="6BC094E4" w:rsidR="00EE278B" w:rsidRPr="00E26D69" w:rsidRDefault="00EE278B" w:rsidP="00EE278B">
            <w:pPr>
              <w:jc w:val="center"/>
              <w:rPr>
                <w:rFonts w:ascii="Arial" w:hAnsi="Arial" w:cs="Arial"/>
                <w:b/>
                <w:bCs/>
              </w:rPr>
            </w:pPr>
            <w:r w:rsidRPr="00E26D69">
              <w:rPr>
                <w:rFonts w:ascii="Arial" w:hAnsi="Arial" w:cs="Arial"/>
                <w:b/>
                <w:bCs/>
              </w:rPr>
              <w:t>202</w:t>
            </w:r>
            <w:r w:rsidR="000D63D9">
              <w:rPr>
                <w:rFonts w:ascii="Arial" w:hAnsi="Arial" w:cs="Arial"/>
                <w:b/>
                <w:bCs/>
              </w:rPr>
              <w:t>2</w:t>
            </w:r>
          </w:p>
        </w:tc>
        <w:tc>
          <w:tcPr>
            <w:tcW w:w="1559" w:type="dxa"/>
            <w:tcBorders>
              <w:top w:val="nil"/>
              <w:left w:val="nil"/>
              <w:bottom w:val="nil"/>
              <w:right w:val="nil"/>
            </w:tcBorders>
            <w:vAlign w:val="bottom"/>
            <w:hideMark/>
          </w:tcPr>
          <w:p w14:paraId="6369D0A3" w14:textId="717BC5CB" w:rsidR="00EE278B" w:rsidRPr="00E26D69" w:rsidRDefault="00EE278B" w:rsidP="00EE278B">
            <w:pPr>
              <w:jc w:val="center"/>
              <w:rPr>
                <w:rFonts w:ascii="Arial" w:hAnsi="Arial" w:cs="Arial"/>
                <w:b/>
                <w:bCs/>
              </w:rPr>
            </w:pPr>
            <w:r w:rsidRPr="00E26D69">
              <w:rPr>
                <w:rFonts w:ascii="Arial" w:hAnsi="Arial" w:cs="Arial"/>
                <w:b/>
                <w:bCs/>
              </w:rPr>
              <w:t>202</w:t>
            </w:r>
            <w:r w:rsidR="000D63D9">
              <w:rPr>
                <w:rFonts w:ascii="Arial" w:hAnsi="Arial" w:cs="Arial"/>
                <w:b/>
                <w:bCs/>
              </w:rPr>
              <w:t>1</w:t>
            </w:r>
          </w:p>
        </w:tc>
        <w:tc>
          <w:tcPr>
            <w:tcW w:w="1559" w:type="dxa"/>
            <w:tcBorders>
              <w:top w:val="nil"/>
              <w:left w:val="nil"/>
              <w:bottom w:val="nil"/>
              <w:right w:val="nil"/>
            </w:tcBorders>
            <w:shd w:val="clear" w:color="auto" w:fill="EAF1DD" w:themeFill="accent3" w:themeFillTint="33"/>
            <w:vAlign w:val="bottom"/>
          </w:tcPr>
          <w:p w14:paraId="6D75F8B2" w14:textId="5E9DA8DF" w:rsidR="00EE278B" w:rsidRPr="00E26D69" w:rsidRDefault="00EE278B" w:rsidP="00EE278B">
            <w:pPr>
              <w:jc w:val="center"/>
              <w:rPr>
                <w:rFonts w:ascii="Arial" w:hAnsi="Arial" w:cs="Arial"/>
                <w:b/>
              </w:rPr>
            </w:pPr>
            <w:r w:rsidRPr="00E26D69">
              <w:rPr>
                <w:rFonts w:ascii="Arial" w:hAnsi="Arial" w:cs="Arial"/>
                <w:b/>
                <w:bCs/>
              </w:rPr>
              <w:t>202</w:t>
            </w:r>
            <w:r w:rsidR="000D63D9">
              <w:rPr>
                <w:rFonts w:ascii="Arial" w:hAnsi="Arial" w:cs="Arial"/>
                <w:b/>
                <w:bCs/>
              </w:rPr>
              <w:t>2</w:t>
            </w:r>
          </w:p>
        </w:tc>
        <w:tc>
          <w:tcPr>
            <w:tcW w:w="1559" w:type="dxa"/>
            <w:tcBorders>
              <w:top w:val="nil"/>
              <w:left w:val="nil"/>
              <w:bottom w:val="nil"/>
              <w:right w:val="nil"/>
            </w:tcBorders>
            <w:vAlign w:val="bottom"/>
            <w:hideMark/>
          </w:tcPr>
          <w:p w14:paraId="61D2ABB0" w14:textId="712F7A09" w:rsidR="00EE278B" w:rsidRPr="00E26D69" w:rsidRDefault="00EE278B" w:rsidP="00EE278B">
            <w:pPr>
              <w:jc w:val="center"/>
              <w:rPr>
                <w:rFonts w:ascii="Arial" w:hAnsi="Arial" w:cs="Arial"/>
                <w:b/>
                <w:bCs/>
              </w:rPr>
            </w:pPr>
            <w:r w:rsidRPr="00E26D69">
              <w:rPr>
                <w:rFonts w:ascii="Arial" w:hAnsi="Arial" w:cs="Arial"/>
                <w:b/>
              </w:rPr>
              <w:t>202</w:t>
            </w:r>
            <w:r w:rsidR="00345415">
              <w:rPr>
                <w:rFonts w:ascii="Arial" w:hAnsi="Arial" w:cs="Arial"/>
                <w:b/>
              </w:rPr>
              <w:t>1</w:t>
            </w:r>
          </w:p>
        </w:tc>
      </w:tr>
      <w:tr w:rsidR="005A4491" w:rsidRPr="00E26D69" w14:paraId="5E7F7F7A" w14:textId="77777777" w:rsidTr="000845C9">
        <w:trPr>
          <w:trHeight w:val="454"/>
        </w:trPr>
        <w:tc>
          <w:tcPr>
            <w:tcW w:w="4392" w:type="dxa"/>
            <w:tcBorders>
              <w:top w:val="nil"/>
              <w:left w:val="nil"/>
              <w:bottom w:val="nil"/>
              <w:right w:val="nil"/>
            </w:tcBorders>
            <w:vAlign w:val="bottom"/>
            <w:hideMark/>
          </w:tcPr>
          <w:p w14:paraId="3AE2E9C9" w14:textId="77777777" w:rsidR="00EE278B" w:rsidRPr="00E26D69" w:rsidRDefault="00EE278B" w:rsidP="00EE278B">
            <w:pPr>
              <w:rPr>
                <w:rFonts w:ascii="Arial" w:hAnsi="Arial" w:cs="Arial"/>
              </w:rPr>
            </w:pPr>
          </w:p>
        </w:tc>
        <w:tc>
          <w:tcPr>
            <w:tcW w:w="1421" w:type="dxa"/>
            <w:tcBorders>
              <w:top w:val="nil"/>
              <w:left w:val="nil"/>
              <w:bottom w:val="nil"/>
              <w:right w:val="nil"/>
            </w:tcBorders>
            <w:shd w:val="clear" w:color="auto" w:fill="EAF1DD" w:themeFill="accent3" w:themeFillTint="33"/>
            <w:vAlign w:val="bottom"/>
          </w:tcPr>
          <w:p w14:paraId="2E2FA9B3" w14:textId="75F4DDCA" w:rsidR="00EE278B" w:rsidRPr="00E26D69" w:rsidRDefault="00EE278B" w:rsidP="00EE278B">
            <w:pPr>
              <w:jc w:val="center"/>
              <w:rPr>
                <w:rFonts w:ascii="Arial" w:hAnsi="Arial" w:cs="Arial"/>
                <w:b/>
                <w:bCs/>
              </w:rPr>
            </w:pPr>
            <w:r w:rsidRPr="00E26D69">
              <w:rPr>
                <w:rFonts w:ascii="Arial" w:hAnsi="Arial" w:cs="Arial"/>
                <w:b/>
                <w:bCs/>
              </w:rPr>
              <w:t>£'000</w:t>
            </w:r>
          </w:p>
        </w:tc>
        <w:tc>
          <w:tcPr>
            <w:tcW w:w="1559" w:type="dxa"/>
            <w:tcBorders>
              <w:top w:val="nil"/>
              <w:left w:val="nil"/>
              <w:bottom w:val="nil"/>
              <w:right w:val="nil"/>
            </w:tcBorders>
            <w:vAlign w:val="bottom"/>
            <w:hideMark/>
          </w:tcPr>
          <w:p w14:paraId="758DFE28" w14:textId="23C32427" w:rsidR="00EE278B" w:rsidRPr="00E26D69" w:rsidRDefault="00EE278B" w:rsidP="00EE278B">
            <w:pPr>
              <w:jc w:val="center"/>
              <w:rPr>
                <w:rFonts w:ascii="Arial" w:hAnsi="Arial" w:cs="Arial"/>
                <w:b/>
                <w:bCs/>
              </w:rPr>
            </w:pPr>
            <w:r w:rsidRPr="00E26D69">
              <w:rPr>
                <w:rFonts w:ascii="Arial" w:hAnsi="Arial" w:cs="Arial"/>
                <w:b/>
                <w:bCs/>
              </w:rPr>
              <w:t>£'000</w:t>
            </w:r>
          </w:p>
        </w:tc>
        <w:tc>
          <w:tcPr>
            <w:tcW w:w="1559" w:type="dxa"/>
            <w:tcBorders>
              <w:top w:val="nil"/>
              <w:left w:val="nil"/>
              <w:bottom w:val="nil"/>
              <w:right w:val="nil"/>
            </w:tcBorders>
            <w:shd w:val="clear" w:color="auto" w:fill="EAF1DD" w:themeFill="accent3" w:themeFillTint="33"/>
            <w:vAlign w:val="bottom"/>
          </w:tcPr>
          <w:p w14:paraId="635C4555" w14:textId="25213F2D" w:rsidR="00EE278B" w:rsidRPr="00E26D69" w:rsidRDefault="00EE278B" w:rsidP="00EE278B">
            <w:pPr>
              <w:jc w:val="center"/>
              <w:rPr>
                <w:rFonts w:ascii="Arial" w:hAnsi="Arial" w:cs="Arial"/>
                <w:b/>
              </w:rPr>
            </w:pPr>
            <w:r w:rsidRPr="00E26D69">
              <w:rPr>
                <w:rFonts w:ascii="Arial" w:hAnsi="Arial" w:cs="Arial"/>
                <w:b/>
                <w:bCs/>
              </w:rPr>
              <w:t>£'000</w:t>
            </w:r>
          </w:p>
        </w:tc>
        <w:tc>
          <w:tcPr>
            <w:tcW w:w="1559" w:type="dxa"/>
            <w:tcBorders>
              <w:top w:val="nil"/>
              <w:left w:val="nil"/>
              <w:bottom w:val="nil"/>
              <w:right w:val="nil"/>
            </w:tcBorders>
            <w:vAlign w:val="bottom"/>
            <w:hideMark/>
          </w:tcPr>
          <w:p w14:paraId="65DCB102" w14:textId="6CDC5F8E" w:rsidR="00EE278B" w:rsidRPr="00E26D69" w:rsidRDefault="00EE278B" w:rsidP="00EE278B">
            <w:pPr>
              <w:jc w:val="center"/>
              <w:rPr>
                <w:rFonts w:ascii="Arial" w:hAnsi="Arial" w:cs="Arial"/>
                <w:b/>
                <w:bCs/>
              </w:rPr>
            </w:pPr>
            <w:r w:rsidRPr="00E26D69">
              <w:rPr>
                <w:rFonts w:ascii="Arial" w:hAnsi="Arial" w:cs="Arial"/>
                <w:b/>
              </w:rPr>
              <w:t>£'000</w:t>
            </w:r>
          </w:p>
        </w:tc>
      </w:tr>
      <w:tr w:rsidR="005A4491" w:rsidRPr="00E26D69" w14:paraId="7C637A09" w14:textId="77777777" w:rsidTr="000845C9">
        <w:trPr>
          <w:trHeight w:val="454"/>
        </w:trPr>
        <w:tc>
          <w:tcPr>
            <w:tcW w:w="4392" w:type="dxa"/>
            <w:tcBorders>
              <w:top w:val="nil"/>
              <w:left w:val="nil"/>
              <w:bottom w:val="nil"/>
              <w:right w:val="nil"/>
            </w:tcBorders>
            <w:vAlign w:val="bottom"/>
            <w:hideMark/>
          </w:tcPr>
          <w:p w14:paraId="5C4A5EC9" w14:textId="77777777" w:rsidR="00D71A30" w:rsidRPr="00E26D69" w:rsidRDefault="00D71A30" w:rsidP="00D71A30">
            <w:pPr>
              <w:rPr>
                <w:rFonts w:ascii="Arial" w:hAnsi="Arial" w:cs="Arial"/>
              </w:rPr>
            </w:pPr>
            <w:r w:rsidRPr="00E26D69">
              <w:rPr>
                <w:rFonts w:ascii="Arial" w:hAnsi="Arial" w:cs="Arial"/>
              </w:rPr>
              <w:t>Payable within one year</w:t>
            </w:r>
          </w:p>
        </w:tc>
        <w:tc>
          <w:tcPr>
            <w:tcW w:w="1421" w:type="dxa"/>
            <w:tcBorders>
              <w:top w:val="nil"/>
              <w:left w:val="nil"/>
              <w:bottom w:val="nil"/>
              <w:right w:val="nil"/>
            </w:tcBorders>
            <w:shd w:val="clear" w:color="auto" w:fill="EAF1DD" w:themeFill="accent3" w:themeFillTint="33"/>
            <w:vAlign w:val="bottom"/>
          </w:tcPr>
          <w:p w14:paraId="2C231B57" w14:textId="12114EA0" w:rsidR="00D71A30" w:rsidRPr="00E26D69" w:rsidRDefault="00806F5F" w:rsidP="00D71A30">
            <w:pPr>
              <w:jc w:val="center"/>
              <w:rPr>
                <w:rFonts w:ascii="Arial" w:hAnsi="Arial" w:cs="Arial"/>
                <w:color w:val="000000"/>
              </w:rPr>
            </w:pPr>
            <w:r>
              <w:rPr>
                <w:rFonts w:ascii="Arial" w:hAnsi="Arial" w:cs="Arial"/>
                <w:color w:val="000000"/>
              </w:rPr>
              <w:t>1,545</w:t>
            </w:r>
          </w:p>
        </w:tc>
        <w:tc>
          <w:tcPr>
            <w:tcW w:w="1559" w:type="dxa"/>
            <w:tcBorders>
              <w:top w:val="nil"/>
              <w:left w:val="nil"/>
              <w:bottom w:val="nil"/>
              <w:right w:val="nil"/>
            </w:tcBorders>
            <w:vAlign w:val="bottom"/>
          </w:tcPr>
          <w:p w14:paraId="59DC95AC" w14:textId="0FDF833D" w:rsidR="00D71A30" w:rsidRPr="00E26D69" w:rsidRDefault="00D71A30" w:rsidP="00D71A30">
            <w:pPr>
              <w:jc w:val="center"/>
              <w:rPr>
                <w:rFonts w:ascii="Arial" w:hAnsi="Arial" w:cs="Arial"/>
                <w:color w:val="000000"/>
              </w:rPr>
            </w:pPr>
            <w:r>
              <w:rPr>
                <w:rFonts w:ascii="Arial" w:hAnsi="Arial" w:cs="Arial"/>
                <w:color w:val="000000"/>
              </w:rPr>
              <w:t>1,636</w:t>
            </w:r>
          </w:p>
        </w:tc>
        <w:tc>
          <w:tcPr>
            <w:tcW w:w="1559" w:type="dxa"/>
            <w:tcBorders>
              <w:top w:val="nil"/>
              <w:left w:val="nil"/>
              <w:bottom w:val="nil"/>
              <w:right w:val="nil"/>
            </w:tcBorders>
            <w:shd w:val="clear" w:color="auto" w:fill="EAF1DD" w:themeFill="accent3" w:themeFillTint="33"/>
            <w:vAlign w:val="bottom"/>
          </w:tcPr>
          <w:p w14:paraId="7E66C2BE" w14:textId="488E51A4" w:rsidR="00D71A30" w:rsidRPr="00E26D69" w:rsidRDefault="008F3617" w:rsidP="00D71A30">
            <w:pPr>
              <w:jc w:val="center"/>
              <w:rPr>
                <w:rFonts w:ascii="Arial" w:hAnsi="Arial" w:cs="Arial"/>
              </w:rPr>
            </w:pPr>
            <w:r>
              <w:rPr>
                <w:rFonts w:ascii="Arial" w:hAnsi="Arial" w:cs="Arial"/>
              </w:rPr>
              <w:t>-</w:t>
            </w:r>
          </w:p>
        </w:tc>
        <w:tc>
          <w:tcPr>
            <w:tcW w:w="1559" w:type="dxa"/>
            <w:tcBorders>
              <w:top w:val="nil"/>
              <w:left w:val="nil"/>
              <w:bottom w:val="nil"/>
              <w:right w:val="nil"/>
            </w:tcBorders>
            <w:vAlign w:val="bottom"/>
            <w:hideMark/>
          </w:tcPr>
          <w:p w14:paraId="4749FC5E" w14:textId="4FC34225" w:rsidR="00D71A30" w:rsidRPr="00E26D69" w:rsidRDefault="00D71A30" w:rsidP="00D71A30">
            <w:pPr>
              <w:jc w:val="center"/>
              <w:rPr>
                <w:rFonts w:ascii="Arial" w:hAnsi="Arial" w:cs="Arial"/>
              </w:rPr>
            </w:pPr>
            <w:r>
              <w:rPr>
                <w:rFonts w:ascii="Arial" w:hAnsi="Arial" w:cs="Arial"/>
              </w:rPr>
              <w:t>-</w:t>
            </w:r>
          </w:p>
        </w:tc>
      </w:tr>
      <w:tr w:rsidR="005A4491" w:rsidRPr="00E26D69" w14:paraId="2C9D2FF0" w14:textId="77777777" w:rsidTr="000845C9">
        <w:trPr>
          <w:trHeight w:val="454"/>
        </w:trPr>
        <w:tc>
          <w:tcPr>
            <w:tcW w:w="4392" w:type="dxa"/>
            <w:tcBorders>
              <w:top w:val="nil"/>
              <w:left w:val="nil"/>
              <w:bottom w:val="nil"/>
              <w:right w:val="nil"/>
            </w:tcBorders>
            <w:vAlign w:val="bottom"/>
            <w:hideMark/>
          </w:tcPr>
          <w:p w14:paraId="0F4DADF3" w14:textId="77777777" w:rsidR="00D71A30" w:rsidRPr="00E26D69" w:rsidRDefault="00D71A30" w:rsidP="00D71A30">
            <w:pPr>
              <w:rPr>
                <w:rFonts w:ascii="Arial" w:hAnsi="Arial" w:cs="Arial"/>
              </w:rPr>
            </w:pPr>
            <w:r w:rsidRPr="00E26D69">
              <w:rPr>
                <w:rFonts w:ascii="Arial" w:hAnsi="Arial" w:cs="Arial"/>
              </w:rPr>
              <w:t>Later than 1 year but less than 5 years</w:t>
            </w:r>
          </w:p>
        </w:tc>
        <w:tc>
          <w:tcPr>
            <w:tcW w:w="1421" w:type="dxa"/>
            <w:tcBorders>
              <w:top w:val="nil"/>
              <w:left w:val="nil"/>
              <w:bottom w:val="nil"/>
              <w:right w:val="nil"/>
            </w:tcBorders>
            <w:shd w:val="clear" w:color="auto" w:fill="EAF1DD" w:themeFill="accent3" w:themeFillTint="33"/>
            <w:vAlign w:val="bottom"/>
          </w:tcPr>
          <w:p w14:paraId="3216EE5D" w14:textId="77CDDC2E" w:rsidR="00D71A30" w:rsidRPr="00E26D69" w:rsidRDefault="00806F5F" w:rsidP="00D71A30">
            <w:pPr>
              <w:jc w:val="center"/>
              <w:rPr>
                <w:rFonts w:ascii="Arial" w:hAnsi="Arial" w:cs="Arial"/>
                <w:color w:val="000000"/>
              </w:rPr>
            </w:pPr>
            <w:r>
              <w:rPr>
                <w:rFonts w:ascii="Arial" w:hAnsi="Arial" w:cs="Arial"/>
                <w:color w:val="000000"/>
              </w:rPr>
              <w:t>5,353</w:t>
            </w:r>
          </w:p>
        </w:tc>
        <w:tc>
          <w:tcPr>
            <w:tcW w:w="1559" w:type="dxa"/>
            <w:tcBorders>
              <w:top w:val="nil"/>
              <w:left w:val="nil"/>
              <w:bottom w:val="nil"/>
              <w:right w:val="nil"/>
            </w:tcBorders>
            <w:vAlign w:val="bottom"/>
          </w:tcPr>
          <w:p w14:paraId="34C32A45" w14:textId="66DFD8A3" w:rsidR="00D71A30" w:rsidRPr="00E26D69" w:rsidRDefault="00D71A30" w:rsidP="00D71A30">
            <w:pPr>
              <w:jc w:val="center"/>
              <w:rPr>
                <w:rFonts w:ascii="Arial" w:hAnsi="Arial" w:cs="Arial"/>
                <w:color w:val="000000"/>
              </w:rPr>
            </w:pPr>
            <w:r>
              <w:rPr>
                <w:rFonts w:ascii="Arial" w:hAnsi="Arial" w:cs="Arial"/>
                <w:color w:val="000000"/>
              </w:rPr>
              <w:t>5,394</w:t>
            </w:r>
          </w:p>
        </w:tc>
        <w:tc>
          <w:tcPr>
            <w:tcW w:w="1559" w:type="dxa"/>
            <w:tcBorders>
              <w:top w:val="nil"/>
              <w:left w:val="nil"/>
              <w:bottom w:val="nil"/>
              <w:right w:val="nil"/>
            </w:tcBorders>
            <w:shd w:val="clear" w:color="auto" w:fill="EAF1DD" w:themeFill="accent3" w:themeFillTint="33"/>
            <w:vAlign w:val="bottom"/>
          </w:tcPr>
          <w:p w14:paraId="3E3973A8" w14:textId="16DEE73C" w:rsidR="00D71A30" w:rsidRPr="00E26D69" w:rsidRDefault="008F3617" w:rsidP="00D71A30">
            <w:pPr>
              <w:jc w:val="center"/>
              <w:rPr>
                <w:rFonts w:ascii="Arial" w:hAnsi="Arial" w:cs="Arial"/>
              </w:rPr>
            </w:pPr>
            <w:r>
              <w:rPr>
                <w:rFonts w:ascii="Arial" w:hAnsi="Arial" w:cs="Arial"/>
              </w:rPr>
              <w:t>-</w:t>
            </w:r>
          </w:p>
        </w:tc>
        <w:tc>
          <w:tcPr>
            <w:tcW w:w="1559" w:type="dxa"/>
            <w:tcBorders>
              <w:top w:val="nil"/>
              <w:left w:val="nil"/>
              <w:bottom w:val="nil"/>
              <w:right w:val="nil"/>
            </w:tcBorders>
            <w:vAlign w:val="bottom"/>
            <w:hideMark/>
          </w:tcPr>
          <w:p w14:paraId="3D16BEA9" w14:textId="33204F92" w:rsidR="00D71A30" w:rsidRPr="00E26D69" w:rsidRDefault="00D71A30" w:rsidP="00D71A30">
            <w:pPr>
              <w:jc w:val="center"/>
              <w:rPr>
                <w:rFonts w:ascii="Arial" w:hAnsi="Arial" w:cs="Arial"/>
              </w:rPr>
            </w:pPr>
            <w:r>
              <w:rPr>
                <w:rFonts w:ascii="Arial" w:hAnsi="Arial" w:cs="Arial"/>
              </w:rPr>
              <w:t>5</w:t>
            </w:r>
          </w:p>
        </w:tc>
      </w:tr>
      <w:tr w:rsidR="005A4491" w:rsidRPr="00E26D69" w14:paraId="076BA22F" w14:textId="77777777" w:rsidTr="000845C9">
        <w:trPr>
          <w:trHeight w:val="454"/>
        </w:trPr>
        <w:tc>
          <w:tcPr>
            <w:tcW w:w="4392" w:type="dxa"/>
            <w:tcBorders>
              <w:top w:val="nil"/>
              <w:left w:val="nil"/>
              <w:bottom w:val="nil"/>
              <w:right w:val="nil"/>
            </w:tcBorders>
            <w:vAlign w:val="bottom"/>
            <w:hideMark/>
          </w:tcPr>
          <w:p w14:paraId="2544DC29" w14:textId="77777777" w:rsidR="00D71A30" w:rsidRPr="00E26D69" w:rsidRDefault="00D71A30" w:rsidP="00D71A30">
            <w:pPr>
              <w:rPr>
                <w:rFonts w:ascii="Arial" w:hAnsi="Arial" w:cs="Arial"/>
              </w:rPr>
            </w:pPr>
            <w:r w:rsidRPr="00E26D69">
              <w:rPr>
                <w:rFonts w:ascii="Arial" w:hAnsi="Arial" w:cs="Arial"/>
              </w:rPr>
              <w:t>After 5 years</w:t>
            </w:r>
          </w:p>
        </w:tc>
        <w:tc>
          <w:tcPr>
            <w:tcW w:w="1421" w:type="dxa"/>
            <w:tcBorders>
              <w:top w:val="nil"/>
              <w:left w:val="nil"/>
              <w:bottom w:val="nil"/>
              <w:right w:val="nil"/>
            </w:tcBorders>
            <w:shd w:val="clear" w:color="auto" w:fill="EAF1DD" w:themeFill="accent3" w:themeFillTint="33"/>
            <w:vAlign w:val="bottom"/>
          </w:tcPr>
          <w:p w14:paraId="5DBEDFCB" w14:textId="704C1A4A" w:rsidR="00D71A30" w:rsidRPr="00E26D69" w:rsidRDefault="00806F5F" w:rsidP="00D71A30">
            <w:pPr>
              <w:jc w:val="center"/>
              <w:rPr>
                <w:rFonts w:ascii="Arial" w:hAnsi="Arial" w:cs="Arial"/>
                <w:color w:val="000000"/>
              </w:rPr>
            </w:pPr>
            <w:r>
              <w:rPr>
                <w:rFonts w:ascii="Arial" w:hAnsi="Arial" w:cs="Arial"/>
                <w:color w:val="000000"/>
              </w:rPr>
              <w:t>5,055</w:t>
            </w:r>
          </w:p>
        </w:tc>
        <w:tc>
          <w:tcPr>
            <w:tcW w:w="1559" w:type="dxa"/>
            <w:tcBorders>
              <w:top w:val="nil"/>
              <w:left w:val="nil"/>
              <w:bottom w:val="nil"/>
              <w:right w:val="nil"/>
            </w:tcBorders>
            <w:vAlign w:val="bottom"/>
          </w:tcPr>
          <w:p w14:paraId="7E9C52D9" w14:textId="30F4A6E8" w:rsidR="00D71A30" w:rsidRPr="00E26D69" w:rsidRDefault="00D71A30" w:rsidP="00D71A30">
            <w:pPr>
              <w:jc w:val="center"/>
              <w:rPr>
                <w:rFonts w:ascii="Arial" w:hAnsi="Arial" w:cs="Arial"/>
                <w:color w:val="000000"/>
              </w:rPr>
            </w:pPr>
            <w:r>
              <w:rPr>
                <w:rFonts w:ascii="Arial" w:hAnsi="Arial" w:cs="Arial"/>
                <w:color w:val="000000"/>
              </w:rPr>
              <w:t>6,402</w:t>
            </w:r>
          </w:p>
        </w:tc>
        <w:tc>
          <w:tcPr>
            <w:tcW w:w="1559" w:type="dxa"/>
            <w:tcBorders>
              <w:top w:val="nil"/>
              <w:left w:val="nil"/>
              <w:bottom w:val="nil"/>
              <w:right w:val="nil"/>
            </w:tcBorders>
            <w:shd w:val="clear" w:color="auto" w:fill="EAF1DD" w:themeFill="accent3" w:themeFillTint="33"/>
            <w:vAlign w:val="bottom"/>
          </w:tcPr>
          <w:p w14:paraId="4E234272" w14:textId="0059966F" w:rsidR="00D71A30" w:rsidRPr="00E26D69" w:rsidRDefault="008F3617" w:rsidP="00D71A30">
            <w:pPr>
              <w:jc w:val="center"/>
              <w:rPr>
                <w:rFonts w:ascii="Arial" w:hAnsi="Arial" w:cs="Arial"/>
              </w:rPr>
            </w:pPr>
            <w:r>
              <w:rPr>
                <w:rFonts w:ascii="Arial" w:hAnsi="Arial" w:cs="Arial"/>
              </w:rPr>
              <w:t>-</w:t>
            </w:r>
          </w:p>
        </w:tc>
        <w:tc>
          <w:tcPr>
            <w:tcW w:w="1559" w:type="dxa"/>
            <w:tcBorders>
              <w:top w:val="nil"/>
              <w:left w:val="nil"/>
              <w:bottom w:val="nil"/>
              <w:right w:val="nil"/>
            </w:tcBorders>
            <w:noWrap/>
            <w:vAlign w:val="bottom"/>
            <w:hideMark/>
          </w:tcPr>
          <w:p w14:paraId="39B8F3BE" w14:textId="0A254FF0" w:rsidR="00D71A30" w:rsidRPr="00E26D69" w:rsidRDefault="00D71A30" w:rsidP="00D71A30">
            <w:pPr>
              <w:jc w:val="center"/>
              <w:rPr>
                <w:rFonts w:ascii="Arial" w:hAnsi="Arial" w:cs="Arial"/>
              </w:rPr>
            </w:pPr>
            <w:r>
              <w:rPr>
                <w:rFonts w:ascii="Arial" w:hAnsi="Arial" w:cs="Arial"/>
              </w:rPr>
              <w:t>-</w:t>
            </w:r>
          </w:p>
        </w:tc>
      </w:tr>
      <w:tr w:rsidR="00863090" w:rsidRPr="00E26D69" w14:paraId="3C28EFF9" w14:textId="77777777" w:rsidTr="000845C9">
        <w:trPr>
          <w:trHeight w:val="454"/>
        </w:trPr>
        <w:tc>
          <w:tcPr>
            <w:tcW w:w="4392" w:type="dxa"/>
            <w:tcBorders>
              <w:top w:val="nil"/>
              <w:left w:val="nil"/>
              <w:bottom w:val="nil"/>
              <w:right w:val="nil"/>
            </w:tcBorders>
            <w:vAlign w:val="bottom"/>
            <w:hideMark/>
          </w:tcPr>
          <w:p w14:paraId="4739969A" w14:textId="77777777" w:rsidR="00D71A30" w:rsidRPr="00E26D69" w:rsidRDefault="00D71A30" w:rsidP="00D71A30">
            <w:pPr>
              <w:rPr>
                <w:rFonts w:ascii="Arial" w:hAnsi="Arial" w:cs="Arial"/>
              </w:rPr>
            </w:pPr>
          </w:p>
        </w:tc>
        <w:tc>
          <w:tcPr>
            <w:tcW w:w="1421" w:type="dxa"/>
            <w:tcBorders>
              <w:top w:val="single" w:sz="4" w:space="0" w:color="auto"/>
              <w:left w:val="nil"/>
              <w:bottom w:val="double" w:sz="6" w:space="0" w:color="auto"/>
              <w:right w:val="nil"/>
            </w:tcBorders>
            <w:shd w:val="clear" w:color="auto" w:fill="EAF1DD" w:themeFill="accent3" w:themeFillTint="33"/>
            <w:vAlign w:val="bottom"/>
          </w:tcPr>
          <w:p w14:paraId="07536E43" w14:textId="248C009F" w:rsidR="00D71A30" w:rsidRPr="00E26D69" w:rsidRDefault="00806F5F" w:rsidP="00D71A30">
            <w:pPr>
              <w:jc w:val="center"/>
              <w:rPr>
                <w:rFonts w:ascii="Arial" w:hAnsi="Arial" w:cs="Arial"/>
                <w:b/>
              </w:rPr>
            </w:pPr>
            <w:r>
              <w:rPr>
                <w:rFonts w:ascii="Arial" w:hAnsi="Arial" w:cs="Arial"/>
                <w:b/>
              </w:rPr>
              <w:t>11,953</w:t>
            </w:r>
          </w:p>
        </w:tc>
        <w:tc>
          <w:tcPr>
            <w:tcW w:w="1559" w:type="dxa"/>
            <w:tcBorders>
              <w:top w:val="single" w:sz="4" w:space="0" w:color="auto"/>
              <w:left w:val="nil"/>
              <w:bottom w:val="double" w:sz="6" w:space="0" w:color="auto"/>
              <w:right w:val="nil"/>
            </w:tcBorders>
            <w:vAlign w:val="bottom"/>
          </w:tcPr>
          <w:p w14:paraId="26B9AB6D" w14:textId="7168819E" w:rsidR="00D71A30" w:rsidRPr="00E26D69" w:rsidRDefault="00D71A30" w:rsidP="00D71A30">
            <w:pPr>
              <w:jc w:val="center"/>
              <w:rPr>
                <w:rFonts w:ascii="Arial" w:hAnsi="Arial" w:cs="Arial"/>
                <w:b/>
              </w:rPr>
            </w:pPr>
            <w:r>
              <w:rPr>
                <w:rFonts w:ascii="Arial" w:hAnsi="Arial" w:cs="Arial"/>
                <w:b/>
              </w:rPr>
              <w:t>13,432</w:t>
            </w:r>
          </w:p>
        </w:tc>
        <w:tc>
          <w:tcPr>
            <w:tcW w:w="1559" w:type="dxa"/>
            <w:tcBorders>
              <w:top w:val="single" w:sz="4" w:space="0" w:color="auto"/>
              <w:left w:val="nil"/>
              <w:bottom w:val="double" w:sz="6" w:space="0" w:color="auto"/>
              <w:right w:val="nil"/>
            </w:tcBorders>
            <w:shd w:val="clear" w:color="auto" w:fill="EAF1DD" w:themeFill="accent3" w:themeFillTint="33"/>
            <w:noWrap/>
            <w:vAlign w:val="bottom"/>
          </w:tcPr>
          <w:p w14:paraId="3BF23915" w14:textId="07ECC531" w:rsidR="00D71A30" w:rsidRPr="00E26D69" w:rsidRDefault="008F3617" w:rsidP="00D71A30">
            <w:pPr>
              <w:jc w:val="center"/>
              <w:rPr>
                <w:rFonts w:ascii="Arial" w:hAnsi="Arial" w:cs="Arial"/>
                <w:b/>
              </w:rPr>
            </w:pPr>
            <w:r>
              <w:rPr>
                <w:rFonts w:ascii="Arial" w:hAnsi="Arial" w:cs="Arial"/>
                <w:b/>
              </w:rPr>
              <w:t>-</w:t>
            </w:r>
          </w:p>
        </w:tc>
        <w:tc>
          <w:tcPr>
            <w:tcW w:w="1559" w:type="dxa"/>
            <w:tcBorders>
              <w:top w:val="single" w:sz="4" w:space="0" w:color="auto"/>
              <w:left w:val="nil"/>
              <w:bottom w:val="double" w:sz="6" w:space="0" w:color="auto"/>
              <w:right w:val="nil"/>
            </w:tcBorders>
            <w:vAlign w:val="bottom"/>
            <w:hideMark/>
          </w:tcPr>
          <w:p w14:paraId="5684B537" w14:textId="278EA15D" w:rsidR="00D71A30" w:rsidRPr="00E26D69" w:rsidRDefault="00D71A30" w:rsidP="00D71A30">
            <w:pPr>
              <w:jc w:val="center"/>
              <w:rPr>
                <w:rFonts w:ascii="Arial" w:hAnsi="Arial" w:cs="Arial"/>
                <w:b/>
              </w:rPr>
            </w:pPr>
            <w:r>
              <w:rPr>
                <w:rFonts w:ascii="Arial" w:hAnsi="Arial" w:cs="Arial"/>
                <w:b/>
              </w:rPr>
              <w:t>5</w:t>
            </w:r>
          </w:p>
        </w:tc>
      </w:tr>
    </w:tbl>
    <w:p w14:paraId="33DFEAB8" w14:textId="6242BF50" w:rsidR="00C640FE" w:rsidRDefault="00C640FE" w:rsidP="00E26D69">
      <w:pPr>
        <w:spacing w:line="360" w:lineRule="auto"/>
        <w:ind w:right="-710"/>
        <w:jc w:val="both"/>
        <w:rPr>
          <w:rFonts w:ascii="Arial" w:hAnsi="Arial" w:cs="Arial"/>
        </w:rPr>
      </w:pPr>
    </w:p>
    <w:p w14:paraId="5F023D94" w14:textId="77777777" w:rsidR="002B7C71" w:rsidRPr="00E26D69" w:rsidRDefault="002B7C71" w:rsidP="00E26D69">
      <w:pPr>
        <w:spacing w:line="360" w:lineRule="auto"/>
        <w:ind w:right="-710"/>
        <w:jc w:val="both"/>
        <w:rPr>
          <w:rFonts w:ascii="Arial" w:hAnsi="Arial" w:cs="Arial"/>
        </w:rPr>
      </w:pPr>
    </w:p>
    <w:p w14:paraId="7490565B" w14:textId="702D6EFC" w:rsidR="00E26D69" w:rsidRPr="005F613E" w:rsidRDefault="00562C7A" w:rsidP="000845C9">
      <w:pPr>
        <w:spacing w:line="360" w:lineRule="auto"/>
        <w:ind w:left="-284"/>
        <w:contextualSpacing/>
        <w:rPr>
          <w:rFonts w:ascii="Arial" w:hAnsi="Arial" w:cs="Arial"/>
          <w:b/>
        </w:rPr>
      </w:pPr>
      <w:bookmarkStart w:id="48" w:name="Note15IAS19Pensionassetandliabilities"/>
      <w:r>
        <w:rPr>
          <w:rFonts w:ascii="Arial" w:hAnsi="Arial" w:cs="Arial"/>
          <w:b/>
        </w:rPr>
        <w:t>Note 15.</w:t>
      </w:r>
      <w:r w:rsidR="00E26D69" w:rsidRPr="00E26D69">
        <w:rPr>
          <w:rFonts w:ascii="Arial" w:hAnsi="Arial" w:cs="Arial"/>
          <w:b/>
        </w:rPr>
        <w:t xml:space="preserve"> </w:t>
      </w:r>
      <w:r w:rsidR="00E26D69" w:rsidRPr="005F613E">
        <w:rPr>
          <w:rFonts w:ascii="Arial" w:hAnsi="Arial" w:cs="Arial"/>
          <w:b/>
        </w:rPr>
        <w:t>IAS 19 – Pension asset and liabilities</w:t>
      </w:r>
    </w:p>
    <w:bookmarkEnd w:id="48"/>
    <w:p w14:paraId="604DC529" w14:textId="3AF3CB6E" w:rsidR="00E26D69" w:rsidRPr="00E26D69" w:rsidRDefault="00E26D69" w:rsidP="00DB5DB9">
      <w:pPr>
        <w:spacing w:line="360" w:lineRule="auto"/>
        <w:ind w:left="-284" w:right="-710"/>
        <w:rPr>
          <w:rFonts w:ascii="Arial" w:hAnsi="Arial" w:cs="Arial"/>
          <w:color w:val="000000"/>
        </w:rPr>
      </w:pPr>
      <w:r w:rsidRPr="005F613E">
        <w:rPr>
          <w:rFonts w:ascii="Arial" w:hAnsi="Arial" w:cs="Arial"/>
          <w:color w:val="000000"/>
        </w:rPr>
        <w:t>In accordance with International Accounting Standard No 19 ‘Employee Benefits’ (IAS</w:t>
      </w:r>
      <w:r w:rsidR="00D02DE6" w:rsidRPr="005F613E">
        <w:rPr>
          <w:rFonts w:ascii="Arial" w:hAnsi="Arial" w:cs="Arial"/>
          <w:color w:val="000000"/>
        </w:rPr>
        <w:t xml:space="preserve"> </w:t>
      </w:r>
      <w:r w:rsidRPr="005F613E">
        <w:rPr>
          <w:rFonts w:ascii="Arial" w:hAnsi="Arial" w:cs="Arial"/>
          <w:color w:val="000000"/>
        </w:rPr>
        <w:t>19), SEPA is required to account for the net pension liability of £</w:t>
      </w:r>
      <w:r w:rsidR="00763D29" w:rsidRPr="005F613E">
        <w:rPr>
          <w:rFonts w:ascii="Arial" w:hAnsi="Arial" w:cs="Arial"/>
          <w:color w:val="000000"/>
        </w:rPr>
        <w:t>12</w:t>
      </w:r>
      <w:r w:rsidR="00DD71F4">
        <w:rPr>
          <w:rFonts w:ascii="Arial" w:hAnsi="Arial" w:cs="Arial"/>
          <w:color w:val="000000"/>
        </w:rPr>
        <w:t>1</w:t>
      </w:r>
      <w:r w:rsidRPr="005F613E">
        <w:rPr>
          <w:rFonts w:ascii="Arial" w:hAnsi="Arial" w:cs="Arial"/>
          <w:color w:val="000000"/>
        </w:rPr>
        <w:t>m (</w:t>
      </w:r>
      <w:r w:rsidR="00205D55" w:rsidRPr="005F613E">
        <w:rPr>
          <w:rFonts w:ascii="Arial" w:hAnsi="Arial" w:cs="Arial"/>
          <w:color w:val="000000"/>
        </w:rPr>
        <w:t>20</w:t>
      </w:r>
      <w:r w:rsidR="00FB6067" w:rsidRPr="005F613E">
        <w:rPr>
          <w:rFonts w:ascii="Arial" w:hAnsi="Arial" w:cs="Arial"/>
          <w:color w:val="000000"/>
        </w:rPr>
        <w:t>20</w:t>
      </w:r>
      <w:r w:rsidR="00205D55" w:rsidRPr="005F613E">
        <w:rPr>
          <w:rFonts w:ascii="Arial" w:hAnsi="Arial" w:cs="Arial"/>
          <w:color w:val="000000"/>
        </w:rPr>
        <w:t>/2</w:t>
      </w:r>
      <w:r w:rsidR="00FB6067" w:rsidRPr="005F613E">
        <w:rPr>
          <w:rFonts w:ascii="Arial" w:hAnsi="Arial" w:cs="Arial"/>
          <w:color w:val="000000"/>
        </w:rPr>
        <w:t>1</w:t>
      </w:r>
      <w:r w:rsidRPr="005F613E">
        <w:rPr>
          <w:rFonts w:ascii="Arial" w:hAnsi="Arial" w:cs="Arial"/>
          <w:color w:val="000000"/>
        </w:rPr>
        <w:t>-£</w:t>
      </w:r>
      <w:r w:rsidR="00FB6067" w:rsidRPr="005F613E">
        <w:rPr>
          <w:rFonts w:ascii="Arial" w:hAnsi="Arial" w:cs="Arial"/>
          <w:color w:val="000000"/>
        </w:rPr>
        <w:t>189.7m</w:t>
      </w:r>
      <w:r w:rsidRPr="005F613E">
        <w:rPr>
          <w:rFonts w:ascii="Arial" w:hAnsi="Arial" w:cs="Arial"/>
          <w:color w:val="000000"/>
        </w:rPr>
        <w:t xml:space="preserve">) for the financial year </w:t>
      </w:r>
      <w:r w:rsidRPr="005F613E">
        <w:rPr>
          <w:rFonts w:ascii="Arial" w:hAnsi="Arial" w:cs="Arial"/>
          <w:color w:val="000000"/>
        </w:rPr>
        <w:lastRenderedPageBreak/>
        <w:t>ended 31 March 202</w:t>
      </w:r>
      <w:r w:rsidR="00FB6067" w:rsidRPr="005F613E">
        <w:rPr>
          <w:rFonts w:ascii="Arial" w:hAnsi="Arial" w:cs="Arial"/>
          <w:color w:val="000000"/>
        </w:rPr>
        <w:t>2</w:t>
      </w:r>
      <w:r w:rsidRPr="005F613E">
        <w:rPr>
          <w:rFonts w:ascii="Arial" w:hAnsi="Arial" w:cs="Arial"/>
          <w:color w:val="000000"/>
        </w:rPr>
        <w:t>, as valued by Hymans Robertson,</w:t>
      </w:r>
      <w:r w:rsidRPr="00E26D69">
        <w:rPr>
          <w:rFonts w:ascii="Arial" w:hAnsi="Arial" w:cs="Arial"/>
          <w:color w:val="000000"/>
        </w:rPr>
        <w:t xml:space="preserve"> the actuaries to the Falkirk Council Pension Fund.  The actuary uses </w:t>
      </w:r>
      <w:r w:rsidR="00932550" w:rsidRPr="00E26D69">
        <w:rPr>
          <w:rFonts w:ascii="Arial" w:hAnsi="Arial" w:cs="Arial"/>
          <w:color w:val="000000"/>
        </w:rPr>
        <w:t>several</w:t>
      </w:r>
      <w:r w:rsidRPr="00E26D69">
        <w:rPr>
          <w:rFonts w:ascii="Arial" w:hAnsi="Arial" w:cs="Arial"/>
          <w:color w:val="000000"/>
        </w:rPr>
        <w:t xml:space="preserve"> factors to estimate SEPA’s net liability, these include discount rates, salary increases, mortality, retirement age</w:t>
      </w:r>
      <w:r w:rsidR="00F858EB">
        <w:rPr>
          <w:rFonts w:ascii="Arial" w:hAnsi="Arial" w:cs="Arial"/>
          <w:color w:val="000000"/>
        </w:rPr>
        <w:t>,</w:t>
      </w:r>
      <w:r w:rsidRPr="00E26D69">
        <w:rPr>
          <w:rFonts w:ascii="Arial" w:hAnsi="Arial" w:cs="Arial"/>
          <w:color w:val="000000"/>
        </w:rPr>
        <w:t xml:space="preserve"> and expected returns on pension fund assets.  </w:t>
      </w:r>
    </w:p>
    <w:p w14:paraId="2291A983" w14:textId="77777777" w:rsidR="00E26D69" w:rsidRPr="00E26D69" w:rsidRDefault="00E26D69" w:rsidP="00DB5DB9">
      <w:pPr>
        <w:spacing w:line="360" w:lineRule="auto"/>
        <w:ind w:left="-284" w:right="-710"/>
        <w:rPr>
          <w:rFonts w:ascii="Arial" w:hAnsi="Arial" w:cs="Arial"/>
          <w:color w:val="000000"/>
        </w:rPr>
      </w:pPr>
    </w:p>
    <w:p w14:paraId="55960715" w14:textId="70F16355" w:rsidR="006C627B" w:rsidRDefault="00E26D69" w:rsidP="00B63008">
      <w:pPr>
        <w:spacing w:line="360" w:lineRule="auto"/>
        <w:ind w:left="-284" w:right="-710"/>
        <w:rPr>
          <w:rFonts w:ascii="Arial" w:hAnsi="Arial" w:cs="Arial"/>
          <w:color w:val="000000"/>
        </w:rPr>
      </w:pPr>
      <w:r w:rsidRPr="2E00C4AD">
        <w:rPr>
          <w:rFonts w:ascii="Arial" w:hAnsi="Arial" w:cs="Arial"/>
          <w:color w:val="000000" w:themeColor="text1"/>
        </w:rPr>
        <w:t>In 20</w:t>
      </w:r>
      <w:r w:rsidR="00F858EB" w:rsidRPr="2E00C4AD">
        <w:rPr>
          <w:rFonts w:ascii="Arial" w:hAnsi="Arial" w:cs="Arial"/>
          <w:color w:val="000000" w:themeColor="text1"/>
        </w:rPr>
        <w:t>2</w:t>
      </w:r>
      <w:r w:rsidR="00033379" w:rsidRPr="2E00C4AD">
        <w:rPr>
          <w:rFonts w:ascii="Arial" w:hAnsi="Arial" w:cs="Arial"/>
          <w:color w:val="000000" w:themeColor="text1"/>
        </w:rPr>
        <w:t>1</w:t>
      </w:r>
      <w:r w:rsidRPr="2E00C4AD">
        <w:rPr>
          <w:rFonts w:ascii="Arial" w:hAnsi="Arial" w:cs="Arial"/>
          <w:color w:val="000000" w:themeColor="text1"/>
        </w:rPr>
        <w:t>/2</w:t>
      </w:r>
      <w:r w:rsidR="00033379" w:rsidRPr="2E00C4AD">
        <w:rPr>
          <w:rFonts w:ascii="Arial" w:hAnsi="Arial" w:cs="Arial"/>
          <w:color w:val="000000" w:themeColor="text1"/>
        </w:rPr>
        <w:t>2</w:t>
      </w:r>
      <w:r w:rsidRPr="2E00C4AD">
        <w:rPr>
          <w:rFonts w:ascii="Arial" w:hAnsi="Arial" w:cs="Arial"/>
          <w:color w:val="000000" w:themeColor="text1"/>
        </w:rPr>
        <w:t xml:space="preserve">, the pension fund deficit </w:t>
      </w:r>
      <w:r w:rsidR="00006593" w:rsidRPr="2E00C4AD">
        <w:rPr>
          <w:rFonts w:ascii="Arial" w:hAnsi="Arial" w:cs="Arial"/>
          <w:color w:val="000000" w:themeColor="text1"/>
        </w:rPr>
        <w:t xml:space="preserve">decreased </w:t>
      </w:r>
      <w:r w:rsidR="007315AB" w:rsidRPr="2E00C4AD">
        <w:rPr>
          <w:rFonts w:ascii="Arial" w:hAnsi="Arial" w:cs="Arial"/>
          <w:color w:val="000000" w:themeColor="text1"/>
        </w:rPr>
        <w:t>by £</w:t>
      </w:r>
      <w:r w:rsidR="00006593" w:rsidRPr="2E00C4AD">
        <w:rPr>
          <w:rFonts w:ascii="Arial" w:hAnsi="Arial" w:cs="Arial"/>
          <w:color w:val="000000" w:themeColor="text1"/>
        </w:rPr>
        <w:t>68</w:t>
      </w:r>
      <w:r w:rsidR="00B16DD0" w:rsidRPr="2E00C4AD">
        <w:rPr>
          <w:rFonts w:ascii="Arial" w:hAnsi="Arial" w:cs="Arial"/>
          <w:color w:val="000000" w:themeColor="text1"/>
        </w:rPr>
        <w:t>.7</w:t>
      </w:r>
      <w:r w:rsidR="007F079A" w:rsidRPr="2E00C4AD">
        <w:rPr>
          <w:rFonts w:ascii="Arial" w:hAnsi="Arial" w:cs="Arial"/>
          <w:color w:val="000000" w:themeColor="text1"/>
        </w:rPr>
        <w:t xml:space="preserve">m </w:t>
      </w:r>
      <w:r w:rsidR="007315AB" w:rsidRPr="2E00C4AD">
        <w:rPr>
          <w:rFonts w:ascii="Arial" w:hAnsi="Arial" w:cs="Arial"/>
          <w:color w:val="000000" w:themeColor="text1"/>
        </w:rPr>
        <w:t>(</w:t>
      </w:r>
      <w:r w:rsidR="00033379" w:rsidRPr="2E00C4AD">
        <w:rPr>
          <w:rFonts w:ascii="Arial" w:hAnsi="Arial" w:cs="Arial"/>
          <w:color w:val="000000" w:themeColor="text1"/>
        </w:rPr>
        <w:t>2020/21</w:t>
      </w:r>
      <w:r w:rsidR="007315AB" w:rsidRPr="2E00C4AD">
        <w:rPr>
          <w:rFonts w:ascii="Arial" w:hAnsi="Arial" w:cs="Arial"/>
          <w:color w:val="000000" w:themeColor="text1"/>
        </w:rPr>
        <w:t>-</w:t>
      </w:r>
      <w:r w:rsidR="00221951" w:rsidRPr="2E00C4AD">
        <w:rPr>
          <w:rFonts w:ascii="Arial" w:hAnsi="Arial" w:cs="Arial"/>
          <w:color w:val="000000" w:themeColor="text1"/>
        </w:rPr>
        <w:t xml:space="preserve"> </w:t>
      </w:r>
      <w:r w:rsidR="00033379" w:rsidRPr="2E00C4AD">
        <w:rPr>
          <w:rFonts w:ascii="Arial" w:hAnsi="Arial" w:cs="Arial"/>
          <w:color w:val="000000" w:themeColor="text1"/>
        </w:rPr>
        <w:t>increased</w:t>
      </w:r>
      <w:r w:rsidRPr="2E00C4AD">
        <w:rPr>
          <w:rFonts w:ascii="Arial" w:hAnsi="Arial" w:cs="Arial"/>
          <w:color w:val="000000" w:themeColor="text1"/>
        </w:rPr>
        <w:t xml:space="preserve"> by £</w:t>
      </w:r>
      <w:r w:rsidR="00033379" w:rsidRPr="2E00C4AD">
        <w:rPr>
          <w:rFonts w:ascii="Arial" w:hAnsi="Arial" w:cs="Arial"/>
          <w:color w:val="000000" w:themeColor="text1"/>
        </w:rPr>
        <w:t>72</w:t>
      </w:r>
      <w:r w:rsidRPr="2E00C4AD">
        <w:rPr>
          <w:rFonts w:ascii="Arial" w:hAnsi="Arial" w:cs="Arial"/>
          <w:color w:val="000000" w:themeColor="text1"/>
        </w:rPr>
        <w:t>.9m</w:t>
      </w:r>
      <w:r w:rsidR="007315AB" w:rsidRPr="2E00C4AD">
        <w:rPr>
          <w:rFonts w:ascii="Arial" w:hAnsi="Arial" w:cs="Arial"/>
          <w:color w:val="000000" w:themeColor="text1"/>
        </w:rPr>
        <w:t>)</w:t>
      </w:r>
      <w:r w:rsidRPr="2E00C4AD">
        <w:rPr>
          <w:rFonts w:ascii="Arial" w:hAnsi="Arial" w:cs="Arial"/>
          <w:color w:val="000000" w:themeColor="text1"/>
        </w:rPr>
        <w:t>. Th</w:t>
      </w:r>
      <w:r w:rsidR="005E3727" w:rsidRPr="2E00C4AD">
        <w:rPr>
          <w:rFonts w:ascii="Arial" w:hAnsi="Arial" w:cs="Arial"/>
          <w:color w:val="000000" w:themeColor="text1"/>
        </w:rPr>
        <w:t>e significant changes</w:t>
      </w:r>
      <w:r w:rsidR="00AC092A" w:rsidRPr="2E00C4AD">
        <w:rPr>
          <w:rFonts w:ascii="Arial" w:hAnsi="Arial" w:cs="Arial"/>
          <w:color w:val="000000" w:themeColor="text1"/>
        </w:rPr>
        <w:t xml:space="preserve"> were</w:t>
      </w:r>
      <w:r w:rsidRPr="2E00C4AD">
        <w:rPr>
          <w:rFonts w:ascii="Arial" w:hAnsi="Arial" w:cs="Arial"/>
          <w:color w:val="000000" w:themeColor="text1"/>
        </w:rPr>
        <w:t xml:space="preserve"> due</w:t>
      </w:r>
      <w:r w:rsidR="006C627B" w:rsidRPr="2E00C4AD">
        <w:rPr>
          <w:rFonts w:ascii="Arial" w:hAnsi="Arial" w:cs="Arial"/>
          <w:color w:val="000000" w:themeColor="text1"/>
        </w:rPr>
        <w:t xml:space="preserve"> an increased return on assets of £41.3m</w:t>
      </w:r>
      <w:r w:rsidR="00874330">
        <w:rPr>
          <w:rFonts w:ascii="Arial" w:hAnsi="Arial" w:cs="Arial"/>
          <w:color w:val="000000" w:themeColor="text1"/>
        </w:rPr>
        <w:t>.  T</w:t>
      </w:r>
      <w:r w:rsidR="005444B1" w:rsidRPr="2E00C4AD">
        <w:rPr>
          <w:rFonts w:ascii="Arial" w:hAnsi="Arial" w:cs="Arial"/>
          <w:color w:val="000000" w:themeColor="text1"/>
        </w:rPr>
        <w:t>he total investment return achieve</w:t>
      </w:r>
      <w:r w:rsidR="008B62D4" w:rsidRPr="2E00C4AD">
        <w:rPr>
          <w:rFonts w:ascii="Arial" w:hAnsi="Arial" w:cs="Arial"/>
          <w:color w:val="000000" w:themeColor="text1"/>
        </w:rPr>
        <w:t>d by the Fund over the accounting period was 13.1% compared to an accounting return of 2%.  This was in addition to a £47.4m gain due to changes in financial assumptions, including:</w:t>
      </w:r>
      <w:r w:rsidR="006C627B" w:rsidRPr="2E00C4AD">
        <w:rPr>
          <w:rFonts w:ascii="Arial" w:hAnsi="Arial" w:cs="Arial"/>
          <w:color w:val="000000" w:themeColor="text1"/>
        </w:rPr>
        <w:t xml:space="preserve"> </w:t>
      </w:r>
    </w:p>
    <w:p w14:paraId="4968E038" w14:textId="38ECC21F" w:rsidR="00A3592C" w:rsidRDefault="00A3592C" w:rsidP="00B63008">
      <w:pPr>
        <w:spacing w:line="360" w:lineRule="auto"/>
        <w:ind w:left="-284" w:right="-710"/>
        <w:rPr>
          <w:rFonts w:ascii="Arial" w:hAnsi="Arial" w:cs="Arial"/>
          <w:color w:val="000000"/>
        </w:rPr>
      </w:pPr>
    </w:p>
    <w:p w14:paraId="0079D7AA" w14:textId="15C2A86F" w:rsidR="00830C09" w:rsidRPr="000845C9" w:rsidRDefault="00A3592C" w:rsidP="000845C9">
      <w:pPr>
        <w:numPr>
          <w:ilvl w:val="0"/>
          <w:numId w:val="28"/>
        </w:numPr>
        <w:overflowPunct w:val="0"/>
        <w:autoSpaceDE w:val="0"/>
        <w:autoSpaceDN w:val="0"/>
        <w:adjustRightInd w:val="0"/>
        <w:spacing w:line="360" w:lineRule="auto"/>
        <w:textAlignment w:val="baseline"/>
        <w:rPr>
          <w:rFonts w:ascii="Arial" w:hAnsi="Arial" w:cs="Arial"/>
        </w:rPr>
      </w:pPr>
      <w:r w:rsidRPr="000845C9">
        <w:rPr>
          <w:rFonts w:ascii="Arial" w:hAnsi="Arial" w:cs="Arial"/>
        </w:rPr>
        <w:t xml:space="preserve">Pension </w:t>
      </w:r>
      <w:r w:rsidR="00813FD3">
        <w:rPr>
          <w:rFonts w:ascii="Arial" w:hAnsi="Arial" w:cs="Arial"/>
        </w:rPr>
        <w:t>i</w:t>
      </w:r>
      <w:r w:rsidRPr="000845C9">
        <w:rPr>
          <w:rFonts w:ascii="Arial" w:hAnsi="Arial" w:cs="Arial"/>
        </w:rPr>
        <w:t xml:space="preserve">ncrease </w:t>
      </w:r>
      <w:r w:rsidR="00813FD3">
        <w:rPr>
          <w:rFonts w:ascii="Arial" w:hAnsi="Arial" w:cs="Arial"/>
        </w:rPr>
        <w:t>r</w:t>
      </w:r>
      <w:r w:rsidRPr="000845C9">
        <w:rPr>
          <w:rFonts w:ascii="Arial" w:hAnsi="Arial" w:cs="Arial"/>
        </w:rPr>
        <w:t xml:space="preserve">ate – </w:t>
      </w:r>
      <w:r w:rsidR="00EB3A6A">
        <w:rPr>
          <w:rFonts w:ascii="Arial" w:hAnsi="Arial" w:cs="Arial"/>
        </w:rPr>
        <w:t>m</w:t>
      </w:r>
      <w:r w:rsidRPr="000845C9">
        <w:rPr>
          <w:rFonts w:ascii="Arial" w:hAnsi="Arial" w:cs="Arial"/>
        </w:rPr>
        <w:t xml:space="preserve">arket derived </w:t>
      </w:r>
      <w:r w:rsidR="003877E9">
        <w:rPr>
          <w:rFonts w:ascii="Arial" w:hAnsi="Arial" w:cs="Arial"/>
        </w:rPr>
        <w:t>consumer price index (</w:t>
      </w:r>
      <w:r w:rsidRPr="000845C9">
        <w:rPr>
          <w:rFonts w:ascii="Arial" w:hAnsi="Arial" w:cs="Arial"/>
        </w:rPr>
        <w:t>CPI</w:t>
      </w:r>
      <w:r w:rsidR="003877E9">
        <w:rPr>
          <w:rFonts w:ascii="Arial" w:hAnsi="Arial" w:cs="Arial"/>
        </w:rPr>
        <w:t>)</w:t>
      </w:r>
      <w:r w:rsidRPr="000845C9">
        <w:rPr>
          <w:rFonts w:ascii="Arial" w:hAnsi="Arial" w:cs="Arial"/>
        </w:rPr>
        <w:t xml:space="preserve"> inflation has risen over the period, which has led to a 0.35% increase in this assumption. This has served to increase the </w:t>
      </w:r>
      <w:r w:rsidR="00BD6E80">
        <w:rPr>
          <w:rFonts w:ascii="Arial" w:hAnsi="Arial" w:cs="Arial"/>
        </w:rPr>
        <w:t>e</w:t>
      </w:r>
      <w:r w:rsidRPr="000845C9">
        <w:rPr>
          <w:rFonts w:ascii="Arial" w:hAnsi="Arial" w:cs="Arial"/>
        </w:rPr>
        <w:t xml:space="preserve">mployer's obligations and led to a loss of around £35,580k on the balance sheet. </w:t>
      </w:r>
    </w:p>
    <w:p w14:paraId="5E8B5D08" w14:textId="77777777" w:rsidR="00830C09" w:rsidRPr="000845C9" w:rsidRDefault="00830C09" w:rsidP="000845C9">
      <w:pPr>
        <w:overflowPunct w:val="0"/>
        <w:autoSpaceDE w:val="0"/>
        <w:autoSpaceDN w:val="0"/>
        <w:adjustRightInd w:val="0"/>
        <w:spacing w:line="360" w:lineRule="auto"/>
        <w:ind w:left="720"/>
        <w:textAlignment w:val="baseline"/>
        <w:rPr>
          <w:rFonts w:ascii="Arial" w:hAnsi="Arial" w:cs="Arial"/>
        </w:rPr>
      </w:pPr>
    </w:p>
    <w:p w14:paraId="0696D845" w14:textId="2DAB3DDE" w:rsidR="00830C09" w:rsidRPr="000845C9" w:rsidRDefault="00A3592C" w:rsidP="000845C9">
      <w:pPr>
        <w:numPr>
          <w:ilvl w:val="0"/>
          <w:numId w:val="28"/>
        </w:numPr>
        <w:overflowPunct w:val="0"/>
        <w:autoSpaceDE w:val="0"/>
        <w:autoSpaceDN w:val="0"/>
        <w:adjustRightInd w:val="0"/>
        <w:spacing w:line="360" w:lineRule="auto"/>
        <w:textAlignment w:val="baseline"/>
        <w:rPr>
          <w:rFonts w:ascii="Arial" w:hAnsi="Arial" w:cs="Arial"/>
        </w:rPr>
      </w:pPr>
      <w:r w:rsidRPr="000845C9">
        <w:rPr>
          <w:rFonts w:ascii="Arial" w:hAnsi="Arial" w:cs="Arial"/>
        </w:rPr>
        <w:t xml:space="preserve">Salary </w:t>
      </w:r>
      <w:r w:rsidR="00BD6E80">
        <w:rPr>
          <w:rFonts w:ascii="Arial" w:hAnsi="Arial" w:cs="Arial"/>
        </w:rPr>
        <w:t>i</w:t>
      </w:r>
      <w:r w:rsidRPr="000845C9">
        <w:rPr>
          <w:rFonts w:ascii="Arial" w:hAnsi="Arial" w:cs="Arial"/>
        </w:rPr>
        <w:t xml:space="preserve">ncrease </w:t>
      </w:r>
      <w:r w:rsidR="00BD6E80">
        <w:rPr>
          <w:rFonts w:ascii="Arial" w:hAnsi="Arial" w:cs="Arial"/>
        </w:rPr>
        <w:t>r</w:t>
      </w:r>
      <w:r w:rsidRPr="000845C9">
        <w:rPr>
          <w:rFonts w:ascii="Arial" w:hAnsi="Arial" w:cs="Arial"/>
        </w:rPr>
        <w:t xml:space="preserve">ate – the salary increase assumption has risen over the period by 0.35% in line with CPI inflation (as above), which underpins the Fund’s standard salary increase assumption. This has served to increase the </w:t>
      </w:r>
      <w:r w:rsidR="002749C4">
        <w:rPr>
          <w:rFonts w:ascii="Arial" w:hAnsi="Arial" w:cs="Arial"/>
        </w:rPr>
        <w:t>e</w:t>
      </w:r>
      <w:r w:rsidRPr="000845C9">
        <w:rPr>
          <w:rFonts w:ascii="Arial" w:hAnsi="Arial" w:cs="Arial"/>
        </w:rPr>
        <w:t xml:space="preserve">mployer's obligations and led to a loss of around £6,540k on the balance sheet. </w:t>
      </w:r>
    </w:p>
    <w:p w14:paraId="10B8969A" w14:textId="77777777" w:rsidR="00830C09" w:rsidRPr="000845C9" w:rsidRDefault="00830C09" w:rsidP="000845C9">
      <w:pPr>
        <w:overflowPunct w:val="0"/>
        <w:autoSpaceDE w:val="0"/>
        <w:autoSpaceDN w:val="0"/>
        <w:adjustRightInd w:val="0"/>
        <w:spacing w:line="360" w:lineRule="auto"/>
        <w:ind w:left="720"/>
        <w:textAlignment w:val="baseline"/>
        <w:rPr>
          <w:rFonts w:ascii="Arial" w:hAnsi="Arial" w:cs="Arial"/>
        </w:rPr>
      </w:pPr>
    </w:p>
    <w:p w14:paraId="188B8F53" w14:textId="36131520" w:rsidR="00830C09" w:rsidRPr="000845C9" w:rsidRDefault="00A3592C" w:rsidP="000845C9">
      <w:pPr>
        <w:numPr>
          <w:ilvl w:val="0"/>
          <w:numId w:val="28"/>
        </w:numPr>
        <w:overflowPunct w:val="0"/>
        <w:autoSpaceDE w:val="0"/>
        <w:autoSpaceDN w:val="0"/>
        <w:adjustRightInd w:val="0"/>
        <w:spacing w:line="360" w:lineRule="auto"/>
        <w:textAlignment w:val="baseline"/>
        <w:rPr>
          <w:rFonts w:ascii="Arial" w:hAnsi="Arial" w:cs="Arial"/>
        </w:rPr>
      </w:pPr>
      <w:r w:rsidRPr="000845C9">
        <w:rPr>
          <w:rFonts w:ascii="Arial" w:hAnsi="Arial" w:cs="Arial"/>
        </w:rPr>
        <w:t xml:space="preserve">Discount rate – </w:t>
      </w:r>
      <w:r w:rsidR="00EB3A6A">
        <w:rPr>
          <w:rFonts w:ascii="Arial" w:hAnsi="Arial" w:cs="Arial"/>
        </w:rPr>
        <w:t>t</w:t>
      </w:r>
      <w:r w:rsidRPr="000845C9">
        <w:rPr>
          <w:rFonts w:ascii="Arial" w:hAnsi="Arial" w:cs="Arial"/>
        </w:rPr>
        <w:t xml:space="preserve">he corporate bond yield (upon which the discount rate is derived) has risen over the period, which has led to a 0.70% increase in this assumption. This has served to reduce the </w:t>
      </w:r>
      <w:r w:rsidR="00D51A37">
        <w:rPr>
          <w:rFonts w:ascii="Arial" w:hAnsi="Arial" w:cs="Arial"/>
        </w:rPr>
        <w:t>e</w:t>
      </w:r>
      <w:r w:rsidRPr="000845C9">
        <w:rPr>
          <w:rFonts w:ascii="Arial" w:hAnsi="Arial" w:cs="Arial"/>
        </w:rPr>
        <w:t xml:space="preserve">mployer's obligations and led to a gain of around £87,550k on the balance sheet. </w:t>
      </w:r>
    </w:p>
    <w:p w14:paraId="71313010" w14:textId="77777777" w:rsidR="00E01AFC" w:rsidRPr="000845C9" w:rsidRDefault="00E01AFC" w:rsidP="000845C9">
      <w:pPr>
        <w:overflowPunct w:val="0"/>
        <w:autoSpaceDE w:val="0"/>
        <w:autoSpaceDN w:val="0"/>
        <w:adjustRightInd w:val="0"/>
        <w:spacing w:line="360" w:lineRule="auto"/>
        <w:ind w:left="720"/>
        <w:textAlignment w:val="baseline"/>
        <w:rPr>
          <w:rFonts w:ascii="Arial" w:hAnsi="Arial" w:cs="Arial"/>
        </w:rPr>
      </w:pPr>
    </w:p>
    <w:p w14:paraId="151E4727" w14:textId="5FA84622" w:rsidR="00E01AFC" w:rsidRPr="000845C9" w:rsidRDefault="00A3592C" w:rsidP="000845C9">
      <w:pPr>
        <w:numPr>
          <w:ilvl w:val="0"/>
          <w:numId w:val="28"/>
        </w:numPr>
        <w:overflowPunct w:val="0"/>
        <w:autoSpaceDE w:val="0"/>
        <w:autoSpaceDN w:val="0"/>
        <w:adjustRightInd w:val="0"/>
        <w:spacing w:line="360" w:lineRule="auto"/>
        <w:textAlignment w:val="baseline"/>
        <w:rPr>
          <w:rFonts w:ascii="Arial" w:hAnsi="Arial" w:cs="Arial"/>
        </w:rPr>
      </w:pPr>
      <w:r w:rsidRPr="000845C9">
        <w:rPr>
          <w:rFonts w:ascii="Arial" w:hAnsi="Arial" w:cs="Arial"/>
        </w:rPr>
        <w:t>Changes in demographic assumptions (c.£2,870k gain on the balance sheet)</w:t>
      </w:r>
      <w:r w:rsidR="00AF3D16">
        <w:rPr>
          <w:rFonts w:ascii="Arial" w:hAnsi="Arial" w:cs="Arial"/>
        </w:rPr>
        <w:t>.</w:t>
      </w:r>
    </w:p>
    <w:p w14:paraId="73137937" w14:textId="77777777" w:rsidR="00E01AFC" w:rsidRPr="000845C9" w:rsidRDefault="00E01AFC" w:rsidP="000845C9">
      <w:pPr>
        <w:overflowPunct w:val="0"/>
        <w:autoSpaceDE w:val="0"/>
        <w:autoSpaceDN w:val="0"/>
        <w:adjustRightInd w:val="0"/>
        <w:spacing w:line="360" w:lineRule="auto"/>
        <w:ind w:left="720"/>
        <w:textAlignment w:val="baseline"/>
        <w:rPr>
          <w:rFonts w:ascii="Arial" w:hAnsi="Arial" w:cs="Arial"/>
        </w:rPr>
      </w:pPr>
    </w:p>
    <w:p w14:paraId="43662939" w14:textId="2D549253" w:rsidR="00A3592C" w:rsidRPr="000845C9" w:rsidRDefault="00A3592C" w:rsidP="000845C9">
      <w:pPr>
        <w:numPr>
          <w:ilvl w:val="0"/>
          <w:numId w:val="28"/>
        </w:numPr>
        <w:overflowPunct w:val="0"/>
        <w:autoSpaceDE w:val="0"/>
        <w:autoSpaceDN w:val="0"/>
        <w:adjustRightInd w:val="0"/>
        <w:spacing w:line="360" w:lineRule="auto"/>
        <w:textAlignment w:val="baseline"/>
        <w:rPr>
          <w:rFonts w:ascii="Arial" w:hAnsi="Arial" w:cs="Arial"/>
        </w:rPr>
      </w:pPr>
      <w:r w:rsidRPr="000845C9">
        <w:rPr>
          <w:rFonts w:ascii="Arial" w:hAnsi="Arial" w:cs="Arial"/>
        </w:rPr>
        <w:t xml:space="preserve">Other experience (c.£930k loss on the balance sheet), </w:t>
      </w:r>
      <w:r w:rsidR="00115921" w:rsidRPr="000845C9">
        <w:rPr>
          <w:rFonts w:ascii="Arial" w:hAnsi="Arial" w:cs="Arial"/>
        </w:rPr>
        <w:t xml:space="preserve">the actual increase </w:t>
      </w:r>
      <w:r w:rsidR="006B1492" w:rsidRPr="000845C9">
        <w:rPr>
          <w:rFonts w:ascii="Arial" w:hAnsi="Arial" w:cs="Arial"/>
        </w:rPr>
        <w:t>pension order for April 2022 was 3.1%, this was</w:t>
      </w:r>
      <w:r w:rsidR="00DD34FC" w:rsidRPr="000845C9">
        <w:rPr>
          <w:rFonts w:ascii="Arial" w:hAnsi="Arial" w:cs="Arial"/>
        </w:rPr>
        <w:t xml:space="preserve"> higher than the pension increase </w:t>
      </w:r>
      <w:r w:rsidR="0086630B" w:rsidRPr="000845C9">
        <w:rPr>
          <w:rFonts w:ascii="Arial" w:hAnsi="Arial" w:cs="Arial"/>
        </w:rPr>
        <w:t xml:space="preserve">rate assumption of </w:t>
      </w:r>
      <w:r w:rsidR="00DE591B" w:rsidRPr="000845C9">
        <w:rPr>
          <w:rFonts w:ascii="Arial" w:hAnsi="Arial" w:cs="Arial"/>
        </w:rPr>
        <w:t>2.85%</w:t>
      </w:r>
      <w:r w:rsidR="002812AD" w:rsidRPr="000845C9">
        <w:rPr>
          <w:rFonts w:ascii="Arial" w:hAnsi="Arial" w:cs="Arial"/>
        </w:rPr>
        <w:t xml:space="preserve"> built into the oblig</w:t>
      </w:r>
      <w:r w:rsidR="003816DF" w:rsidRPr="000845C9">
        <w:rPr>
          <w:rFonts w:ascii="Arial" w:hAnsi="Arial" w:cs="Arial"/>
        </w:rPr>
        <w:t>ations</w:t>
      </w:r>
      <w:r w:rsidR="00BC5778" w:rsidRPr="000845C9">
        <w:rPr>
          <w:rFonts w:ascii="Arial" w:hAnsi="Arial" w:cs="Arial"/>
        </w:rPr>
        <w:t xml:space="preserve"> at the start of the accounting period. The impact of applying the higher increase assumption for this year serves to increase the obligations by less than 0.5%</w:t>
      </w:r>
      <w:r w:rsidR="00AF3D16">
        <w:rPr>
          <w:rFonts w:ascii="Arial" w:hAnsi="Arial" w:cs="Arial"/>
        </w:rPr>
        <w:t>.</w:t>
      </w:r>
    </w:p>
    <w:p w14:paraId="309ECB48" w14:textId="5FE9B8A6" w:rsidR="00E26D69" w:rsidRPr="00E26D69" w:rsidRDefault="00295D52" w:rsidP="00943FDF">
      <w:pPr>
        <w:ind w:right="232"/>
        <w:rPr>
          <w:rFonts w:ascii="Arial" w:hAnsi="Arial" w:cs="Arial"/>
          <w:color w:val="000000"/>
        </w:rPr>
      </w:pPr>
      <w:r>
        <w:rPr>
          <w:rFonts w:ascii="Arial" w:hAnsi="Arial" w:cs="Arial"/>
          <w:color w:val="000000"/>
        </w:rPr>
        <w:br w:type="page"/>
      </w:r>
    </w:p>
    <w:p w14:paraId="7ADDFDF0" w14:textId="77777777" w:rsidR="00E26D69" w:rsidRPr="00E26D69" w:rsidRDefault="00E26D69" w:rsidP="00063423">
      <w:pPr>
        <w:spacing w:line="360" w:lineRule="auto"/>
        <w:ind w:left="-284" w:right="232"/>
        <w:rPr>
          <w:rFonts w:ascii="Arial" w:hAnsi="Arial" w:cs="Arial"/>
          <w:color w:val="000000"/>
        </w:rPr>
      </w:pPr>
      <w:r w:rsidRPr="00E26D69">
        <w:rPr>
          <w:rFonts w:ascii="Arial" w:hAnsi="Arial" w:cs="Arial"/>
          <w:color w:val="000000"/>
        </w:rPr>
        <w:lastRenderedPageBreak/>
        <w:t>The key assumptions used by the actuary include:</w:t>
      </w:r>
    </w:p>
    <w:p w14:paraId="3163E69C" w14:textId="77777777" w:rsidR="00E26D69" w:rsidRPr="00E26D69" w:rsidRDefault="00E26D69" w:rsidP="00943FDF">
      <w:pPr>
        <w:spacing w:line="360" w:lineRule="auto"/>
        <w:ind w:right="232"/>
        <w:rPr>
          <w:rFonts w:ascii="Arial" w:hAnsi="Arial" w:cs="Arial"/>
          <w:color w:val="000000"/>
        </w:rPr>
      </w:pPr>
    </w:p>
    <w:p w14:paraId="3257D568" w14:textId="23943034" w:rsidR="00260C6A" w:rsidRPr="00CF41A1" w:rsidRDefault="00E26D69" w:rsidP="00AA7314">
      <w:pPr>
        <w:spacing w:line="360" w:lineRule="auto"/>
        <w:ind w:left="-284" w:right="232"/>
        <w:rPr>
          <w:rFonts w:ascii="Arial" w:hAnsi="Arial" w:cs="Arial"/>
          <w:b/>
          <w:color w:val="000000"/>
        </w:rPr>
      </w:pPr>
      <w:r w:rsidRPr="008603AA">
        <w:rPr>
          <w:rFonts w:ascii="Arial" w:hAnsi="Arial" w:cs="Arial"/>
          <w:b/>
          <w:color w:val="000000"/>
        </w:rPr>
        <w:t>Financial assumptions</w:t>
      </w:r>
      <w:r w:rsidRPr="00E26D69">
        <w:rPr>
          <w:rFonts w:ascii="Arial" w:hAnsi="Arial" w:cs="Arial"/>
          <w:b/>
          <w:color w:val="000000"/>
        </w:rPr>
        <w:t xml:space="preserve">  </w:t>
      </w:r>
    </w:p>
    <w:tbl>
      <w:tblPr>
        <w:tblW w:w="9356" w:type="dxa"/>
        <w:tblInd w:w="-284" w:type="dxa"/>
        <w:tblLook w:val="0000" w:firstRow="0" w:lastRow="0" w:firstColumn="0" w:lastColumn="0" w:noHBand="0" w:noVBand="0"/>
      </w:tblPr>
      <w:tblGrid>
        <w:gridCol w:w="4820"/>
        <w:gridCol w:w="2410"/>
        <w:gridCol w:w="2126"/>
      </w:tblGrid>
      <w:tr w:rsidR="0086791E" w:rsidRPr="00E26D69" w14:paraId="64D1F5BF" w14:textId="77777777" w:rsidTr="00874A18">
        <w:trPr>
          <w:trHeight w:val="454"/>
        </w:trPr>
        <w:tc>
          <w:tcPr>
            <w:tcW w:w="4820" w:type="dxa"/>
            <w:vAlign w:val="bottom"/>
          </w:tcPr>
          <w:p w14:paraId="6525922A" w14:textId="77777777" w:rsidR="00E26D69" w:rsidRPr="00E26D69" w:rsidRDefault="00E26D69" w:rsidP="009A190C">
            <w:pPr>
              <w:ind w:left="-242" w:firstLine="142"/>
              <w:rPr>
                <w:rFonts w:ascii="Arial" w:hAnsi="Arial" w:cs="Arial"/>
                <w:b/>
                <w:color w:val="000000"/>
              </w:rPr>
            </w:pPr>
            <w:r w:rsidRPr="00E26D69">
              <w:rPr>
                <w:rFonts w:ascii="Arial" w:hAnsi="Arial" w:cs="Arial"/>
                <w:b/>
                <w:color w:val="000000"/>
              </w:rPr>
              <w:t>Year ended</w:t>
            </w:r>
          </w:p>
        </w:tc>
        <w:tc>
          <w:tcPr>
            <w:tcW w:w="2410" w:type="dxa"/>
            <w:shd w:val="clear" w:color="auto" w:fill="EAF1DD" w:themeFill="accent3" w:themeFillTint="33"/>
            <w:vAlign w:val="bottom"/>
          </w:tcPr>
          <w:p w14:paraId="6D653071" w14:textId="00159D58" w:rsidR="00E26D69" w:rsidRPr="00E26D69" w:rsidRDefault="00E26D69" w:rsidP="009A190C">
            <w:pPr>
              <w:jc w:val="right"/>
              <w:rPr>
                <w:rFonts w:ascii="Arial" w:hAnsi="Arial" w:cs="Arial"/>
                <w:b/>
                <w:color w:val="000000"/>
              </w:rPr>
            </w:pPr>
            <w:r w:rsidRPr="00E26D69">
              <w:rPr>
                <w:rFonts w:ascii="Arial" w:hAnsi="Arial" w:cs="Arial"/>
                <w:b/>
                <w:color w:val="000000"/>
              </w:rPr>
              <w:t>31 March 202</w:t>
            </w:r>
            <w:r w:rsidR="005E4A84">
              <w:rPr>
                <w:rFonts w:ascii="Arial" w:hAnsi="Arial" w:cs="Arial"/>
                <w:b/>
                <w:color w:val="000000"/>
              </w:rPr>
              <w:t>2</w:t>
            </w:r>
          </w:p>
          <w:p w14:paraId="5E00616D" w14:textId="77777777" w:rsidR="00E26D69" w:rsidRPr="00E26D69" w:rsidRDefault="00E26D69" w:rsidP="009A190C">
            <w:pPr>
              <w:jc w:val="right"/>
              <w:rPr>
                <w:rFonts w:ascii="Arial" w:hAnsi="Arial" w:cs="Arial"/>
                <w:b/>
                <w:color w:val="000000"/>
              </w:rPr>
            </w:pPr>
            <w:r w:rsidRPr="00E26D69">
              <w:rPr>
                <w:rFonts w:ascii="Arial" w:hAnsi="Arial" w:cs="Arial"/>
                <w:color w:val="000000"/>
              </w:rPr>
              <w:t>(% per annum)</w:t>
            </w:r>
          </w:p>
        </w:tc>
        <w:tc>
          <w:tcPr>
            <w:tcW w:w="2126" w:type="dxa"/>
            <w:vAlign w:val="bottom"/>
          </w:tcPr>
          <w:p w14:paraId="4FA66E89" w14:textId="74939821" w:rsidR="00E26D69" w:rsidRPr="00E26D69" w:rsidRDefault="00E26D69" w:rsidP="009A190C">
            <w:pPr>
              <w:jc w:val="right"/>
              <w:rPr>
                <w:rFonts w:ascii="Arial" w:hAnsi="Arial" w:cs="Arial"/>
                <w:b/>
                <w:color w:val="000000"/>
              </w:rPr>
            </w:pPr>
            <w:r w:rsidRPr="00E26D69">
              <w:rPr>
                <w:rFonts w:ascii="Arial" w:hAnsi="Arial" w:cs="Arial"/>
                <w:b/>
                <w:color w:val="000000"/>
              </w:rPr>
              <w:t>31 March 20</w:t>
            </w:r>
            <w:r w:rsidR="00CF41A1">
              <w:rPr>
                <w:rFonts w:ascii="Arial" w:hAnsi="Arial" w:cs="Arial"/>
                <w:b/>
                <w:color w:val="000000"/>
              </w:rPr>
              <w:t>2</w:t>
            </w:r>
            <w:r w:rsidR="005E4A84">
              <w:rPr>
                <w:rFonts w:ascii="Arial" w:hAnsi="Arial" w:cs="Arial"/>
                <w:b/>
                <w:color w:val="000000"/>
              </w:rPr>
              <w:t>1</w:t>
            </w:r>
          </w:p>
          <w:p w14:paraId="3EEB52BD" w14:textId="77777777" w:rsidR="00E26D69" w:rsidRPr="00E26D69" w:rsidRDefault="00E26D69" w:rsidP="009A190C">
            <w:pPr>
              <w:jc w:val="right"/>
              <w:rPr>
                <w:rFonts w:ascii="Arial" w:hAnsi="Arial" w:cs="Arial"/>
                <w:b/>
                <w:color w:val="000000"/>
              </w:rPr>
            </w:pPr>
            <w:r w:rsidRPr="00E26D69">
              <w:rPr>
                <w:rFonts w:ascii="Arial" w:hAnsi="Arial" w:cs="Arial"/>
                <w:color w:val="000000"/>
              </w:rPr>
              <w:t>(% per annum)</w:t>
            </w:r>
          </w:p>
        </w:tc>
      </w:tr>
      <w:tr w:rsidR="0086791E" w:rsidRPr="00E26D69" w14:paraId="37A3A382" w14:textId="77777777" w:rsidTr="00874A18">
        <w:trPr>
          <w:trHeight w:val="454"/>
        </w:trPr>
        <w:tc>
          <w:tcPr>
            <w:tcW w:w="4820" w:type="dxa"/>
            <w:vAlign w:val="bottom"/>
          </w:tcPr>
          <w:p w14:paraId="65CD9F77" w14:textId="77777777" w:rsidR="005E4A84" w:rsidRPr="00E26D69" w:rsidRDefault="005E4A84" w:rsidP="005E4A84">
            <w:pPr>
              <w:ind w:left="-242" w:firstLine="142"/>
              <w:rPr>
                <w:rFonts w:ascii="Arial" w:hAnsi="Arial" w:cs="Arial"/>
                <w:color w:val="000000"/>
              </w:rPr>
            </w:pPr>
            <w:r w:rsidRPr="00E26D69">
              <w:rPr>
                <w:rFonts w:ascii="Arial" w:hAnsi="Arial" w:cs="Arial"/>
                <w:color w:val="000000"/>
              </w:rPr>
              <w:t>Pension increases</w:t>
            </w:r>
          </w:p>
        </w:tc>
        <w:tc>
          <w:tcPr>
            <w:tcW w:w="2410" w:type="dxa"/>
            <w:shd w:val="clear" w:color="auto" w:fill="EAF1DD" w:themeFill="accent3" w:themeFillTint="33"/>
            <w:noWrap/>
            <w:vAlign w:val="bottom"/>
          </w:tcPr>
          <w:p w14:paraId="1C6B7478" w14:textId="2D0B5F67" w:rsidR="005E4A84" w:rsidRPr="00E26D69" w:rsidRDefault="0053447C" w:rsidP="005E4A84">
            <w:pPr>
              <w:jc w:val="right"/>
              <w:rPr>
                <w:rFonts w:ascii="Arial" w:hAnsi="Arial" w:cs="Arial"/>
                <w:color w:val="000000"/>
              </w:rPr>
            </w:pPr>
            <w:r>
              <w:rPr>
                <w:rFonts w:ascii="Arial" w:hAnsi="Arial" w:cs="Arial"/>
                <w:color w:val="000000"/>
              </w:rPr>
              <w:t>3.2</w:t>
            </w:r>
            <w:r w:rsidR="00EC504C">
              <w:rPr>
                <w:rFonts w:ascii="Arial" w:hAnsi="Arial" w:cs="Arial"/>
                <w:color w:val="000000"/>
              </w:rPr>
              <w:t>0</w:t>
            </w:r>
          </w:p>
        </w:tc>
        <w:tc>
          <w:tcPr>
            <w:tcW w:w="2126" w:type="dxa"/>
            <w:vAlign w:val="bottom"/>
          </w:tcPr>
          <w:p w14:paraId="615FEA12" w14:textId="1D2CCBE7" w:rsidR="005E4A84" w:rsidRPr="00E26D69" w:rsidRDefault="005E4A84" w:rsidP="005E4A84">
            <w:pPr>
              <w:jc w:val="right"/>
              <w:rPr>
                <w:rFonts w:ascii="Arial" w:hAnsi="Arial" w:cs="Arial"/>
                <w:color w:val="000000"/>
              </w:rPr>
            </w:pPr>
            <w:r>
              <w:rPr>
                <w:rFonts w:ascii="Arial" w:hAnsi="Arial" w:cs="Arial"/>
                <w:color w:val="000000"/>
              </w:rPr>
              <w:t>2.85</w:t>
            </w:r>
          </w:p>
        </w:tc>
      </w:tr>
      <w:tr w:rsidR="0086791E" w:rsidRPr="00E26D69" w14:paraId="3CF1D0F2" w14:textId="77777777" w:rsidTr="00874A18">
        <w:trPr>
          <w:trHeight w:val="454"/>
        </w:trPr>
        <w:tc>
          <w:tcPr>
            <w:tcW w:w="4820" w:type="dxa"/>
            <w:vAlign w:val="bottom"/>
          </w:tcPr>
          <w:p w14:paraId="1BC48C71" w14:textId="77777777" w:rsidR="005E4A84" w:rsidRPr="00E26D69" w:rsidRDefault="005E4A84" w:rsidP="005E4A84">
            <w:pPr>
              <w:ind w:left="-242" w:firstLine="142"/>
              <w:rPr>
                <w:rFonts w:ascii="Arial" w:hAnsi="Arial" w:cs="Arial"/>
                <w:color w:val="000000"/>
              </w:rPr>
            </w:pPr>
            <w:r w:rsidRPr="00E26D69">
              <w:rPr>
                <w:rFonts w:ascii="Arial" w:hAnsi="Arial" w:cs="Arial"/>
                <w:color w:val="000000"/>
              </w:rPr>
              <w:t xml:space="preserve">Salary increases </w:t>
            </w:r>
          </w:p>
        </w:tc>
        <w:tc>
          <w:tcPr>
            <w:tcW w:w="2410" w:type="dxa"/>
            <w:shd w:val="clear" w:color="auto" w:fill="EAF1DD" w:themeFill="accent3" w:themeFillTint="33"/>
            <w:noWrap/>
            <w:vAlign w:val="bottom"/>
          </w:tcPr>
          <w:p w14:paraId="5E4C9933" w14:textId="2857AD9D" w:rsidR="005E4A84" w:rsidRPr="00E26D69" w:rsidRDefault="008603AA" w:rsidP="005E4A84">
            <w:pPr>
              <w:jc w:val="right"/>
              <w:rPr>
                <w:rFonts w:ascii="Arial" w:hAnsi="Arial" w:cs="Arial"/>
                <w:color w:val="000000"/>
              </w:rPr>
            </w:pPr>
            <w:r>
              <w:rPr>
                <w:rFonts w:ascii="Arial" w:hAnsi="Arial" w:cs="Arial"/>
                <w:color w:val="000000"/>
              </w:rPr>
              <w:t>3.8</w:t>
            </w:r>
            <w:r w:rsidR="00EC504C">
              <w:rPr>
                <w:rFonts w:ascii="Arial" w:hAnsi="Arial" w:cs="Arial"/>
                <w:color w:val="000000"/>
              </w:rPr>
              <w:t>0</w:t>
            </w:r>
          </w:p>
        </w:tc>
        <w:tc>
          <w:tcPr>
            <w:tcW w:w="2126" w:type="dxa"/>
            <w:vAlign w:val="bottom"/>
          </w:tcPr>
          <w:p w14:paraId="3B9E24AD" w14:textId="6FB60BDD" w:rsidR="005E4A84" w:rsidRPr="00E26D69" w:rsidRDefault="005E4A84" w:rsidP="005E4A84">
            <w:pPr>
              <w:jc w:val="right"/>
              <w:rPr>
                <w:rFonts w:ascii="Arial" w:hAnsi="Arial" w:cs="Arial"/>
                <w:color w:val="000000"/>
              </w:rPr>
            </w:pPr>
            <w:r>
              <w:rPr>
                <w:rFonts w:ascii="Arial" w:hAnsi="Arial" w:cs="Arial"/>
                <w:color w:val="000000"/>
              </w:rPr>
              <w:t>3.45</w:t>
            </w:r>
          </w:p>
        </w:tc>
      </w:tr>
      <w:tr w:rsidR="0086791E" w:rsidRPr="00E26D69" w14:paraId="01174A6C" w14:textId="77777777" w:rsidTr="00874A18">
        <w:trPr>
          <w:trHeight w:val="454"/>
        </w:trPr>
        <w:tc>
          <w:tcPr>
            <w:tcW w:w="4820" w:type="dxa"/>
            <w:vAlign w:val="bottom"/>
          </w:tcPr>
          <w:p w14:paraId="23E9B46C" w14:textId="77777777" w:rsidR="005E4A84" w:rsidRPr="00E26D69" w:rsidRDefault="005E4A84" w:rsidP="005E4A84">
            <w:pPr>
              <w:ind w:left="-242" w:firstLine="142"/>
              <w:rPr>
                <w:rFonts w:ascii="Arial" w:hAnsi="Arial" w:cs="Arial"/>
                <w:color w:val="000000"/>
              </w:rPr>
            </w:pPr>
            <w:r w:rsidRPr="00E26D69">
              <w:rPr>
                <w:rFonts w:ascii="Arial" w:hAnsi="Arial" w:cs="Arial"/>
                <w:color w:val="000000"/>
              </w:rPr>
              <w:t>Discount rate</w:t>
            </w:r>
          </w:p>
        </w:tc>
        <w:tc>
          <w:tcPr>
            <w:tcW w:w="2410" w:type="dxa"/>
            <w:shd w:val="clear" w:color="auto" w:fill="EAF1DD" w:themeFill="accent3" w:themeFillTint="33"/>
            <w:noWrap/>
            <w:vAlign w:val="bottom"/>
          </w:tcPr>
          <w:p w14:paraId="57BB6B46" w14:textId="46AC268B" w:rsidR="005E4A84" w:rsidRPr="00E26D69" w:rsidRDefault="008603AA" w:rsidP="005E4A84">
            <w:pPr>
              <w:jc w:val="right"/>
              <w:rPr>
                <w:rFonts w:ascii="Arial" w:hAnsi="Arial" w:cs="Arial"/>
                <w:color w:val="000000"/>
              </w:rPr>
            </w:pPr>
            <w:r>
              <w:rPr>
                <w:rFonts w:ascii="Arial" w:hAnsi="Arial" w:cs="Arial"/>
                <w:color w:val="000000"/>
              </w:rPr>
              <w:t>2.7</w:t>
            </w:r>
            <w:r w:rsidR="00EC504C">
              <w:rPr>
                <w:rFonts w:ascii="Arial" w:hAnsi="Arial" w:cs="Arial"/>
                <w:color w:val="000000"/>
              </w:rPr>
              <w:t>0</w:t>
            </w:r>
          </w:p>
        </w:tc>
        <w:tc>
          <w:tcPr>
            <w:tcW w:w="2126" w:type="dxa"/>
            <w:vAlign w:val="bottom"/>
          </w:tcPr>
          <w:p w14:paraId="4C0F46AD" w14:textId="1FE449E4" w:rsidR="005E4A84" w:rsidRPr="00E26D69" w:rsidRDefault="005E4A84" w:rsidP="005E4A84">
            <w:pPr>
              <w:jc w:val="right"/>
              <w:rPr>
                <w:rFonts w:ascii="Arial" w:hAnsi="Arial" w:cs="Arial"/>
                <w:color w:val="000000"/>
              </w:rPr>
            </w:pPr>
            <w:r>
              <w:rPr>
                <w:rFonts w:ascii="Arial" w:hAnsi="Arial" w:cs="Arial"/>
                <w:color w:val="000000"/>
              </w:rPr>
              <w:t>2.00</w:t>
            </w:r>
          </w:p>
        </w:tc>
      </w:tr>
    </w:tbl>
    <w:p w14:paraId="758EB01A" w14:textId="77777777" w:rsidR="00E26D69" w:rsidRDefault="00E26D69" w:rsidP="00E26D69">
      <w:pPr>
        <w:spacing w:line="360" w:lineRule="auto"/>
        <w:jc w:val="both"/>
        <w:rPr>
          <w:rFonts w:ascii="Arial" w:hAnsi="Arial" w:cs="Arial"/>
          <w:color w:val="000000"/>
        </w:rPr>
      </w:pPr>
    </w:p>
    <w:p w14:paraId="21CAFBB9" w14:textId="77777777" w:rsidR="00785113" w:rsidRPr="00E26D69" w:rsidRDefault="00785113" w:rsidP="00E26D69">
      <w:pPr>
        <w:spacing w:line="360" w:lineRule="auto"/>
        <w:jc w:val="both"/>
        <w:rPr>
          <w:rFonts w:ascii="Arial" w:hAnsi="Arial" w:cs="Arial"/>
          <w:color w:val="000000"/>
        </w:rPr>
      </w:pPr>
    </w:p>
    <w:p w14:paraId="7E4F9FED" w14:textId="0C203D5C" w:rsidR="00FD0040" w:rsidRDefault="00FD0040" w:rsidP="00AF3D16">
      <w:pPr>
        <w:spacing w:line="360" w:lineRule="auto"/>
        <w:ind w:left="-284" w:right="232"/>
        <w:rPr>
          <w:rFonts w:ascii="Arial" w:hAnsi="Arial" w:cs="Arial"/>
          <w:b/>
          <w:color w:val="000000"/>
        </w:rPr>
      </w:pPr>
      <w:r>
        <w:rPr>
          <w:rFonts w:ascii="Arial" w:hAnsi="Arial" w:cs="Arial"/>
          <w:b/>
          <w:color w:val="000000"/>
        </w:rPr>
        <w:t xml:space="preserve">Demographic </w:t>
      </w:r>
      <w:r w:rsidR="000845C9">
        <w:rPr>
          <w:rFonts w:ascii="Arial" w:hAnsi="Arial" w:cs="Arial"/>
          <w:b/>
          <w:color w:val="000000"/>
        </w:rPr>
        <w:t>a</w:t>
      </w:r>
      <w:r>
        <w:rPr>
          <w:rFonts w:ascii="Arial" w:hAnsi="Arial" w:cs="Arial"/>
          <w:b/>
          <w:color w:val="000000"/>
        </w:rPr>
        <w:t xml:space="preserve">ssumptions </w:t>
      </w:r>
    </w:p>
    <w:p w14:paraId="515A3D82" w14:textId="7D79ED17" w:rsidR="00294358" w:rsidRDefault="00294358" w:rsidP="004425AB">
      <w:pPr>
        <w:autoSpaceDE w:val="0"/>
        <w:autoSpaceDN w:val="0"/>
        <w:adjustRightInd w:val="0"/>
        <w:spacing w:line="360" w:lineRule="auto"/>
        <w:ind w:left="-284" w:right="-710"/>
        <w:rPr>
          <w:rFonts w:ascii="Arial" w:hAnsi="Arial" w:cs="Arial"/>
          <w:b/>
          <w:color w:val="000000"/>
        </w:rPr>
      </w:pPr>
      <w:r w:rsidRPr="00E26D69">
        <w:rPr>
          <w:rFonts w:ascii="Arial" w:hAnsi="Arial" w:cs="Arial"/>
          <w:color w:val="000000"/>
        </w:rPr>
        <w:t>The</w:t>
      </w:r>
      <w:r w:rsidR="00144D0B">
        <w:rPr>
          <w:rFonts w:ascii="Arial" w:hAnsi="Arial" w:cs="Arial"/>
          <w:color w:val="000000"/>
        </w:rPr>
        <w:t xml:space="preserve"> average future life exp</w:t>
      </w:r>
      <w:r w:rsidR="004425AB">
        <w:rPr>
          <w:rFonts w:ascii="Arial" w:hAnsi="Arial" w:cs="Arial"/>
          <w:color w:val="000000"/>
        </w:rPr>
        <w:t>ectancies at age 65 are summarised below.</w:t>
      </w:r>
      <w:r w:rsidRPr="00E26D69">
        <w:rPr>
          <w:rFonts w:ascii="Arial" w:hAnsi="Arial" w:cs="Arial"/>
          <w:color w:val="000000"/>
        </w:rPr>
        <w:t xml:space="preserve"> </w:t>
      </w:r>
    </w:p>
    <w:tbl>
      <w:tblPr>
        <w:tblW w:w="9356" w:type="dxa"/>
        <w:tblInd w:w="-284" w:type="dxa"/>
        <w:shd w:val="clear" w:color="auto" w:fill="EAF1DD" w:themeFill="accent3" w:themeFillTint="33"/>
        <w:tblLook w:val="04A0" w:firstRow="1" w:lastRow="0" w:firstColumn="1" w:lastColumn="0" w:noHBand="0" w:noVBand="1"/>
      </w:tblPr>
      <w:tblGrid>
        <w:gridCol w:w="4820"/>
        <w:gridCol w:w="2410"/>
        <w:gridCol w:w="2126"/>
      </w:tblGrid>
      <w:tr w:rsidR="005A4491" w:rsidRPr="00E26D69" w14:paraId="490F1259" w14:textId="77777777" w:rsidTr="00874A18">
        <w:trPr>
          <w:trHeight w:val="454"/>
        </w:trPr>
        <w:tc>
          <w:tcPr>
            <w:tcW w:w="4820" w:type="dxa"/>
            <w:shd w:val="clear" w:color="auto" w:fill="EAF1DD" w:themeFill="accent3" w:themeFillTint="33"/>
            <w:vAlign w:val="bottom"/>
          </w:tcPr>
          <w:p w14:paraId="32A5C3BC" w14:textId="3CB1BB61" w:rsidR="00E26D69" w:rsidRPr="00E26D69" w:rsidRDefault="00E26D69" w:rsidP="00D076C1">
            <w:pPr>
              <w:ind w:left="-100"/>
              <w:contextualSpacing/>
              <w:rPr>
                <w:rFonts w:ascii="Arial" w:hAnsi="Arial" w:cs="Arial"/>
                <w:b/>
                <w:color w:val="FF0000"/>
              </w:rPr>
            </w:pPr>
            <w:r w:rsidRPr="00E26D69">
              <w:rPr>
                <w:rFonts w:ascii="Arial" w:hAnsi="Arial" w:cs="Arial"/>
                <w:b/>
              </w:rPr>
              <w:t xml:space="preserve">Average </w:t>
            </w:r>
            <w:r w:rsidR="006C5D98">
              <w:rPr>
                <w:rFonts w:ascii="Arial" w:hAnsi="Arial" w:cs="Arial"/>
                <w:b/>
              </w:rPr>
              <w:t>l</w:t>
            </w:r>
            <w:r w:rsidRPr="00E26D69">
              <w:rPr>
                <w:rFonts w:ascii="Arial" w:hAnsi="Arial" w:cs="Arial"/>
                <w:b/>
              </w:rPr>
              <w:t xml:space="preserve">ife </w:t>
            </w:r>
            <w:r w:rsidR="006C5D98">
              <w:rPr>
                <w:rFonts w:ascii="Arial" w:hAnsi="Arial" w:cs="Arial"/>
                <w:b/>
              </w:rPr>
              <w:t>e</w:t>
            </w:r>
            <w:r w:rsidRPr="00E26D69">
              <w:rPr>
                <w:rFonts w:ascii="Arial" w:hAnsi="Arial" w:cs="Arial"/>
                <w:b/>
              </w:rPr>
              <w:t>xpectancy 202</w:t>
            </w:r>
            <w:r w:rsidR="00792F87">
              <w:rPr>
                <w:rFonts w:ascii="Arial" w:hAnsi="Arial" w:cs="Arial"/>
                <w:b/>
              </w:rPr>
              <w:t>2</w:t>
            </w:r>
          </w:p>
        </w:tc>
        <w:tc>
          <w:tcPr>
            <w:tcW w:w="2410" w:type="dxa"/>
            <w:shd w:val="clear" w:color="auto" w:fill="EAF1DD" w:themeFill="accent3" w:themeFillTint="33"/>
            <w:vAlign w:val="bottom"/>
          </w:tcPr>
          <w:p w14:paraId="1C52D38C" w14:textId="77777777" w:rsidR="00E26D69" w:rsidRPr="00E26D69" w:rsidRDefault="00E26D69" w:rsidP="00D076C1">
            <w:pPr>
              <w:ind w:left="-100"/>
              <w:contextualSpacing/>
              <w:jc w:val="right"/>
              <w:rPr>
                <w:rFonts w:ascii="Arial" w:hAnsi="Arial" w:cs="Arial"/>
                <w:b/>
                <w:color w:val="000000" w:themeColor="text1"/>
              </w:rPr>
            </w:pPr>
            <w:r w:rsidRPr="00E26D69">
              <w:rPr>
                <w:rFonts w:ascii="Arial" w:hAnsi="Arial" w:cs="Arial"/>
                <w:b/>
                <w:color w:val="000000" w:themeColor="text1"/>
              </w:rPr>
              <w:t>Males</w:t>
            </w:r>
          </w:p>
        </w:tc>
        <w:tc>
          <w:tcPr>
            <w:tcW w:w="2126" w:type="dxa"/>
            <w:shd w:val="clear" w:color="auto" w:fill="EAF1DD" w:themeFill="accent3" w:themeFillTint="33"/>
            <w:vAlign w:val="bottom"/>
          </w:tcPr>
          <w:p w14:paraId="308A69F1" w14:textId="77777777" w:rsidR="00E26D69" w:rsidRPr="00E26D69" w:rsidRDefault="00E26D69" w:rsidP="00D076C1">
            <w:pPr>
              <w:ind w:left="-100"/>
              <w:contextualSpacing/>
              <w:jc w:val="right"/>
              <w:rPr>
                <w:rFonts w:ascii="Arial" w:hAnsi="Arial" w:cs="Arial"/>
                <w:b/>
                <w:color w:val="000000" w:themeColor="text1"/>
              </w:rPr>
            </w:pPr>
            <w:r w:rsidRPr="00E26D69">
              <w:rPr>
                <w:rFonts w:ascii="Arial" w:hAnsi="Arial" w:cs="Arial"/>
                <w:b/>
                <w:color w:val="000000" w:themeColor="text1"/>
              </w:rPr>
              <w:t>Females</w:t>
            </w:r>
          </w:p>
        </w:tc>
      </w:tr>
      <w:tr w:rsidR="005A4491" w:rsidRPr="00E26D69" w14:paraId="0065FCE6" w14:textId="77777777" w:rsidTr="00874A18">
        <w:trPr>
          <w:trHeight w:val="454"/>
        </w:trPr>
        <w:tc>
          <w:tcPr>
            <w:tcW w:w="4820" w:type="dxa"/>
            <w:shd w:val="clear" w:color="auto" w:fill="EAF1DD" w:themeFill="accent3" w:themeFillTint="33"/>
            <w:vAlign w:val="bottom"/>
          </w:tcPr>
          <w:p w14:paraId="623FCB54" w14:textId="77777777" w:rsidR="00E26D69" w:rsidRPr="00E26D69" w:rsidRDefault="00E26D69" w:rsidP="00D076C1">
            <w:pPr>
              <w:ind w:left="-100"/>
              <w:contextualSpacing/>
              <w:rPr>
                <w:rFonts w:ascii="Arial" w:hAnsi="Arial" w:cs="Arial"/>
                <w:color w:val="000000"/>
              </w:rPr>
            </w:pPr>
            <w:r w:rsidRPr="00E26D69">
              <w:rPr>
                <w:rFonts w:ascii="Arial" w:hAnsi="Arial" w:cs="Arial"/>
                <w:color w:val="000000"/>
              </w:rPr>
              <w:t>Current pensioners</w:t>
            </w:r>
          </w:p>
        </w:tc>
        <w:tc>
          <w:tcPr>
            <w:tcW w:w="2410" w:type="dxa"/>
            <w:shd w:val="clear" w:color="auto" w:fill="EAF1DD" w:themeFill="accent3" w:themeFillTint="33"/>
            <w:vAlign w:val="bottom"/>
          </w:tcPr>
          <w:p w14:paraId="44683E0A" w14:textId="57BD58C7" w:rsidR="00E26D69" w:rsidRPr="00E26D69" w:rsidRDefault="008603AA" w:rsidP="00D076C1">
            <w:pPr>
              <w:ind w:left="-100"/>
              <w:contextualSpacing/>
              <w:jc w:val="right"/>
              <w:rPr>
                <w:rFonts w:ascii="Arial" w:hAnsi="Arial" w:cs="Arial"/>
                <w:color w:val="000000"/>
              </w:rPr>
            </w:pPr>
            <w:r>
              <w:rPr>
                <w:rFonts w:ascii="Arial" w:hAnsi="Arial" w:cs="Arial"/>
                <w:color w:val="000000"/>
              </w:rPr>
              <w:t>20.4 years</w:t>
            </w:r>
          </w:p>
        </w:tc>
        <w:tc>
          <w:tcPr>
            <w:tcW w:w="2126" w:type="dxa"/>
            <w:shd w:val="clear" w:color="auto" w:fill="EAF1DD" w:themeFill="accent3" w:themeFillTint="33"/>
            <w:vAlign w:val="bottom"/>
          </w:tcPr>
          <w:p w14:paraId="6E20EE61" w14:textId="57ECE87E" w:rsidR="00E26D69" w:rsidRPr="00E26D69" w:rsidRDefault="008603AA" w:rsidP="00D076C1">
            <w:pPr>
              <w:ind w:left="-100"/>
              <w:contextualSpacing/>
              <w:jc w:val="right"/>
              <w:rPr>
                <w:rFonts w:ascii="Arial" w:hAnsi="Arial" w:cs="Arial"/>
                <w:color w:val="000000"/>
              </w:rPr>
            </w:pPr>
            <w:r>
              <w:rPr>
                <w:rFonts w:ascii="Arial" w:hAnsi="Arial" w:cs="Arial"/>
                <w:color w:val="000000"/>
              </w:rPr>
              <w:t>23.0 years</w:t>
            </w:r>
          </w:p>
        </w:tc>
      </w:tr>
      <w:tr w:rsidR="005A4491" w:rsidRPr="00E26D69" w14:paraId="6017EDC7" w14:textId="77777777" w:rsidTr="00874A18">
        <w:trPr>
          <w:trHeight w:val="454"/>
        </w:trPr>
        <w:tc>
          <w:tcPr>
            <w:tcW w:w="4820" w:type="dxa"/>
            <w:shd w:val="clear" w:color="auto" w:fill="EAF1DD" w:themeFill="accent3" w:themeFillTint="33"/>
            <w:vAlign w:val="bottom"/>
          </w:tcPr>
          <w:p w14:paraId="63A3A831" w14:textId="77777777" w:rsidR="00E26D69" w:rsidRPr="00E26D69" w:rsidRDefault="00E26D69" w:rsidP="00D076C1">
            <w:pPr>
              <w:ind w:left="-100"/>
              <w:contextualSpacing/>
              <w:rPr>
                <w:rFonts w:ascii="Arial" w:hAnsi="Arial" w:cs="Arial"/>
                <w:color w:val="000000"/>
              </w:rPr>
            </w:pPr>
            <w:r w:rsidRPr="00E26D69">
              <w:rPr>
                <w:rFonts w:ascii="Arial" w:hAnsi="Arial" w:cs="Arial"/>
                <w:color w:val="000000"/>
              </w:rPr>
              <w:t>Future pensioners</w:t>
            </w:r>
          </w:p>
        </w:tc>
        <w:tc>
          <w:tcPr>
            <w:tcW w:w="2410" w:type="dxa"/>
            <w:shd w:val="clear" w:color="auto" w:fill="EAF1DD" w:themeFill="accent3" w:themeFillTint="33"/>
            <w:vAlign w:val="bottom"/>
          </w:tcPr>
          <w:p w14:paraId="18785930" w14:textId="495B816B" w:rsidR="00E26D69" w:rsidRPr="00E26D69" w:rsidRDefault="008603AA" w:rsidP="00D076C1">
            <w:pPr>
              <w:ind w:left="-100"/>
              <w:contextualSpacing/>
              <w:jc w:val="right"/>
              <w:rPr>
                <w:rFonts w:ascii="Arial" w:hAnsi="Arial" w:cs="Arial"/>
                <w:color w:val="000000"/>
              </w:rPr>
            </w:pPr>
            <w:r>
              <w:rPr>
                <w:rFonts w:ascii="Arial" w:hAnsi="Arial" w:cs="Arial"/>
                <w:color w:val="000000"/>
              </w:rPr>
              <w:t>21.6 years</w:t>
            </w:r>
          </w:p>
        </w:tc>
        <w:tc>
          <w:tcPr>
            <w:tcW w:w="2126" w:type="dxa"/>
            <w:shd w:val="clear" w:color="auto" w:fill="EAF1DD" w:themeFill="accent3" w:themeFillTint="33"/>
            <w:vAlign w:val="bottom"/>
          </w:tcPr>
          <w:p w14:paraId="5C025230" w14:textId="767F7710" w:rsidR="00E26D69" w:rsidRPr="00E26D69" w:rsidRDefault="008603AA" w:rsidP="00D076C1">
            <w:pPr>
              <w:ind w:left="-100"/>
              <w:jc w:val="right"/>
              <w:rPr>
                <w:rFonts w:ascii="Arial" w:hAnsi="Arial" w:cs="Arial"/>
                <w:color w:val="000000"/>
              </w:rPr>
            </w:pPr>
            <w:r>
              <w:rPr>
                <w:rFonts w:ascii="Arial" w:hAnsi="Arial" w:cs="Arial"/>
                <w:color w:val="000000"/>
              </w:rPr>
              <w:t>25.0 years</w:t>
            </w:r>
          </w:p>
        </w:tc>
      </w:tr>
    </w:tbl>
    <w:p w14:paraId="1109CC2E" w14:textId="77777777" w:rsidR="00E26D69" w:rsidRDefault="00E26D69" w:rsidP="00E26D69">
      <w:pPr>
        <w:spacing w:line="360" w:lineRule="auto"/>
        <w:jc w:val="both"/>
        <w:rPr>
          <w:rFonts w:ascii="Arial" w:hAnsi="Arial" w:cs="Arial"/>
          <w:color w:val="000000"/>
        </w:rPr>
      </w:pPr>
    </w:p>
    <w:p w14:paraId="26CD9DB9" w14:textId="77777777" w:rsidR="00785113" w:rsidRPr="00E26D69" w:rsidRDefault="00785113" w:rsidP="00E26D69">
      <w:pPr>
        <w:spacing w:line="360" w:lineRule="auto"/>
        <w:jc w:val="both"/>
        <w:rPr>
          <w:rFonts w:ascii="Arial" w:hAnsi="Arial" w:cs="Arial"/>
          <w:color w:val="000000"/>
        </w:rPr>
      </w:pPr>
    </w:p>
    <w:tbl>
      <w:tblPr>
        <w:tblW w:w="9356" w:type="dxa"/>
        <w:tblInd w:w="-284" w:type="dxa"/>
        <w:shd w:val="clear" w:color="auto" w:fill="EAF1DD" w:themeFill="accent3" w:themeFillTint="33"/>
        <w:tblLook w:val="04A0" w:firstRow="1" w:lastRow="0" w:firstColumn="1" w:lastColumn="0" w:noHBand="0" w:noVBand="1"/>
      </w:tblPr>
      <w:tblGrid>
        <w:gridCol w:w="4820"/>
        <w:gridCol w:w="2410"/>
        <w:gridCol w:w="2126"/>
      </w:tblGrid>
      <w:tr w:rsidR="00792F87" w:rsidRPr="00E26D69" w14:paraId="4003F9E2" w14:textId="77777777" w:rsidTr="00874A18">
        <w:trPr>
          <w:trHeight w:val="454"/>
        </w:trPr>
        <w:tc>
          <w:tcPr>
            <w:tcW w:w="4820" w:type="dxa"/>
            <w:vAlign w:val="bottom"/>
          </w:tcPr>
          <w:p w14:paraId="7F3ED44B" w14:textId="13661414" w:rsidR="00792F87" w:rsidRPr="00E26D69" w:rsidRDefault="00792F87" w:rsidP="00792F87">
            <w:pPr>
              <w:ind w:left="-100"/>
              <w:contextualSpacing/>
              <w:rPr>
                <w:rFonts w:ascii="Arial" w:hAnsi="Arial" w:cs="Arial"/>
                <w:b/>
                <w:color w:val="FF0000"/>
              </w:rPr>
            </w:pPr>
            <w:r w:rsidRPr="00E26D69">
              <w:rPr>
                <w:rFonts w:ascii="Arial" w:hAnsi="Arial" w:cs="Arial"/>
                <w:b/>
              </w:rPr>
              <w:t xml:space="preserve">Average </w:t>
            </w:r>
            <w:r>
              <w:rPr>
                <w:rFonts w:ascii="Arial" w:hAnsi="Arial" w:cs="Arial"/>
                <w:b/>
              </w:rPr>
              <w:t>l</w:t>
            </w:r>
            <w:r w:rsidRPr="00E26D69">
              <w:rPr>
                <w:rFonts w:ascii="Arial" w:hAnsi="Arial" w:cs="Arial"/>
                <w:b/>
              </w:rPr>
              <w:t xml:space="preserve">ife </w:t>
            </w:r>
            <w:r>
              <w:rPr>
                <w:rFonts w:ascii="Arial" w:hAnsi="Arial" w:cs="Arial"/>
                <w:b/>
              </w:rPr>
              <w:t>e</w:t>
            </w:r>
            <w:r w:rsidRPr="00E26D69">
              <w:rPr>
                <w:rFonts w:ascii="Arial" w:hAnsi="Arial" w:cs="Arial"/>
                <w:b/>
              </w:rPr>
              <w:t>xpectancy 202</w:t>
            </w:r>
            <w:r>
              <w:rPr>
                <w:rFonts w:ascii="Arial" w:hAnsi="Arial" w:cs="Arial"/>
                <w:b/>
              </w:rPr>
              <w:t>1</w:t>
            </w:r>
          </w:p>
        </w:tc>
        <w:tc>
          <w:tcPr>
            <w:tcW w:w="2410" w:type="dxa"/>
            <w:vAlign w:val="bottom"/>
          </w:tcPr>
          <w:p w14:paraId="28632D98" w14:textId="4C34DA87" w:rsidR="00792F87" w:rsidRPr="00E26D69" w:rsidRDefault="00792F87" w:rsidP="00792F87">
            <w:pPr>
              <w:ind w:left="-100"/>
              <w:contextualSpacing/>
              <w:jc w:val="right"/>
              <w:rPr>
                <w:rFonts w:ascii="Arial" w:hAnsi="Arial" w:cs="Arial"/>
                <w:b/>
                <w:color w:val="000000" w:themeColor="text1"/>
              </w:rPr>
            </w:pPr>
            <w:r w:rsidRPr="00E26D69">
              <w:rPr>
                <w:rFonts w:ascii="Arial" w:hAnsi="Arial" w:cs="Arial"/>
                <w:b/>
                <w:color w:val="000000" w:themeColor="text1"/>
              </w:rPr>
              <w:t>Males</w:t>
            </w:r>
          </w:p>
        </w:tc>
        <w:tc>
          <w:tcPr>
            <w:tcW w:w="2126" w:type="dxa"/>
            <w:vAlign w:val="bottom"/>
          </w:tcPr>
          <w:p w14:paraId="7FD8ECDE" w14:textId="5D8855B2" w:rsidR="00792F87" w:rsidRPr="00E26D69" w:rsidRDefault="00792F87" w:rsidP="00792F87">
            <w:pPr>
              <w:ind w:left="-100"/>
              <w:contextualSpacing/>
              <w:jc w:val="right"/>
              <w:rPr>
                <w:rFonts w:ascii="Arial" w:hAnsi="Arial" w:cs="Arial"/>
                <w:b/>
                <w:color w:val="000000" w:themeColor="text1"/>
              </w:rPr>
            </w:pPr>
            <w:r w:rsidRPr="00E26D69">
              <w:rPr>
                <w:rFonts w:ascii="Arial" w:hAnsi="Arial" w:cs="Arial"/>
                <w:b/>
                <w:color w:val="000000" w:themeColor="text1"/>
              </w:rPr>
              <w:t>Females</w:t>
            </w:r>
          </w:p>
        </w:tc>
      </w:tr>
      <w:tr w:rsidR="00792F87" w:rsidRPr="00E26D69" w14:paraId="1660D982" w14:textId="77777777" w:rsidTr="00874A18">
        <w:trPr>
          <w:trHeight w:val="454"/>
        </w:trPr>
        <w:tc>
          <w:tcPr>
            <w:tcW w:w="4820" w:type="dxa"/>
            <w:vAlign w:val="bottom"/>
          </w:tcPr>
          <w:p w14:paraId="7396290B" w14:textId="5D1F3880" w:rsidR="00792F87" w:rsidRPr="00E26D69" w:rsidRDefault="00792F87" w:rsidP="00792F87">
            <w:pPr>
              <w:ind w:left="-100"/>
              <w:contextualSpacing/>
              <w:rPr>
                <w:rFonts w:ascii="Arial" w:hAnsi="Arial" w:cs="Arial"/>
                <w:color w:val="000000"/>
              </w:rPr>
            </w:pPr>
            <w:r w:rsidRPr="00E26D69">
              <w:rPr>
                <w:rFonts w:ascii="Arial" w:hAnsi="Arial" w:cs="Arial"/>
                <w:color w:val="000000"/>
              </w:rPr>
              <w:t>Current pensioners</w:t>
            </w:r>
          </w:p>
        </w:tc>
        <w:tc>
          <w:tcPr>
            <w:tcW w:w="2410" w:type="dxa"/>
            <w:vAlign w:val="bottom"/>
          </w:tcPr>
          <w:p w14:paraId="62B171F2" w14:textId="2C51328B" w:rsidR="00792F87" w:rsidRPr="00E26D69" w:rsidRDefault="00792F87" w:rsidP="00792F87">
            <w:pPr>
              <w:ind w:left="-100"/>
              <w:contextualSpacing/>
              <w:jc w:val="right"/>
              <w:rPr>
                <w:rFonts w:ascii="Arial" w:hAnsi="Arial" w:cs="Arial"/>
                <w:color w:val="000000"/>
              </w:rPr>
            </w:pPr>
            <w:r>
              <w:rPr>
                <w:rFonts w:ascii="Arial" w:hAnsi="Arial" w:cs="Arial"/>
                <w:color w:val="000000"/>
              </w:rPr>
              <w:t>20.5 years</w:t>
            </w:r>
          </w:p>
        </w:tc>
        <w:tc>
          <w:tcPr>
            <w:tcW w:w="2126" w:type="dxa"/>
            <w:vAlign w:val="bottom"/>
          </w:tcPr>
          <w:p w14:paraId="4C6D40EE" w14:textId="7CF1C52B" w:rsidR="00792F87" w:rsidRPr="00E26D69" w:rsidRDefault="00792F87" w:rsidP="00792F87">
            <w:pPr>
              <w:ind w:left="-100"/>
              <w:contextualSpacing/>
              <w:jc w:val="right"/>
              <w:rPr>
                <w:rFonts w:ascii="Arial" w:hAnsi="Arial" w:cs="Arial"/>
                <w:color w:val="000000"/>
              </w:rPr>
            </w:pPr>
            <w:r>
              <w:rPr>
                <w:rFonts w:ascii="Arial" w:hAnsi="Arial" w:cs="Arial"/>
                <w:color w:val="000000"/>
              </w:rPr>
              <w:t>23.2 years</w:t>
            </w:r>
          </w:p>
        </w:tc>
      </w:tr>
      <w:tr w:rsidR="00792F87" w:rsidRPr="00E26D69" w14:paraId="103DA1FD" w14:textId="77777777" w:rsidTr="00874A18">
        <w:trPr>
          <w:trHeight w:val="454"/>
        </w:trPr>
        <w:tc>
          <w:tcPr>
            <w:tcW w:w="4820" w:type="dxa"/>
            <w:vAlign w:val="bottom"/>
          </w:tcPr>
          <w:p w14:paraId="1C850B0C" w14:textId="65A65D39" w:rsidR="00792F87" w:rsidRPr="00E26D69" w:rsidRDefault="00792F87" w:rsidP="00792F87">
            <w:pPr>
              <w:ind w:left="-100"/>
              <w:contextualSpacing/>
              <w:rPr>
                <w:rFonts w:ascii="Arial" w:hAnsi="Arial" w:cs="Arial"/>
                <w:color w:val="000000"/>
              </w:rPr>
            </w:pPr>
            <w:r w:rsidRPr="00E26D69">
              <w:rPr>
                <w:rFonts w:ascii="Arial" w:hAnsi="Arial" w:cs="Arial"/>
                <w:color w:val="000000"/>
              </w:rPr>
              <w:t>Future pensioners</w:t>
            </w:r>
          </w:p>
        </w:tc>
        <w:tc>
          <w:tcPr>
            <w:tcW w:w="2410" w:type="dxa"/>
            <w:vAlign w:val="bottom"/>
          </w:tcPr>
          <w:p w14:paraId="37059564" w14:textId="295C881A" w:rsidR="00792F87" w:rsidRPr="00E26D69" w:rsidRDefault="00792F87" w:rsidP="00792F87">
            <w:pPr>
              <w:ind w:left="-100"/>
              <w:contextualSpacing/>
              <w:jc w:val="right"/>
              <w:rPr>
                <w:rFonts w:ascii="Arial" w:hAnsi="Arial" w:cs="Arial"/>
                <w:color w:val="000000"/>
              </w:rPr>
            </w:pPr>
            <w:r>
              <w:rPr>
                <w:rFonts w:ascii="Arial" w:hAnsi="Arial" w:cs="Arial"/>
                <w:color w:val="000000"/>
              </w:rPr>
              <w:t>21.9 years</w:t>
            </w:r>
          </w:p>
        </w:tc>
        <w:tc>
          <w:tcPr>
            <w:tcW w:w="2126" w:type="dxa"/>
            <w:vAlign w:val="bottom"/>
          </w:tcPr>
          <w:p w14:paraId="6C40E27C" w14:textId="2E5F4FA6" w:rsidR="00792F87" w:rsidRPr="00E26D69" w:rsidRDefault="00792F87" w:rsidP="00792F87">
            <w:pPr>
              <w:ind w:left="-100"/>
              <w:jc w:val="right"/>
              <w:rPr>
                <w:rFonts w:ascii="Arial" w:hAnsi="Arial" w:cs="Arial"/>
                <w:color w:val="000000"/>
              </w:rPr>
            </w:pPr>
            <w:r>
              <w:rPr>
                <w:rFonts w:ascii="Arial" w:hAnsi="Arial" w:cs="Arial"/>
                <w:color w:val="000000"/>
              </w:rPr>
              <w:t>25.2 years</w:t>
            </w:r>
          </w:p>
        </w:tc>
      </w:tr>
    </w:tbl>
    <w:p w14:paraId="4FF75E5B" w14:textId="77777777" w:rsidR="00AF3D16" w:rsidRDefault="00AF3D16" w:rsidP="00AA7314">
      <w:pPr>
        <w:spacing w:line="360" w:lineRule="auto"/>
        <w:ind w:left="-284"/>
        <w:jc w:val="both"/>
        <w:rPr>
          <w:rFonts w:ascii="Arial" w:hAnsi="Arial" w:cs="Arial"/>
          <w:b/>
          <w:color w:val="000000"/>
        </w:rPr>
      </w:pPr>
    </w:p>
    <w:p w14:paraId="6453B3EA" w14:textId="77777777" w:rsidR="00785113" w:rsidRDefault="00785113" w:rsidP="00AA7314">
      <w:pPr>
        <w:spacing w:line="360" w:lineRule="auto"/>
        <w:ind w:left="-284"/>
        <w:jc w:val="both"/>
        <w:rPr>
          <w:rFonts w:ascii="Arial" w:hAnsi="Arial" w:cs="Arial"/>
          <w:b/>
          <w:color w:val="000000"/>
        </w:rPr>
      </w:pPr>
    </w:p>
    <w:p w14:paraId="4904A530" w14:textId="0D98D7B7" w:rsidR="00843FF7" w:rsidRDefault="00606D47" w:rsidP="001B5F52">
      <w:pPr>
        <w:spacing w:line="360" w:lineRule="auto"/>
        <w:ind w:left="-284"/>
        <w:jc w:val="both"/>
        <w:rPr>
          <w:rFonts w:ascii="Arial" w:hAnsi="Arial" w:cs="Arial"/>
          <w:b/>
          <w:color w:val="000000"/>
        </w:rPr>
      </w:pPr>
      <w:r>
        <w:rPr>
          <w:rFonts w:ascii="Arial" w:hAnsi="Arial" w:cs="Arial"/>
          <w:b/>
          <w:color w:val="000000"/>
        </w:rPr>
        <w:t>Data</w:t>
      </w:r>
      <w:r w:rsidR="001B5F52">
        <w:rPr>
          <w:rFonts w:ascii="Arial" w:hAnsi="Arial" w:cs="Arial"/>
          <w:b/>
          <w:color w:val="000000"/>
        </w:rPr>
        <w:t xml:space="preserve"> - e</w:t>
      </w:r>
      <w:r w:rsidR="00843FF7">
        <w:rPr>
          <w:rFonts w:ascii="Arial" w:hAnsi="Arial" w:cs="Arial"/>
          <w:b/>
          <w:color w:val="000000"/>
        </w:rPr>
        <w:t>mployer membership statistics</w:t>
      </w:r>
    </w:p>
    <w:tbl>
      <w:tblPr>
        <w:tblW w:w="9451" w:type="dxa"/>
        <w:tblInd w:w="-2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47"/>
        <w:gridCol w:w="2268"/>
        <w:gridCol w:w="2268"/>
        <w:gridCol w:w="2268"/>
      </w:tblGrid>
      <w:tr w:rsidR="000224BB" w:rsidRPr="00E26D69" w14:paraId="069F190F" w14:textId="77777777" w:rsidTr="001B5F52">
        <w:trPr>
          <w:trHeight w:val="562"/>
        </w:trPr>
        <w:tc>
          <w:tcPr>
            <w:tcW w:w="2647" w:type="dxa"/>
            <w:vMerge w:val="restart"/>
            <w:tcBorders>
              <w:top w:val="single" w:sz="4" w:space="0" w:color="auto"/>
              <w:left w:val="single" w:sz="4" w:space="0" w:color="auto"/>
              <w:bottom w:val="nil"/>
              <w:right w:val="single" w:sz="4" w:space="0" w:color="auto"/>
            </w:tcBorders>
            <w:shd w:val="clear" w:color="auto" w:fill="EAF1DD" w:themeFill="accent3" w:themeFillTint="33"/>
          </w:tcPr>
          <w:p w14:paraId="78F1BF27" w14:textId="77777777" w:rsidR="00C419BF" w:rsidRPr="00E26D69" w:rsidRDefault="00C419BF" w:rsidP="002B29C7">
            <w:pPr>
              <w:spacing w:line="276" w:lineRule="auto"/>
              <w:jc w:val="center"/>
              <w:rPr>
                <w:rFonts w:ascii="Arial" w:eastAsia="Calibri" w:hAnsi="Arial" w:cs="Arial"/>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3F3B11" w14:textId="77777777" w:rsidR="00C419BF" w:rsidRPr="00E26D69" w:rsidRDefault="00C419BF" w:rsidP="002B29C7">
            <w:pPr>
              <w:spacing w:line="276" w:lineRule="auto"/>
              <w:jc w:val="center"/>
              <w:rPr>
                <w:rFonts w:ascii="Arial" w:eastAsia="Calibri" w:hAnsi="Arial" w:cs="Arial"/>
                <w:b/>
                <w:lang w:eastAsia="en-US"/>
              </w:rPr>
            </w:pPr>
            <w:r w:rsidRPr="00E26D69">
              <w:rPr>
                <w:rFonts w:ascii="Arial" w:eastAsia="Calibri" w:hAnsi="Arial" w:cs="Arial"/>
                <w:b/>
                <w:lang w:eastAsia="en-US"/>
              </w:rPr>
              <w:t>Number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1985D9" w14:textId="7815E8AF" w:rsidR="00C419BF" w:rsidRPr="00E26D69" w:rsidRDefault="00C419BF" w:rsidP="00BF6E0C">
            <w:pPr>
              <w:spacing w:line="276" w:lineRule="auto"/>
              <w:jc w:val="center"/>
              <w:rPr>
                <w:rFonts w:ascii="Arial" w:eastAsia="Calibri" w:hAnsi="Arial" w:cs="Arial"/>
                <w:b/>
                <w:lang w:eastAsia="en-US"/>
              </w:rPr>
            </w:pPr>
            <w:r w:rsidRPr="00E26D69">
              <w:rPr>
                <w:rFonts w:ascii="Arial" w:eastAsia="Calibri" w:hAnsi="Arial" w:cs="Arial"/>
                <w:b/>
                <w:lang w:eastAsia="en-US"/>
              </w:rPr>
              <w:t>Total salaries / pensions</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30A568" w14:textId="77777777" w:rsidR="00C419BF" w:rsidRPr="00E26D69" w:rsidRDefault="00C419BF" w:rsidP="002B29C7">
            <w:pPr>
              <w:spacing w:line="276" w:lineRule="auto"/>
              <w:jc w:val="center"/>
              <w:rPr>
                <w:rFonts w:ascii="Arial" w:eastAsia="Calibri" w:hAnsi="Arial" w:cs="Arial"/>
                <w:b/>
                <w:lang w:eastAsia="en-US"/>
              </w:rPr>
            </w:pPr>
            <w:r w:rsidRPr="00E26D69">
              <w:rPr>
                <w:rFonts w:ascii="Arial" w:eastAsia="Calibri" w:hAnsi="Arial" w:cs="Arial"/>
                <w:b/>
                <w:lang w:eastAsia="en-US"/>
              </w:rPr>
              <w:t>Average age</w:t>
            </w:r>
          </w:p>
        </w:tc>
      </w:tr>
      <w:tr w:rsidR="00863090" w:rsidRPr="00E26D69" w14:paraId="21488267" w14:textId="77777777" w:rsidTr="001B5F52">
        <w:trPr>
          <w:trHeight w:val="1034"/>
        </w:trPr>
        <w:tc>
          <w:tcPr>
            <w:tcW w:w="2647" w:type="dxa"/>
            <w:vMerge/>
            <w:tcBorders>
              <w:top w:val="nil"/>
              <w:left w:val="single" w:sz="4" w:space="0" w:color="auto"/>
              <w:bottom w:val="nil"/>
              <w:right w:val="single" w:sz="4" w:space="0" w:color="auto"/>
            </w:tcBorders>
            <w:shd w:val="clear" w:color="auto" w:fill="EAF1DD" w:themeFill="accent3" w:themeFillTint="33"/>
          </w:tcPr>
          <w:p w14:paraId="20911AE2" w14:textId="77777777" w:rsidR="00C419BF" w:rsidRPr="00E26D69" w:rsidRDefault="00C419BF" w:rsidP="002B29C7">
            <w:pPr>
              <w:spacing w:line="276" w:lineRule="auto"/>
              <w:jc w:val="center"/>
              <w:rPr>
                <w:rFonts w:ascii="Arial" w:eastAsia="Calibri" w:hAnsi="Arial" w:cs="Arial"/>
                <w:lang w:eastAsia="en-US"/>
              </w:rPr>
            </w:pPr>
          </w:p>
        </w:tc>
        <w:tc>
          <w:tcPr>
            <w:tcW w:w="2268" w:type="dxa"/>
            <w:tcBorders>
              <w:top w:val="single" w:sz="4" w:space="0" w:color="auto"/>
              <w:left w:val="single" w:sz="4" w:space="0" w:color="auto"/>
              <w:bottom w:val="single" w:sz="4" w:space="0" w:color="auto"/>
              <w:right w:val="single" w:sz="4" w:space="0" w:color="auto"/>
            </w:tcBorders>
          </w:tcPr>
          <w:p w14:paraId="79C1200C" w14:textId="01D45A7D" w:rsidR="00C419BF" w:rsidRPr="00E26D69" w:rsidRDefault="00C419BF" w:rsidP="002B29C7">
            <w:pPr>
              <w:spacing w:line="276" w:lineRule="auto"/>
              <w:jc w:val="center"/>
              <w:rPr>
                <w:rFonts w:ascii="Arial" w:eastAsia="Calibri" w:hAnsi="Arial" w:cs="Arial"/>
                <w:b/>
                <w:lang w:eastAsia="en-US"/>
              </w:rPr>
            </w:pPr>
            <w:r w:rsidRPr="00E26D69">
              <w:rPr>
                <w:rFonts w:ascii="Arial" w:eastAsia="Calibri" w:hAnsi="Arial" w:cs="Arial"/>
                <w:b/>
                <w:lang w:eastAsia="en-US"/>
              </w:rPr>
              <w:t>31 Mar 20</w:t>
            </w:r>
            <w:r>
              <w:rPr>
                <w:rFonts w:ascii="Arial" w:eastAsia="Calibri" w:hAnsi="Arial" w:cs="Arial"/>
                <w:b/>
                <w:lang w:eastAsia="en-US"/>
              </w:rPr>
              <w:t>20</w:t>
            </w:r>
          </w:p>
        </w:tc>
        <w:tc>
          <w:tcPr>
            <w:tcW w:w="2268" w:type="dxa"/>
            <w:tcBorders>
              <w:top w:val="single" w:sz="4" w:space="0" w:color="auto"/>
              <w:left w:val="single" w:sz="4" w:space="0" w:color="auto"/>
              <w:bottom w:val="single" w:sz="4" w:space="0" w:color="auto"/>
              <w:right w:val="single" w:sz="4" w:space="0" w:color="auto"/>
            </w:tcBorders>
          </w:tcPr>
          <w:p w14:paraId="586A92D8" w14:textId="29D09058" w:rsidR="00C419BF" w:rsidRPr="00E26D69" w:rsidRDefault="00C419BF" w:rsidP="000845C9">
            <w:pPr>
              <w:spacing w:line="276" w:lineRule="auto"/>
              <w:jc w:val="center"/>
              <w:rPr>
                <w:rFonts w:ascii="Arial" w:eastAsia="Calibri" w:hAnsi="Arial" w:cs="Arial"/>
                <w:b/>
                <w:lang w:eastAsia="en-US"/>
              </w:rPr>
            </w:pPr>
            <w:r w:rsidRPr="00E26D69">
              <w:rPr>
                <w:rFonts w:ascii="Arial" w:eastAsia="Calibri" w:hAnsi="Arial" w:cs="Arial"/>
                <w:b/>
                <w:lang w:eastAsia="en-US"/>
              </w:rPr>
              <w:t>31 Mar 20</w:t>
            </w:r>
            <w:r>
              <w:rPr>
                <w:rFonts w:ascii="Arial" w:eastAsia="Calibri" w:hAnsi="Arial" w:cs="Arial"/>
                <w:b/>
                <w:lang w:eastAsia="en-US"/>
              </w:rPr>
              <w:t>20</w:t>
            </w:r>
          </w:p>
          <w:p w14:paraId="10306A10" w14:textId="77777777" w:rsidR="000845C9" w:rsidRDefault="000845C9" w:rsidP="002B29C7">
            <w:pPr>
              <w:spacing w:line="276" w:lineRule="auto"/>
              <w:jc w:val="center"/>
              <w:rPr>
                <w:rFonts w:ascii="Arial" w:eastAsia="Calibri" w:hAnsi="Arial" w:cs="Arial"/>
                <w:b/>
                <w:lang w:eastAsia="en-US"/>
              </w:rPr>
            </w:pPr>
          </w:p>
          <w:p w14:paraId="5662220F" w14:textId="77777777" w:rsidR="00C419BF" w:rsidRPr="00E26D69" w:rsidRDefault="00C419BF" w:rsidP="002B29C7">
            <w:pPr>
              <w:spacing w:line="276" w:lineRule="auto"/>
              <w:jc w:val="center"/>
              <w:rPr>
                <w:rFonts w:ascii="Arial" w:eastAsia="Calibri" w:hAnsi="Arial" w:cs="Arial"/>
                <w:b/>
                <w:lang w:eastAsia="en-US"/>
              </w:rPr>
            </w:pPr>
            <w:r w:rsidRPr="00E26D69">
              <w:rPr>
                <w:rFonts w:ascii="Arial" w:eastAsia="Calibri" w:hAnsi="Arial" w:cs="Arial"/>
                <w:b/>
                <w:lang w:eastAsia="en-US"/>
              </w:rPr>
              <w:t>£’000</w:t>
            </w:r>
          </w:p>
        </w:tc>
        <w:tc>
          <w:tcPr>
            <w:tcW w:w="2268" w:type="dxa"/>
            <w:tcBorders>
              <w:top w:val="single" w:sz="4" w:space="0" w:color="auto"/>
              <w:left w:val="single" w:sz="4" w:space="0" w:color="auto"/>
              <w:bottom w:val="single" w:sz="4" w:space="0" w:color="auto"/>
              <w:right w:val="single" w:sz="4" w:space="0" w:color="auto"/>
            </w:tcBorders>
          </w:tcPr>
          <w:p w14:paraId="0DC17949" w14:textId="63E78C75" w:rsidR="00C419BF" w:rsidRPr="00E26D69" w:rsidRDefault="00C419BF" w:rsidP="002B29C7">
            <w:pPr>
              <w:spacing w:line="276" w:lineRule="auto"/>
              <w:jc w:val="center"/>
              <w:rPr>
                <w:rFonts w:ascii="Arial" w:eastAsia="Calibri" w:hAnsi="Arial" w:cs="Arial"/>
                <w:b/>
                <w:lang w:eastAsia="en-US"/>
              </w:rPr>
            </w:pPr>
            <w:r w:rsidRPr="00E26D69">
              <w:rPr>
                <w:rFonts w:ascii="Arial" w:eastAsia="Calibri" w:hAnsi="Arial" w:cs="Arial"/>
                <w:b/>
                <w:lang w:eastAsia="en-US"/>
              </w:rPr>
              <w:t>31 Mar 20</w:t>
            </w:r>
            <w:r>
              <w:rPr>
                <w:rFonts w:ascii="Arial" w:eastAsia="Calibri" w:hAnsi="Arial" w:cs="Arial"/>
                <w:b/>
                <w:lang w:eastAsia="en-US"/>
              </w:rPr>
              <w:t>20</w:t>
            </w:r>
          </w:p>
        </w:tc>
      </w:tr>
      <w:tr w:rsidR="00167866" w:rsidRPr="00E26D69" w14:paraId="19387F26" w14:textId="77777777" w:rsidTr="001B5F52">
        <w:trPr>
          <w:trHeight w:val="454"/>
        </w:trPr>
        <w:tc>
          <w:tcPr>
            <w:tcW w:w="2647" w:type="dxa"/>
            <w:tcBorders>
              <w:top w:val="nil"/>
              <w:left w:val="single" w:sz="4" w:space="0" w:color="auto"/>
              <w:bottom w:val="nil"/>
              <w:right w:val="single" w:sz="4" w:space="0" w:color="auto"/>
            </w:tcBorders>
            <w:shd w:val="clear" w:color="auto" w:fill="EAF1DD" w:themeFill="accent3" w:themeFillTint="33"/>
            <w:vAlign w:val="center"/>
          </w:tcPr>
          <w:p w14:paraId="75BF65A8" w14:textId="77777777" w:rsidR="00C419BF" w:rsidRPr="00E26D69" w:rsidRDefault="00C419BF" w:rsidP="002B29C7">
            <w:pPr>
              <w:spacing w:line="276" w:lineRule="auto"/>
              <w:rPr>
                <w:rFonts w:ascii="Arial" w:eastAsia="Calibri" w:hAnsi="Arial" w:cs="Arial"/>
                <w:lang w:eastAsia="en-US"/>
              </w:rPr>
            </w:pPr>
            <w:r w:rsidRPr="00E26D69">
              <w:rPr>
                <w:rFonts w:ascii="Arial" w:eastAsia="Calibri" w:hAnsi="Arial" w:cs="Arial"/>
                <w:lang w:eastAsia="en-US"/>
              </w:rPr>
              <w:t>Actives</w:t>
            </w:r>
          </w:p>
        </w:tc>
        <w:tc>
          <w:tcPr>
            <w:tcW w:w="2268" w:type="dxa"/>
            <w:tcBorders>
              <w:top w:val="single" w:sz="4" w:space="0" w:color="auto"/>
              <w:left w:val="single" w:sz="4" w:space="0" w:color="auto"/>
              <w:bottom w:val="nil"/>
              <w:right w:val="single" w:sz="4" w:space="0" w:color="auto"/>
            </w:tcBorders>
            <w:vAlign w:val="center"/>
          </w:tcPr>
          <w:p w14:paraId="4AABDFBB" w14:textId="417832C9" w:rsidR="00C419BF" w:rsidRPr="00E26D69" w:rsidRDefault="00C419BF" w:rsidP="002B29C7">
            <w:pPr>
              <w:spacing w:line="276" w:lineRule="auto"/>
              <w:jc w:val="center"/>
              <w:rPr>
                <w:rFonts w:ascii="Arial" w:eastAsia="Calibri" w:hAnsi="Arial" w:cs="Arial"/>
                <w:lang w:eastAsia="en-US"/>
              </w:rPr>
            </w:pPr>
            <w:r w:rsidRPr="00E26D69">
              <w:rPr>
                <w:rFonts w:ascii="Arial" w:eastAsia="Calibri" w:hAnsi="Arial" w:cs="Arial"/>
                <w:lang w:eastAsia="en-US"/>
              </w:rPr>
              <w:t>1,2</w:t>
            </w:r>
            <w:r>
              <w:rPr>
                <w:rFonts w:ascii="Arial" w:eastAsia="Calibri" w:hAnsi="Arial" w:cs="Arial"/>
                <w:lang w:eastAsia="en-US"/>
              </w:rPr>
              <w:t>66</w:t>
            </w:r>
          </w:p>
        </w:tc>
        <w:tc>
          <w:tcPr>
            <w:tcW w:w="2268" w:type="dxa"/>
            <w:tcBorders>
              <w:top w:val="single" w:sz="4" w:space="0" w:color="auto"/>
              <w:left w:val="single" w:sz="4" w:space="0" w:color="auto"/>
              <w:bottom w:val="nil"/>
              <w:right w:val="single" w:sz="4" w:space="0" w:color="auto"/>
            </w:tcBorders>
            <w:vAlign w:val="center"/>
          </w:tcPr>
          <w:p w14:paraId="721F7BAA" w14:textId="3A739C26"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42,270</w:t>
            </w:r>
          </w:p>
        </w:tc>
        <w:tc>
          <w:tcPr>
            <w:tcW w:w="2268" w:type="dxa"/>
            <w:tcBorders>
              <w:top w:val="single" w:sz="4" w:space="0" w:color="auto"/>
              <w:left w:val="single" w:sz="4" w:space="0" w:color="auto"/>
              <w:bottom w:val="nil"/>
              <w:right w:val="single" w:sz="4" w:space="0" w:color="auto"/>
            </w:tcBorders>
            <w:vAlign w:val="center"/>
          </w:tcPr>
          <w:p w14:paraId="3CD820B8" w14:textId="56D3B01C"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50</w:t>
            </w:r>
          </w:p>
        </w:tc>
      </w:tr>
      <w:tr w:rsidR="00863090" w:rsidRPr="00E26D69" w14:paraId="6CEF27EA" w14:textId="77777777" w:rsidTr="001B5F52">
        <w:trPr>
          <w:trHeight w:val="454"/>
        </w:trPr>
        <w:tc>
          <w:tcPr>
            <w:tcW w:w="2647" w:type="dxa"/>
            <w:tcBorders>
              <w:top w:val="nil"/>
              <w:left w:val="single" w:sz="4" w:space="0" w:color="auto"/>
              <w:bottom w:val="nil"/>
              <w:right w:val="single" w:sz="4" w:space="0" w:color="auto"/>
            </w:tcBorders>
            <w:shd w:val="clear" w:color="auto" w:fill="EAF1DD" w:themeFill="accent3" w:themeFillTint="33"/>
            <w:vAlign w:val="center"/>
          </w:tcPr>
          <w:p w14:paraId="2772A069" w14:textId="77777777" w:rsidR="00C419BF" w:rsidRPr="00E26D69" w:rsidRDefault="00C419BF" w:rsidP="002B29C7">
            <w:pPr>
              <w:spacing w:line="276" w:lineRule="auto"/>
              <w:rPr>
                <w:rFonts w:ascii="Arial" w:eastAsia="Calibri" w:hAnsi="Arial" w:cs="Arial"/>
                <w:lang w:eastAsia="en-US"/>
              </w:rPr>
            </w:pPr>
            <w:r w:rsidRPr="00E26D69">
              <w:rPr>
                <w:rFonts w:ascii="Arial" w:eastAsia="Calibri" w:hAnsi="Arial" w:cs="Arial"/>
                <w:lang w:eastAsia="en-US"/>
              </w:rPr>
              <w:t>Deferred pensioners</w:t>
            </w:r>
          </w:p>
        </w:tc>
        <w:tc>
          <w:tcPr>
            <w:tcW w:w="2268" w:type="dxa"/>
            <w:tcBorders>
              <w:top w:val="nil"/>
              <w:left w:val="single" w:sz="4" w:space="0" w:color="auto"/>
              <w:bottom w:val="nil"/>
              <w:right w:val="single" w:sz="4" w:space="0" w:color="auto"/>
            </w:tcBorders>
            <w:vAlign w:val="center"/>
          </w:tcPr>
          <w:p w14:paraId="73809A2F" w14:textId="4B889418"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816</w:t>
            </w:r>
          </w:p>
        </w:tc>
        <w:tc>
          <w:tcPr>
            <w:tcW w:w="2268" w:type="dxa"/>
            <w:tcBorders>
              <w:top w:val="nil"/>
              <w:left w:val="single" w:sz="4" w:space="0" w:color="auto"/>
              <w:bottom w:val="nil"/>
              <w:right w:val="single" w:sz="4" w:space="0" w:color="auto"/>
            </w:tcBorders>
            <w:vAlign w:val="center"/>
          </w:tcPr>
          <w:p w14:paraId="6F37065F" w14:textId="4F3C728B" w:rsidR="00C419BF" w:rsidRPr="00E26D69" w:rsidRDefault="00C419BF" w:rsidP="002B29C7">
            <w:pPr>
              <w:spacing w:line="276" w:lineRule="auto"/>
              <w:jc w:val="center"/>
              <w:rPr>
                <w:rFonts w:ascii="Arial" w:eastAsia="Calibri" w:hAnsi="Arial" w:cs="Arial"/>
                <w:lang w:eastAsia="en-US"/>
              </w:rPr>
            </w:pPr>
            <w:r w:rsidRPr="00E26D69">
              <w:rPr>
                <w:rFonts w:ascii="Arial" w:eastAsia="Calibri" w:hAnsi="Arial" w:cs="Arial"/>
                <w:lang w:eastAsia="en-US"/>
              </w:rPr>
              <w:t>2,</w:t>
            </w:r>
            <w:r>
              <w:rPr>
                <w:rFonts w:ascii="Arial" w:eastAsia="Calibri" w:hAnsi="Arial" w:cs="Arial"/>
                <w:lang w:eastAsia="en-US"/>
              </w:rPr>
              <w:t>951</w:t>
            </w:r>
          </w:p>
        </w:tc>
        <w:tc>
          <w:tcPr>
            <w:tcW w:w="2268" w:type="dxa"/>
            <w:tcBorders>
              <w:top w:val="nil"/>
              <w:left w:val="single" w:sz="4" w:space="0" w:color="auto"/>
              <w:bottom w:val="nil"/>
              <w:right w:val="single" w:sz="4" w:space="0" w:color="auto"/>
            </w:tcBorders>
            <w:vAlign w:val="center"/>
          </w:tcPr>
          <w:p w14:paraId="2CFC4E2B" w14:textId="39385DB5"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50</w:t>
            </w:r>
          </w:p>
        </w:tc>
      </w:tr>
      <w:tr w:rsidR="00863090" w:rsidRPr="00E26D69" w14:paraId="14F9F5AF" w14:textId="77777777" w:rsidTr="001B5F52">
        <w:trPr>
          <w:trHeight w:val="454"/>
        </w:trPr>
        <w:tc>
          <w:tcPr>
            <w:tcW w:w="2647"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2DDB3FCF" w14:textId="77777777" w:rsidR="00C419BF" w:rsidRPr="00E26D69" w:rsidRDefault="00C419BF" w:rsidP="002B29C7">
            <w:pPr>
              <w:spacing w:line="276" w:lineRule="auto"/>
              <w:rPr>
                <w:rFonts w:ascii="Arial" w:eastAsia="Calibri" w:hAnsi="Arial" w:cs="Arial"/>
                <w:lang w:eastAsia="en-US"/>
              </w:rPr>
            </w:pPr>
            <w:r w:rsidRPr="00E26D69">
              <w:rPr>
                <w:rFonts w:ascii="Arial" w:eastAsia="Calibri" w:hAnsi="Arial" w:cs="Arial"/>
                <w:lang w:eastAsia="en-US"/>
              </w:rPr>
              <w:t>Pensioners</w:t>
            </w:r>
          </w:p>
        </w:tc>
        <w:tc>
          <w:tcPr>
            <w:tcW w:w="2268" w:type="dxa"/>
            <w:tcBorders>
              <w:top w:val="nil"/>
              <w:left w:val="single" w:sz="4" w:space="0" w:color="auto"/>
              <w:bottom w:val="single" w:sz="4" w:space="0" w:color="auto"/>
              <w:right w:val="single" w:sz="4" w:space="0" w:color="auto"/>
            </w:tcBorders>
            <w:vAlign w:val="center"/>
          </w:tcPr>
          <w:p w14:paraId="4F2BAF28" w14:textId="66ED1D1F"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421</w:t>
            </w:r>
          </w:p>
        </w:tc>
        <w:tc>
          <w:tcPr>
            <w:tcW w:w="2268" w:type="dxa"/>
            <w:tcBorders>
              <w:top w:val="nil"/>
              <w:left w:val="single" w:sz="4" w:space="0" w:color="auto"/>
              <w:bottom w:val="single" w:sz="4" w:space="0" w:color="auto"/>
              <w:right w:val="single" w:sz="4" w:space="0" w:color="auto"/>
            </w:tcBorders>
            <w:vAlign w:val="center"/>
          </w:tcPr>
          <w:p w14:paraId="37970C47" w14:textId="1924D27D" w:rsidR="00C419BF" w:rsidRPr="00E26D69" w:rsidRDefault="00C419BF" w:rsidP="002B29C7">
            <w:pPr>
              <w:spacing w:line="276" w:lineRule="auto"/>
              <w:jc w:val="center"/>
              <w:rPr>
                <w:rFonts w:ascii="Arial" w:eastAsia="Calibri" w:hAnsi="Arial" w:cs="Arial"/>
                <w:lang w:eastAsia="en-US"/>
              </w:rPr>
            </w:pPr>
            <w:r>
              <w:rPr>
                <w:rFonts w:ascii="Arial" w:eastAsia="Calibri" w:hAnsi="Arial" w:cs="Arial"/>
                <w:lang w:eastAsia="en-US"/>
              </w:rPr>
              <w:t>5,198</w:t>
            </w:r>
          </w:p>
        </w:tc>
        <w:tc>
          <w:tcPr>
            <w:tcW w:w="2268" w:type="dxa"/>
            <w:tcBorders>
              <w:top w:val="nil"/>
              <w:left w:val="single" w:sz="4" w:space="0" w:color="auto"/>
              <w:bottom w:val="single" w:sz="4" w:space="0" w:color="auto"/>
              <w:right w:val="single" w:sz="4" w:space="0" w:color="auto"/>
            </w:tcBorders>
            <w:vAlign w:val="center"/>
          </w:tcPr>
          <w:p w14:paraId="38BEE2B3" w14:textId="51E87127" w:rsidR="00C419BF" w:rsidRPr="00E26D69" w:rsidRDefault="00C419BF" w:rsidP="002B29C7">
            <w:pPr>
              <w:spacing w:line="276" w:lineRule="auto"/>
              <w:jc w:val="center"/>
              <w:rPr>
                <w:rFonts w:ascii="Arial" w:eastAsia="Calibri" w:hAnsi="Arial" w:cs="Arial"/>
                <w:lang w:eastAsia="en-US"/>
              </w:rPr>
            </w:pPr>
            <w:r w:rsidRPr="00E26D69">
              <w:rPr>
                <w:rFonts w:ascii="Arial" w:eastAsia="Calibri" w:hAnsi="Arial" w:cs="Arial"/>
                <w:lang w:eastAsia="en-US"/>
              </w:rPr>
              <w:t>6</w:t>
            </w:r>
            <w:r>
              <w:rPr>
                <w:rFonts w:ascii="Arial" w:eastAsia="Calibri" w:hAnsi="Arial" w:cs="Arial"/>
                <w:lang w:eastAsia="en-US"/>
              </w:rPr>
              <w:t>6</w:t>
            </w:r>
          </w:p>
        </w:tc>
      </w:tr>
    </w:tbl>
    <w:p w14:paraId="2E1BE255" w14:textId="77777777" w:rsidR="00DC277C" w:rsidRPr="00E26D69" w:rsidRDefault="00DC277C" w:rsidP="00F51525">
      <w:pPr>
        <w:jc w:val="both"/>
        <w:rPr>
          <w:rFonts w:ascii="Arial" w:hAnsi="Arial" w:cs="Arial"/>
          <w:color w:val="000000"/>
        </w:rPr>
      </w:pPr>
    </w:p>
    <w:p w14:paraId="38EA926C" w14:textId="4316580F" w:rsidR="00420E4B" w:rsidRDefault="00420E4B" w:rsidP="00A55DFD">
      <w:pPr>
        <w:spacing w:line="360" w:lineRule="auto"/>
        <w:ind w:left="-284"/>
        <w:jc w:val="both"/>
        <w:rPr>
          <w:rFonts w:ascii="Arial" w:hAnsi="Arial" w:cs="Arial"/>
          <w:bCs/>
          <w:color w:val="000000"/>
        </w:rPr>
      </w:pPr>
      <w:r w:rsidRPr="00E654D5">
        <w:rPr>
          <w:rFonts w:ascii="Arial" w:hAnsi="Arial" w:cs="Arial"/>
          <w:bCs/>
          <w:color w:val="000000"/>
        </w:rPr>
        <w:t xml:space="preserve">The membership </w:t>
      </w:r>
      <w:r w:rsidR="00F61F92" w:rsidRPr="00E654D5">
        <w:rPr>
          <w:rFonts w:ascii="Arial" w:hAnsi="Arial" w:cs="Arial"/>
          <w:bCs/>
          <w:color w:val="000000"/>
        </w:rPr>
        <w:t xml:space="preserve">data summarised in the table </w:t>
      </w:r>
      <w:r w:rsidR="008C3C18" w:rsidRPr="00E654D5">
        <w:rPr>
          <w:rFonts w:ascii="Arial" w:hAnsi="Arial" w:cs="Arial"/>
          <w:bCs/>
          <w:color w:val="000000"/>
        </w:rPr>
        <w:t>above is at</w:t>
      </w:r>
      <w:r w:rsidR="00087C54" w:rsidRPr="00E654D5">
        <w:rPr>
          <w:rFonts w:ascii="Arial" w:hAnsi="Arial" w:cs="Arial"/>
          <w:bCs/>
          <w:color w:val="000000"/>
        </w:rPr>
        <w:t xml:space="preserve"> the most recent </w:t>
      </w:r>
      <w:r w:rsidR="00527983" w:rsidRPr="00E654D5">
        <w:rPr>
          <w:rFonts w:ascii="Arial" w:hAnsi="Arial" w:cs="Arial"/>
          <w:bCs/>
          <w:color w:val="000000"/>
        </w:rPr>
        <w:t>fu</w:t>
      </w:r>
      <w:r w:rsidR="001D7922" w:rsidRPr="00E654D5">
        <w:rPr>
          <w:rFonts w:ascii="Arial" w:hAnsi="Arial" w:cs="Arial"/>
          <w:bCs/>
          <w:color w:val="000000"/>
        </w:rPr>
        <w:t>nding valuation date of 31 March 2020</w:t>
      </w:r>
      <w:r w:rsidR="0010782D">
        <w:rPr>
          <w:rFonts w:ascii="Arial" w:hAnsi="Arial" w:cs="Arial"/>
          <w:bCs/>
          <w:color w:val="000000"/>
        </w:rPr>
        <w:t>.</w:t>
      </w:r>
    </w:p>
    <w:p w14:paraId="2C988909" w14:textId="77777777" w:rsidR="009F63EC" w:rsidRDefault="009F63EC" w:rsidP="00A55DFD">
      <w:pPr>
        <w:spacing w:line="360" w:lineRule="auto"/>
        <w:ind w:left="-284"/>
        <w:jc w:val="both"/>
        <w:rPr>
          <w:rFonts w:ascii="Arial" w:hAnsi="Arial" w:cs="Arial"/>
          <w:bCs/>
          <w:color w:val="000000"/>
        </w:rPr>
      </w:pPr>
    </w:p>
    <w:p w14:paraId="618C092A" w14:textId="3FCEC2C3" w:rsidR="009F63EC" w:rsidRDefault="009F63EC" w:rsidP="00A55DFD">
      <w:pPr>
        <w:spacing w:line="360" w:lineRule="auto"/>
        <w:ind w:left="-284"/>
        <w:jc w:val="both"/>
        <w:rPr>
          <w:rFonts w:ascii="Arial" w:hAnsi="Arial" w:cs="Arial"/>
          <w:bCs/>
          <w:color w:val="000000"/>
        </w:rPr>
      </w:pPr>
      <w:r>
        <w:rPr>
          <w:rFonts w:ascii="Arial" w:hAnsi="Arial" w:cs="Arial"/>
          <w:bCs/>
          <w:color w:val="000000"/>
        </w:rPr>
        <w:lastRenderedPageBreak/>
        <w:t>Payroll for the period 1</w:t>
      </w:r>
      <w:r w:rsidRPr="009F63EC">
        <w:rPr>
          <w:rFonts w:ascii="Arial" w:hAnsi="Arial" w:cs="Arial"/>
          <w:bCs/>
          <w:color w:val="000000"/>
          <w:vertAlign w:val="superscript"/>
        </w:rPr>
        <w:t>st</w:t>
      </w:r>
      <w:r>
        <w:rPr>
          <w:rFonts w:ascii="Arial" w:hAnsi="Arial" w:cs="Arial"/>
          <w:bCs/>
          <w:color w:val="000000"/>
        </w:rPr>
        <w:t xml:space="preserve"> April 2021 to 31</w:t>
      </w:r>
      <w:r w:rsidRPr="009F63EC">
        <w:rPr>
          <w:rFonts w:ascii="Arial" w:hAnsi="Arial" w:cs="Arial"/>
          <w:bCs/>
          <w:color w:val="000000"/>
          <w:vertAlign w:val="superscript"/>
        </w:rPr>
        <w:t>st</w:t>
      </w:r>
      <w:r>
        <w:rPr>
          <w:rFonts w:ascii="Arial" w:hAnsi="Arial" w:cs="Arial"/>
          <w:bCs/>
          <w:color w:val="000000"/>
        </w:rPr>
        <w:t xml:space="preserve"> March 2022 was £46.5m and </w:t>
      </w:r>
      <w:r w:rsidR="0077195C">
        <w:rPr>
          <w:rFonts w:ascii="Arial" w:hAnsi="Arial" w:cs="Arial"/>
          <w:bCs/>
          <w:color w:val="000000"/>
        </w:rPr>
        <w:t xml:space="preserve">the return on the fund </w:t>
      </w:r>
      <w:r w:rsidR="00C419BF">
        <w:rPr>
          <w:rFonts w:ascii="Arial" w:hAnsi="Arial" w:cs="Arial"/>
          <w:bCs/>
          <w:color w:val="000000"/>
        </w:rPr>
        <w:t>in market value terms for the period to 31 March 2022 was 13.1%</w:t>
      </w:r>
      <w:r w:rsidR="000C1C5D">
        <w:rPr>
          <w:rFonts w:ascii="Arial" w:hAnsi="Arial" w:cs="Arial"/>
          <w:bCs/>
          <w:color w:val="000000"/>
        </w:rPr>
        <w:t>.</w:t>
      </w:r>
    </w:p>
    <w:p w14:paraId="435568CA" w14:textId="77777777" w:rsidR="00420E4B" w:rsidRDefault="00420E4B" w:rsidP="00A55DFD">
      <w:pPr>
        <w:spacing w:line="360" w:lineRule="auto"/>
        <w:ind w:left="-284"/>
        <w:jc w:val="both"/>
        <w:rPr>
          <w:rFonts w:ascii="Arial" w:hAnsi="Arial" w:cs="Arial"/>
          <w:b/>
          <w:color w:val="000000"/>
        </w:rPr>
      </w:pPr>
    </w:p>
    <w:p w14:paraId="7D005A43" w14:textId="5CC9C347" w:rsidR="00E26D69" w:rsidRPr="00DC277C" w:rsidRDefault="00E26D69" w:rsidP="00A55DFD">
      <w:pPr>
        <w:spacing w:line="360" w:lineRule="auto"/>
        <w:ind w:left="-284"/>
        <w:jc w:val="both"/>
        <w:rPr>
          <w:rFonts w:ascii="Arial" w:hAnsi="Arial" w:cs="Arial"/>
          <w:b/>
          <w:color w:val="000000"/>
        </w:rPr>
      </w:pPr>
      <w:r w:rsidRPr="00C83ED4">
        <w:rPr>
          <w:rFonts w:ascii="Arial" w:hAnsi="Arial" w:cs="Arial"/>
          <w:b/>
          <w:color w:val="000000"/>
        </w:rPr>
        <w:t>Sensitivities</w:t>
      </w:r>
      <w:r w:rsidRPr="00E26D69">
        <w:rPr>
          <w:rFonts w:ascii="Arial" w:hAnsi="Arial" w:cs="Arial"/>
          <w:b/>
          <w:color w:val="000000"/>
        </w:rPr>
        <w:t xml:space="preserve"> </w:t>
      </w:r>
    </w:p>
    <w:p w14:paraId="692B4F78" w14:textId="6127B0FC" w:rsidR="00E26D69" w:rsidRDefault="00E26D69" w:rsidP="000845C9">
      <w:pPr>
        <w:spacing w:line="360" w:lineRule="auto"/>
        <w:ind w:left="-284" w:right="-568"/>
        <w:rPr>
          <w:rFonts w:ascii="Arial" w:hAnsi="Arial" w:cs="Arial"/>
          <w:bCs/>
        </w:rPr>
      </w:pPr>
      <w:r w:rsidRPr="00E26D69">
        <w:rPr>
          <w:rFonts w:ascii="Arial" w:hAnsi="Arial" w:cs="Arial"/>
          <w:bCs/>
        </w:rPr>
        <w:t xml:space="preserve">By the nature of assumptions or judgements, any change will have an impact on the value of the asset or liability reported in the annual accounts. The most significant financial impact arises from changes to assumptions used to calculate the pension deficit. </w:t>
      </w:r>
      <w:r w:rsidRPr="00E26D69">
        <w:rPr>
          <w:rFonts w:ascii="Arial" w:hAnsi="Arial" w:cs="Arial"/>
          <w:color w:val="000000"/>
        </w:rPr>
        <w:t>The sensitivities regarding the principal assumptions used to measure the scheme liabilities are set out below:</w:t>
      </w:r>
    </w:p>
    <w:p w14:paraId="4ABD987A" w14:textId="77777777" w:rsidR="003C4606" w:rsidRPr="003C4606" w:rsidRDefault="003C4606" w:rsidP="003C4606">
      <w:pPr>
        <w:spacing w:line="360" w:lineRule="auto"/>
        <w:ind w:right="-283"/>
        <w:rPr>
          <w:rFonts w:ascii="Arial" w:hAnsi="Arial" w:cs="Arial"/>
          <w:bCs/>
        </w:rPr>
      </w:pPr>
    </w:p>
    <w:tbl>
      <w:tblPr>
        <w:tblW w:w="10461" w:type="dxa"/>
        <w:tblInd w:w="-284" w:type="dxa"/>
        <w:shd w:val="clear" w:color="auto" w:fill="DAEEF3" w:themeFill="accent5" w:themeFillTint="33"/>
        <w:tblLook w:val="0000" w:firstRow="0" w:lastRow="0" w:firstColumn="0" w:lastColumn="0" w:noHBand="0" w:noVBand="0"/>
      </w:tblPr>
      <w:tblGrid>
        <w:gridCol w:w="5104"/>
        <w:gridCol w:w="2693"/>
        <w:gridCol w:w="2664"/>
      </w:tblGrid>
      <w:tr w:rsidR="005A4491" w:rsidRPr="00E26D69" w14:paraId="44BD01E5" w14:textId="77777777" w:rsidTr="00626AA7">
        <w:trPr>
          <w:trHeight w:val="397"/>
        </w:trPr>
        <w:tc>
          <w:tcPr>
            <w:tcW w:w="5104" w:type="dxa"/>
            <w:shd w:val="clear" w:color="auto" w:fill="EAF1DD" w:themeFill="accent3" w:themeFillTint="33"/>
            <w:vAlign w:val="bottom"/>
          </w:tcPr>
          <w:p w14:paraId="3D949998" w14:textId="48E27AE2" w:rsidR="00E26D69" w:rsidRPr="00956D90" w:rsidRDefault="00E26D69" w:rsidP="00B34FD5">
            <w:pPr>
              <w:rPr>
                <w:rFonts w:ascii="Arial" w:hAnsi="Arial" w:cs="Arial"/>
                <w:b/>
              </w:rPr>
            </w:pPr>
            <w:r w:rsidRPr="00956D90">
              <w:rPr>
                <w:rFonts w:ascii="Arial" w:hAnsi="Arial" w:cs="Arial"/>
                <w:b/>
              </w:rPr>
              <w:t>Change in assumption at 31 March 202</w:t>
            </w:r>
            <w:r w:rsidR="00386E25">
              <w:rPr>
                <w:rFonts w:ascii="Arial" w:hAnsi="Arial" w:cs="Arial"/>
                <w:b/>
              </w:rPr>
              <w:t>2</w:t>
            </w:r>
          </w:p>
        </w:tc>
        <w:tc>
          <w:tcPr>
            <w:tcW w:w="2693" w:type="dxa"/>
            <w:shd w:val="clear" w:color="auto" w:fill="EAF1DD" w:themeFill="accent3" w:themeFillTint="33"/>
          </w:tcPr>
          <w:p w14:paraId="08D51E62" w14:textId="58E1A575" w:rsidR="00E26D69" w:rsidRPr="00956D90" w:rsidRDefault="00E26D69" w:rsidP="00E942AC">
            <w:pPr>
              <w:ind w:left="-103" w:firstLine="3"/>
              <w:jc w:val="right"/>
              <w:rPr>
                <w:rFonts w:ascii="Arial" w:hAnsi="Arial" w:cs="Arial"/>
                <w:b/>
                <w:bCs/>
              </w:rPr>
            </w:pPr>
            <w:r w:rsidRPr="00956D90">
              <w:rPr>
                <w:rFonts w:ascii="Arial" w:hAnsi="Arial" w:cs="Arial"/>
                <w:b/>
                <w:bCs/>
              </w:rPr>
              <w:t>Approximate % increase in employers</w:t>
            </w:r>
            <w:r w:rsidR="00E44834" w:rsidRPr="00956D90">
              <w:rPr>
                <w:rFonts w:ascii="Arial" w:hAnsi="Arial" w:cs="Arial"/>
                <w:b/>
                <w:bCs/>
              </w:rPr>
              <w:t>’</w:t>
            </w:r>
            <w:r w:rsidRPr="00956D90">
              <w:rPr>
                <w:rFonts w:ascii="Arial" w:hAnsi="Arial" w:cs="Arial"/>
                <w:b/>
                <w:bCs/>
              </w:rPr>
              <w:t xml:space="preserve"> liability</w:t>
            </w:r>
          </w:p>
        </w:tc>
        <w:tc>
          <w:tcPr>
            <w:tcW w:w="2664" w:type="dxa"/>
            <w:shd w:val="clear" w:color="auto" w:fill="EAF1DD" w:themeFill="accent3" w:themeFillTint="33"/>
          </w:tcPr>
          <w:p w14:paraId="72FB57FC" w14:textId="6A1B5B5E" w:rsidR="00E26D69" w:rsidRPr="00956D90" w:rsidRDefault="00E26D69" w:rsidP="00E44834">
            <w:pPr>
              <w:jc w:val="right"/>
              <w:rPr>
                <w:rFonts w:ascii="Arial" w:hAnsi="Arial" w:cs="Arial"/>
                <w:b/>
                <w:bCs/>
              </w:rPr>
            </w:pPr>
            <w:r w:rsidRPr="00956D90">
              <w:rPr>
                <w:rFonts w:ascii="Arial" w:hAnsi="Arial" w:cs="Arial"/>
                <w:b/>
                <w:bCs/>
              </w:rPr>
              <w:t>Approximate monetary amount</w:t>
            </w:r>
          </w:p>
          <w:p w14:paraId="368D2161" w14:textId="77777777" w:rsidR="00B34FD5" w:rsidRPr="00956D90" w:rsidRDefault="00B34FD5" w:rsidP="00E44834">
            <w:pPr>
              <w:jc w:val="right"/>
              <w:rPr>
                <w:rFonts w:ascii="Arial" w:hAnsi="Arial" w:cs="Arial"/>
                <w:b/>
                <w:bCs/>
              </w:rPr>
            </w:pPr>
          </w:p>
          <w:p w14:paraId="2F6B5C34" w14:textId="77777777" w:rsidR="00E26D69" w:rsidRPr="00956D90" w:rsidRDefault="00E26D69" w:rsidP="00E44834">
            <w:pPr>
              <w:jc w:val="right"/>
              <w:rPr>
                <w:rFonts w:ascii="Arial" w:hAnsi="Arial" w:cs="Arial"/>
                <w:b/>
                <w:bCs/>
              </w:rPr>
            </w:pPr>
            <w:r w:rsidRPr="00956D90">
              <w:rPr>
                <w:rFonts w:ascii="Arial" w:hAnsi="Arial" w:cs="Arial"/>
                <w:b/>
                <w:bCs/>
              </w:rPr>
              <w:t>£’000</w:t>
            </w:r>
          </w:p>
        </w:tc>
      </w:tr>
      <w:tr w:rsidR="005A4491" w:rsidRPr="00E26D69" w14:paraId="2CE3A14E" w14:textId="77777777" w:rsidTr="00626AA7">
        <w:trPr>
          <w:trHeight w:val="454"/>
        </w:trPr>
        <w:tc>
          <w:tcPr>
            <w:tcW w:w="5104" w:type="dxa"/>
            <w:shd w:val="clear" w:color="auto" w:fill="EAF1DD" w:themeFill="accent3" w:themeFillTint="33"/>
            <w:vAlign w:val="bottom"/>
          </w:tcPr>
          <w:p w14:paraId="21FE8137" w14:textId="4EFE89AB" w:rsidR="00E26D69" w:rsidRPr="00956D90" w:rsidRDefault="00E26D69" w:rsidP="00B34FD5">
            <w:pPr>
              <w:rPr>
                <w:rFonts w:ascii="Arial" w:hAnsi="Arial" w:cs="Arial"/>
              </w:rPr>
            </w:pPr>
            <w:r w:rsidRPr="00956D90">
              <w:rPr>
                <w:rFonts w:ascii="Arial" w:hAnsi="Arial" w:cs="Arial"/>
              </w:rPr>
              <w:t>0.</w:t>
            </w:r>
            <w:r w:rsidR="00242039" w:rsidRPr="00956D90">
              <w:rPr>
                <w:rFonts w:ascii="Arial" w:hAnsi="Arial" w:cs="Arial"/>
              </w:rPr>
              <w:t>1</w:t>
            </w:r>
            <w:r w:rsidRPr="00956D90">
              <w:rPr>
                <w:rFonts w:ascii="Arial" w:hAnsi="Arial" w:cs="Arial"/>
              </w:rPr>
              <w:t>% decrease in real discount rate</w:t>
            </w:r>
          </w:p>
        </w:tc>
        <w:tc>
          <w:tcPr>
            <w:tcW w:w="2693" w:type="dxa"/>
            <w:shd w:val="clear" w:color="auto" w:fill="EAF1DD" w:themeFill="accent3" w:themeFillTint="33"/>
            <w:vAlign w:val="bottom"/>
          </w:tcPr>
          <w:p w14:paraId="3BAFD859" w14:textId="6D282DE8" w:rsidR="00E26D69" w:rsidRPr="00956D90" w:rsidRDefault="00242039" w:rsidP="00E942AC">
            <w:pPr>
              <w:jc w:val="right"/>
              <w:rPr>
                <w:rFonts w:ascii="Arial" w:hAnsi="Arial" w:cs="Arial"/>
              </w:rPr>
            </w:pPr>
            <w:r w:rsidRPr="00956D90">
              <w:rPr>
                <w:rFonts w:ascii="Arial" w:hAnsi="Arial" w:cs="Arial"/>
              </w:rPr>
              <w:t>2</w:t>
            </w:r>
          </w:p>
        </w:tc>
        <w:tc>
          <w:tcPr>
            <w:tcW w:w="2664" w:type="dxa"/>
            <w:shd w:val="clear" w:color="auto" w:fill="EAF1DD" w:themeFill="accent3" w:themeFillTint="33"/>
            <w:vAlign w:val="bottom"/>
          </w:tcPr>
          <w:p w14:paraId="640B9F1A" w14:textId="7F7828A0" w:rsidR="00E26D69" w:rsidRPr="00956D90" w:rsidRDefault="00242039" w:rsidP="00E44834">
            <w:pPr>
              <w:jc w:val="right"/>
              <w:rPr>
                <w:rFonts w:ascii="Arial" w:hAnsi="Arial" w:cs="Arial"/>
              </w:rPr>
            </w:pPr>
            <w:r w:rsidRPr="00956D90">
              <w:rPr>
                <w:rFonts w:ascii="Arial" w:hAnsi="Arial" w:cs="Arial"/>
              </w:rPr>
              <w:t>12,</w:t>
            </w:r>
            <w:r w:rsidR="00CE583A">
              <w:rPr>
                <w:rFonts w:ascii="Arial" w:hAnsi="Arial" w:cs="Arial"/>
              </w:rPr>
              <w:t>377</w:t>
            </w:r>
          </w:p>
        </w:tc>
      </w:tr>
      <w:tr w:rsidR="005A4491" w:rsidRPr="00E26D69" w14:paraId="4D395610" w14:textId="77777777" w:rsidTr="00626AA7">
        <w:trPr>
          <w:trHeight w:val="454"/>
        </w:trPr>
        <w:tc>
          <w:tcPr>
            <w:tcW w:w="5104" w:type="dxa"/>
            <w:shd w:val="clear" w:color="auto" w:fill="EAF1DD" w:themeFill="accent3" w:themeFillTint="33"/>
            <w:vAlign w:val="bottom"/>
          </w:tcPr>
          <w:p w14:paraId="33B006A7" w14:textId="61E71823" w:rsidR="00E26D69" w:rsidRPr="00956D90" w:rsidRDefault="00E26D69" w:rsidP="00B34FD5">
            <w:pPr>
              <w:rPr>
                <w:rFonts w:ascii="Arial" w:hAnsi="Arial" w:cs="Arial"/>
              </w:rPr>
            </w:pPr>
            <w:r w:rsidRPr="00956D90">
              <w:rPr>
                <w:rFonts w:ascii="Arial" w:hAnsi="Arial" w:cs="Arial"/>
              </w:rPr>
              <w:t>0.</w:t>
            </w:r>
            <w:r w:rsidR="00242039" w:rsidRPr="00956D90">
              <w:rPr>
                <w:rFonts w:ascii="Arial" w:hAnsi="Arial" w:cs="Arial"/>
              </w:rPr>
              <w:t>1</w:t>
            </w:r>
            <w:r w:rsidRPr="00956D90">
              <w:rPr>
                <w:rFonts w:ascii="Arial" w:hAnsi="Arial" w:cs="Arial"/>
              </w:rPr>
              <w:t>% increase in salary increase rate</w:t>
            </w:r>
          </w:p>
        </w:tc>
        <w:tc>
          <w:tcPr>
            <w:tcW w:w="2693" w:type="dxa"/>
            <w:shd w:val="clear" w:color="auto" w:fill="EAF1DD" w:themeFill="accent3" w:themeFillTint="33"/>
            <w:vAlign w:val="bottom"/>
          </w:tcPr>
          <w:p w14:paraId="02FBFBEE" w14:textId="5CD15A25" w:rsidR="00E26D69" w:rsidRPr="00956D90" w:rsidRDefault="00242039" w:rsidP="00E942AC">
            <w:pPr>
              <w:jc w:val="right"/>
              <w:rPr>
                <w:rFonts w:ascii="Arial" w:hAnsi="Arial" w:cs="Arial"/>
              </w:rPr>
            </w:pPr>
            <w:r w:rsidRPr="00956D90">
              <w:rPr>
                <w:rFonts w:ascii="Arial" w:hAnsi="Arial" w:cs="Arial"/>
              </w:rPr>
              <w:t>0</w:t>
            </w:r>
          </w:p>
        </w:tc>
        <w:tc>
          <w:tcPr>
            <w:tcW w:w="2664" w:type="dxa"/>
            <w:shd w:val="clear" w:color="auto" w:fill="EAF1DD" w:themeFill="accent3" w:themeFillTint="33"/>
            <w:vAlign w:val="bottom"/>
          </w:tcPr>
          <w:p w14:paraId="17FC82F9" w14:textId="6AF03247" w:rsidR="00E26D69" w:rsidRPr="00956D90" w:rsidRDefault="00242039" w:rsidP="00E44834">
            <w:pPr>
              <w:jc w:val="right"/>
              <w:rPr>
                <w:rFonts w:ascii="Arial" w:hAnsi="Arial" w:cs="Arial"/>
              </w:rPr>
            </w:pPr>
            <w:r w:rsidRPr="00956D90">
              <w:rPr>
                <w:rFonts w:ascii="Arial" w:hAnsi="Arial" w:cs="Arial"/>
              </w:rPr>
              <w:t>1,</w:t>
            </w:r>
            <w:r w:rsidR="00CE583A">
              <w:rPr>
                <w:rFonts w:ascii="Arial" w:hAnsi="Arial" w:cs="Arial"/>
              </w:rPr>
              <w:t>805</w:t>
            </w:r>
          </w:p>
        </w:tc>
      </w:tr>
      <w:tr w:rsidR="005A4491" w:rsidRPr="00E26D69" w14:paraId="1C2E1AE3" w14:textId="77777777" w:rsidTr="00626AA7">
        <w:trPr>
          <w:trHeight w:val="454"/>
        </w:trPr>
        <w:tc>
          <w:tcPr>
            <w:tcW w:w="5104" w:type="dxa"/>
            <w:shd w:val="clear" w:color="auto" w:fill="EAF1DD" w:themeFill="accent3" w:themeFillTint="33"/>
            <w:vAlign w:val="bottom"/>
          </w:tcPr>
          <w:p w14:paraId="2BA778DC" w14:textId="58E53B7E" w:rsidR="00E26D69" w:rsidRPr="00956D90" w:rsidRDefault="00E26D69" w:rsidP="00B34FD5">
            <w:pPr>
              <w:rPr>
                <w:rFonts w:ascii="Arial" w:hAnsi="Arial" w:cs="Arial"/>
              </w:rPr>
            </w:pPr>
            <w:r w:rsidRPr="00956D90">
              <w:rPr>
                <w:rFonts w:ascii="Arial" w:hAnsi="Arial" w:cs="Arial"/>
              </w:rPr>
              <w:t>0.</w:t>
            </w:r>
            <w:r w:rsidR="00242039" w:rsidRPr="00956D90">
              <w:rPr>
                <w:rFonts w:ascii="Arial" w:hAnsi="Arial" w:cs="Arial"/>
              </w:rPr>
              <w:t>1</w:t>
            </w:r>
            <w:r w:rsidRPr="00956D90">
              <w:rPr>
                <w:rFonts w:ascii="Arial" w:hAnsi="Arial" w:cs="Arial"/>
              </w:rPr>
              <w:t>% increase in pension increase rate</w:t>
            </w:r>
          </w:p>
        </w:tc>
        <w:tc>
          <w:tcPr>
            <w:tcW w:w="2693" w:type="dxa"/>
            <w:shd w:val="clear" w:color="auto" w:fill="EAF1DD" w:themeFill="accent3" w:themeFillTint="33"/>
            <w:vAlign w:val="bottom"/>
          </w:tcPr>
          <w:p w14:paraId="52D4499E" w14:textId="52DE6CEB" w:rsidR="00E26D69" w:rsidRPr="00956D90" w:rsidRDefault="00242039" w:rsidP="00E942AC">
            <w:pPr>
              <w:jc w:val="right"/>
              <w:rPr>
                <w:rFonts w:ascii="Arial" w:hAnsi="Arial" w:cs="Arial"/>
              </w:rPr>
            </w:pPr>
            <w:r w:rsidRPr="00956D90">
              <w:rPr>
                <w:rFonts w:ascii="Arial" w:hAnsi="Arial" w:cs="Arial"/>
              </w:rPr>
              <w:t>2</w:t>
            </w:r>
          </w:p>
        </w:tc>
        <w:tc>
          <w:tcPr>
            <w:tcW w:w="2664" w:type="dxa"/>
            <w:shd w:val="clear" w:color="auto" w:fill="EAF1DD" w:themeFill="accent3" w:themeFillTint="33"/>
            <w:vAlign w:val="bottom"/>
          </w:tcPr>
          <w:p w14:paraId="351906FE" w14:textId="0EFF7BBB" w:rsidR="00E26D69" w:rsidRPr="00956D90" w:rsidRDefault="00242039" w:rsidP="00E44834">
            <w:pPr>
              <w:jc w:val="right"/>
              <w:rPr>
                <w:rFonts w:ascii="Arial" w:hAnsi="Arial" w:cs="Arial"/>
              </w:rPr>
            </w:pPr>
            <w:r w:rsidRPr="00956D90">
              <w:rPr>
                <w:rFonts w:ascii="Arial" w:hAnsi="Arial" w:cs="Arial"/>
              </w:rPr>
              <w:t>10,4</w:t>
            </w:r>
            <w:r w:rsidR="00CE583A">
              <w:rPr>
                <w:rFonts w:ascii="Arial" w:hAnsi="Arial" w:cs="Arial"/>
              </w:rPr>
              <w:t>64</w:t>
            </w:r>
          </w:p>
        </w:tc>
      </w:tr>
      <w:tr w:rsidR="005A4491" w:rsidRPr="00E26D69" w14:paraId="1EF5B030" w14:textId="77777777" w:rsidTr="00626AA7">
        <w:trPr>
          <w:trHeight w:val="454"/>
        </w:trPr>
        <w:tc>
          <w:tcPr>
            <w:tcW w:w="5104" w:type="dxa"/>
            <w:shd w:val="clear" w:color="auto" w:fill="EAF1DD" w:themeFill="accent3" w:themeFillTint="33"/>
            <w:vAlign w:val="bottom"/>
          </w:tcPr>
          <w:p w14:paraId="21FE87D4" w14:textId="2D909A9C" w:rsidR="00242039" w:rsidRPr="00956D90" w:rsidRDefault="00242039" w:rsidP="00B34FD5">
            <w:pPr>
              <w:rPr>
                <w:rFonts w:ascii="Arial" w:hAnsi="Arial" w:cs="Arial"/>
              </w:rPr>
            </w:pPr>
            <w:r w:rsidRPr="00956D90">
              <w:rPr>
                <w:rFonts w:ascii="Arial" w:hAnsi="Arial" w:cs="Arial"/>
              </w:rPr>
              <w:t>1 year increase</w:t>
            </w:r>
            <w:r w:rsidR="00900667" w:rsidRPr="00956D90">
              <w:rPr>
                <w:rFonts w:ascii="Arial" w:hAnsi="Arial" w:cs="Arial"/>
              </w:rPr>
              <w:t xml:space="preserve"> in member life expectancy</w:t>
            </w:r>
          </w:p>
        </w:tc>
        <w:tc>
          <w:tcPr>
            <w:tcW w:w="2693" w:type="dxa"/>
            <w:shd w:val="clear" w:color="auto" w:fill="EAF1DD" w:themeFill="accent3" w:themeFillTint="33"/>
            <w:vAlign w:val="bottom"/>
          </w:tcPr>
          <w:p w14:paraId="3CAD8EE2" w14:textId="1F88136A" w:rsidR="00242039" w:rsidRPr="00956D90" w:rsidRDefault="00900667" w:rsidP="00E942AC">
            <w:pPr>
              <w:jc w:val="right"/>
              <w:rPr>
                <w:rFonts w:ascii="Arial" w:hAnsi="Arial" w:cs="Arial"/>
              </w:rPr>
            </w:pPr>
            <w:r w:rsidRPr="00956D90">
              <w:rPr>
                <w:rFonts w:ascii="Arial" w:hAnsi="Arial" w:cs="Arial"/>
              </w:rPr>
              <w:t>4</w:t>
            </w:r>
          </w:p>
        </w:tc>
        <w:tc>
          <w:tcPr>
            <w:tcW w:w="2664" w:type="dxa"/>
            <w:shd w:val="clear" w:color="auto" w:fill="EAF1DD" w:themeFill="accent3" w:themeFillTint="33"/>
            <w:vAlign w:val="bottom"/>
          </w:tcPr>
          <w:p w14:paraId="694F36C9" w14:textId="026959F4" w:rsidR="00242039" w:rsidRPr="00956D90" w:rsidRDefault="00900667" w:rsidP="00E44834">
            <w:pPr>
              <w:jc w:val="right"/>
              <w:rPr>
                <w:rFonts w:ascii="Arial" w:hAnsi="Arial" w:cs="Arial"/>
              </w:rPr>
            </w:pPr>
            <w:r w:rsidRPr="00956D90">
              <w:rPr>
                <w:rFonts w:ascii="Arial" w:hAnsi="Arial" w:cs="Arial"/>
              </w:rPr>
              <w:t>2</w:t>
            </w:r>
            <w:r w:rsidR="00CE583A">
              <w:rPr>
                <w:rFonts w:ascii="Arial" w:hAnsi="Arial" w:cs="Arial"/>
              </w:rPr>
              <w:t>1</w:t>
            </w:r>
            <w:r w:rsidRPr="00956D90">
              <w:rPr>
                <w:rFonts w:ascii="Arial" w:hAnsi="Arial" w:cs="Arial"/>
              </w:rPr>
              <w:t>,</w:t>
            </w:r>
            <w:r w:rsidR="00CE583A">
              <w:rPr>
                <w:rFonts w:ascii="Arial" w:hAnsi="Arial" w:cs="Arial"/>
              </w:rPr>
              <w:t>826</w:t>
            </w:r>
          </w:p>
        </w:tc>
      </w:tr>
    </w:tbl>
    <w:p w14:paraId="2626F130" w14:textId="77777777" w:rsidR="00D71C33" w:rsidRDefault="00D71C33" w:rsidP="00A55DFD">
      <w:pPr>
        <w:spacing w:line="360" w:lineRule="auto"/>
        <w:ind w:left="-284"/>
        <w:jc w:val="both"/>
        <w:rPr>
          <w:rFonts w:ascii="Arial" w:hAnsi="Arial" w:cs="Arial"/>
          <w:b/>
          <w:color w:val="000000"/>
        </w:rPr>
      </w:pPr>
    </w:p>
    <w:p w14:paraId="0BBD0EE2" w14:textId="77777777" w:rsidR="000845C9" w:rsidRDefault="000845C9" w:rsidP="000845C9">
      <w:pPr>
        <w:spacing w:line="360" w:lineRule="auto"/>
        <w:jc w:val="both"/>
        <w:rPr>
          <w:rFonts w:ascii="Arial" w:hAnsi="Arial" w:cs="Arial"/>
          <w:b/>
          <w:color w:val="000000"/>
        </w:rPr>
        <w:sectPr w:rsidR="000845C9" w:rsidSect="00425546">
          <w:pgSz w:w="11906" w:h="16838" w:code="9"/>
          <w:pgMar w:top="1418" w:right="1276" w:bottom="709" w:left="992" w:header="709" w:footer="709" w:gutter="0"/>
          <w:cols w:space="708"/>
          <w:docGrid w:linePitch="360"/>
        </w:sectPr>
      </w:pPr>
    </w:p>
    <w:p w14:paraId="1BD8F3AC" w14:textId="2D60927D" w:rsidR="00E26D69" w:rsidRPr="00E44834" w:rsidRDefault="00E26D69" w:rsidP="000845C9">
      <w:pPr>
        <w:spacing w:line="360" w:lineRule="auto"/>
        <w:ind w:left="-426"/>
        <w:jc w:val="both"/>
        <w:rPr>
          <w:rFonts w:ascii="Arial" w:hAnsi="Arial" w:cs="Arial"/>
          <w:b/>
          <w:color w:val="000000"/>
        </w:rPr>
      </w:pPr>
      <w:r w:rsidRPr="00956D90">
        <w:rPr>
          <w:rFonts w:ascii="Arial" w:hAnsi="Arial" w:cs="Arial"/>
          <w:b/>
          <w:color w:val="000000"/>
        </w:rPr>
        <w:lastRenderedPageBreak/>
        <w:t>Assets</w:t>
      </w:r>
    </w:p>
    <w:p w14:paraId="27BCF3CC" w14:textId="5E421931" w:rsidR="00B63891" w:rsidRDefault="00E26D69" w:rsidP="006223ED">
      <w:pPr>
        <w:spacing w:line="360" w:lineRule="auto"/>
        <w:ind w:left="-426" w:right="-710"/>
        <w:rPr>
          <w:rFonts w:ascii="Arial" w:hAnsi="Arial" w:cs="Arial"/>
          <w:color w:val="000000"/>
        </w:rPr>
      </w:pPr>
      <w:r w:rsidRPr="00E26D69">
        <w:rPr>
          <w:rFonts w:ascii="Arial" w:hAnsi="Arial" w:cs="Arial"/>
          <w:color w:val="000000"/>
        </w:rPr>
        <w:t xml:space="preserve">The asset values below are at bid value as required under IAS 19. </w:t>
      </w:r>
      <w:r w:rsidR="00732885">
        <w:rPr>
          <w:rFonts w:ascii="Arial" w:hAnsi="Arial" w:cs="Arial"/>
          <w:color w:val="000000"/>
        </w:rPr>
        <w:t>SEPA</w:t>
      </w:r>
      <w:r w:rsidR="0083719B">
        <w:rPr>
          <w:rFonts w:ascii="Arial" w:hAnsi="Arial" w:cs="Arial"/>
          <w:color w:val="000000"/>
        </w:rPr>
        <w:t>’s</w:t>
      </w:r>
      <w:r w:rsidR="00CD0572">
        <w:rPr>
          <w:rFonts w:ascii="Arial" w:hAnsi="Arial" w:cs="Arial"/>
          <w:color w:val="000000"/>
        </w:rPr>
        <w:t xml:space="preserve"> fair value of fund assets is approximately 13% of the </w:t>
      </w:r>
      <w:r w:rsidR="0083719B">
        <w:rPr>
          <w:rFonts w:ascii="Arial" w:hAnsi="Arial" w:cs="Arial"/>
          <w:color w:val="000000"/>
        </w:rPr>
        <w:t>total assets of the fund.</w:t>
      </w:r>
    </w:p>
    <w:p w14:paraId="6DC2CF87" w14:textId="77777777" w:rsidR="00E41F59" w:rsidRDefault="00E41F59" w:rsidP="00474FE9">
      <w:pPr>
        <w:pStyle w:val="Caption"/>
        <w:keepNext/>
        <w:spacing w:after="0" w:line="360" w:lineRule="auto"/>
        <w:ind w:left="-426"/>
        <w:rPr>
          <w:rFonts w:ascii="Arial" w:hAnsi="Arial" w:cs="Arial"/>
          <w:color w:val="000000" w:themeColor="text1"/>
          <w:sz w:val="24"/>
          <w:szCs w:val="24"/>
        </w:rPr>
      </w:pPr>
    </w:p>
    <w:p w14:paraId="431C87C3" w14:textId="5BA89757" w:rsidR="009D2864" w:rsidRPr="000845C9" w:rsidRDefault="00AF311F" w:rsidP="00474FE9">
      <w:pPr>
        <w:pStyle w:val="Caption"/>
        <w:keepNext/>
        <w:spacing w:after="0" w:line="360" w:lineRule="auto"/>
        <w:ind w:left="-426"/>
        <w:rPr>
          <w:rFonts w:ascii="Arial" w:hAnsi="Arial" w:cs="Arial"/>
          <w:color w:val="000000" w:themeColor="text1"/>
          <w:sz w:val="22"/>
          <w:szCs w:val="22"/>
        </w:rPr>
      </w:pPr>
      <w:r>
        <w:rPr>
          <w:rFonts w:ascii="Arial" w:hAnsi="Arial" w:cs="Arial"/>
          <w:color w:val="000000" w:themeColor="text1"/>
          <w:sz w:val="24"/>
          <w:szCs w:val="24"/>
        </w:rPr>
        <w:t>A</w:t>
      </w:r>
      <w:r w:rsidR="00F51525" w:rsidRPr="009D2864">
        <w:rPr>
          <w:rFonts w:ascii="Arial" w:hAnsi="Arial" w:cs="Arial"/>
          <w:color w:val="000000" w:themeColor="text1"/>
          <w:sz w:val="24"/>
          <w:szCs w:val="24"/>
        </w:rPr>
        <w:t xml:space="preserve">sset value </w:t>
      </w:r>
      <w:r w:rsidR="00C90814" w:rsidRPr="009D2864">
        <w:rPr>
          <w:rFonts w:ascii="Arial" w:hAnsi="Arial" w:cs="Arial"/>
          <w:color w:val="000000" w:themeColor="text1"/>
          <w:sz w:val="24"/>
          <w:szCs w:val="24"/>
        </w:rPr>
        <w:t>at</w:t>
      </w:r>
      <w:r w:rsidR="00F51525" w:rsidRPr="009D2864">
        <w:rPr>
          <w:rFonts w:ascii="Arial" w:hAnsi="Arial" w:cs="Arial"/>
          <w:color w:val="000000" w:themeColor="text1"/>
          <w:sz w:val="24"/>
          <w:szCs w:val="24"/>
        </w:rPr>
        <w:t xml:space="preserve"> 31 </w:t>
      </w:r>
      <w:r w:rsidR="00F51525" w:rsidRPr="000845C9">
        <w:rPr>
          <w:rFonts w:ascii="Arial" w:hAnsi="Arial" w:cs="Arial"/>
          <w:color w:val="000000" w:themeColor="text1"/>
          <w:sz w:val="22"/>
          <w:szCs w:val="22"/>
        </w:rPr>
        <w:t>March 20</w:t>
      </w:r>
      <w:r w:rsidR="000316F3" w:rsidRPr="000845C9">
        <w:rPr>
          <w:rFonts w:ascii="Arial" w:hAnsi="Arial" w:cs="Arial"/>
          <w:color w:val="000000" w:themeColor="text1"/>
          <w:sz w:val="22"/>
          <w:szCs w:val="22"/>
        </w:rPr>
        <w:t>2</w:t>
      </w:r>
      <w:r w:rsidR="00A34B36" w:rsidRPr="000845C9">
        <w:rPr>
          <w:rFonts w:ascii="Arial" w:hAnsi="Arial" w:cs="Arial"/>
          <w:color w:val="000000" w:themeColor="text1"/>
          <w:sz w:val="22"/>
          <w:szCs w:val="22"/>
        </w:rPr>
        <w:t>2</w:t>
      </w:r>
      <w:r w:rsidR="00F51525" w:rsidRPr="000845C9">
        <w:rPr>
          <w:rFonts w:ascii="Arial" w:hAnsi="Arial" w:cs="Arial"/>
          <w:color w:val="000000" w:themeColor="text1"/>
          <w:sz w:val="22"/>
          <w:szCs w:val="22"/>
        </w:rPr>
        <w:t xml:space="preserve"> and </w:t>
      </w:r>
      <w:r w:rsidR="000316F3" w:rsidRPr="000845C9">
        <w:rPr>
          <w:rFonts w:ascii="Arial" w:hAnsi="Arial" w:cs="Arial"/>
          <w:color w:val="000000" w:themeColor="text1"/>
          <w:sz w:val="22"/>
          <w:szCs w:val="22"/>
        </w:rPr>
        <w:t xml:space="preserve">31 March </w:t>
      </w:r>
      <w:r w:rsidR="00F51525" w:rsidRPr="000845C9">
        <w:rPr>
          <w:rFonts w:ascii="Arial" w:hAnsi="Arial" w:cs="Arial"/>
          <w:color w:val="000000" w:themeColor="text1"/>
          <w:sz w:val="22"/>
          <w:szCs w:val="22"/>
        </w:rPr>
        <w:t>202</w:t>
      </w:r>
      <w:r w:rsidRPr="000845C9">
        <w:rPr>
          <w:rFonts w:ascii="Arial" w:hAnsi="Arial" w:cs="Arial"/>
          <w:color w:val="000000" w:themeColor="text1"/>
          <w:sz w:val="22"/>
          <w:szCs w:val="22"/>
        </w:rPr>
        <w:t>1</w:t>
      </w:r>
    </w:p>
    <w:tbl>
      <w:tblPr>
        <w:tblW w:w="10923" w:type="dxa"/>
        <w:tblInd w:w="-436" w:type="dxa"/>
        <w:tblLook w:val="04A0" w:firstRow="1" w:lastRow="0" w:firstColumn="1" w:lastColumn="0" w:noHBand="0" w:noVBand="1"/>
      </w:tblPr>
      <w:tblGrid>
        <w:gridCol w:w="2616"/>
        <w:gridCol w:w="1060"/>
        <w:gridCol w:w="1186"/>
        <w:gridCol w:w="1012"/>
        <w:gridCol w:w="931"/>
        <w:gridCol w:w="7"/>
        <w:gridCol w:w="1060"/>
        <w:gridCol w:w="1137"/>
        <w:gridCol w:w="1084"/>
        <w:gridCol w:w="823"/>
        <w:gridCol w:w="7"/>
      </w:tblGrid>
      <w:tr w:rsidR="005A4491" w:rsidRPr="000845C9" w14:paraId="5A1B2368" w14:textId="77777777" w:rsidTr="006A56B7">
        <w:trPr>
          <w:gridAfter w:val="1"/>
          <w:wAfter w:w="7" w:type="dxa"/>
          <w:trHeight w:val="397"/>
        </w:trPr>
        <w:tc>
          <w:tcPr>
            <w:tcW w:w="2709" w:type="dxa"/>
            <w:vMerge w:val="restart"/>
            <w:tcBorders>
              <w:top w:val="single" w:sz="4" w:space="0" w:color="auto"/>
              <w:left w:val="single" w:sz="4" w:space="0" w:color="auto"/>
              <w:bottom w:val="single" w:sz="4" w:space="0" w:color="auto"/>
              <w:right w:val="single" w:sz="4" w:space="0" w:color="auto"/>
            </w:tcBorders>
            <w:vAlign w:val="bottom"/>
            <w:hideMark/>
          </w:tcPr>
          <w:p w14:paraId="3B4222AF" w14:textId="77777777" w:rsidR="00E26D69" w:rsidRPr="000845C9" w:rsidRDefault="00E26D69" w:rsidP="000F6BF5">
            <w:pPr>
              <w:rPr>
                <w:rFonts w:ascii="Arial" w:hAnsi="Arial" w:cs="Arial"/>
                <w:b/>
                <w:bCs/>
                <w:color w:val="000000"/>
                <w:sz w:val="22"/>
                <w:szCs w:val="22"/>
              </w:rPr>
            </w:pPr>
            <w:r w:rsidRPr="000845C9">
              <w:rPr>
                <w:rFonts w:ascii="Arial" w:hAnsi="Arial" w:cs="Arial"/>
                <w:b/>
                <w:bCs/>
                <w:color w:val="000000"/>
                <w:sz w:val="22"/>
                <w:szCs w:val="22"/>
              </w:rPr>
              <w:t>Asset category</w:t>
            </w:r>
          </w:p>
        </w:tc>
        <w:tc>
          <w:tcPr>
            <w:tcW w:w="4096"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3396924" w14:textId="41347033" w:rsidR="00E26D69" w:rsidRPr="000845C9" w:rsidRDefault="00C90814" w:rsidP="00E06400">
            <w:pPr>
              <w:jc w:val="center"/>
              <w:rPr>
                <w:rFonts w:ascii="Arial" w:hAnsi="Arial" w:cs="Arial"/>
                <w:b/>
                <w:bCs/>
                <w:color w:val="000000"/>
                <w:sz w:val="22"/>
                <w:szCs w:val="22"/>
              </w:rPr>
            </w:pPr>
            <w:r w:rsidRPr="000845C9">
              <w:rPr>
                <w:rFonts w:ascii="Arial" w:hAnsi="Arial" w:cs="Arial"/>
                <w:b/>
                <w:bCs/>
                <w:color w:val="000000"/>
                <w:sz w:val="22"/>
                <w:szCs w:val="22"/>
              </w:rPr>
              <w:t>At</w:t>
            </w:r>
            <w:r w:rsidR="00E26D69" w:rsidRPr="000845C9">
              <w:rPr>
                <w:rFonts w:ascii="Arial" w:hAnsi="Arial" w:cs="Arial"/>
                <w:b/>
                <w:bCs/>
                <w:color w:val="000000"/>
                <w:sz w:val="22"/>
                <w:szCs w:val="22"/>
              </w:rPr>
              <w:t xml:space="preserve"> 31</w:t>
            </w:r>
            <w:r w:rsidR="004339DD" w:rsidRPr="000845C9">
              <w:rPr>
                <w:rFonts w:ascii="Arial" w:hAnsi="Arial" w:cs="Arial"/>
                <w:b/>
                <w:bCs/>
                <w:color w:val="000000"/>
                <w:sz w:val="22"/>
                <w:szCs w:val="22"/>
              </w:rPr>
              <w:t xml:space="preserve"> </w:t>
            </w:r>
            <w:r w:rsidR="00E26D69" w:rsidRPr="000845C9">
              <w:rPr>
                <w:rFonts w:ascii="Arial" w:hAnsi="Arial" w:cs="Arial"/>
                <w:b/>
                <w:bCs/>
                <w:color w:val="000000"/>
                <w:sz w:val="22"/>
                <w:szCs w:val="22"/>
              </w:rPr>
              <w:t>March 202</w:t>
            </w:r>
            <w:r w:rsidR="005C381A" w:rsidRPr="000845C9">
              <w:rPr>
                <w:rFonts w:ascii="Arial" w:hAnsi="Arial" w:cs="Arial"/>
                <w:b/>
                <w:bCs/>
                <w:color w:val="000000"/>
                <w:sz w:val="22"/>
                <w:szCs w:val="22"/>
              </w:rPr>
              <w:t>2</w:t>
            </w:r>
          </w:p>
        </w:tc>
        <w:tc>
          <w:tcPr>
            <w:tcW w:w="4111" w:type="dxa"/>
            <w:gridSpan w:val="5"/>
            <w:tcBorders>
              <w:top w:val="single" w:sz="4" w:space="0" w:color="auto"/>
              <w:left w:val="single" w:sz="4" w:space="0" w:color="auto"/>
              <w:bottom w:val="single" w:sz="4" w:space="0" w:color="auto"/>
              <w:right w:val="single" w:sz="4" w:space="0" w:color="auto"/>
            </w:tcBorders>
            <w:vAlign w:val="center"/>
            <w:hideMark/>
          </w:tcPr>
          <w:p w14:paraId="7C83748C" w14:textId="2509072B" w:rsidR="00E26D69" w:rsidRPr="000845C9" w:rsidRDefault="00C90814" w:rsidP="00E06400">
            <w:pPr>
              <w:jc w:val="center"/>
              <w:rPr>
                <w:rFonts w:ascii="Arial" w:hAnsi="Arial" w:cs="Arial"/>
                <w:b/>
                <w:bCs/>
                <w:color w:val="000000"/>
                <w:sz w:val="22"/>
                <w:szCs w:val="22"/>
              </w:rPr>
            </w:pPr>
            <w:r w:rsidRPr="000845C9">
              <w:rPr>
                <w:rFonts w:ascii="Arial" w:hAnsi="Arial" w:cs="Arial"/>
                <w:b/>
                <w:bCs/>
                <w:color w:val="000000"/>
                <w:sz w:val="22"/>
                <w:szCs w:val="22"/>
              </w:rPr>
              <w:t>At</w:t>
            </w:r>
            <w:r w:rsidR="00E26D69" w:rsidRPr="000845C9">
              <w:rPr>
                <w:rFonts w:ascii="Arial" w:hAnsi="Arial" w:cs="Arial"/>
                <w:b/>
                <w:bCs/>
                <w:color w:val="000000"/>
                <w:sz w:val="22"/>
                <w:szCs w:val="22"/>
              </w:rPr>
              <w:t xml:space="preserve"> 31</w:t>
            </w:r>
            <w:r w:rsidR="004339DD" w:rsidRPr="000845C9">
              <w:rPr>
                <w:rFonts w:ascii="Arial" w:hAnsi="Arial" w:cs="Arial"/>
                <w:b/>
                <w:bCs/>
                <w:color w:val="000000"/>
                <w:sz w:val="22"/>
                <w:szCs w:val="22"/>
              </w:rPr>
              <w:t xml:space="preserve"> </w:t>
            </w:r>
            <w:r w:rsidR="00E26D69" w:rsidRPr="000845C9">
              <w:rPr>
                <w:rFonts w:ascii="Arial" w:hAnsi="Arial" w:cs="Arial"/>
                <w:b/>
                <w:bCs/>
                <w:color w:val="000000"/>
                <w:sz w:val="22"/>
                <w:szCs w:val="22"/>
              </w:rPr>
              <w:t>March 20</w:t>
            </w:r>
            <w:r w:rsidR="008A3802" w:rsidRPr="000845C9">
              <w:rPr>
                <w:rFonts w:ascii="Arial" w:hAnsi="Arial" w:cs="Arial"/>
                <w:b/>
                <w:bCs/>
                <w:color w:val="000000"/>
                <w:sz w:val="22"/>
                <w:szCs w:val="22"/>
              </w:rPr>
              <w:t>2</w:t>
            </w:r>
            <w:r w:rsidR="005C381A" w:rsidRPr="000845C9">
              <w:rPr>
                <w:rFonts w:ascii="Arial" w:hAnsi="Arial" w:cs="Arial"/>
                <w:b/>
                <w:bCs/>
                <w:color w:val="000000"/>
                <w:sz w:val="22"/>
                <w:szCs w:val="22"/>
              </w:rPr>
              <w:t>1</w:t>
            </w:r>
          </w:p>
        </w:tc>
      </w:tr>
      <w:tr w:rsidR="000224BB" w:rsidRPr="000845C9" w14:paraId="773D2F3A" w14:textId="77777777" w:rsidTr="006A56B7">
        <w:trPr>
          <w:trHeight w:val="1080"/>
        </w:trPr>
        <w:tc>
          <w:tcPr>
            <w:tcW w:w="2709" w:type="dxa"/>
            <w:vMerge/>
            <w:tcBorders>
              <w:left w:val="single" w:sz="4" w:space="0" w:color="auto"/>
              <w:bottom w:val="single" w:sz="4" w:space="0" w:color="auto"/>
              <w:right w:val="single" w:sz="4" w:space="0" w:color="auto"/>
            </w:tcBorders>
            <w:vAlign w:val="center"/>
            <w:hideMark/>
          </w:tcPr>
          <w:p w14:paraId="5E2A330F" w14:textId="77777777" w:rsidR="00207813" w:rsidRPr="000845C9" w:rsidRDefault="00207813" w:rsidP="00207813">
            <w:pPr>
              <w:rPr>
                <w:rFonts w:ascii="Arial" w:hAnsi="Arial" w:cs="Arial"/>
                <w:b/>
                <w:bCs/>
                <w:color w:val="000000"/>
                <w:sz w:val="22"/>
                <w:szCs w:val="22"/>
              </w:rPr>
            </w:pPr>
          </w:p>
        </w:tc>
        <w:tc>
          <w:tcPr>
            <w:tcW w:w="1060" w:type="dxa"/>
            <w:tcBorders>
              <w:top w:val="single" w:sz="4" w:space="0" w:color="auto"/>
              <w:left w:val="single" w:sz="4" w:space="0" w:color="auto"/>
              <w:bottom w:val="single" w:sz="4" w:space="0" w:color="auto"/>
            </w:tcBorders>
            <w:shd w:val="clear" w:color="auto" w:fill="EAF1DD" w:themeFill="accent3" w:themeFillTint="33"/>
            <w:vAlign w:val="bottom"/>
            <w:hideMark/>
          </w:tcPr>
          <w:p w14:paraId="736B0223" w14:textId="77777777" w:rsidR="00207813" w:rsidRPr="000845C9" w:rsidRDefault="00207813" w:rsidP="00345011">
            <w:pPr>
              <w:jc w:val="center"/>
              <w:rPr>
                <w:rFonts w:ascii="Arial" w:hAnsi="Arial" w:cs="Arial"/>
                <w:b/>
                <w:bCs/>
                <w:color w:val="000000"/>
                <w:sz w:val="22"/>
                <w:szCs w:val="22"/>
              </w:rPr>
            </w:pPr>
            <w:r w:rsidRPr="000845C9">
              <w:rPr>
                <w:rFonts w:ascii="Arial" w:hAnsi="Arial" w:cs="Arial"/>
                <w:b/>
                <w:bCs/>
                <w:color w:val="000000"/>
                <w:sz w:val="22"/>
                <w:szCs w:val="22"/>
              </w:rPr>
              <w:t>Quoted prices in active markets</w:t>
            </w:r>
          </w:p>
          <w:p w14:paraId="3F898EE6" w14:textId="77777777" w:rsidR="00207813" w:rsidRPr="000845C9" w:rsidRDefault="00207813" w:rsidP="00345011">
            <w:pPr>
              <w:jc w:val="center"/>
              <w:rPr>
                <w:rFonts w:ascii="Arial" w:hAnsi="Arial" w:cs="Arial"/>
                <w:b/>
                <w:bCs/>
                <w:color w:val="000000"/>
                <w:sz w:val="22"/>
                <w:szCs w:val="22"/>
              </w:rPr>
            </w:pPr>
          </w:p>
          <w:p w14:paraId="654E122C" w14:textId="77777777" w:rsidR="00207813" w:rsidRPr="000845C9" w:rsidRDefault="00207813" w:rsidP="00345011">
            <w:pPr>
              <w:jc w:val="center"/>
              <w:rPr>
                <w:rFonts w:ascii="Arial" w:hAnsi="Arial" w:cs="Arial"/>
                <w:b/>
                <w:bCs/>
                <w:color w:val="000000"/>
                <w:sz w:val="22"/>
                <w:szCs w:val="22"/>
              </w:rPr>
            </w:pPr>
          </w:p>
          <w:p w14:paraId="13F59DF8" w14:textId="0CA31144" w:rsidR="00207813" w:rsidRPr="000845C9" w:rsidRDefault="00207813" w:rsidP="00345011">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1198" w:type="dxa"/>
            <w:tcBorders>
              <w:top w:val="single" w:sz="4" w:space="0" w:color="auto"/>
              <w:bottom w:val="single" w:sz="4" w:space="0" w:color="auto"/>
            </w:tcBorders>
            <w:shd w:val="clear" w:color="auto" w:fill="EAF1DD" w:themeFill="accent3" w:themeFillTint="33"/>
            <w:hideMark/>
          </w:tcPr>
          <w:p w14:paraId="58D74C1A" w14:textId="77777777"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Prices not quoted in active markets</w:t>
            </w:r>
          </w:p>
          <w:p w14:paraId="586DE5FF" w14:textId="77777777" w:rsidR="000845C9" w:rsidRDefault="000845C9" w:rsidP="000845C9">
            <w:pPr>
              <w:rPr>
                <w:rFonts w:ascii="Arial" w:hAnsi="Arial" w:cs="Arial"/>
                <w:b/>
                <w:bCs/>
                <w:color w:val="000000"/>
                <w:sz w:val="22"/>
                <w:szCs w:val="22"/>
              </w:rPr>
            </w:pPr>
          </w:p>
          <w:p w14:paraId="501CE8A7" w14:textId="77777777" w:rsidR="0073433C" w:rsidRPr="000845C9" w:rsidRDefault="0073433C" w:rsidP="000845C9">
            <w:pPr>
              <w:rPr>
                <w:rFonts w:ascii="Arial" w:hAnsi="Arial" w:cs="Arial"/>
                <w:b/>
                <w:bCs/>
                <w:color w:val="000000"/>
                <w:sz w:val="22"/>
                <w:szCs w:val="22"/>
              </w:rPr>
            </w:pPr>
          </w:p>
          <w:p w14:paraId="50B9EC90" w14:textId="3319E603"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874" w:type="dxa"/>
            <w:tcBorders>
              <w:top w:val="single" w:sz="4" w:space="0" w:color="auto"/>
              <w:bottom w:val="single" w:sz="4" w:space="0" w:color="auto"/>
            </w:tcBorders>
            <w:shd w:val="clear" w:color="auto" w:fill="EAF1DD" w:themeFill="accent3" w:themeFillTint="33"/>
            <w:hideMark/>
          </w:tcPr>
          <w:p w14:paraId="40D269BC" w14:textId="77777777"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Total</w:t>
            </w:r>
          </w:p>
          <w:p w14:paraId="25851925" w14:textId="77777777" w:rsidR="00207813" w:rsidRPr="000845C9" w:rsidRDefault="00207813" w:rsidP="000845C9">
            <w:pPr>
              <w:jc w:val="center"/>
              <w:rPr>
                <w:rFonts w:ascii="Arial" w:hAnsi="Arial" w:cs="Arial"/>
                <w:b/>
                <w:bCs/>
                <w:color w:val="000000"/>
                <w:sz w:val="22"/>
                <w:szCs w:val="22"/>
              </w:rPr>
            </w:pPr>
          </w:p>
          <w:p w14:paraId="08EB4E2A" w14:textId="77777777" w:rsidR="00207813" w:rsidRPr="000845C9" w:rsidRDefault="00207813" w:rsidP="000845C9">
            <w:pPr>
              <w:jc w:val="center"/>
              <w:rPr>
                <w:rFonts w:ascii="Arial" w:hAnsi="Arial" w:cs="Arial"/>
                <w:b/>
                <w:bCs/>
                <w:color w:val="000000"/>
                <w:sz w:val="22"/>
                <w:szCs w:val="22"/>
              </w:rPr>
            </w:pPr>
          </w:p>
          <w:p w14:paraId="2D338C51" w14:textId="77777777" w:rsidR="00207813" w:rsidRPr="000845C9" w:rsidRDefault="00207813" w:rsidP="000845C9">
            <w:pPr>
              <w:jc w:val="center"/>
              <w:rPr>
                <w:rFonts w:ascii="Arial" w:hAnsi="Arial" w:cs="Arial"/>
                <w:b/>
                <w:bCs/>
                <w:color w:val="000000"/>
                <w:sz w:val="22"/>
                <w:szCs w:val="22"/>
              </w:rPr>
            </w:pPr>
          </w:p>
          <w:p w14:paraId="2626B30D" w14:textId="77777777" w:rsidR="00207813" w:rsidRPr="000845C9" w:rsidRDefault="00207813" w:rsidP="000845C9">
            <w:pPr>
              <w:jc w:val="center"/>
              <w:rPr>
                <w:rFonts w:ascii="Arial" w:hAnsi="Arial" w:cs="Arial"/>
                <w:b/>
                <w:bCs/>
                <w:color w:val="000000"/>
                <w:sz w:val="22"/>
                <w:szCs w:val="22"/>
              </w:rPr>
            </w:pPr>
          </w:p>
          <w:p w14:paraId="35318E8A" w14:textId="77777777" w:rsidR="00207813" w:rsidRPr="000845C9" w:rsidRDefault="00207813" w:rsidP="000845C9">
            <w:pPr>
              <w:jc w:val="center"/>
              <w:rPr>
                <w:rFonts w:ascii="Arial" w:hAnsi="Arial" w:cs="Arial"/>
                <w:b/>
                <w:bCs/>
                <w:color w:val="000000"/>
                <w:sz w:val="22"/>
                <w:szCs w:val="22"/>
              </w:rPr>
            </w:pPr>
          </w:p>
          <w:p w14:paraId="60D81EE9" w14:textId="77777777" w:rsidR="000845C9" w:rsidRPr="000845C9" w:rsidRDefault="000845C9" w:rsidP="000845C9">
            <w:pPr>
              <w:rPr>
                <w:rFonts w:ascii="Arial" w:hAnsi="Arial" w:cs="Arial"/>
                <w:b/>
                <w:bCs/>
                <w:color w:val="000000"/>
                <w:sz w:val="22"/>
                <w:szCs w:val="22"/>
              </w:rPr>
            </w:pPr>
          </w:p>
          <w:p w14:paraId="07B5365E" w14:textId="64ED2CA3"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971" w:type="dxa"/>
            <w:gridSpan w:val="2"/>
            <w:tcBorders>
              <w:top w:val="single" w:sz="4" w:space="0" w:color="auto"/>
              <w:bottom w:val="single" w:sz="4" w:space="0" w:color="auto"/>
              <w:right w:val="single" w:sz="4" w:space="0" w:color="auto"/>
            </w:tcBorders>
            <w:shd w:val="clear" w:color="auto" w:fill="EAF1DD" w:themeFill="accent3" w:themeFillTint="33"/>
            <w:vAlign w:val="bottom"/>
            <w:hideMark/>
          </w:tcPr>
          <w:p w14:paraId="4DF376C2" w14:textId="6595E4E4"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w:t>
            </w:r>
          </w:p>
        </w:tc>
        <w:tc>
          <w:tcPr>
            <w:tcW w:w="1060" w:type="dxa"/>
            <w:tcBorders>
              <w:top w:val="single" w:sz="4" w:space="0" w:color="auto"/>
              <w:left w:val="single" w:sz="4" w:space="0" w:color="auto"/>
              <w:bottom w:val="single" w:sz="4" w:space="0" w:color="auto"/>
            </w:tcBorders>
            <w:vAlign w:val="center"/>
            <w:hideMark/>
          </w:tcPr>
          <w:p w14:paraId="7EBB9473" w14:textId="77777777" w:rsidR="00207813" w:rsidRPr="000845C9" w:rsidRDefault="00207813" w:rsidP="00207813">
            <w:pPr>
              <w:jc w:val="center"/>
              <w:rPr>
                <w:rFonts w:ascii="Arial" w:hAnsi="Arial" w:cs="Arial"/>
                <w:b/>
                <w:bCs/>
                <w:color w:val="000000"/>
                <w:sz w:val="22"/>
                <w:szCs w:val="22"/>
              </w:rPr>
            </w:pPr>
            <w:r w:rsidRPr="000845C9">
              <w:rPr>
                <w:rFonts w:ascii="Arial" w:hAnsi="Arial" w:cs="Arial"/>
                <w:b/>
                <w:bCs/>
                <w:color w:val="000000"/>
                <w:sz w:val="22"/>
                <w:szCs w:val="22"/>
              </w:rPr>
              <w:t>Quoted prices in active markets</w:t>
            </w:r>
          </w:p>
          <w:p w14:paraId="7D3AF6D6" w14:textId="77777777" w:rsidR="00207813" w:rsidRPr="000845C9" w:rsidRDefault="00207813" w:rsidP="00207813">
            <w:pPr>
              <w:jc w:val="center"/>
              <w:rPr>
                <w:rFonts w:ascii="Arial" w:hAnsi="Arial" w:cs="Arial"/>
                <w:b/>
                <w:bCs/>
                <w:color w:val="000000"/>
                <w:sz w:val="22"/>
                <w:szCs w:val="22"/>
              </w:rPr>
            </w:pPr>
          </w:p>
          <w:p w14:paraId="5A1C61B5" w14:textId="77777777" w:rsidR="000845C9" w:rsidRPr="000845C9" w:rsidRDefault="000845C9" w:rsidP="000845C9">
            <w:pPr>
              <w:rPr>
                <w:rFonts w:ascii="Arial" w:hAnsi="Arial" w:cs="Arial"/>
                <w:b/>
                <w:bCs/>
                <w:color w:val="000000"/>
                <w:sz w:val="22"/>
                <w:szCs w:val="22"/>
              </w:rPr>
            </w:pPr>
          </w:p>
          <w:p w14:paraId="101FDCAD" w14:textId="0DDD413C" w:rsidR="00207813" w:rsidRPr="000845C9" w:rsidRDefault="00207813" w:rsidP="00207813">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1137" w:type="dxa"/>
            <w:tcBorders>
              <w:top w:val="single" w:sz="4" w:space="0" w:color="auto"/>
              <w:bottom w:val="single" w:sz="4" w:space="0" w:color="auto"/>
            </w:tcBorders>
            <w:hideMark/>
          </w:tcPr>
          <w:p w14:paraId="68495EB1" w14:textId="77777777"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Prices not quoted in active markets</w:t>
            </w:r>
          </w:p>
          <w:p w14:paraId="61C2896F" w14:textId="77777777" w:rsidR="00207813" w:rsidRPr="000845C9" w:rsidRDefault="00207813" w:rsidP="000845C9">
            <w:pPr>
              <w:jc w:val="center"/>
              <w:rPr>
                <w:rFonts w:ascii="Arial" w:hAnsi="Arial" w:cs="Arial"/>
                <w:b/>
                <w:bCs/>
                <w:color w:val="000000"/>
                <w:sz w:val="22"/>
                <w:szCs w:val="22"/>
              </w:rPr>
            </w:pPr>
          </w:p>
          <w:p w14:paraId="1B031380" w14:textId="77777777" w:rsidR="000845C9" w:rsidRPr="000845C9" w:rsidRDefault="000845C9" w:rsidP="000845C9">
            <w:pPr>
              <w:rPr>
                <w:rFonts w:ascii="Arial" w:hAnsi="Arial" w:cs="Arial"/>
                <w:b/>
                <w:bCs/>
                <w:color w:val="000000"/>
                <w:sz w:val="22"/>
                <w:szCs w:val="22"/>
              </w:rPr>
            </w:pPr>
          </w:p>
          <w:p w14:paraId="3161976A" w14:textId="7F1F5F0E"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1084" w:type="dxa"/>
            <w:tcBorders>
              <w:top w:val="single" w:sz="4" w:space="0" w:color="auto"/>
              <w:bottom w:val="single" w:sz="4" w:space="0" w:color="auto"/>
            </w:tcBorders>
            <w:hideMark/>
          </w:tcPr>
          <w:p w14:paraId="088FC34E" w14:textId="77777777"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Total</w:t>
            </w:r>
          </w:p>
          <w:p w14:paraId="0E443246" w14:textId="77777777" w:rsidR="00207813" w:rsidRPr="000845C9" w:rsidRDefault="00207813" w:rsidP="000845C9">
            <w:pPr>
              <w:jc w:val="center"/>
              <w:rPr>
                <w:rFonts w:ascii="Arial" w:hAnsi="Arial" w:cs="Arial"/>
                <w:b/>
                <w:bCs/>
                <w:color w:val="000000"/>
                <w:sz w:val="22"/>
                <w:szCs w:val="22"/>
              </w:rPr>
            </w:pPr>
          </w:p>
          <w:p w14:paraId="69495DFA" w14:textId="77777777" w:rsidR="00207813" w:rsidRPr="000845C9" w:rsidRDefault="00207813" w:rsidP="000845C9">
            <w:pPr>
              <w:jc w:val="center"/>
              <w:rPr>
                <w:rFonts w:ascii="Arial" w:hAnsi="Arial" w:cs="Arial"/>
                <w:b/>
                <w:bCs/>
                <w:color w:val="000000"/>
                <w:sz w:val="22"/>
                <w:szCs w:val="22"/>
              </w:rPr>
            </w:pPr>
          </w:p>
          <w:p w14:paraId="3EA722A7" w14:textId="77777777" w:rsidR="00207813" w:rsidRPr="000845C9" w:rsidRDefault="00207813" w:rsidP="000845C9">
            <w:pPr>
              <w:jc w:val="center"/>
              <w:rPr>
                <w:rFonts w:ascii="Arial" w:hAnsi="Arial" w:cs="Arial"/>
                <w:b/>
                <w:bCs/>
                <w:color w:val="000000"/>
                <w:sz w:val="22"/>
                <w:szCs w:val="22"/>
              </w:rPr>
            </w:pPr>
          </w:p>
          <w:p w14:paraId="2CE92A8C" w14:textId="77777777" w:rsidR="00207813" w:rsidRPr="000845C9" w:rsidRDefault="00207813" w:rsidP="000845C9">
            <w:pPr>
              <w:jc w:val="center"/>
              <w:rPr>
                <w:rFonts w:ascii="Arial" w:hAnsi="Arial" w:cs="Arial"/>
                <w:b/>
                <w:bCs/>
                <w:color w:val="000000"/>
                <w:sz w:val="22"/>
                <w:szCs w:val="22"/>
              </w:rPr>
            </w:pPr>
          </w:p>
          <w:p w14:paraId="08121A73" w14:textId="77777777" w:rsidR="000845C9" w:rsidRPr="000845C9" w:rsidRDefault="000845C9" w:rsidP="000845C9">
            <w:pPr>
              <w:jc w:val="center"/>
              <w:rPr>
                <w:rFonts w:ascii="Arial" w:hAnsi="Arial" w:cs="Arial"/>
                <w:b/>
                <w:bCs/>
                <w:color w:val="000000"/>
                <w:sz w:val="22"/>
                <w:szCs w:val="22"/>
              </w:rPr>
            </w:pPr>
          </w:p>
          <w:p w14:paraId="599AE51C" w14:textId="77777777" w:rsidR="000845C9" w:rsidRPr="000845C9" w:rsidRDefault="000845C9" w:rsidP="000845C9">
            <w:pPr>
              <w:rPr>
                <w:rFonts w:ascii="Arial" w:hAnsi="Arial" w:cs="Arial"/>
                <w:b/>
                <w:bCs/>
                <w:color w:val="000000"/>
                <w:sz w:val="22"/>
                <w:szCs w:val="22"/>
              </w:rPr>
            </w:pPr>
          </w:p>
          <w:p w14:paraId="07FA8AB0" w14:textId="398D5C3C" w:rsidR="00207813" w:rsidRPr="000845C9" w:rsidRDefault="00207813" w:rsidP="000845C9">
            <w:pPr>
              <w:jc w:val="center"/>
              <w:rPr>
                <w:rFonts w:ascii="Arial" w:hAnsi="Arial" w:cs="Arial"/>
                <w:b/>
                <w:bCs/>
                <w:color w:val="000000"/>
                <w:sz w:val="22"/>
                <w:szCs w:val="22"/>
              </w:rPr>
            </w:pPr>
            <w:r w:rsidRPr="000845C9">
              <w:rPr>
                <w:rFonts w:ascii="Arial" w:hAnsi="Arial" w:cs="Arial"/>
                <w:b/>
                <w:bCs/>
                <w:color w:val="000000"/>
                <w:sz w:val="22"/>
                <w:szCs w:val="22"/>
              </w:rPr>
              <w:t>£’000</w:t>
            </w:r>
          </w:p>
        </w:tc>
        <w:tc>
          <w:tcPr>
            <w:tcW w:w="830" w:type="dxa"/>
            <w:gridSpan w:val="2"/>
            <w:tcBorders>
              <w:top w:val="single" w:sz="4" w:space="0" w:color="auto"/>
              <w:bottom w:val="single" w:sz="4" w:space="0" w:color="auto"/>
              <w:right w:val="single" w:sz="4" w:space="0" w:color="auto"/>
            </w:tcBorders>
            <w:vAlign w:val="center"/>
            <w:hideMark/>
          </w:tcPr>
          <w:p w14:paraId="5EB42F3C" w14:textId="77777777" w:rsidR="00207813" w:rsidRPr="000845C9" w:rsidRDefault="00207813" w:rsidP="00207813">
            <w:pPr>
              <w:jc w:val="center"/>
              <w:rPr>
                <w:rFonts w:ascii="Arial" w:hAnsi="Arial" w:cs="Arial"/>
                <w:b/>
                <w:bCs/>
                <w:color w:val="000000"/>
                <w:sz w:val="22"/>
                <w:szCs w:val="22"/>
              </w:rPr>
            </w:pPr>
          </w:p>
          <w:p w14:paraId="4184EC6F" w14:textId="77777777" w:rsidR="00207813" w:rsidRPr="000845C9" w:rsidRDefault="00207813" w:rsidP="00207813">
            <w:pPr>
              <w:jc w:val="center"/>
              <w:rPr>
                <w:rFonts w:ascii="Arial" w:hAnsi="Arial" w:cs="Arial"/>
                <w:b/>
                <w:bCs/>
                <w:color w:val="000000"/>
                <w:sz w:val="22"/>
                <w:szCs w:val="22"/>
              </w:rPr>
            </w:pPr>
          </w:p>
          <w:p w14:paraId="236F3DC9" w14:textId="77777777" w:rsidR="00207813" w:rsidRPr="000845C9" w:rsidRDefault="00207813" w:rsidP="00207813">
            <w:pPr>
              <w:jc w:val="center"/>
              <w:rPr>
                <w:rFonts w:ascii="Arial" w:hAnsi="Arial" w:cs="Arial"/>
                <w:b/>
                <w:bCs/>
                <w:color w:val="000000"/>
                <w:sz w:val="22"/>
                <w:szCs w:val="22"/>
              </w:rPr>
            </w:pPr>
          </w:p>
          <w:p w14:paraId="7DA20B3A" w14:textId="77777777" w:rsidR="00207813" w:rsidRPr="000845C9" w:rsidRDefault="00207813" w:rsidP="00207813">
            <w:pPr>
              <w:jc w:val="center"/>
              <w:rPr>
                <w:rFonts w:ascii="Arial" w:hAnsi="Arial" w:cs="Arial"/>
                <w:b/>
                <w:bCs/>
                <w:color w:val="000000"/>
                <w:sz w:val="22"/>
                <w:szCs w:val="22"/>
              </w:rPr>
            </w:pPr>
          </w:p>
          <w:p w14:paraId="4C95ADA6" w14:textId="77777777" w:rsidR="00207813" w:rsidRPr="000845C9" w:rsidRDefault="00207813" w:rsidP="00207813">
            <w:pPr>
              <w:jc w:val="center"/>
              <w:rPr>
                <w:rFonts w:ascii="Arial" w:hAnsi="Arial" w:cs="Arial"/>
                <w:b/>
                <w:bCs/>
                <w:color w:val="000000"/>
                <w:sz w:val="22"/>
                <w:szCs w:val="22"/>
              </w:rPr>
            </w:pPr>
          </w:p>
          <w:p w14:paraId="2533A3A1" w14:textId="77777777" w:rsidR="00207813" w:rsidRPr="000845C9" w:rsidRDefault="00207813" w:rsidP="00207813">
            <w:pPr>
              <w:jc w:val="center"/>
              <w:rPr>
                <w:rFonts w:ascii="Arial" w:hAnsi="Arial" w:cs="Arial"/>
                <w:b/>
                <w:bCs/>
                <w:color w:val="000000"/>
                <w:sz w:val="22"/>
                <w:szCs w:val="22"/>
              </w:rPr>
            </w:pPr>
          </w:p>
          <w:p w14:paraId="0BC90A54" w14:textId="77777777" w:rsidR="000845C9" w:rsidRPr="000845C9" w:rsidRDefault="000845C9" w:rsidP="000845C9">
            <w:pPr>
              <w:rPr>
                <w:rFonts w:ascii="Arial" w:hAnsi="Arial" w:cs="Arial"/>
                <w:b/>
                <w:bCs/>
                <w:color w:val="000000"/>
                <w:sz w:val="22"/>
                <w:szCs w:val="22"/>
              </w:rPr>
            </w:pPr>
          </w:p>
          <w:p w14:paraId="31A738DC" w14:textId="491927A9" w:rsidR="00207813" w:rsidRPr="000845C9" w:rsidRDefault="00207813" w:rsidP="00207813">
            <w:pPr>
              <w:jc w:val="center"/>
              <w:rPr>
                <w:rFonts w:ascii="Arial" w:hAnsi="Arial" w:cs="Arial"/>
                <w:b/>
                <w:bCs/>
                <w:color w:val="000000"/>
                <w:sz w:val="22"/>
                <w:szCs w:val="22"/>
              </w:rPr>
            </w:pPr>
            <w:r w:rsidRPr="000845C9">
              <w:rPr>
                <w:rFonts w:ascii="Arial" w:hAnsi="Arial" w:cs="Arial"/>
                <w:b/>
                <w:bCs/>
                <w:color w:val="000000"/>
                <w:sz w:val="22"/>
                <w:szCs w:val="22"/>
              </w:rPr>
              <w:t>% </w:t>
            </w:r>
          </w:p>
        </w:tc>
      </w:tr>
      <w:tr w:rsidR="000224BB" w:rsidRPr="000845C9" w14:paraId="5E6CEFA7" w14:textId="77777777" w:rsidTr="006A56B7">
        <w:trPr>
          <w:trHeight w:val="397"/>
        </w:trPr>
        <w:tc>
          <w:tcPr>
            <w:tcW w:w="2709" w:type="dxa"/>
            <w:tcBorders>
              <w:top w:val="single" w:sz="4" w:space="0" w:color="auto"/>
              <w:left w:val="single" w:sz="4" w:space="0" w:color="auto"/>
              <w:right w:val="single" w:sz="4" w:space="0" w:color="auto"/>
            </w:tcBorders>
            <w:vAlign w:val="center"/>
            <w:hideMark/>
          </w:tcPr>
          <w:p w14:paraId="0149C613" w14:textId="77777777" w:rsidR="00E26D69" w:rsidRPr="000845C9" w:rsidRDefault="00E26D69" w:rsidP="00C10E98">
            <w:pPr>
              <w:rPr>
                <w:rFonts w:ascii="Arial" w:hAnsi="Arial" w:cs="Arial"/>
                <w:b/>
                <w:bCs/>
                <w:color w:val="000000"/>
                <w:sz w:val="22"/>
                <w:szCs w:val="22"/>
              </w:rPr>
            </w:pPr>
            <w:r w:rsidRPr="000845C9">
              <w:rPr>
                <w:rFonts w:ascii="Arial" w:hAnsi="Arial" w:cs="Arial"/>
                <w:b/>
                <w:bCs/>
                <w:color w:val="000000"/>
                <w:sz w:val="22"/>
                <w:szCs w:val="22"/>
              </w:rPr>
              <w:t>Equity securities:</w:t>
            </w:r>
          </w:p>
        </w:tc>
        <w:tc>
          <w:tcPr>
            <w:tcW w:w="1060" w:type="dxa"/>
            <w:tcBorders>
              <w:top w:val="single" w:sz="4" w:space="0" w:color="auto"/>
              <w:left w:val="single" w:sz="4" w:space="0" w:color="auto"/>
            </w:tcBorders>
            <w:shd w:val="clear" w:color="auto" w:fill="EAF1DD" w:themeFill="accent3" w:themeFillTint="33"/>
            <w:vAlign w:val="center"/>
          </w:tcPr>
          <w:p w14:paraId="06408014" w14:textId="01BB6B26" w:rsidR="00E26D69" w:rsidRPr="000845C9" w:rsidRDefault="00E26D69" w:rsidP="00C10E98">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737E2314" w14:textId="2513C00D" w:rsidR="00E26D69" w:rsidRPr="000845C9" w:rsidRDefault="00E26D69" w:rsidP="00C10E98">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4914BB39" w14:textId="776CD426" w:rsidR="00E26D69" w:rsidRPr="000845C9" w:rsidRDefault="00E26D69" w:rsidP="00C10E98">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3B5F4529" w14:textId="14115169" w:rsidR="00E26D69" w:rsidRPr="000845C9" w:rsidRDefault="00E26D69" w:rsidP="00C10E98">
            <w:pPr>
              <w:jc w:val="center"/>
              <w:rPr>
                <w:rFonts w:ascii="Arial" w:hAnsi="Arial" w:cs="Arial"/>
                <w:b/>
                <w:bCs/>
                <w:color w:val="000000"/>
                <w:sz w:val="22"/>
                <w:szCs w:val="22"/>
              </w:rPr>
            </w:pPr>
          </w:p>
        </w:tc>
        <w:tc>
          <w:tcPr>
            <w:tcW w:w="1060" w:type="dxa"/>
            <w:tcBorders>
              <w:top w:val="single" w:sz="4" w:space="0" w:color="auto"/>
              <w:left w:val="single" w:sz="4" w:space="0" w:color="auto"/>
            </w:tcBorders>
            <w:vAlign w:val="center"/>
          </w:tcPr>
          <w:p w14:paraId="50ED0C5C" w14:textId="3947D709" w:rsidR="00E26D69" w:rsidRPr="000845C9" w:rsidRDefault="00E26D69" w:rsidP="00C10E98">
            <w:pPr>
              <w:jc w:val="center"/>
              <w:rPr>
                <w:rFonts w:ascii="Arial" w:hAnsi="Arial" w:cs="Arial"/>
                <w:b/>
                <w:bCs/>
                <w:color w:val="000000"/>
                <w:sz w:val="22"/>
                <w:szCs w:val="22"/>
              </w:rPr>
            </w:pPr>
          </w:p>
        </w:tc>
        <w:tc>
          <w:tcPr>
            <w:tcW w:w="1137" w:type="dxa"/>
            <w:tcBorders>
              <w:top w:val="single" w:sz="4" w:space="0" w:color="auto"/>
            </w:tcBorders>
            <w:vAlign w:val="center"/>
          </w:tcPr>
          <w:p w14:paraId="310016CA" w14:textId="7AE188BE" w:rsidR="00E26D69" w:rsidRPr="000845C9" w:rsidRDefault="00E26D69" w:rsidP="00C10E98">
            <w:pPr>
              <w:jc w:val="center"/>
              <w:rPr>
                <w:rFonts w:ascii="Arial" w:hAnsi="Arial" w:cs="Arial"/>
                <w:b/>
                <w:bCs/>
                <w:color w:val="000000"/>
                <w:sz w:val="22"/>
                <w:szCs w:val="22"/>
              </w:rPr>
            </w:pPr>
          </w:p>
        </w:tc>
        <w:tc>
          <w:tcPr>
            <w:tcW w:w="1084" w:type="dxa"/>
            <w:tcBorders>
              <w:top w:val="single" w:sz="4" w:space="0" w:color="auto"/>
            </w:tcBorders>
            <w:vAlign w:val="center"/>
          </w:tcPr>
          <w:p w14:paraId="6B771667" w14:textId="6ADB51E4" w:rsidR="00E26D69" w:rsidRPr="000845C9" w:rsidRDefault="00E26D69" w:rsidP="00C10E98">
            <w:pPr>
              <w:jc w:val="center"/>
              <w:rPr>
                <w:rFonts w:ascii="Arial" w:hAnsi="Arial" w:cs="Arial"/>
                <w:b/>
                <w:bCs/>
                <w:color w:val="000000"/>
                <w:sz w:val="22"/>
                <w:szCs w:val="22"/>
              </w:rPr>
            </w:pPr>
          </w:p>
        </w:tc>
        <w:tc>
          <w:tcPr>
            <w:tcW w:w="830" w:type="dxa"/>
            <w:gridSpan w:val="2"/>
            <w:tcBorders>
              <w:top w:val="single" w:sz="4" w:space="0" w:color="auto"/>
              <w:right w:val="single" w:sz="4" w:space="0" w:color="auto"/>
            </w:tcBorders>
            <w:vAlign w:val="center"/>
          </w:tcPr>
          <w:p w14:paraId="52A35126" w14:textId="1FFA92B8" w:rsidR="00E26D69" w:rsidRPr="000845C9" w:rsidRDefault="00E26D69" w:rsidP="00C10E98">
            <w:pPr>
              <w:jc w:val="center"/>
              <w:rPr>
                <w:rFonts w:ascii="Arial" w:hAnsi="Arial" w:cs="Arial"/>
                <w:b/>
                <w:bCs/>
                <w:color w:val="000000"/>
                <w:sz w:val="22"/>
                <w:szCs w:val="22"/>
              </w:rPr>
            </w:pPr>
          </w:p>
        </w:tc>
      </w:tr>
      <w:tr w:rsidR="000224BB" w:rsidRPr="000845C9" w14:paraId="04A66FB0" w14:textId="77777777" w:rsidTr="006A56B7">
        <w:trPr>
          <w:trHeight w:val="397"/>
        </w:trPr>
        <w:tc>
          <w:tcPr>
            <w:tcW w:w="2709" w:type="dxa"/>
            <w:tcBorders>
              <w:left w:val="single" w:sz="4" w:space="0" w:color="auto"/>
              <w:right w:val="single" w:sz="4" w:space="0" w:color="auto"/>
            </w:tcBorders>
            <w:vAlign w:val="center"/>
            <w:hideMark/>
          </w:tcPr>
          <w:p w14:paraId="1432B323"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Consumer</w:t>
            </w:r>
          </w:p>
        </w:tc>
        <w:tc>
          <w:tcPr>
            <w:tcW w:w="1060" w:type="dxa"/>
            <w:tcBorders>
              <w:left w:val="single" w:sz="4" w:space="0" w:color="auto"/>
            </w:tcBorders>
            <w:shd w:val="clear" w:color="auto" w:fill="EAF1DD" w:themeFill="accent3" w:themeFillTint="33"/>
            <w:vAlign w:val="center"/>
          </w:tcPr>
          <w:p w14:paraId="780EF48B" w14:textId="50F2FB65" w:rsidR="0012625C" w:rsidRPr="000845C9" w:rsidRDefault="00C21286" w:rsidP="0012625C">
            <w:pPr>
              <w:jc w:val="center"/>
              <w:rPr>
                <w:rFonts w:ascii="Arial" w:hAnsi="Arial" w:cs="Arial"/>
                <w:color w:val="000000"/>
                <w:sz w:val="22"/>
                <w:szCs w:val="22"/>
              </w:rPr>
            </w:pPr>
            <w:r w:rsidRPr="000845C9">
              <w:rPr>
                <w:rFonts w:ascii="Arial" w:hAnsi="Arial" w:cs="Arial"/>
                <w:color w:val="000000"/>
                <w:sz w:val="22"/>
                <w:szCs w:val="22"/>
              </w:rPr>
              <w:t>25,933</w:t>
            </w:r>
          </w:p>
        </w:tc>
        <w:tc>
          <w:tcPr>
            <w:tcW w:w="1198" w:type="dxa"/>
            <w:shd w:val="clear" w:color="auto" w:fill="EAF1DD" w:themeFill="accent3" w:themeFillTint="33"/>
            <w:vAlign w:val="center"/>
          </w:tcPr>
          <w:p w14:paraId="70C8667D" w14:textId="14A342E9" w:rsidR="0012625C" w:rsidRPr="000845C9" w:rsidRDefault="00C21286"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5310BC20" w14:textId="4215D897" w:rsidR="0012625C" w:rsidRPr="000845C9" w:rsidRDefault="00C21286" w:rsidP="0012625C">
            <w:pPr>
              <w:jc w:val="center"/>
              <w:rPr>
                <w:rFonts w:ascii="Arial" w:hAnsi="Arial" w:cs="Arial"/>
                <w:color w:val="000000"/>
                <w:sz w:val="22"/>
                <w:szCs w:val="22"/>
              </w:rPr>
            </w:pPr>
            <w:r w:rsidRPr="000845C9">
              <w:rPr>
                <w:rFonts w:ascii="Arial" w:hAnsi="Arial" w:cs="Arial"/>
                <w:color w:val="000000"/>
                <w:sz w:val="22"/>
                <w:szCs w:val="22"/>
              </w:rPr>
              <w:t>25,933</w:t>
            </w:r>
          </w:p>
        </w:tc>
        <w:tc>
          <w:tcPr>
            <w:tcW w:w="971" w:type="dxa"/>
            <w:gridSpan w:val="2"/>
            <w:tcBorders>
              <w:right w:val="single" w:sz="4" w:space="0" w:color="auto"/>
            </w:tcBorders>
            <w:shd w:val="clear" w:color="auto" w:fill="EAF1DD" w:themeFill="accent3" w:themeFillTint="33"/>
            <w:vAlign w:val="center"/>
          </w:tcPr>
          <w:p w14:paraId="440DF510" w14:textId="5B22E176" w:rsidR="0012625C" w:rsidRPr="000845C9" w:rsidRDefault="00C21286" w:rsidP="0012625C">
            <w:pPr>
              <w:jc w:val="center"/>
              <w:rPr>
                <w:rFonts w:ascii="Arial" w:hAnsi="Arial" w:cs="Arial"/>
                <w:color w:val="000000"/>
                <w:sz w:val="22"/>
                <w:szCs w:val="22"/>
              </w:rPr>
            </w:pPr>
            <w:r w:rsidRPr="000845C9">
              <w:rPr>
                <w:rFonts w:ascii="Arial" w:hAnsi="Arial" w:cs="Arial"/>
                <w:color w:val="000000"/>
                <w:sz w:val="22"/>
                <w:szCs w:val="22"/>
              </w:rPr>
              <w:t>6</w:t>
            </w:r>
          </w:p>
        </w:tc>
        <w:tc>
          <w:tcPr>
            <w:tcW w:w="1060" w:type="dxa"/>
            <w:tcBorders>
              <w:left w:val="single" w:sz="4" w:space="0" w:color="auto"/>
            </w:tcBorders>
            <w:vAlign w:val="center"/>
            <w:hideMark/>
          </w:tcPr>
          <w:p w14:paraId="667F2DB1" w14:textId="004804A7"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27,663</w:t>
            </w:r>
          </w:p>
        </w:tc>
        <w:tc>
          <w:tcPr>
            <w:tcW w:w="1137" w:type="dxa"/>
            <w:vAlign w:val="center"/>
            <w:hideMark/>
          </w:tcPr>
          <w:p w14:paraId="3808D90F" w14:textId="7086174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467BF4A8" w14:textId="4CDAEB1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27,663</w:t>
            </w:r>
          </w:p>
        </w:tc>
        <w:tc>
          <w:tcPr>
            <w:tcW w:w="830" w:type="dxa"/>
            <w:gridSpan w:val="2"/>
            <w:tcBorders>
              <w:right w:val="single" w:sz="4" w:space="0" w:color="auto"/>
            </w:tcBorders>
            <w:vAlign w:val="center"/>
            <w:hideMark/>
          </w:tcPr>
          <w:p w14:paraId="1C65B390" w14:textId="17250D1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8</w:t>
            </w:r>
          </w:p>
        </w:tc>
      </w:tr>
      <w:tr w:rsidR="000224BB" w:rsidRPr="000845C9" w14:paraId="1E7379B7" w14:textId="77777777" w:rsidTr="006A56B7">
        <w:trPr>
          <w:trHeight w:val="397"/>
        </w:trPr>
        <w:tc>
          <w:tcPr>
            <w:tcW w:w="2709" w:type="dxa"/>
            <w:tcBorders>
              <w:left w:val="single" w:sz="4" w:space="0" w:color="auto"/>
              <w:right w:val="single" w:sz="4" w:space="0" w:color="auto"/>
            </w:tcBorders>
            <w:vAlign w:val="center"/>
            <w:hideMark/>
          </w:tcPr>
          <w:p w14:paraId="00175449"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Manufacturing</w:t>
            </w:r>
          </w:p>
        </w:tc>
        <w:tc>
          <w:tcPr>
            <w:tcW w:w="1060" w:type="dxa"/>
            <w:tcBorders>
              <w:left w:val="single" w:sz="4" w:space="0" w:color="auto"/>
            </w:tcBorders>
            <w:shd w:val="clear" w:color="auto" w:fill="EAF1DD" w:themeFill="accent3" w:themeFillTint="33"/>
            <w:vAlign w:val="center"/>
          </w:tcPr>
          <w:p w14:paraId="1A09217B" w14:textId="5142B81B" w:rsidR="0012625C" w:rsidRPr="000845C9" w:rsidRDefault="00C21286" w:rsidP="0012625C">
            <w:pPr>
              <w:jc w:val="center"/>
              <w:rPr>
                <w:rFonts w:ascii="Arial" w:hAnsi="Arial" w:cs="Arial"/>
                <w:color w:val="000000"/>
                <w:sz w:val="22"/>
                <w:szCs w:val="22"/>
              </w:rPr>
            </w:pPr>
            <w:r w:rsidRPr="000845C9">
              <w:rPr>
                <w:rFonts w:ascii="Arial" w:hAnsi="Arial" w:cs="Arial"/>
                <w:color w:val="000000"/>
                <w:sz w:val="22"/>
                <w:szCs w:val="22"/>
              </w:rPr>
              <w:t>22,747</w:t>
            </w:r>
          </w:p>
        </w:tc>
        <w:tc>
          <w:tcPr>
            <w:tcW w:w="1198" w:type="dxa"/>
            <w:shd w:val="clear" w:color="auto" w:fill="EAF1DD" w:themeFill="accent3" w:themeFillTint="33"/>
            <w:vAlign w:val="center"/>
          </w:tcPr>
          <w:p w14:paraId="6B561E8F" w14:textId="7F7AE531"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61DF4841" w14:textId="1B3CC597"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22,747</w:t>
            </w:r>
          </w:p>
        </w:tc>
        <w:tc>
          <w:tcPr>
            <w:tcW w:w="971" w:type="dxa"/>
            <w:gridSpan w:val="2"/>
            <w:tcBorders>
              <w:right w:val="single" w:sz="4" w:space="0" w:color="auto"/>
            </w:tcBorders>
            <w:shd w:val="clear" w:color="auto" w:fill="EAF1DD" w:themeFill="accent3" w:themeFillTint="33"/>
            <w:vAlign w:val="center"/>
          </w:tcPr>
          <w:p w14:paraId="4DE3DA6D" w14:textId="53B6C56F" w:rsidR="0012625C" w:rsidRPr="000845C9" w:rsidRDefault="00C92B15" w:rsidP="0012625C">
            <w:pPr>
              <w:jc w:val="center"/>
              <w:rPr>
                <w:rFonts w:ascii="Arial" w:hAnsi="Arial" w:cs="Arial"/>
                <w:color w:val="000000"/>
                <w:sz w:val="22"/>
                <w:szCs w:val="22"/>
              </w:rPr>
            </w:pPr>
            <w:r w:rsidRPr="000845C9">
              <w:rPr>
                <w:rFonts w:ascii="Arial" w:hAnsi="Arial" w:cs="Arial"/>
                <w:color w:val="000000"/>
                <w:sz w:val="22"/>
                <w:szCs w:val="22"/>
              </w:rPr>
              <w:t>6</w:t>
            </w:r>
          </w:p>
        </w:tc>
        <w:tc>
          <w:tcPr>
            <w:tcW w:w="1060" w:type="dxa"/>
            <w:tcBorders>
              <w:left w:val="single" w:sz="4" w:space="0" w:color="auto"/>
            </w:tcBorders>
            <w:vAlign w:val="center"/>
            <w:hideMark/>
          </w:tcPr>
          <w:p w14:paraId="393F6842" w14:textId="7E01C94E"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19,911</w:t>
            </w:r>
          </w:p>
        </w:tc>
        <w:tc>
          <w:tcPr>
            <w:tcW w:w="1137" w:type="dxa"/>
            <w:vAlign w:val="center"/>
            <w:hideMark/>
          </w:tcPr>
          <w:p w14:paraId="508F6B97" w14:textId="5319B6EB"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291F61DD" w14:textId="24AD04A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19,911</w:t>
            </w:r>
          </w:p>
        </w:tc>
        <w:tc>
          <w:tcPr>
            <w:tcW w:w="830" w:type="dxa"/>
            <w:gridSpan w:val="2"/>
            <w:tcBorders>
              <w:right w:val="single" w:sz="4" w:space="0" w:color="auto"/>
            </w:tcBorders>
            <w:vAlign w:val="center"/>
            <w:hideMark/>
          </w:tcPr>
          <w:p w14:paraId="33FA253E" w14:textId="6ED6ACC2"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5</w:t>
            </w:r>
          </w:p>
        </w:tc>
      </w:tr>
      <w:tr w:rsidR="000224BB" w:rsidRPr="000845C9" w14:paraId="3F583DC7" w14:textId="77777777" w:rsidTr="006A56B7">
        <w:trPr>
          <w:trHeight w:val="397"/>
        </w:trPr>
        <w:tc>
          <w:tcPr>
            <w:tcW w:w="2709" w:type="dxa"/>
            <w:tcBorders>
              <w:left w:val="single" w:sz="4" w:space="0" w:color="auto"/>
              <w:right w:val="single" w:sz="4" w:space="0" w:color="auto"/>
            </w:tcBorders>
            <w:vAlign w:val="center"/>
            <w:hideMark/>
          </w:tcPr>
          <w:p w14:paraId="4F11322D"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Energy and utilities</w:t>
            </w:r>
          </w:p>
        </w:tc>
        <w:tc>
          <w:tcPr>
            <w:tcW w:w="1060" w:type="dxa"/>
            <w:tcBorders>
              <w:left w:val="single" w:sz="4" w:space="0" w:color="auto"/>
            </w:tcBorders>
            <w:shd w:val="clear" w:color="auto" w:fill="EAF1DD" w:themeFill="accent3" w:themeFillTint="33"/>
            <w:vAlign w:val="center"/>
          </w:tcPr>
          <w:p w14:paraId="61BEDA3D" w14:textId="2B9EC674" w:rsidR="0012625C" w:rsidRPr="000845C9" w:rsidRDefault="0019113E" w:rsidP="0012625C">
            <w:pPr>
              <w:jc w:val="center"/>
              <w:rPr>
                <w:rFonts w:ascii="Arial" w:hAnsi="Arial" w:cs="Arial"/>
                <w:color w:val="000000"/>
                <w:sz w:val="22"/>
                <w:szCs w:val="22"/>
              </w:rPr>
            </w:pPr>
            <w:r w:rsidRPr="000845C9">
              <w:rPr>
                <w:rFonts w:ascii="Arial" w:hAnsi="Arial" w:cs="Arial"/>
                <w:color w:val="000000"/>
                <w:sz w:val="22"/>
                <w:szCs w:val="22"/>
              </w:rPr>
              <w:t>14,79</w:t>
            </w:r>
            <w:r w:rsidR="008F6469" w:rsidRPr="000845C9">
              <w:rPr>
                <w:rFonts w:ascii="Arial" w:hAnsi="Arial" w:cs="Arial"/>
                <w:color w:val="000000"/>
                <w:sz w:val="22"/>
                <w:szCs w:val="22"/>
              </w:rPr>
              <w:t>1</w:t>
            </w:r>
          </w:p>
        </w:tc>
        <w:tc>
          <w:tcPr>
            <w:tcW w:w="1198" w:type="dxa"/>
            <w:shd w:val="clear" w:color="auto" w:fill="EAF1DD" w:themeFill="accent3" w:themeFillTint="33"/>
            <w:vAlign w:val="center"/>
          </w:tcPr>
          <w:p w14:paraId="71C73398" w14:textId="28B77E24"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02133B78" w14:textId="21886DB9"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14,79</w:t>
            </w:r>
            <w:r w:rsidR="008F6469" w:rsidRPr="000845C9">
              <w:rPr>
                <w:rFonts w:ascii="Arial" w:hAnsi="Arial" w:cs="Arial"/>
                <w:color w:val="000000"/>
                <w:sz w:val="22"/>
                <w:szCs w:val="22"/>
              </w:rPr>
              <w:t>1</w:t>
            </w:r>
          </w:p>
        </w:tc>
        <w:tc>
          <w:tcPr>
            <w:tcW w:w="971" w:type="dxa"/>
            <w:gridSpan w:val="2"/>
            <w:tcBorders>
              <w:right w:val="single" w:sz="4" w:space="0" w:color="auto"/>
            </w:tcBorders>
            <w:shd w:val="clear" w:color="auto" w:fill="EAF1DD" w:themeFill="accent3" w:themeFillTint="33"/>
            <w:vAlign w:val="center"/>
          </w:tcPr>
          <w:p w14:paraId="36DD17C7" w14:textId="265C99FE"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3</w:t>
            </w:r>
          </w:p>
        </w:tc>
        <w:tc>
          <w:tcPr>
            <w:tcW w:w="1060" w:type="dxa"/>
            <w:tcBorders>
              <w:left w:val="single" w:sz="4" w:space="0" w:color="auto"/>
            </w:tcBorders>
            <w:vAlign w:val="center"/>
            <w:hideMark/>
          </w:tcPr>
          <w:p w14:paraId="5AE5F513" w14:textId="0EB02607"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13,119</w:t>
            </w:r>
          </w:p>
        </w:tc>
        <w:tc>
          <w:tcPr>
            <w:tcW w:w="1137" w:type="dxa"/>
            <w:vAlign w:val="center"/>
            <w:hideMark/>
          </w:tcPr>
          <w:p w14:paraId="42F7CB32" w14:textId="6AAE278B"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373B0938" w14:textId="674F4BC7"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13,119</w:t>
            </w:r>
          </w:p>
        </w:tc>
        <w:tc>
          <w:tcPr>
            <w:tcW w:w="830" w:type="dxa"/>
            <w:gridSpan w:val="2"/>
            <w:tcBorders>
              <w:right w:val="single" w:sz="4" w:space="0" w:color="auto"/>
            </w:tcBorders>
            <w:vAlign w:val="center"/>
            <w:hideMark/>
          </w:tcPr>
          <w:p w14:paraId="6EDD6AD4" w14:textId="713EA986"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4</w:t>
            </w:r>
          </w:p>
        </w:tc>
      </w:tr>
      <w:tr w:rsidR="000224BB" w:rsidRPr="000845C9" w14:paraId="4D48A682" w14:textId="77777777" w:rsidTr="006A56B7">
        <w:trPr>
          <w:trHeight w:val="397"/>
        </w:trPr>
        <w:tc>
          <w:tcPr>
            <w:tcW w:w="2709" w:type="dxa"/>
            <w:tcBorders>
              <w:left w:val="single" w:sz="4" w:space="0" w:color="auto"/>
              <w:right w:val="single" w:sz="4" w:space="0" w:color="auto"/>
            </w:tcBorders>
            <w:vAlign w:val="center"/>
            <w:hideMark/>
          </w:tcPr>
          <w:p w14:paraId="3746D163"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Financial institutions</w:t>
            </w:r>
          </w:p>
        </w:tc>
        <w:tc>
          <w:tcPr>
            <w:tcW w:w="1060" w:type="dxa"/>
            <w:tcBorders>
              <w:left w:val="single" w:sz="4" w:space="0" w:color="auto"/>
            </w:tcBorders>
            <w:shd w:val="clear" w:color="auto" w:fill="EAF1DD" w:themeFill="accent3" w:themeFillTint="33"/>
            <w:vAlign w:val="center"/>
          </w:tcPr>
          <w:p w14:paraId="32DB917E" w14:textId="58DA45AD" w:rsidR="0012625C" w:rsidRPr="000845C9" w:rsidRDefault="0019113E" w:rsidP="0012625C">
            <w:pPr>
              <w:jc w:val="center"/>
              <w:rPr>
                <w:rFonts w:ascii="Arial" w:hAnsi="Arial" w:cs="Arial"/>
                <w:color w:val="000000"/>
                <w:sz w:val="22"/>
                <w:szCs w:val="22"/>
              </w:rPr>
            </w:pPr>
            <w:r w:rsidRPr="000845C9">
              <w:rPr>
                <w:rFonts w:ascii="Arial" w:hAnsi="Arial" w:cs="Arial"/>
                <w:color w:val="000000"/>
                <w:sz w:val="22"/>
                <w:szCs w:val="22"/>
              </w:rPr>
              <w:t>30,889</w:t>
            </w:r>
          </w:p>
        </w:tc>
        <w:tc>
          <w:tcPr>
            <w:tcW w:w="1198" w:type="dxa"/>
            <w:shd w:val="clear" w:color="auto" w:fill="EAF1DD" w:themeFill="accent3" w:themeFillTint="33"/>
            <w:vAlign w:val="center"/>
          </w:tcPr>
          <w:p w14:paraId="2C69500A" w14:textId="226EEFF0"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5F304B20" w14:textId="7D0A03F4"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30,889</w:t>
            </w:r>
          </w:p>
        </w:tc>
        <w:tc>
          <w:tcPr>
            <w:tcW w:w="971" w:type="dxa"/>
            <w:gridSpan w:val="2"/>
            <w:tcBorders>
              <w:right w:val="single" w:sz="4" w:space="0" w:color="auto"/>
            </w:tcBorders>
            <w:shd w:val="clear" w:color="auto" w:fill="EAF1DD" w:themeFill="accent3" w:themeFillTint="33"/>
            <w:vAlign w:val="center"/>
          </w:tcPr>
          <w:p w14:paraId="5ABEED01" w14:textId="044696FD"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7</w:t>
            </w:r>
          </w:p>
        </w:tc>
        <w:tc>
          <w:tcPr>
            <w:tcW w:w="1060" w:type="dxa"/>
            <w:tcBorders>
              <w:left w:val="single" w:sz="4" w:space="0" w:color="auto"/>
            </w:tcBorders>
            <w:vAlign w:val="center"/>
            <w:hideMark/>
          </w:tcPr>
          <w:p w14:paraId="69972C28" w14:textId="1ECA36D3"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30,776</w:t>
            </w:r>
          </w:p>
        </w:tc>
        <w:tc>
          <w:tcPr>
            <w:tcW w:w="1137" w:type="dxa"/>
            <w:vAlign w:val="center"/>
            <w:hideMark/>
          </w:tcPr>
          <w:p w14:paraId="6785F0D7" w14:textId="5232EE8B"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1875610B" w14:textId="2CC59E7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30,776</w:t>
            </w:r>
          </w:p>
        </w:tc>
        <w:tc>
          <w:tcPr>
            <w:tcW w:w="830" w:type="dxa"/>
            <w:gridSpan w:val="2"/>
            <w:tcBorders>
              <w:right w:val="single" w:sz="4" w:space="0" w:color="auto"/>
            </w:tcBorders>
            <w:vAlign w:val="center"/>
            <w:hideMark/>
          </w:tcPr>
          <w:p w14:paraId="6A189CEA" w14:textId="4B6681B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8</w:t>
            </w:r>
          </w:p>
        </w:tc>
      </w:tr>
      <w:tr w:rsidR="000224BB" w:rsidRPr="000845C9" w14:paraId="225F6BA5" w14:textId="77777777" w:rsidTr="006A56B7">
        <w:trPr>
          <w:trHeight w:val="397"/>
        </w:trPr>
        <w:tc>
          <w:tcPr>
            <w:tcW w:w="2709" w:type="dxa"/>
            <w:tcBorders>
              <w:left w:val="single" w:sz="4" w:space="0" w:color="auto"/>
              <w:right w:val="single" w:sz="4" w:space="0" w:color="auto"/>
            </w:tcBorders>
            <w:vAlign w:val="center"/>
            <w:hideMark/>
          </w:tcPr>
          <w:p w14:paraId="77289979"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Health and care</w:t>
            </w:r>
          </w:p>
        </w:tc>
        <w:tc>
          <w:tcPr>
            <w:tcW w:w="1060" w:type="dxa"/>
            <w:tcBorders>
              <w:left w:val="single" w:sz="4" w:space="0" w:color="auto"/>
            </w:tcBorders>
            <w:shd w:val="clear" w:color="auto" w:fill="EAF1DD" w:themeFill="accent3" w:themeFillTint="33"/>
            <w:vAlign w:val="center"/>
          </w:tcPr>
          <w:p w14:paraId="6B94A566" w14:textId="109BDA67" w:rsidR="0012625C" w:rsidRPr="000845C9" w:rsidRDefault="0019113E" w:rsidP="0012625C">
            <w:pPr>
              <w:jc w:val="center"/>
              <w:rPr>
                <w:rFonts w:ascii="Arial" w:hAnsi="Arial" w:cs="Arial"/>
                <w:color w:val="000000"/>
                <w:sz w:val="22"/>
                <w:szCs w:val="22"/>
              </w:rPr>
            </w:pPr>
            <w:r w:rsidRPr="000845C9">
              <w:rPr>
                <w:rFonts w:ascii="Arial" w:hAnsi="Arial" w:cs="Arial"/>
                <w:color w:val="000000"/>
                <w:sz w:val="22"/>
                <w:szCs w:val="22"/>
              </w:rPr>
              <w:t>13,898</w:t>
            </w:r>
          </w:p>
        </w:tc>
        <w:tc>
          <w:tcPr>
            <w:tcW w:w="1198" w:type="dxa"/>
            <w:shd w:val="clear" w:color="auto" w:fill="EAF1DD" w:themeFill="accent3" w:themeFillTint="33"/>
            <w:vAlign w:val="center"/>
          </w:tcPr>
          <w:p w14:paraId="409A305E" w14:textId="14F7A142"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763E58CB" w14:textId="35E08F66"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13,898</w:t>
            </w:r>
          </w:p>
        </w:tc>
        <w:tc>
          <w:tcPr>
            <w:tcW w:w="971" w:type="dxa"/>
            <w:gridSpan w:val="2"/>
            <w:tcBorders>
              <w:right w:val="single" w:sz="4" w:space="0" w:color="auto"/>
            </w:tcBorders>
            <w:shd w:val="clear" w:color="auto" w:fill="EAF1DD" w:themeFill="accent3" w:themeFillTint="33"/>
            <w:vAlign w:val="center"/>
          </w:tcPr>
          <w:p w14:paraId="50E14AFF" w14:textId="02EA1EBD" w:rsidR="0012625C" w:rsidRPr="000845C9" w:rsidRDefault="003A6592" w:rsidP="0012625C">
            <w:pPr>
              <w:jc w:val="center"/>
              <w:rPr>
                <w:rFonts w:ascii="Arial" w:hAnsi="Arial" w:cs="Arial"/>
                <w:color w:val="000000"/>
                <w:sz w:val="22"/>
                <w:szCs w:val="22"/>
              </w:rPr>
            </w:pPr>
            <w:r w:rsidRPr="000845C9">
              <w:rPr>
                <w:rFonts w:ascii="Arial" w:hAnsi="Arial" w:cs="Arial"/>
                <w:color w:val="000000"/>
                <w:sz w:val="22"/>
                <w:szCs w:val="22"/>
              </w:rPr>
              <w:t>3</w:t>
            </w:r>
          </w:p>
        </w:tc>
        <w:tc>
          <w:tcPr>
            <w:tcW w:w="1060" w:type="dxa"/>
            <w:tcBorders>
              <w:left w:val="single" w:sz="4" w:space="0" w:color="auto"/>
            </w:tcBorders>
            <w:vAlign w:val="center"/>
            <w:hideMark/>
          </w:tcPr>
          <w:p w14:paraId="6E06FE29" w14:textId="02B9EC0C"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10,178</w:t>
            </w:r>
          </w:p>
        </w:tc>
        <w:tc>
          <w:tcPr>
            <w:tcW w:w="1137" w:type="dxa"/>
            <w:vAlign w:val="center"/>
            <w:hideMark/>
          </w:tcPr>
          <w:p w14:paraId="1D516FD2" w14:textId="124D693D"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583B87C1" w14:textId="0C114D7A"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10,178</w:t>
            </w:r>
          </w:p>
        </w:tc>
        <w:tc>
          <w:tcPr>
            <w:tcW w:w="830" w:type="dxa"/>
            <w:gridSpan w:val="2"/>
            <w:tcBorders>
              <w:right w:val="single" w:sz="4" w:space="0" w:color="auto"/>
            </w:tcBorders>
            <w:vAlign w:val="center"/>
            <w:hideMark/>
          </w:tcPr>
          <w:p w14:paraId="7ED3E75A" w14:textId="41E63EBB"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w:t>
            </w:r>
          </w:p>
        </w:tc>
      </w:tr>
      <w:tr w:rsidR="000224BB" w:rsidRPr="000845C9" w14:paraId="6BD768F4" w14:textId="77777777" w:rsidTr="006A56B7">
        <w:trPr>
          <w:trHeight w:val="397"/>
        </w:trPr>
        <w:tc>
          <w:tcPr>
            <w:tcW w:w="2709" w:type="dxa"/>
            <w:tcBorders>
              <w:left w:val="single" w:sz="4" w:space="0" w:color="auto"/>
              <w:right w:val="single" w:sz="4" w:space="0" w:color="auto"/>
            </w:tcBorders>
            <w:vAlign w:val="center"/>
            <w:hideMark/>
          </w:tcPr>
          <w:p w14:paraId="41B16DD6"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Information technology</w:t>
            </w:r>
          </w:p>
        </w:tc>
        <w:tc>
          <w:tcPr>
            <w:tcW w:w="1060" w:type="dxa"/>
            <w:tcBorders>
              <w:left w:val="single" w:sz="4" w:space="0" w:color="auto"/>
            </w:tcBorders>
            <w:shd w:val="clear" w:color="auto" w:fill="EAF1DD" w:themeFill="accent3" w:themeFillTint="33"/>
            <w:vAlign w:val="center"/>
          </w:tcPr>
          <w:p w14:paraId="4ECF7CDD" w14:textId="42A6A37F" w:rsidR="0012625C" w:rsidRPr="000845C9" w:rsidRDefault="0019113E" w:rsidP="0012625C">
            <w:pPr>
              <w:jc w:val="center"/>
              <w:rPr>
                <w:rFonts w:ascii="Arial" w:hAnsi="Arial" w:cs="Arial"/>
                <w:color w:val="000000"/>
                <w:sz w:val="22"/>
                <w:szCs w:val="22"/>
              </w:rPr>
            </w:pPr>
            <w:r w:rsidRPr="000845C9">
              <w:rPr>
                <w:rFonts w:ascii="Arial" w:hAnsi="Arial" w:cs="Arial"/>
                <w:color w:val="000000"/>
                <w:sz w:val="22"/>
                <w:szCs w:val="22"/>
              </w:rPr>
              <w:t>34,413</w:t>
            </w:r>
          </w:p>
        </w:tc>
        <w:tc>
          <w:tcPr>
            <w:tcW w:w="1198" w:type="dxa"/>
            <w:shd w:val="clear" w:color="auto" w:fill="EAF1DD" w:themeFill="accent3" w:themeFillTint="33"/>
            <w:vAlign w:val="center"/>
          </w:tcPr>
          <w:p w14:paraId="08F60720" w14:textId="7AF216FF"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617C0C1F" w14:textId="5F156AB5"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34,413</w:t>
            </w:r>
          </w:p>
        </w:tc>
        <w:tc>
          <w:tcPr>
            <w:tcW w:w="971" w:type="dxa"/>
            <w:gridSpan w:val="2"/>
            <w:tcBorders>
              <w:right w:val="single" w:sz="4" w:space="0" w:color="auto"/>
            </w:tcBorders>
            <w:shd w:val="clear" w:color="auto" w:fill="EAF1DD" w:themeFill="accent3" w:themeFillTint="33"/>
            <w:vAlign w:val="center"/>
          </w:tcPr>
          <w:p w14:paraId="6EE9F59F" w14:textId="53AB7DD7"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8</w:t>
            </w:r>
          </w:p>
        </w:tc>
        <w:tc>
          <w:tcPr>
            <w:tcW w:w="1060" w:type="dxa"/>
            <w:tcBorders>
              <w:left w:val="single" w:sz="4" w:space="0" w:color="auto"/>
            </w:tcBorders>
            <w:vAlign w:val="center"/>
            <w:hideMark/>
          </w:tcPr>
          <w:p w14:paraId="2080D857" w14:textId="029C51C8"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33,978</w:t>
            </w:r>
          </w:p>
        </w:tc>
        <w:tc>
          <w:tcPr>
            <w:tcW w:w="1137" w:type="dxa"/>
            <w:vAlign w:val="center"/>
            <w:hideMark/>
          </w:tcPr>
          <w:p w14:paraId="09F83396" w14:textId="33D3B15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11DFBAE4" w14:textId="33C3F70E"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33,978</w:t>
            </w:r>
          </w:p>
        </w:tc>
        <w:tc>
          <w:tcPr>
            <w:tcW w:w="830" w:type="dxa"/>
            <w:gridSpan w:val="2"/>
            <w:tcBorders>
              <w:right w:val="single" w:sz="4" w:space="0" w:color="auto"/>
            </w:tcBorders>
            <w:vAlign w:val="center"/>
            <w:hideMark/>
          </w:tcPr>
          <w:p w14:paraId="4F11758C" w14:textId="425213D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9</w:t>
            </w:r>
          </w:p>
        </w:tc>
      </w:tr>
      <w:tr w:rsidR="000224BB" w:rsidRPr="000845C9" w14:paraId="3B61E0EA" w14:textId="77777777" w:rsidTr="006A56B7">
        <w:trPr>
          <w:trHeight w:val="397"/>
        </w:trPr>
        <w:tc>
          <w:tcPr>
            <w:tcW w:w="2709" w:type="dxa"/>
            <w:tcBorders>
              <w:left w:val="single" w:sz="4" w:space="0" w:color="auto"/>
              <w:bottom w:val="single" w:sz="4" w:space="0" w:color="auto"/>
              <w:right w:val="single" w:sz="4" w:space="0" w:color="auto"/>
            </w:tcBorders>
            <w:vAlign w:val="center"/>
            <w:hideMark/>
          </w:tcPr>
          <w:p w14:paraId="41E24476"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Other</w:t>
            </w:r>
          </w:p>
        </w:tc>
        <w:tc>
          <w:tcPr>
            <w:tcW w:w="1060" w:type="dxa"/>
            <w:tcBorders>
              <w:left w:val="single" w:sz="4" w:space="0" w:color="auto"/>
              <w:bottom w:val="single" w:sz="4" w:space="0" w:color="auto"/>
            </w:tcBorders>
            <w:shd w:val="clear" w:color="auto" w:fill="EAF1DD" w:themeFill="accent3" w:themeFillTint="33"/>
            <w:vAlign w:val="center"/>
          </w:tcPr>
          <w:p w14:paraId="20694B65" w14:textId="5F27DB1E" w:rsidR="0012625C" w:rsidRPr="000845C9" w:rsidRDefault="0019113E" w:rsidP="0012625C">
            <w:pPr>
              <w:jc w:val="center"/>
              <w:rPr>
                <w:rFonts w:ascii="Arial" w:hAnsi="Arial" w:cs="Arial"/>
                <w:color w:val="000000"/>
                <w:sz w:val="22"/>
                <w:szCs w:val="22"/>
              </w:rPr>
            </w:pPr>
            <w:r w:rsidRPr="000845C9">
              <w:rPr>
                <w:rFonts w:ascii="Arial" w:hAnsi="Arial" w:cs="Arial"/>
                <w:color w:val="000000"/>
                <w:sz w:val="22"/>
                <w:szCs w:val="22"/>
              </w:rPr>
              <w:t>4,150</w:t>
            </w:r>
          </w:p>
        </w:tc>
        <w:tc>
          <w:tcPr>
            <w:tcW w:w="1198" w:type="dxa"/>
            <w:tcBorders>
              <w:bottom w:val="single" w:sz="4" w:space="0" w:color="auto"/>
            </w:tcBorders>
            <w:shd w:val="clear" w:color="auto" w:fill="EAF1DD" w:themeFill="accent3" w:themeFillTint="33"/>
            <w:vAlign w:val="center"/>
          </w:tcPr>
          <w:p w14:paraId="027E2415" w14:textId="3469336B"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tcBorders>
              <w:bottom w:val="single" w:sz="4" w:space="0" w:color="auto"/>
            </w:tcBorders>
            <w:shd w:val="clear" w:color="auto" w:fill="EAF1DD" w:themeFill="accent3" w:themeFillTint="33"/>
            <w:vAlign w:val="center"/>
          </w:tcPr>
          <w:p w14:paraId="3C3AEA8F" w14:textId="457341CF"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4,150</w:t>
            </w:r>
          </w:p>
        </w:tc>
        <w:tc>
          <w:tcPr>
            <w:tcW w:w="971" w:type="dxa"/>
            <w:gridSpan w:val="2"/>
            <w:tcBorders>
              <w:bottom w:val="single" w:sz="4" w:space="0" w:color="auto"/>
              <w:right w:val="single" w:sz="4" w:space="0" w:color="auto"/>
            </w:tcBorders>
            <w:shd w:val="clear" w:color="auto" w:fill="EAF1DD" w:themeFill="accent3" w:themeFillTint="33"/>
            <w:vAlign w:val="center"/>
          </w:tcPr>
          <w:p w14:paraId="3B453AE1" w14:textId="71B06EEC"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1</w:t>
            </w:r>
          </w:p>
        </w:tc>
        <w:tc>
          <w:tcPr>
            <w:tcW w:w="1060" w:type="dxa"/>
            <w:tcBorders>
              <w:left w:val="single" w:sz="4" w:space="0" w:color="auto"/>
              <w:bottom w:val="single" w:sz="4" w:space="0" w:color="auto"/>
            </w:tcBorders>
            <w:vAlign w:val="center"/>
            <w:hideMark/>
          </w:tcPr>
          <w:p w14:paraId="69F0ACCB" w14:textId="5B58713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1,954</w:t>
            </w:r>
          </w:p>
        </w:tc>
        <w:tc>
          <w:tcPr>
            <w:tcW w:w="1137" w:type="dxa"/>
            <w:tcBorders>
              <w:bottom w:val="single" w:sz="4" w:space="0" w:color="auto"/>
            </w:tcBorders>
            <w:vAlign w:val="center"/>
            <w:hideMark/>
          </w:tcPr>
          <w:p w14:paraId="5121C688" w14:textId="443A244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tcBorders>
              <w:bottom w:val="single" w:sz="4" w:space="0" w:color="auto"/>
            </w:tcBorders>
            <w:vAlign w:val="center"/>
            <w:hideMark/>
          </w:tcPr>
          <w:p w14:paraId="17CA20A2" w14:textId="394A7FC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1,954</w:t>
            </w:r>
          </w:p>
        </w:tc>
        <w:tc>
          <w:tcPr>
            <w:tcW w:w="830" w:type="dxa"/>
            <w:gridSpan w:val="2"/>
            <w:tcBorders>
              <w:bottom w:val="single" w:sz="4" w:space="0" w:color="auto"/>
              <w:right w:val="single" w:sz="4" w:space="0" w:color="auto"/>
            </w:tcBorders>
            <w:vAlign w:val="center"/>
            <w:hideMark/>
          </w:tcPr>
          <w:p w14:paraId="4052966E" w14:textId="66FF7FC7"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0</w:t>
            </w:r>
          </w:p>
        </w:tc>
      </w:tr>
      <w:tr w:rsidR="000224BB" w:rsidRPr="000845C9" w14:paraId="1AE9E2D5" w14:textId="77777777" w:rsidTr="006A56B7">
        <w:trPr>
          <w:trHeight w:val="397"/>
        </w:trPr>
        <w:tc>
          <w:tcPr>
            <w:tcW w:w="2709" w:type="dxa"/>
            <w:tcBorders>
              <w:top w:val="single" w:sz="4" w:space="0" w:color="auto"/>
              <w:left w:val="single" w:sz="4" w:space="0" w:color="auto"/>
              <w:right w:val="single" w:sz="4" w:space="0" w:color="auto"/>
            </w:tcBorders>
            <w:vAlign w:val="center"/>
          </w:tcPr>
          <w:p w14:paraId="34FE3A83" w14:textId="6B1ECBA9"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Debt securities:</w:t>
            </w:r>
          </w:p>
        </w:tc>
        <w:tc>
          <w:tcPr>
            <w:tcW w:w="1060" w:type="dxa"/>
            <w:tcBorders>
              <w:top w:val="single" w:sz="4" w:space="0" w:color="auto"/>
              <w:left w:val="single" w:sz="4" w:space="0" w:color="auto"/>
            </w:tcBorders>
            <w:shd w:val="clear" w:color="auto" w:fill="EAF1DD" w:themeFill="accent3" w:themeFillTint="33"/>
            <w:vAlign w:val="center"/>
          </w:tcPr>
          <w:p w14:paraId="181794B3" w14:textId="77777777" w:rsidR="0012625C" w:rsidRPr="000845C9" w:rsidRDefault="0012625C" w:rsidP="0012625C">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5BB05A16" w14:textId="77777777" w:rsidR="0012625C" w:rsidRPr="000845C9" w:rsidRDefault="0012625C" w:rsidP="0012625C">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177CEDA3" w14:textId="77777777" w:rsidR="0012625C" w:rsidRPr="000845C9" w:rsidRDefault="0012625C" w:rsidP="0012625C">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2EB5526B" w14:textId="77777777" w:rsidR="0012625C" w:rsidRPr="000845C9" w:rsidRDefault="0012625C" w:rsidP="0012625C">
            <w:pPr>
              <w:jc w:val="center"/>
              <w:rPr>
                <w:rFonts w:ascii="Arial" w:hAnsi="Arial" w:cs="Arial"/>
                <w:b/>
                <w:bCs/>
                <w:color w:val="000000"/>
                <w:sz w:val="22"/>
                <w:szCs w:val="22"/>
              </w:rPr>
            </w:pPr>
          </w:p>
        </w:tc>
        <w:tc>
          <w:tcPr>
            <w:tcW w:w="1060" w:type="dxa"/>
            <w:tcBorders>
              <w:top w:val="single" w:sz="4" w:space="0" w:color="auto"/>
              <w:left w:val="single" w:sz="4" w:space="0" w:color="auto"/>
            </w:tcBorders>
            <w:noWrap/>
            <w:vAlign w:val="center"/>
          </w:tcPr>
          <w:p w14:paraId="7D27A24B" w14:textId="77777777" w:rsidR="0012625C" w:rsidRPr="000845C9" w:rsidRDefault="0012625C" w:rsidP="0012625C">
            <w:pPr>
              <w:jc w:val="center"/>
              <w:rPr>
                <w:rFonts w:ascii="Arial" w:hAnsi="Arial" w:cs="Arial"/>
                <w:color w:val="000000"/>
                <w:sz w:val="22"/>
                <w:szCs w:val="22"/>
              </w:rPr>
            </w:pPr>
          </w:p>
        </w:tc>
        <w:tc>
          <w:tcPr>
            <w:tcW w:w="1137" w:type="dxa"/>
            <w:tcBorders>
              <w:top w:val="single" w:sz="4" w:space="0" w:color="auto"/>
            </w:tcBorders>
            <w:noWrap/>
            <w:vAlign w:val="center"/>
          </w:tcPr>
          <w:p w14:paraId="748A05C3" w14:textId="77777777" w:rsidR="0012625C" w:rsidRPr="000845C9" w:rsidRDefault="0012625C" w:rsidP="0012625C">
            <w:pPr>
              <w:jc w:val="center"/>
              <w:rPr>
                <w:rFonts w:ascii="Arial" w:hAnsi="Arial" w:cs="Arial"/>
                <w:color w:val="000000"/>
                <w:sz w:val="22"/>
                <w:szCs w:val="22"/>
              </w:rPr>
            </w:pPr>
          </w:p>
        </w:tc>
        <w:tc>
          <w:tcPr>
            <w:tcW w:w="1084" w:type="dxa"/>
            <w:tcBorders>
              <w:top w:val="single" w:sz="4" w:space="0" w:color="auto"/>
            </w:tcBorders>
            <w:noWrap/>
            <w:vAlign w:val="center"/>
          </w:tcPr>
          <w:p w14:paraId="6E0C070B" w14:textId="77777777" w:rsidR="0012625C" w:rsidRPr="000845C9" w:rsidRDefault="0012625C" w:rsidP="0012625C">
            <w:pPr>
              <w:jc w:val="center"/>
              <w:rPr>
                <w:rFonts w:ascii="Arial" w:hAnsi="Arial" w:cs="Arial"/>
                <w:color w:val="000000"/>
                <w:sz w:val="22"/>
                <w:szCs w:val="22"/>
              </w:rPr>
            </w:pPr>
          </w:p>
        </w:tc>
        <w:tc>
          <w:tcPr>
            <w:tcW w:w="830" w:type="dxa"/>
            <w:gridSpan w:val="2"/>
            <w:tcBorders>
              <w:top w:val="single" w:sz="4" w:space="0" w:color="auto"/>
              <w:right w:val="single" w:sz="4" w:space="0" w:color="auto"/>
            </w:tcBorders>
            <w:noWrap/>
            <w:vAlign w:val="center"/>
          </w:tcPr>
          <w:p w14:paraId="5E771EEA" w14:textId="77777777" w:rsidR="0012625C" w:rsidRPr="000845C9" w:rsidRDefault="0012625C" w:rsidP="0012625C">
            <w:pPr>
              <w:jc w:val="center"/>
              <w:rPr>
                <w:rFonts w:ascii="Arial" w:hAnsi="Arial" w:cs="Arial"/>
                <w:color w:val="000000"/>
                <w:sz w:val="22"/>
                <w:szCs w:val="22"/>
              </w:rPr>
            </w:pPr>
          </w:p>
        </w:tc>
      </w:tr>
      <w:tr w:rsidR="000224BB" w:rsidRPr="000845C9" w14:paraId="0029A33A" w14:textId="77777777" w:rsidTr="006A56B7">
        <w:trPr>
          <w:trHeight w:val="397"/>
        </w:trPr>
        <w:tc>
          <w:tcPr>
            <w:tcW w:w="2709" w:type="dxa"/>
            <w:tcBorders>
              <w:left w:val="single" w:sz="4" w:space="0" w:color="auto"/>
              <w:right w:val="single" w:sz="4" w:space="0" w:color="auto"/>
            </w:tcBorders>
            <w:vAlign w:val="center"/>
          </w:tcPr>
          <w:p w14:paraId="19AFC778" w14:textId="77777777" w:rsidR="0012625C" w:rsidRPr="000845C9" w:rsidRDefault="0012625C" w:rsidP="0012625C">
            <w:pPr>
              <w:rPr>
                <w:rFonts w:ascii="Arial" w:hAnsi="Arial" w:cs="Arial"/>
                <w:bCs/>
                <w:color w:val="000000"/>
                <w:sz w:val="22"/>
                <w:szCs w:val="22"/>
              </w:rPr>
            </w:pPr>
            <w:r w:rsidRPr="000845C9">
              <w:rPr>
                <w:rFonts w:ascii="Arial" w:hAnsi="Arial" w:cs="Arial"/>
                <w:bCs/>
                <w:color w:val="000000"/>
                <w:sz w:val="22"/>
                <w:szCs w:val="22"/>
              </w:rPr>
              <w:t>UK Government</w:t>
            </w:r>
          </w:p>
        </w:tc>
        <w:tc>
          <w:tcPr>
            <w:tcW w:w="1060" w:type="dxa"/>
            <w:tcBorders>
              <w:left w:val="single" w:sz="4" w:space="0" w:color="auto"/>
            </w:tcBorders>
            <w:shd w:val="clear" w:color="auto" w:fill="EAF1DD" w:themeFill="accent3" w:themeFillTint="33"/>
            <w:vAlign w:val="center"/>
          </w:tcPr>
          <w:p w14:paraId="07840204" w14:textId="3B68D065" w:rsidR="0012625C" w:rsidRPr="000845C9" w:rsidRDefault="00A807B4" w:rsidP="0012625C">
            <w:pPr>
              <w:jc w:val="center"/>
              <w:rPr>
                <w:rFonts w:ascii="Arial" w:hAnsi="Arial" w:cs="Arial"/>
                <w:bCs/>
                <w:color w:val="000000"/>
                <w:sz w:val="22"/>
                <w:szCs w:val="22"/>
              </w:rPr>
            </w:pPr>
            <w:r w:rsidRPr="000845C9">
              <w:rPr>
                <w:rFonts w:ascii="Arial" w:hAnsi="Arial" w:cs="Arial"/>
                <w:bCs/>
                <w:color w:val="000000"/>
                <w:sz w:val="22"/>
                <w:szCs w:val="22"/>
              </w:rPr>
              <w:t>17,386</w:t>
            </w:r>
          </w:p>
        </w:tc>
        <w:tc>
          <w:tcPr>
            <w:tcW w:w="1198" w:type="dxa"/>
            <w:shd w:val="clear" w:color="auto" w:fill="EAF1DD" w:themeFill="accent3" w:themeFillTint="33"/>
            <w:vAlign w:val="center"/>
          </w:tcPr>
          <w:p w14:paraId="6E4E0880" w14:textId="42E6503C" w:rsidR="0012625C" w:rsidRPr="000845C9" w:rsidRDefault="00E64DED" w:rsidP="0012625C">
            <w:pPr>
              <w:jc w:val="center"/>
              <w:rPr>
                <w:rFonts w:ascii="Arial" w:hAnsi="Arial" w:cs="Arial"/>
                <w:bCs/>
                <w:color w:val="000000"/>
                <w:sz w:val="22"/>
                <w:szCs w:val="22"/>
              </w:rPr>
            </w:pPr>
            <w:r w:rsidRPr="000845C9">
              <w:rPr>
                <w:rFonts w:ascii="Arial" w:hAnsi="Arial" w:cs="Arial"/>
                <w:bCs/>
                <w:color w:val="000000"/>
                <w:sz w:val="22"/>
                <w:szCs w:val="22"/>
              </w:rPr>
              <w:t>-</w:t>
            </w:r>
          </w:p>
        </w:tc>
        <w:tc>
          <w:tcPr>
            <w:tcW w:w="874" w:type="dxa"/>
            <w:shd w:val="clear" w:color="auto" w:fill="EAF1DD" w:themeFill="accent3" w:themeFillTint="33"/>
            <w:vAlign w:val="center"/>
          </w:tcPr>
          <w:p w14:paraId="42A9076B" w14:textId="777AC18F" w:rsidR="0012625C" w:rsidRPr="000845C9" w:rsidRDefault="00855722" w:rsidP="0012625C">
            <w:pPr>
              <w:jc w:val="center"/>
              <w:rPr>
                <w:rFonts w:ascii="Arial" w:hAnsi="Arial" w:cs="Arial"/>
                <w:bCs/>
                <w:color w:val="000000"/>
                <w:sz w:val="22"/>
                <w:szCs w:val="22"/>
              </w:rPr>
            </w:pPr>
            <w:r w:rsidRPr="000845C9">
              <w:rPr>
                <w:rFonts w:ascii="Arial" w:hAnsi="Arial" w:cs="Arial"/>
                <w:bCs/>
                <w:color w:val="000000"/>
                <w:sz w:val="22"/>
                <w:szCs w:val="22"/>
              </w:rPr>
              <w:t>17,386</w:t>
            </w:r>
          </w:p>
        </w:tc>
        <w:tc>
          <w:tcPr>
            <w:tcW w:w="971" w:type="dxa"/>
            <w:gridSpan w:val="2"/>
            <w:tcBorders>
              <w:right w:val="single" w:sz="4" w:space="0" w:color="auto"/>
            </w:tcBorders>
            <w:shd w:val="clear" w:color="auto" w:fill="EAF1DD" w:themeFill="accent3" w:themeFillTint="33"/>
            <w:vAlign w:val="center"/>
          </w:tcPr>
          <w:p w14:paraId="698E6385" w14:textId="3B607D97" w:rsidR="0012625C" w:rsidRPr="000845C9" w:rsidRDefault="00855722" w:rsidP="0012625C">
            <w:pPr>
              <w:jc w:val="center"/>
              <w:rPr>
                <w:rFonts w:ascii="Arial" w:hAnsi="Arial" w:cs="Arial"/>
                <w:bCs/>
                <w:color w:val="000000"/>
                <w:sz w:val="22"/>
                <w:szCs w:val="22"/>
              </w:rPr>
            </w:pPr>
            <w:r w:rsidRPr="000845C9">
              <w:rPr>
                <w:rFonts w:ascii="Arial" w:hAnsi="Arial" w:cs="Arial"/>
                <w:bCs/>
                <w:color w:val="000000"/>
                <w:sz w:val="22"/>
                <w:szCs w:val="22"/>
              </w:rPr>
              <w:t>4</w:t>
            </w:r>
          </w:p>
        </w:tc>
        <w:tc>
          <w:tcPr>
            <w:tcW w:w="1060" w:type="dxa"/>
            <w:tcBorders>
              <w:left w:val="single" w:sz="4" w:space="0" w:color="auto"/>
            </w:tcBorders>
            <w:noWrap/>
            <w:vAlign w:val="center"/>
          </w:tcPr>
          <w:p w14:paraId="168CC261" w14:textId="142F66B6" w:rsidR="0012625C" w:rsidRPr="000845C9" w:rsidRDefault="0012625C" w:rsidP="0012625C">
            <w:pPr>
              <w:jc w:val="center"/>
              <w:rPr>
                <w:rFonts w:ascii="Arial" w:hAnsi="Arial" w:cs="Arial"/>
                <w:color w:val="000000"/>
                <w:sz w:val="22"/>
                <w:szCs w:val="22"/>
              </w:rPr>
            </w:pPr>
            <w:r w:rsidRPr="000845C9">
              <w:rPr>
                <w:rFonts w:ascii="Arial" w:hAnsi="Arial" w:cs="Arial"/>
                <w:bCs/>
                <w:color w:val="000000"/>
                <w:sz w:val="22"/>
                <w:szCs w:val="22"/>
              </w:rPr>
              <w:t>5,206</w:t>
            </w:r>
          </w:p>
        </w:tc>
        <w:tc>
          <w:tcPr>
            <w:tcW w:w="1137" w:type="dxa"/>
            <w:noWrap/>
            <w:vAlign w:val="center"/>
          </w:tcPr>
          <w:p w14:paraId="3109CDA5" w14:textId="586C2C2B" w:rsidR="0012625C" w:rsidRPr="000845C9" w:rsidRDefault="0012625C" w:rsidP="0012625C">
            <w:pPr>
              <w:jc w:val="center"/>
              <w:rPr>
                <w:rFonts w:ascii="Arial" w:hAnsi="Arial" w:cs="Arial"/>
                <w:color w:val="000000"/>
                <w:sz w:val="22"/>
                <w:szCs w:val="22"/>
              </w:rPr>
            </w:pPr>
            <w:r w:rsidRPr="000845C9">
              <w:rPr>
                <w:rFonts w:ascii="Arial" w:hAnsi="Arial" w:cs="Arial"/>
                <w:bCs/>
                <w:color w:val="000000"/>
                <w:sz w:val="22"/>
                <w:szCs w:val="22"/>
              </w:rPr>
              <w:t>-</w:t>
            </w:r>
          </w:p>
        </w:tc>
        <w:tc>
          <w:tcPr>
            <w:tcW w:w="1084" w:type="dxa"/>
            <w:noWrap/>
            <w:vAlign w:val="center"/>
          </w:tcPr>
          <w:p w14:paraId="6022F494" w14:textId="6AE9D455" w:rsidR="0012625C" w:rsidRPr="000845C9" w:rsidRDefault="0012625C" w:rsidP="0012625C">
            <w:pPr>
              <w:jc w:val="center"/>
              <w:rPr>
                <w:rFonts w:ascii="Arial" w:hAnsi="Arial" w:cs="Arial"/>
                <w:color w:val="000000"/>
                <w:sz w:val="22"/>
                <w:szCs w:val="22"/>
              </w:rPr>
            </w:pPr>
            <w:r w:rsidRPr="000845C9">
              <w:rPr>
                <w:rFonts w:ascii="Arial" w:hAnsi="Arial" w:cs="Arial"/>
                <w:bCs/>
                <w:color w:val="000000"/>
                <w:sz w:val="22"/>
                <w:szCs w:val="22"/>
              </w:rPr>
              <w:t>5,206</w:t>
            </w:r>
          </w:p>
        </w:tc>
        <w:tc>
          <w:tcPr>
            <w:tcW w:w="830" w:type="dxa"/>
            <w:gridSpan w:val="2"/>
            <w:tcBorders>
              <w:right w:val="single" w:sz="4" w:space="0" w:color="auto"/>
            </w:tcBorders>
            <w:noWrap/>
            <w:vAlign w:val="center"/>
          </w:tcPr>
          <w:p w14:paraId="380DB01A" w14:textId="00828332" w:rsidR="0012625C" w:rsidRPr="000845C9" w:rsidRDefault="0012625C" w:rsidP="0012625C">
            <w:pPr>
              <w:jc w:val="center"/>
              <w:rPr>
                <w:rFonts w:ascii="Arial" w:hAnsi="Arial" w:cs="Arial"/>
                <w:color w:val="000000"/>
                <w:sz w:val="22"/>
                <w:szCs w:val="22"/>
              </w:rPr>
            </w:pPr>
            <w:r w:rsidRPr="000845C9">
              <w:rPr>
                <w:rFonts w:ascii="Arial" w:hAnsi="Arial" w:cs="Arial"/>
                <w:bCs/>
                <w:color w:val="000000"/>
                <w:sz w:val="22"/>
                <w:szCs w:val="22"/>
              </w:rPr>
              <w:t>1</w:t>
            </w:r>
          </w:p>
        </w:tc>
      </w:tr>
      <w:tr w:rsidR="000224BB" w:rsidRPr="000845C9" w14:paraId="57607F5C" w14:textId="77777777" w:rsidTr="006A56B7">
        <w:trPr>
          <w:trHeight w:val="397"/>
        </w:trPr>
        <w:tc>
          <w:tcPr>
            <w:tcW w:w="2709" w:type="dxa"/>
            <w:tcBorders>
              <w:left w:val="single" w:sz="4" w:space="0" w:color="auto"/>
              <w:bottom w:val="single" w:sz="4" w:space="0" w:color="auto"/>
              <w:right w:val="single" w:sz="4" w:space="0" w:color="auto"/>
            </w:tcBorders>
            <w:vAlign w:val="center"/>
          </w:tcPr>
          <w:p w14:paraId="303FF3DD" w14:textId="6BFFD70B" w:rsidR="00A807B4" w:rsidRPr="000845C9" w:rsidRDefault="00A807B4" w:rsidP="0012625C">
            <w:pPr>
              <w:rPr>
                <w:rFonts w:ascii="Arial" w:hAnsi="Arial" w:cs="Arial"/>
                <w:bCs/>
                <w:color w:val="000000"/>
                <w:sz w:val="22"/>
                <w:szCs w:val="22"/>
              </w:rPr>
            </w:pPr>
            <w:r w:rsidRPr="000845C9">
              <w:rPr>
                <w:rFonts w:ascii="Arial" w:hAnsi="Arial" w:cs="Arial"/>
                <w:bCs/>
                <w:color w:val="000000"/>
                <w:sz w:val="22"/>
                <w:szCs w:val="22"/>
              </w:rPr>
              <w:t>Other</w:t>
            </w:r>
          </w:p>
        </w:tc>
        <w:tc>
          <w:tcPr>
            <w:tcW w:w="1060" w:type="dxa"/>
            <w:tcBorders>
              <w:left w:val="single" w:sz="4" w:space="0" w:color="auto"/>
              <w:bottom w:val="single" w:sz="4" w:space="0" w:color="auto"/>
            </w:tcBorders>
            <w:shd w:val="clear" w:color="auto" w:fill="EAF1DD" w:themeFill="accent3" w:themeFillTint="33"/>
            <w:vAlign w:val="center"/>
          </w:tcPr>
          <w:p w14:paraId="207B37C9" w14:textId="48D8EE2A" w:rsidR="00A807B4" w:rsidRPr="000845C9" w:rsidRDefault="00A807B4" w:rsidP="0012625C">
            <w:pPr>
              <w:jc w:val="center"/>
              <w:rPr>
                <w:rFonts w:ascii="Arial" w:hAnsi="Arial" w:cs="Arial"/>
                <w:bCs/>
                <w:color w:val="000000"/>
                <w:sz w:val="22"/>
                <w:szCs w:val="22"/>
              </w:rPr>
            </w:pPr>
            <w:r w:rsidRPr="000845C9">
              <w:rPr>
                <w:rFonts w:ascii="Arial" w:hAnsi="Arial" w:cs="Arial"/>
                <w:bCs/>
                <w:color w:val="000000"/>
                <w:sz w:val="22"/>
                <w:szCs w:val="22"/>
              </w:rPr>
              <w:t>7,924</w:t>
            </w:r>
          </w:p>
        </w:tc>
        <w:tc>
          <w:tcPr>
            <w:tcW w:w="1198" w:type="dxa"/>
            <w:tcBorders>
              <w:bottom w:val="single" w:sz="4" w:space="0" w:color="auto"/>
            </w:tcBorders>
            <w:shd w:val="clear" w:color="auto" w:fill="EAF1DD" w:themeFill="accent3" w:themeFillTint="33"/>
            <w:vAlign w:val="center"/>
          </w:tcPr>
          <w:p w14:paraId="3217CCF9" w14:textId="18A0E8C3" w:rsidR="00A807B4" w:rsidRPr="000845C9" w:rsidRDefault="00E64DED" w:rsidP="0012625C">
            <w:pPr>
              <w:jc w:val="center"/>
              <w:rPr>
                <w:rFonts w:ascii="Arial" w:hAnsi="Arial" w:cs="Arial"/>
                <w:bCs/>
                <w:color w:val="000000"/>
                <w:sz w:val="22"/>
                <w:szCs w:val="22"/>
              </w:rPr>
            </w:pPr>
            <w:r w:rsidRPr="000845C9">
              <w:rPr>
                <w:rFonts w:ascii="Arial" w:hAnsi="Arial" w:cs="Arial"/>
                <w:bCs/>
                <w:color w:val="000000"/>
                <w:sz w:val="22"/>
                <w:szCs w:val="22"/>
              </w:rPr>
              <w:t>-</w:t>
            </w:r>
          </w:p>
        </w:tc>
        <w:tc>
          <w:tcPr>
            <w:tcW w:w="874" w:type="dxa"/>
            <w:tcBorders>
              <w:bottom w:val="single" w:sz="4" w:space="0" w:color="auto"/>
            </w:tcBorders>
            <w:shd w:val="clear" w:color="auto" w:fill="EAF1DD" w:themeFill="accent3" w:themeFillTint="33"/>
            <w:vAlign w:val="center"/>
          </w:tcPr>
          <w:p w14:paraId="561F33B6" w14:textId="70F0A0B6" w:rsidR="00A807B4" w:rsidRPr="000845C9" w:rsidRDefault="00855722" w:rsidP="0012625C">
            <w:pPr>
              <w:jc w:val="center"/>
              <w:rPr>
                <w:rFonts w:ascii="Arial" w:hAnsi="Arial" w:cs="Arial"/>
                <w:bCs/>
                <w:color w:val="000000"/>
                <w:sz w:val="22"/>
                <w:szCs w:val="22"/>
              </w:rPr>
            </w:pPr>
            <w:r w:rsidRPr="000845C9">
              <w:rPr>
                <w:rFonts w:ascii="Arial" w:hAnsi="Arial" w:cs="Arial"/>
                <w:bCs/>
                <w:color w:val="000000"/>
                <w:sz w:val="22"/>
                <w:szCs w:val="22"/>
              </w:rPr>
              <w:t>7,924</w:t>
            </w:r>
          </w:p>
        </w:tc>
        <w:tc>
          <w:tcPr>
            <w:tcW w:w="971" w:type="dxa"/>
            <w:gridSpan w:val="2"/>
            <w:tcBorders>
              <w:bottom w:val="single" w:sz="4" w:space="0" w:color="auto"/>
              <w:right w:val="single" w:sz="4" w:space="0" w:color="auto"/>
            </w:tcBorders>
            <w:shd w:val="clear" w:color="auto" w:fill="EAF1DD" w:themeFill="accent3" w:themeFillTint="33"/>
            <w:vAlign w:val="center"/>
          </w:tcPr>
          <w:p w14:paraId="060FC35C" w14:textId="5A52590E" w:rsidR="00A807B4" w:rsidRPr="000845C9" w:rsidRDefault="00855722" w:rsidP="0012625C">
            <w:pPr>
              <w:jc w:val="center"/>
              <w:rPr>
                <w:rFonts w:ascii="Arial" w:hAnsi="Arial" w:cs="Arial"/>
                <w:bCs/>
                <w:color w:val="000000"/>
                <w:sz w:val="22"/>
                <w:szCs w:val="22"/>
              </w:rPr>
            </w:pPr>
            <w:r w:rsidRPr="000845C9">
              <w:rPr>
                <w:rFonts w:ascii="Arial" w:hAnsi="Arial" w:cs="Arial"/>
                <w:bCs/>
                <w:color w:val="000000"/>
                <w:sz w:val="22"/>
                <w:szCs w:val="22"/>
              </w:rPr>
              <w:t>2</w:t>
            </w:r>
          </w:p>
        </w:tc>
        <w:tc>
          <w:tcPr>
            <w:tcW w:w="1060" w:type="dxa"/>
            <w:tcBorders>
              <w:left w:val="single" w:sz="4" w:space="0" w:color="auto"/>
              <w:bottom w:val="single" w:sz="4" w:space="0" w:color="auto"/>
            </w:tcBorders>
            <w:noWrap/>
            <w:vAlign w:val="center"/>
          </w:tcPr>
          <w:p w14:paraId="25C645AA" w14:textId="77777777" w:rsidR="00A807B4" w:rsidRPr="000845C9" w:rsidRDefault="00A807B4" w:rsidP="0012625C">
            <w:pPr>
              <w:jc w:val="center"/>
              <w:rPr>
                <w:rFonts w:ascii="Arial" w:hAnsi="Arial" w:cs="Arial"/>
                <w:bCs/>
                <w:color w:val="000000"/>
                <w:sz w:val="22"/>
                <w:szCs w:val="22"/>
              </w:rPr>
            </w:pPr>
          </w:p>
        </w:tc>
        <w:tc>
          <w:tcPr>
            <w:tcW w:w="1137" w:type="dxa"/>
            <w:tcBorders>
              <w:bottom w:val="single" w:sz="4" w:space="0" w:color="auto"/>
            </w:tcBorders>
            <w:noWrap/>
            <w:vAlign w:val="center"/>
          </w:tcPr>
          <w:p w14:paraId="426B48CC" w14:textId="77777777" w:rsidR="00A807B4" w:rsidRPr="000845C9" w:rsidRDefault="00A807B4" w:rsidP="0012625C">
            <w:pPr>
              <w:jc w:val="center"/>
              <w:rPr>
                <w:rFonts w:ascii="Arial" w:hAnsi="Arial" w:cs="Arial"/>
                <w:bCs/>
                <w:color w:val="000000"/>
                <w:sz w:val="22"/>
                <w:szCs w:val="22"/>
              </w:rPr>
            </w:pPr>
          </w:p>
        </w:tc>
        <w:tc>
          <w:tcPr>
            <w:tcW w:w="1084" w:type="dxa"/>
            <w:tcBorders>
              <w:bottom w:val="single" w:sz="4" w:space="0" w:color="auto"/>
            </w:tcBorders>
            <w:noWrap/>
            <w:vAlign w:val="center"/>
          </w:tcPr>
          <w:p w14:paraId="28D4A33C" w14:textId="77777777" w:rsidR="00A807B4" w:rsidRPr="000845C9" w:rsidRDefault="00A807B4" w:rsidP="0012625C">
            <w:pPr>
              <w:jc w:val="center"/>
              <w:rPr>
                <w:rFonts w:ascii="Arial" w:hAnsi="Arial" w:cs="Arial"/>
                <w:bCs/>
                <w:color w:val="000000"/>
                <w:sz w:val="22"/>
                <w:szCs w:val="22"/>
              </w:rPr>
            </w:pPr>
          </w:p>
        </w:tc>
        <w:tc>
          <w:tcPr>
            <w:tcW w:w="830" w:type="dxa"/>
            <w:gridSpan w:val="2"/>
            <w:tcBorders>
              <w:bottom w:val="single" w:sz="4" w:space="0" w:color="auto"/>
              <w:right w:val="single" w:sz="4" w:space="0" w:color="auto"/>
            </w:tcBorders>
            <w:noWrap/>
            <w:vAlign w:val="center"/>
          </w:tcPr>
          <w:p w14:paraId="00870892" w14:textId="77777777" w:rsidR="00A807B4" w:rsidRPr="000845C9" w:rsidRDefault="00A807B4" w:rsidP="0012625C">
            <w:pPr>
              <w:jc w:val="center"/>
              <w:rPr>
                <w:rFonts w:ascii="Arial" w:hAnsi="Arial" w:cs="Arial"/>
                <w:bCs/>
                <w:color w:val="000000"/>
                <w:sz w:val="22"/>
                <w:szCs w:val="22"/>
              </w:rPr>
            </w:pPr>
          </w:p>
        </w:tc>
      </w:tr>
      <w:tr w:rsidR="000224BB" w:rsidRPr="000845C9" w14:paraId="65ED3219" w14:textId="77777777" w:rsidTr="006A56B7">
        <w:trPr>
          <w:trHeight w:val="397"/>
        </w:trPr>
        <w:tc>
          <w:tcPr>
            <w:tcW w:w="2709" w:type="dxa"/>
            <w:tcBorders>
              <w:top w:val="single" w:sz="4" w:space="0" w:color="auto"/>
              <w:left w:val="single" w:sz="4" w:space="0" w:color="auto"/>
              <w:right w:val="single" w:sz="4" w:space="0" w:color="auto"/>
            </w:tcBorders>
            <w:vAlign w:val="center"/>
            <w:hideMark/>
          </w:tcPr>
          <w:p w14:paraId="58678A03" w14:textId="77777777"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Private equity:</w:t>
            </w:r>
          </w:p>
        </w:tc>
        <w:tc>
          <w:tcPr>
            <w:tcW w:w="1060" w:type="dxa"/>
            <w:tcBorders>
              <w:top w:val="single" w:sz="4" w:space="0" w:color="auto"/>
              <w:left w:val="single" w:sz="4" w:space="0" w:color="auto"/>
            </w:tcBorders>
            <w:shd w:val="clear" w:color="auto" w:fill="EAF1DD" w:themeFill="accent3" w:themeFillTint="33"/>
            <w:vAlign w:val="center"/>
          </w:tcPr>
          <w:p w14:paraId="172679CC" w14:textId="1C927EF6" w:rsidR="0012625C" w:rsidRPr="000845C9" w:rsidRDefault="0012625C" w:rsidP="0012625C">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3A1B4DC4" w14:textId="7F2A808C" w:rsidR="0012625C" w:rsidRPr="000845C9" w:rsidRDefault="0012625C" w:rsidP="0012625C">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44833D0F" w14:textId="6B783F8A" w:rsidR="0012625C" w:rsidRPr="000845C9" w:rsidRDefault="0012625C" w:rsidP="0012625C">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79CA2EA7" w14:textId="20F17DEA" w:rsidR="0012625C" w:rsidRPr="000845C9" w:rsidRDefault="0012625C" w:rsidP="0012625C">
            <w:pPr>
              <w:jc w:val="center"/>
              <w:rPr>
                <w:rFonts w:ascii="Arial" w:hAnsi="Arial" w:cs="Arial"/>
                <w:b/>
                <w:bCs/>
                <w:color w:val="000000"/>
                <w:sz w:val="22"/>
                <w:szCs w:val="22"/>
              </w:rPr>
            </w:pPr>
          </w:p>
        </w:tc>
        <w:tc>
          <w:tcPr>
            <w:tcW w:w="1060" w:type="dxa"/>
            <w:tcBorders>
              <w:top w:val="single" w:sz="4" w:space="0" w:color="auto"/>
              <w:left w:val="single" w:sz="4" w:space="0" w:color="auto"/>
            </w:tcBorders>
            <w:noWrap/>
            <w:vAlign w:val="center"/>
            <w:hideMark/>
          </w:tcPr>
          <w:p w14:paraId="5C6CC470" w14:textId="577BD60D" w:rsidR="0012625C" w:rsidRPr="000845C9" w:rsidRDefault="0012625C" w:rsidP="0012625C">
            <w:pPr>
              <w:jc w:val="center"/>
              <w:rPr>
                <w:rFonts w:ascii="Arial" w:hAnsi="Arial" w:cs="Arial"/>
                <w:color w:val="000000"/>
                <w:sz w:val="22"/>
                <w:szCs w:val="22"/>
              </w:rPr>
            </w:pPr>
          </w:p>
        </w:tc>
        <w:tc>
          <w:tcPr>
            <w:tcW w:w="1137" w:type="dxa"/>
            <w:tcBorders>
              <w:top w:val="single" w:sz="4" w:space="0" w:color="auto"/>
            </w:tcBorders>
            <w:noWrap/>
            <w:vAlign w:val="center"/>
            <w:hideMark/>
          </w:tcPr>
          <w:p w14:paraId="53B8DB9F" w14:textId="44CF87B7" w:rsidR="0012625C" w:rsidRPr="000845C9" w:rsidRDefault="0012625C" w:rsidP="0012625C">
            <w:pPr>
              <w:jc w:val="center"/>
              <w:rPr>
                <w:rFonts w:ascii="Arial" w:hAnsi="Arial" w:cs="Arial"/>
                <w:color w:val="000000"/>
                <w:sz w:val="22"/>
                <w:szCs w:val="22"/>
              </w:rPr>
            </w:pPr>
          </w:p>
        </w:tc>
        <w:tc>
          <w:tcPr>
            <w:tcW w:w="1084" w:type="dxa"/>
            <w:tcBorders>
              <w:top w:val="single" w:sz="4" w:space="0" w:color="auto"/>
            </w:tcBorders>
            <w:noWrap/>
            <w:vAlign w:val="center"/>
            <w:hideMark/>
          </w:tcPr>
          <w:p w14:paraId="75CE41EB" w14:textId="68964CE6" w:rsidR="0012625C" w:rsidRPr="000845C9" w:rsidRDefault="0012625C" w:rsidP="0012625C">
            <w:pPr>
              <w:jc w:val="center"/>
              <w:rPr>
                <w:rFonts w:ascii="Arial" w:hAnsi="Arial" w:cs="Arial"/>
                <w:color w:val="000000"/>
                <w:sz w:val="22"/>
                <w:szCs w:val="22"/>
              </w:rPr>
            </w:pPr>
          </w:p>
        </w:tc>
        <w:tc>
          <w:tcPr>
            <w:tcW w:w="830" w:type="dxa"/>
            <w:gridSpan w:val="2"/>
            <w:tcBorders>
              <w:top w:val="single" w:sz="4" w:space="0" w:color="auto"/>
              <w:right w:val="single" w:sz="4" w:space="0" w:color="auto"/>
            </w:tcBorders>
            <w:noWrap/>
            <w:vAlign w:val="center"/>
            <w:hideMark/>
          </w:tcPr>
          <w:p w14:paraId="04C3C870" w14:textId="6910F017" w:rsidR="0012625C" w:rsidRPr="000845C9" w:rsidRDefault="0012625C" w:rsidP="0012625C">
            <w:pPr>
              <w:jc w:val="center"/>
              <w:rPr>
                <w:rFonts w:ascii="Arial" w:hAnsi="Arial" w:cs="Arial"/>
                <w:color w:val="000000"/>
                <w:sz w:val="22"/>
                <w:szCs w:val="22"/>
              </w:rPr>
            </w:pPr>
          </w:p>
        </w:tc>
      </w:tr>
      <w:tr w:rsidR="000224BB" w:rsidRPr="000845C9" w14:paraId="1B067D24" w14:textId="77777777" w:rsidTr="006A56B7">
        <w:trPr>
          <w:trHeight w:val="397"/>
        </w:trPr>
        <w:tc>
          <w:tcPr>
            <w:tcW w:w="2709" w:type="dxa"/>
            <w:tcBorders>
              <w:left w:val="single" w:sz="4" w:space="0" w:color="auto"/>
              <w:bottom w:val="single" w:sz="4" w:space="0" w:color="auto"/>
              <w:right w:val="single" w:sz="4" w:space="0" w:color="auto"/>
            </w:tcBorders>
            <w:vAlign w:val="center"/>
            <w:hideMark/>
          </w:tcPr>
          <w:p w14:paraId="57A7D8E0"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All</w:t>
            </w:r>
          </w:p>
        </w:tc>
        <w:tc>
          <w:tcPr>
            <w:tcW w:w="1060" w:type="dxa"/>
            <w:tcBorders>
              <w:left w:val="single" w:sz="4" w:space="0" w:color="auto"/>
              <w:bottom w:val="single" w:sz="4" w:space="0" w:color="auto"/>
            </w:tcBorders>
            <w:shd w:val="clear" w:color="auto" w:fill="EAF1DD" w:themeFill="accent3" w:themeFillTint="33"/>
            <w:vAlign w:val="center"/>
          </w:tcPr>
          <w:p w14:paraId="5D37E383" w14:textId="43893A71" w:rsidR="0012625C" w:rsidRPr="000845C9" w:rsidRDefault="00E42184"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98" w:type="dxa"/>
            <w:tcBorders>
              <w:bottom w:val="single" w:sz="4" w:space="0" w:color="auto"/>
            </w:tcBorders>
            <w:shd w:val="clear" w:color="auto" w:fill="EAF1DD" w:themeFill="accent3" w:themeFillTint="33"/>
            <w:vAlign w:val="center"/>
          </w:tcPr>
          <w:p w14:paraId="44200623" w14:textId="071543E0" w:rsidR="0012625C" w:rsidRPr="000845C9" w:rsidRDefault="00E42184" w:rsidP="0012625C">
            <w:pPr>
              <w:jc w:val="center"/>
              <w:rPr>
                <w:rFonts w:ascii="Arial" w:hAnsi="Arial" w:cs="Arial"/>
                <w:color w:val="000000"/>
                <w:sz w:val="22"/>
                <w:szCs w:val="22"/>
              </w:rPr>
            </w:pPr>
            <w:r w:rsidRPr="000845C9">
              <w:rPr>
                <w:rFonts w:ascii="Arial" w:hAnsi="Arial" w:cs="Arial"/>
                <w:color w:val="000000"/>
                <w:sz w:val="22"/>
                <w:szCs w:val="22"/>
              </w:rPr>
              <w:t>5,116</w:t>
            </w:r>
          </w:p>
        </w:tc>
        <w:tc>
          <w:tcPr>
            <w:tcW w:w="874" w:type="dxa"/>
            <w:tcBorders>
              <w:bottom w:val="single" w:sz="4" w:space="0" w:color="auto"/>
            </w:tcBorders>
            <w:shd w:val="clear" w:color="auto" w:fill="EAF1DD" w:themeFill="accent3" w:themeFillTint="33"/>
            <w:vAlign w:val="center"/>
          </w:tcPr>
          <w:p w14:paraId="1B98359F" w14:textId="5B125337"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5,116</w:t>
            </w:r>
          </w:p>
        </w:tc>
        <w:tc>
          <w:tcPr>
            <w:tcW w:w="971" w:type="dxa"/>
            <w:gridSpan w:val="2"/>
            <w:tcBorders>
              <w:bottom w:val="single" w:sz="4" w:space="0" w:color="auto"/>
              <w:right w:val="single" w:sz="4" w:space="0" w:color="auto"/>
            </w:tcBorders>
            <w:shd w:val="clear" w:color="auto" w:fill="EAF1DD" w:themeFill="accent3" w:themeFillTint="33"/>
            <w:vAlign w:val="center"/>
          </w:tcPr>
          <w:p w14:paraId="394DE47C" w14:textId="690F50BA"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1</w:t>
            </w:r>
          </w:p>
        </w:tc>
        <w:tc>
          <w:tcPr>
            <w:tcW w:w="1060" w:type="dxa"/>
            <w:tcBorders>
              <w:left w:val="single" w:sz="4" w:space="0" w:color="auto"/>
              <w:bottom w:val="single" w:sz="4" w:space="0" w:color="auto"/>
            </w:tcBorders>
            <w:vAlign w:val="center"/>
            <w:hideMark/>
          </w:tcPr>
          <w:p w14:paraId="7C434D13" w14:textId="6F44698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37" w:type="dxa"/>
            <w:tcBorders>
              <w:bottom w:val="single" w:sz="4" w:space="0" w:color="auto"/>
            </w:tcBorders>
            <w:vAlign w:val="center"/>
            <w:hideMark/>
          </w:tcPr>
          <w:p w14:paraId="3CF0BE8D" w14:textId="6D2698DE"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5,401</w:t>
            </w:r>
          </w:p>
        </w:tc>
        <w:tc>
          <w:tcPr>
            <w:tcW w:w="1084" w:type="dxa"/>
            <w:tcBorders>
              <w:bottom w:val="single" w:sz="4" w:space="0" w:color="auto"/>
            </w:tcBorders>
            <w:vAlign w:val="center"/>
            <w:hideMark/>
          </w:tcPr>
          <w:p w14:paraId="7ACAE962" w14:textId="7024053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5,401</w:t>
            </w:r>
          </w:p>
        </w:tc>
        <w:tc>
          <w:tcPr>
            <w:tcW w:w="830" w:type="dxa"/>
            <w:gridSpan w:val="2"/>
            <w:tcBorders>
              <w:bottom w:val="single" w:sz="4" w:space="0" w:color="auto"/>
              <w:right w:val="single" w:sz="4" w:space="0" w:color="auto"/>
            </w:tcBorders>
            <w:vAlign w:val="center"/>
            <w:hideMark/>
          </w:tcPr>
          <w:p w14:paraId="55683D5A" w14:textId="4CF13F66"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w:t>
            </w:r>
          </w:p>
        </w:tc>
      </w:tr>
      <w:tr w:rsidR="000224BB" w:rsidRPr="000845C9" w14:paraId="5F4984D4" w14:textId="77777777" w:rsidTr="006A56B7">
        <w:trPr>
          <w:trHeight w:val="397"/>
        </w:trPr>
        <w:tc>
          <w:tcPr>
            <w:tcW w:w="2709" w:type="dxa"/>
            <w:tcBorders>
              <w:top w:val="single" w:sz="4" w:space="0" w:color="auto"/>
              <w:left w:val="single" w:sz="4" w:space="0" w:color="auto"/>
              <w:right w:val="single" w:sz="4" w:space="0" w:color="auto"/>
            </w:tcBorders>
            <w:vAlign w:val="center"/>
            <w:hideMark/>
          </w:tcPr>
          <w:p w14:paraId="62FB8094" w14:textId="77777777"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Real estate:</w:t>
            </w:r>
          </w:p>
        </w:tc>
        <w:tc>
          <w:tcPr>
            <w:tcW w:w="1060" w:type="dxa"/>
            <w:tcBorders>
              <w:top w:val="single" w:sz="4" w:space="0" w:color="auto"/>
              <w:left w:val="single" w:sz="4" w:space="0" w:color="auto"/>
            </w:tcBorders>
            <w:shd w:val="clear" w:color="auto" w:fill="EAF1DD" w:themeFill="accent3" w:themeFillTint="33"/>
            <w:vAlign w:val="center"/>
          </w:tcPr>
          <w:p w14:paraId="658097F0" w14:textId="7B1EDB43" w:rsidR="0012625C" w:rsidRPr="000845C9" w:rsidRDefault="0012625C" w:rsidP="0012625C">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1151BACA" w14:textId="3B7E6614" w:rsidR="0012625C" w:rsidRPr="000845C9" w:rsidRDefault="0012625C" w:rsidP="0012625C">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0777A0BE" w14:textId="6051C1A3" w:rsidR="0012625C" w:rsidRPr="000845C9" w:rsidRDefault="0012625C" w:rsidP="0012625C">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135E45D5" w14:textId="53A0F131" w:rsidR="0012625C" w:rsidRPr="000845C9" w:rsidRDefault="0012625C" w:rsidP="0012625C">
            <w:pPr>
              <w:jc w:val="center"/>
              <w:rPr>
                <w:rFonts w:ascii="Arial" w:hAnsi="Arial" w:cs="Arial"/>
                <w:b/>
                <w:bCs/>
                <w:color w:val="000000"/>
                <w:sz w:val="22"/>
                <w:szCs w:val="22"/>
              </w:rPr>
            </w:pPr>
          </w:p>
        </w:tc>
        <w:tc>
          <w:tcPr>
            <w:tcW w:w="1060" w:type="dxa"/>
            <w:tcBorders>
              <w:top w:val="single" w:sz="4" w:space="0" w:color="auto"/>
              <w:left w:val="single" w:sz="4" w:space="0" w:color="auto"/>
            </w:tcBorders>
            <w:vAlign w:val="center"/>
            <w:hideMark/>
          </w:tcPr>
          <w:p w14:paraId="22A9C7AF" w14:textId="6CA4663C" w:rsidR="0012625C" w:rsidRPr="000845C9" w:rsidRDefault="0012625C" w:rsidP="0012625C">
            <w:pPr>
              <w:jc w:val="center"/>
              <w:rPr>
                <w:rFonts w:ascii="Arial" w:hAnsi="Arial" w:cs="Arial"/>
                <w:color w:val="000000"/>
                <w:sz w:val="22"/>
                <w:szCs w:val="22"/>
              </w:rPr>
            </w:pPr>
          </w:p>
        </w:tc>
        <w:tc>
          <w:tcPr>
            <w:tcW w:w="1137" w:type="dxa"/>
            <w:tcBorders>
              <w:top w:val="single" w:sz="4" w:space="0" w:color="auto"/>
            </w:tcBorders>
            <w:vAlign w:val="center"/>
            <w:hideMark/>
          </w:tcPr>
          <w:p w14:paraId="665E4D1A" w14:textId="79F30DDF" w:rsidR="0012625C" w:rsidRPr="000845C9" w:rsidRDefault="0012625C" w:rsidP="0012625C">
            <w:pPr>
              <w:jc w:val="center"/>
              <w:rPr>
                <w:rFonts w:ascii="Arial" w:hAnsi="Arial" w:cs="Arial"/>
                <w:color w:val="000000"/>
                <w:sz w:val="22"/>
                <w:szCs w:val="22"/>
              </w:rPr>
            </w:pPr>
          </w:p>
        </w:tc>
        <w:tc>
          <w:tcPr>
            <w:tcW w:w="1084" w:type="dxa"/>
            <w:tcBorders>
              <w:top w:val="single" w:sz="4" w:space="0" w:color="auto"/>
            </w:tcBorders>
            <w:vAlign w:val="center"/>
            <w:hideMark/>
          </w:tcPr>
          <w:p w14:paraId="4AC0D80E" w14:textId="7C680A6F" w:rsidR="0012625C" w:rsidRPr="000845C9" w:rsidRDefault="0012625C" w:rsidP="0012625C">
            <w:pPr>
              <w:jc w:val="center"/>
              <w:rPr>
                <w:rFonts w:ascii="Arial" w:hAnsi="Arial" w:cs="Arial"/>
                <w:sz w:val="22"/>
                <w:szCs w:val="22"/>
              </w:rPr>
            </w:pPr>
          </w:p>
        </w:tc>
        <w:tc>
          <w:tcPr>
            <w:tcW w:w="830" w:type="dxa"/>
            <w:gridSpan w:val="2"/>
            <w:tcBorders>
              <w:top w:val="single" w:sz="4" w:space="0" w:color="auto"/>
              <w:right w:val="single" w:sz="4" w:space="0" w:color="auto"/>
            </w:tcBorders>
            <w:vAlign w:val="center"/>
            <w:hideMark/>
          </w:tcPr>
          <w:p w14:paraId="632D635B" w14:textId="3E655037" w:rsidR="0012625C" w:rsidRPr="000845C9" w:rsidRDefault="0012625C" w:rsidP="0012625C">
            <w:pPr>
              <w:jc w:val="center"/>
              <w:rPr>
                <w:rFonts w:ascii="Arial" w:hAnsi="Arial" w:cs="Arial"/>
                <w:color w:val="000000"/>
                <w:sz w:val="22"/>
                <w:szCs w:val="22"/>
              </w:rPr>
            </w:pPr>
          </w:p>
        </w:tc>
      </w:tr>
      <w:tr w:rsidR="000224BB" w:rsidRPr="000845C9" w14:paraId="00ABB991" w14:textId="77777777" w:rsidTr="006A56B7">
        <w:trPr>
          <w:trHeight w:val="397"/>
        </w:trPr>
        <w:tc>
          <w:tcPr>
            <w:tcW w:w="2709" w:type="dxa"/>
            <w:tcBorders>
              <w:left w:val="single" w:sz="4" w:space="0" w:color="auto"/>
              <w:right w:val="single" w:sz="4" w:space="0" w:color="auto"/>
            </w:tcBorders>
            <w:vAlign w:val="center"/>
            <w:hideMark/>
          </w:tcPr>
          <w:p w14:paraId="2279B300"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UK property</w:t>
            </w:r>
          </w:p>
        </w:tc>
        <w:tc>
          <w:tcPr>
            <w:tcW w:w="1060" w:type="dxa"/>
            <w:tcBorders>
              <w:left w:val="single" w:sz="4" w:space="0" w:color="auto"/>
            </w:tcBorders>
            <w:shd w:val="clear" w:color="auto" w:fill="EAF1DD" w:themeFill="accent3" w:themeFillTint="33"/>
            <w:vAlign w:val="center"/>
          </w:tcPr>
          <w:p w14:paraId="31D4D5C0" w14:textId="6A309E61"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98" w:type="dxa"/>
            <w:shd w:val="clear" w:color="auto" w:fill="EAF1DD" w:themeFill="accent3" w:themeFillTint="33"/>
            <w:vAlign w:val="center"/>
          </w:tcPr>
          <w:p w14:paraId="4D18FCEB" w14:textId="1BEA7DEF" w:rsidR="0012625C" w:rsidRPr="000845C9" w:rsidRDefault="00E42184" w:rsidP="0012625C">
            <w:pPr>
              <w:jc w:val="center"/>
              <w:rPr>
                <w:rFonts w:ascii="Arial" w:hAnsi="Arial" w:cs="Arial"/>
                <w:color w:val="000000"/>
                <w:sz w:val="22"/>
                <w:szCs w:val="22"/>
              </w:rPr>
            </w:pPr>
            <w:r w:rsidRPr="000845C9">
              <w:rPr>
                <w:rFonts w:ascii="Arial" w:hAnsi="Arial" w:cs="Arial"/>
                <w:color w:val="000000"/>
                <w:sz w:val="22"/>
                <w:szCs w:val="22"/>
              </w:rPr>
              <w:t>26,305</w:t>
            </w:r>
          </w:p>
        </w:tc>
        <w:tc>
          <w:tcPr>
            <w:tcW w:w="874" w:type="dxa"/>
            <w:shd w:val="clear" w:color="auto" w:fill="EAF1DD" w:themeFill="accent3" w:themeFillTint="33"/>
            <w:vAlign w:val="center"/>
          </w:tcPr>
          <w:p w14:paraId="52AB98DD" w14:textId="368EDBC1" w:rsidR="0012625C" w:rsidRPr="000845C9" w:rsidRDefault="00855722" w:rsidP="0012625C">
            <w:pPr>
              <w:jc w:val="center"/>
              <w:rPr>
                <w:rFonts w:ascii="Arial" w:hAnsi="Arial" w:cs="Arial"/>
                <w:color w:val="000000"/>
                <w:sz w:val="22"/>
                <w:szCs w:val="22"/>
              </w:rPr>
            </w:pPr>
            <w:r w:rsidRPr="000845C9">
              <w:rPr>
                <w:rFonts w:ascii="Arial" w:hAnsi="Arial" w:cs="Arial"/>
                <w:color w:val="000000"/>
                <w:sz w:val="22"/>
                <w:szCs w:val="22"/>
              </w:rPr>
              <w:t>26,305</w:t>
            </w:r>
          </w:p>
        </w:tc>
        <w:tc>
          <w:tcPr>
            <w:tcW w:w="971" w:type="dxa"/>
            <w:gridSpan w:val="2"/>
            <w:tcBorders>
              <w:right w:val="single" w:sz="4" w:space="0" w:color="auto"/>
            </w:tcBorders>
            <w:shd w:val="clear" w:color="auto" w:fill="EAF1DD" w:themeFill="accent3" w:themeFillTint="33"/>
            <w:vAlign w:val="center"/>
          </w:tcPr>
          <w:p w14:paraId="1C1439CB" w14:textId="2A2A3BC0"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6</w:t>
            </w:r>
          </w:p>
        </w:tc>
        <w:tc>
          <w:tcPr>
            <w:tcW w:w="1060" w:type="dxa"/>
            <w:tcBorders>
              <w:left w:val="single" w:sz="4" w:space="0" w:color="auto"/>
            </w:tcBorders>
            <w:vAlign w:val="center"/>
            <w:hideMark/>
          </w:tcPr>
          <w:p w14:paraId="4EF9DC9D" w14:textId="264A2069"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37" w:type="dxa"/>
            <w:vAlign w:val="center"/>
            <w:hideMark/>
          </w:tcPr>
          <w:p w14:paraId="629151E5" w14:textId="591EDD67"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20,505</w:t>
            </w:r>
          </w:p>
        </w:tc>
        <w:tc>
          <w:tcPr>
            <w:tcW w:w="1084" w:type="dxa"/>
            <w:vAlign w:val="center"/>
            <w:hideMark/>
          </w:tcPr>
          <w:p w14:paraId="7BFF9661" w14:textId="4FAE3C15"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20,505</w:t>
            </w:r>
          </w:p>
        </w:tc>
        <w:tc>
          <w:tcPr>
            <w:tcW w:w="830" w:type="dxa"/>
            <w:gridSpan w:val="2"/>
            <w:tcBorders>
              <w:right w:val="single" w:sz="4" w:space="0" w:color="auto"/>
            </w:tcBorders>
            <w:vAlign w:val="center"/>
            <w:hideMark/>
          </w:tcPr>
          <w:p w14:paraId="1738FF6D" w14:textId="4873CEA6"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6</w:t>
            </w:r>
          </w:p>
        </w:tc>
      </w:tr>
      <w:tr w:rsidR="000224BB" w:rsidRPr="000845C9" w14:paraId="3A448D6D" w14:textId="77777777" w:rsidTr="006A56B7">
        <w:trPr>
          <w:trHeight w:val="397"/>
        </w:trPr>
        <w:tc>
          <w:tcPr>
            <w:tcW w:w="2709" w:type="dxa"/>
            <w:tcBorders>
              <w:left w:val="single" w:sz="4" w:space="0" w:color="auto"/>
              <w:bottom w:val="single" w:sz="4" w:space="0" w:color="auto"/>
              <w:right w:val="single" w:sz="4" w:space="0" w:color="auto"/>
            </w:tcBorders>
            <w:vAlign w:val="center"/>
            <w:hideMark/>
          </w:tcPr>
          <w:p w14:paraId="56FA8F4B"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Overseas property</w:t>
            </w:r>
          </w:p>
        </w:tc>
        <w:tc>
          <w:tcPr>
            <w:tcW w:w="1060" w:type="dxa"/>
            <w:tcBorders>
              <w:left w:val="single" w:sz="4" w:space="0" w:color="auto"/>
              <w:bottom w:val="single" w:sz="4" w:space="0" w:color="auto"/>
            </w:tcBorders>
            <w:shd w:val="clear" w:color="auto" w:fill="EAF1DD" w:themeFill="accent3" w:themeFillTint="33"/>
            <w:vAlign w:val="center"/>
          </w:tcPr>
          <w:p w14:paraId="6558231C" w14:textId="6638E65F"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98" w:type="dxa"/>
            <w:tcBorders>
              <w:bottom w:val="single" w:sz="4" w:space="0" w:color="auto"/>
            </w:tcBorders>
            <w:shd w:val="clear" w:color="auto" w:fill="EAF1DD" w:themeFill="accent3" w:themeFillTint="33"/>
            <w:vAlign w:val="center"/>
          </w:tcPr>
          <w:p w14:paraId="0147DFF0" w14:textId="67453B60" w:rsidR="0012625C" w:rsidRPr="000845C9" w:rsidRDefault="00631DDC" w:rsidP="0012625C">
            <w:pPr>
              <w:jc w:val="center"/>
              <w:rPr>
                <w:rFonts w:ascii="Arial" w:hAnsi="Arial" w:cs="Arial"/>
                <w:color w:val="000000"/>
                <w:sz w:val="22"/>
                <w:szCs w:val="22"/>
              </w:rPr>
            </w:pPr>
            <w:r w:rsidRPr="000845C9">
              <w:rPr>
                <w:rFonts w:ascii="Arial" w:hAnsi="Arial" w:cs="Arial"/>
                <w:color w:val="000000"/>
                <w:sz w:val="22"/>
                <w:szCs w:val="22"/>
              </w:rPr>
              <w:t>35.3</w:t>
            </w:r>
          </w:p>
        </w:tc>
        <w:tc>
          <w:tcPr>
            <w:tcW w:w="874" w:type="dxa"/>
            <w:tcBorders>
              <w:bottom w:val="single" w:sz="4" w:space="0" w:color="auto"/>
            </w:tcBorders>
            <w:shd w:val="clear" w:color="auto" w:fill="EAF1DD" w:themeFill="accent3" w:themeFillTint="33"/>
            <w:vAlign w:val="center"/>
          </w:tcPr>
          <w:p w14:paraId="3D66A9D8" w14:textId="1FD1BB33"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35.3</w:t>
            </w:r>
          </w:p>
        </w:tc>
        <w:tc>
          <w:tcPr>
            <w:tcW w:w="971" w:type="dxa"/>
            <w:gridSpan w:val="2"/>
            <w:tcBorders>
              <w:bottom w:val="single" w:sz="4" w:space="0" w:color="auto"/>
              <w:right w:val="single" w:sz="4" w:space="0" w:color="auto"/>
            </w:tcBorders>
            <w:shd w:val="clear" w:color="auto" w:fill="EAF1DD" w:themeFill="accent3" w:themeFillTint="33"/>
            <w:vAlign w:val="center"/>
          </w:tcPr>
          <w:p w14:paraId="268E8B07" w14:textId="3142F783"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0</w:t>
            </w:r>
          </w:p>
        </w:tc>
        <w:tc>
          <w:tcPr>
            <w:tcW w:w="1060" w:type="dxa"/>
            <w:tcBorders>
              <w:left w:val="single" w:sz="4" w:space="0" w:color="auto"/>
              <w:bottom w:val="single" w:sz="4" w:space="0" w:color="auto"/>
            </w:tcBorders>
            <w:vAlign w:val="center"/>
            <w:hideMark/>
          </w:tcPr>
          <w:p w14:paraId="45785C64" w14:textId="27A1B36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37" w:type="dxa"/>
            <w:tcBorders>
              <w:bottom w:val="single" w:sz="4" w:space="0" w:color="auto"/>
            </w:tcBorders>
            <w:vAlign w:val="center"/>
            <w:hideMark/>
          </w:tcPr>
          <w:p w14:paraId="357D41CB" w14:textId="0E954CAD"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32</w:t>
            </w:r>
          </w:p>
        </w:tc>
        <w:tc>
          <w:tcPr>
            <w:tcW w:w="1084" w:type="dxa"/>
            <w:tcBorders>
              <w:bottom w:val="single" w:sz="4" w:space="0" w:color="auto"/>
            </w:tcBorders>
            <w:vAlign w:val="center"/>
            <w:hideMark/>
          </w:tcPr>
          <w:p w14:paraId="2151DDF1" w14:textId="164FA125"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32</w:t>
            </w:r>
          </w:p>
        </w:tc>
        <w:tc>
          <w:tcPr>
            <w:tcW w:w="830" w:type="dxa"/>
            <w:gridSpan w:val="2"/>
            <w:tcBorders>
              <w:bottom w:val="single" w:sz="4" w:space="0" w:color="auto"/>
              <w:right w:val="single" w:sz="4" w:space="0" w:color="auto"/>
            </w:tcBorders>
            <w:vAlign w:val="center"/>
            <w:hideMark/>
          </w:tcPr>
          <w:p w14:paraId="5CBC2E2E" w14:textId="1506555C"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0</w:t>
            </w:r>
          </w:p>
        </w:tc>
      </w:tr>
      <w:tr w:rsidR="000224BB" w:rsidRPr="000845C9" w14:paraId="64566AC7" w14:textId="77777777" w:rsidTr="006A56B7">
        <w:trPr>
          <w:trHeight w:val="624"/>
        </w:trPr>
        <w:tc>
          <w:tcPr>
            <w:tcW w:w="2709" w:type="dxa"/>
            <w:tcBorders>
              <w:top w:val="single" w:sz="4" w:space="0" w:color="auto"/>
              <w:left w:val="single" w:sz="4" w:space="0" w:color="auto"/>
              <w:right w:val="single" w:sz="4" w:space="0" w:color="auto"/>
            </w:tcBorders>
            <w:vAlign w:val="center"/>
            <w:hideMark/>
          </w:tcPr>
          <w:p w14:paraId="72F26BF5" w14:textId="77777777"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Investment funds and unit trusts:</w:t>
            </w:r>
          </w:p>
        </w:tc>
        <w:tc>
          <w:tcPr>
            <w:tcW w:w="1060" w:type="dxa"/>
            <w:tcBorders>
              <w:top w:val="single" w:sz="4" w:space="0" w:color="auto"/>
              <w:left w:val="single" w:sz="4" w:space="0" w:color="auto"/>
            </w:tcBorders>
            <w:shd w:val="clear" w:color="auto" w:fill="EAF1DD" w:themeFill="accent3" w:themeFillTint="33"/>
            <w:vAlign w:val="center"/>
          </w:tcPr>
          <w:p w14:paraId="59247C48" w14:textId="312B915D" w:rsidR="0012625C" w:rsidRPr="000845C9" w:rsidRDefault="0012625C" w:rsidP="0012625C">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67C0ADBF" w14:textId="50467B88" w:rsidR="0012625C" w:rsidRPr="000845C9" w:rsidRDefault="0012625C" w:rsidP="0012625C">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65D65F30" w14:textId="52C380A8" w:rsidR="0012625C" w:rsidRPr="000845C9" w:rsidRDefault="0012625C" w:rsidP="0012625C">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6C0E965E" w14:textId="4933C17C" w:rsidR="0012625C" w:rsidRPr="000845C9" w:rsidRDefault="0012625C" w:rsidP="0012625C">
            <w:pPr>
              <w:jc w:val="center"/>
              <w:rPr>
                <w:rFonts w:ascii="Arial" w:hAnsi="Arial" w:cs="Arial"/>
                <w:b/>
                <w:bCs/>
                <w:color w:val="000000"/>
                <w:sz w:val="22"/>
                <w:szCs w:val="22"/>
              </w:rPr>
            </w:pPr>
          </w:p>
        </w:tc>
        <w:tc>
          <w:tcPr>
            <w:tcW w:w="1060" w:type="dxa"/>
            <w:tcBorders>
              <w:top w:val="single" w:sz="4" w:space="0" w:color="auto"/>
              <w:left w:val="single" w:sz="4" w:space="0" w:color="auto"/>
            </w:tcBorders>
            <w:vAlign w:val="center"/>
            <w:hideMark/>
          </w:tcPr>
          <w:p w14:paraId="06AB7D80" w14:textId="6BBD53C2" w:rsidR="0012625C" w:rsidRPr="000845C9" w:rsidRDefault="0012625C" w:rsidP="0012625C">
            <w:pPr>
              <w:jc w:val="center"/>
              <w:rPr>
                <w:rFonts w:ascii="Arial" w:hAnsi="Arial" w:cs="Arial"/>
                <w:color w:val="000000"/>
                <w:sz w:val="22"/>
                <w:szCs w:val="22"/>
              </w:rPr>
            </w:pPr>
          </w:p>
        </w:tc>
        <w:tc>
          <w:tcPr>
            <w:tcW w:w="1137" w:type="dxa"/>
            <w:tcBorders>
              <w:top w:val="single" w:sz="4" w:space="0" w:color="auto"/>
            </w:tcBorders>
            <w:vAlign w:val="center"/>
            <w:hideMark/>
          </w:tcPr>
          <w:p w14:paraId="7BFA59F5" w14:textId="59431FAD" w:rsidR="0012625C" w:rsidRPr="000845C9" w:rsidRDefault="0012625C" w:rsidP="0012625C">
            <w:pPr>
              <w:jc w:val="center"/>
              <w:rPr>
                <w:rFonts w:ascii="Arial" w:hAnsi="Arial" w:cs="Arial"/>
                <w:color w:val="000000"/>
                <w:sz w:val="22"/>
                <w:szCs w:val="22"/>
              </w:rPr>
            </w:pPr>
          </w:p>
        </w:tc>
        <w:tc>
          <w:tcPr>
            <w:tcW w:w="1084" w:type="dxa"/>
            <w:tcBorders>
              <w:top w:val="single" w:sz="4" w:space="0" w:color="auto"/>
            </w:tcBorders>
            <w:vAlign w:val="center"/>
            <w:hideMark/>
          </w:tcPr>
          <w:p w14:paraId="4E5A10A0" w14:textId="7F2326C1" w:rsidR="0012625C" w:rsidRPr="000845C9" w:rsidRDefault="0012625C" w:rsidP="0012625C">
            <w:pPr>
              <w:jc w:val="center"/>
              <w:rPr>
                <w:rFonts w:ascii="Arial" w:hAnsi="Arial" w:cs="Arial"/>
                <w:color w:val="000000"/>
                <w:sz w:val="22"/>
                <w:szCs w:val="22"/>
              </w:rPr>
            </w:pPr>
          </w:p>
        </w:tc>
        <w:tc>
          <w:tcPr>
            <w:tcW w:w="830" w:type="dxa"/>
            <w:gridSpan w:val="2"/>
            <w:tcBorders>
              <w:top w:val="single" w:sz="4" w:space="0" w:color="auto"/>
              <w:right w:val="single" w:sz="4" w:space="0" w:color="auto"/>
            </w:tcBorders>
            <w:vAlign w:val="center"/>
            <w:hideMark/>
          </w:tcPr>
          <w:p w14:paraId="703CB771" w14:textId="0292C46F" w:rsidR="0012625C" w:rsidRPr="000845C9" w:rsidRDefault="0012625C" w:rsidP="0012625C">
            <w:pPr>
              <w:jc w:val="center"/>
              <w:rPr>
                <w:rFonts w:ascii="Arial" w:hAnsi="Arial" w:cs="Arial"/>
                <w:color w:val="000000"/>
                <w:sz w:val="22"/>
                <w:szCs w:val="22"/>
              </w:rPr>
            </w:pPr>
          </w:p>
        </w:tc>
      </w:tr>
      <w:tr w:rsidR="000224BB" w:rsidRPr="000845C9" w14:paraId="7108AAD8" w14:textId="77777777" w:rsidTr="006A56B7">
        <w:trPr>
          <w:trHeight w:val="397"/>
        </w:trPr>
        <w:tc>
          <w:tcPr>
            <w:tcW w:w="2709" w:type="dxa"/>
            <w:tcBorders>
              <w:left w:val="single" w:sz="4" w:space="0" w:color="auto"/>
              <w:right w:val="single" w:sz="4" w:space="0" w:color="auto"/>
            </w:tcBorders>
            <w:vAlign w:val="center"/>
            <w:hideMark/>
          </w:tcPr>
          <w:p w14:paraId="624B3087"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Equities</w:t>
            </w:r>
          </w:p>
        </w:tc>
        <w:tc>
          <w:tcPr>
            <w:tcW w:w="1060" w:type="dxa"/>
            <w:tcBorders>
              <w:left w:val="single" w:sz="4" w:space="0" w:color="auto"/>
            </w:tcBorders>
            <w:shd w:val="clear" w:color="auto" w:fill="EAF1DD" w:themeFill="accent3" w:themeFillTint="33"/>
            <w:vAlign w:val="center"/>
          </w:tcPr>
          <w:p w14:paraId="79919BE2" w14:textId="75ABABA0" w:rsidR="0012625C" w:rsidRPr="000845C9" w:rsidRDefault="00631DDC" w:rsidP="0012625C">
            <w:pPr>
              <w:jc w:val="center"/>
              <w:rPr>
                <w:rFonts w:ascii="Arial" w:hAnsi="Arial" w:cs="Arial"/>
                <w:color w:val="000000"/>
                <w:sz w:val="22"/>
                <w:szCs w:val="22"/>
              </w:rPr>
            </w:pPr>
            <w:r w:rsidRPr="000845C9">
              <w:rPr>
                <w:rFonts w:ascii="Arial" w:hAnsi="Arial" w:cs="Arial"/>
                <w:color w:val="000000"/>
                <w:sz w:val="22"/>
                <w:szCs w:val="22"/>
              </w:rPr>
              <w:t>109,647</w:t>
            </w:r>
          </w:p>
        </w:tc>
        <w:tc>
          <w:tcPr>
            <w:tcW w:w="1198" w:type="dxa"/>
            <w:shd w:val="clear" w:color="auto" w:fill="EAF1DD" w:themeFill="accent3" w:themeFillTint="33"/>
            <w:vAlign w:val="center"/>
          </w:tcPr>
          <w:p w14:paraId="62161C12" w14:textId="700E47F2"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053FB8D5" w14:textId="141FC442"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109,647</w:t>
            </w:r>
          </w:p>
        </w:tc>
        <w:tc>
          <w:tcPr>
            <w:tcW w:w="971" w:type="dxa"/>
            <w:gridSpan w:val="2"/>
            <w:tcBorders>
              <w:right w:val="single" w:sz="4" w:space="0" w:color="auto"/>
            </w:tcBorders>
            <w:shd w:val="clear" w:color="auto" w:fill="EAF1DD" w:themeFill="accent3" w:themeFillTint="33"/>
            <w:vAlign w:val="center"/>
          </w:tcPr>
          <w:p w14:paraId="78A27222" w14:textId="0FAAE3C9"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2</w:t>
            </w:r>
            <w:r w:rsidR="00AA5CEE" w:rsidRPr="000845C9">
              <w:rPr>
                <w:rFonts w:ascii="Arial" w:hAnsi="Arial" w:cs="Arial"/>
                <w:color w:val="000000"/>
                <w:sz w:val="22"/>
                <w:szCs w:val="22"/>
              </w:rPr>
              <w:t>7</w:t>
            </w:r>
          </w:p>
        </w:tc>
        <w:tc>
          <w:tcPr>
            <w:tcW w:w="1060" w:type="dxa"/>
            <w:tcBorders>
              <w:left w:val="single" w:sz="4" w:space="0" w:color="auto"/>
            </w:tcBorders>
            <w:vAlign w:val="center"/>
            <w:hideMark/>
          </w:tcPr>
          <w:p w14:paraId="0B016962" w14:textId="7BBDC47D"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91,307</w:t>
            </w:r>
          </w:p>
        </w:tc>
        <w:tc>
          <w:tcPr>
            <w:tcW w:w="1137" w:type="dxa"/>
            <w:vAlign w:val="center"/>
            <w:hideMark/>
          </w:tcPr>
          <w:p w14:paraId="50347EC9" w14:textId="257E4595"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08F0C8FA" w14:textId="52C26D0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91,307</w:t>
            </w:r>
          </w:p>
        </w:tc>
        <w:tc>
          <w:tcPr>
            <w:tcW w:w="830" w:type="dxa"/>
            <w:gridSpan w:val="2"/>
            <w:tcBorders>
              <w:right w:val="single" w:sz="4" w:space="0" w:color="auto"/>
            </w:tcBorders>
            <w:vAlign w:val="center"/>
            <w:hideMark/>
          </w:tcPr>
          <w:p w14:paraId="185ADE23" w14:textId="481BD4AC"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25</w:t>
            </w:r>
          </w:p>
        </w:tc>
      </w:tr>
      <w:tr w:rsidR="000224BB" w:rsidRPr="000845C9" w14:paraId="50B7368E" w14:textId="77777777" w:rsidTr="006A56B7">
        <w:trPr>
          <w:trHeight w:val="397"/>
        </w:trPr>
        <w:tc>
          <w:tcPr>
            <w:tcW w:w="2709" w:type="dxa"/>
            <w:tcBorders>
              <w:left w:val="single" w:sz="4" w:space="0" w:color="auto"/>
              <w:right w:val="single" w:sz="4" w:space="0" w:color="auto"/>
            </w:tcBorders>
            <w:vAlign w:val="center"/>
            <w:hideMark/>
          </w:tcPr>
          <w:p w14:paraId="748F2145"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Bonds</w:t>
            </w:r>
          </w:p>
        </w:tc>
        <w:tc>
          <w:tcPr>
            <w:tcW w:w="1060" w:type="dxa"/>
            <w:tcBorders>
              <w:left w:val="single" w:sz="4" w:space="0" w:color="auto"/>
            </w:tcBorders>
            <w:shd w:val="clear" w:color="auto" w:fill="EAF1DD" w:themeFill="accent3" w:themeFillTint="33"/>
            <w:vAlign w:val="center"/>
          </w:tcPr>
          <w:p w14:paraId="31FC3733" w14:textId="6512F634" w:rsidR="0012625C" w:rsidRPr="000845C9" w:rsidRDefault="00631DDC" w:rsidP="0012625C">
            <w:pPr>
              <w:jc w:val="center"/>
              <w:rPr>
                <w:rFonts w:ascii="Arial" w:hAnsi="Arial" w:cs="Arial"/>
                <w:color w:val="000000"/>
                <w:sz w:val="22"/>
                <w:szCs w:val="22"/>
              </w:rPr>
            </w:pPr>
            <w:r w:rsidRPr="000845C9">
              <w:rPr>
                <w:rFonts w:ascii="Arial" w:hAnsi="Arial" w:cs="Arial"/>
                <w:color w:val="000000"/>
                <w:sz w:val="22"/>
                <w:szCs w:val="22"/>
              </w:rPr>
              <w:t>22,571</w:t>
            </w:r>
          </w:p>
        </w:tc>
        <w:tc>
          <w:tcPr>
            <w:tcW w:w="1198" w:type="dxa"/>
            <w:shd w:val="clear" w:color="auto" w:fill="EAF1DD" w:themeFill="accent3" w:themeFillTint="33"/>
            <w:vAlign w:val="center"/>
          </w:tcPr>
          <w:p w14:paraId="33DE5EFE" w14:textId="5C55ECD3"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shd w:val="clear" w:color="auto" w:fill="EAF1DD" w:themeFill="accent3" w:themeFillTint="33"/>
            <w:vAlign w:val="center"/>
          </w:tcPr>
          <w:p w14:paraId="74EF0A57" w14:textId="6E3C57ED"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22,571</w:t>
            </w:r>
          </w:p>
        </w:tc>
        <w:tc>
          <w:tcPr>
            <w:tcW w:w="971" w:type="dxa"/>
            <w:gridSpan w:val="2"/>
            <w:tcBorders>
              <w:right w:val="single" w:sz="4" w:space="0" w:color="auto"/>
            </w:tcBorders>
            <w:shd w:val="clear" w:color="auto" w:fill="EAF1DD" w:themeFill="accent3" w:themeFillTint="33"/>
            <w:vAlign w:val="center"/>
          </w:tcPr>
          <w:p w14:paraId="116CA42B" w14:textId="47BA088C"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5</w:t>
            </w:r>
          </w:p>
        </w:tc>
        <w:tc>
          <w:tcPr>
            <w:tcW w:w="1060" w:type="dxa"/>
            <w:tcBorders>
              <w:left w:val="single" w:sz="4" w:space="0" w:color="auto"/>
            </w:tcBorders>
            <w:vAlign w:val="center"/>
            <w:hideMark/>
          </w:tcPr>
          <w:p w14:paraId="0FE2C324" w14:textId="0C2FF3F2"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23,233</w:t>
            </w:r>
          </w:p>
        </w:tc>
        <w:tc>
          <w:tcPr>
            <w:tcW w:w="1137" w:type="dxa"/>
            <w:vAlign w:val="center"/>
            <w:hideMark/>
          </w:tcPr>
          <w:p w14:paraId="0964F46E" w14:textId="04B65E5A"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vAlign w:val="center"/>
            <w:hideMark/>
          </w:tcPr>
          <w:p w14:paraId="0101C3DB" w14:textId="4CE58355"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23,233</w:t>
            </w:r>
          </w:p>
        </w:tc>
        <w:tc>
          <w:tcPr>
            <w:tcW w:w="830" w:type="dxa"/>
            <w:gridSpan w:val="2"/>
            <w:tcBorders>
              <w:right w:val="single" w:sz="4" w:space="0" w:color="auto"/>
            </w:tcBorders>
            <w:vAlign w:val="center"/>
            <w:hideMark/>
          </w:tcPr>
          <w:p w14:paraId="3BC35C42" w14:textId="4E803F11"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6</w:t>
            </w:r>
          </w:p>
        </w:tc>
      </w:tr>
      <w:tr w:rsidR="000224BB" w:rsidRPr="000845C9" w14:paraId="0117E480" w14:textId="77777777" w:rsidTr="006A56B7">
        <w:trPr>
          <w:trHeight w:val="397"/>
        </w:trPr>
        <w:tc>
          <w:tcPr>
            <w:tcW w:w="2709" w:type="dxa"/>
            <w:tcBorders>
              <w:left w:val="single" w:sz="4" w:space="0" w:color="auto"/>
              <w:right w:val="single" w:sz="4" w:space="0" w:color="auto"/>
            </w:tcBorders>
            <w:vAlign w:val="center"/>
            <w:hideMark/>
          </w:tcPr>
          <w:p w14:paraId="1FB4BE14"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Infrastructure</w:t>
            </w:r>
          </w:p>
        </w:tc>
        <w:tc>
          <w:tcPr>
            <w:tcW w:w="1060" w:type="dxa"/>
            <w:tcBorders>
              <w:left w:val="single" w:sz="4" w:space="0" w:color="auto"/>
            </w:tcBorders>
            <w:shd w:val="clear" w:color="auto" w:fill="EAF1DD" w:themeFill="accent3" w:themeFillTint="33"/>
            <w:vAlign w:val="center"/>
          </w:tcPr>
          <w:p w14:paraId="73ECCC98" w14:textId="2FEAC35F"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98" w:type="dxa"/>
            <w:shd w:val="clear" w:color="auto" w:fill="EAF1DD" w:themeFill="accent3" w:themeFillTint="33"/>
            <w:vAlign w:val="center"/>
          </w:tcPr>
          <w:p w14:paraId="5E71E06C" w14:textId="6D1763EB" w:rsidR="0012625C" w:rsidRPr="000845C9" w:rsidRDefault="00631DDC" w:rsidP="0012625C">
            <w:pPr>
              <w:jc w:val="center"/>
              <w:rPr>
                <w:rFonts w:ascii="Arial" w:hAnsi="Arial" w:cs="Arial"/>
                <w:color w:val="000000"/>
                <w:sz w:val="22"/>
                <w:szCs w:val="22"/>
              </w:rPr>
            </w:pPr>
            <w:r w:rsidRPr="000845C9">
              <w:rPr>
                <w:rFonts w:ascii="Arial" w:hAnsi="Arial" w:cs="Arial"/>
                <w:color w:val="000000"/>
                <w:sz w:val="22"/>
                <w:szCs w:val="22"/>
              </w:rPr>
              <w:t>46,184</w:t>
            </w:r>
          </w:p>
        </w:tc>
        <w:tc>
          <w:tcPr>
            <w:tcW w:w="874" w:type="dxa"/>
            <w:shd w:val="clear" w:color="auto" w:fill="EAF1DD" w:themeFill="accent3" w:themeFillTint="33"/>
            <w:vAlign w:val="center"/>
          </w:tcPr>
          <w:p w14:paraId="51BB7D27" w14:textId="7BBDBDF1"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46,184</w:t>
            </w:r>
          </w:p>
        </w:tc>
        <w:tc>
          <w:tcPr>
            <w:tcW w:w="971" w:type="dxa"/>
            <w:gridSpan w:val="2"/>
            <w:tcBorders>
              <w:right w:val="single" w:sz="4" w:space="0" w:color="auto"/>
            </w:tcBorders>
            <w:shd w:val="clear" w:color="auto" w:fill="EAF1DD" w:themeFill="accent3" w:themeFillTint="33"/>
            <w:vAlign w:val="center"/>
          </w:tcPr>
          <w:p w14:paraId="20BD2CEB" w14:textId="0636476A"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11</w:t>
            </w:r>
          </w:p>
        </w:tc>
        <w:tc>
          <w:tcPr>
            <w:tcW w:w="1060" w:type="dxa"/>
            <w:tcBorders>
              <w:left w:val="single" w:sz="4" w:space="0" w:color="auto"/>
            </w:tcBorders>
            <w:vAlign w:val="center"/>
            <w:hideMark/>
          </w:tcPr>
          <w:p w14:paraId="1470EE7E" w14:textId="0C961DC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137" w:type="dxa"/>
            <w:vAlign w:val="center"/>
            <w:hideMark/>
          </w:tcPr>
          <w:p w14:paraId="4B7A1750" w14:textId="0EDA4579"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36,161</w:t>
            </w:r>
          </w:p>
        </w:tc>
        <w:tc>
          <w:tcPr>
            <w:tcW w:w="1084" w:type="dxa"/>
            <w:vAlign w:val="center"/>
            <w:hideMark/>
          </w:tcPr>
          <w:p w14:paraId="25DD331A" w14:textId="55B55A2A"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36,161</w:t>
            </w:r>
          </w:p>
        </w:tc>
        <w:tc>
          <w:tcPr>
            <w:tcW w:w="830" w:type="dxa"/>
            <w:gridSpan w:val="2"/>
            <w:tcBorders>
              <w:right w:val="single" w:sz="4" w:space="0" w:color="auto"/>
            </w:tcBorders>
            <w:vAlign w:val="center"/>
            <w:hideMark/>
          </w:tcPr>
          <w:p w14:paraId="31FE3A86" w14:textId="1CC8F239"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10</w:t>
            </w:r>
          </w:p>
        </w:tc>
      </w:tr>
      <w:tr w:rsidR="000224BB" w:rsidRPr="000845C9" w14:paraId="3FE7E7EE" w14:textId="77777777" w:rsidTr="006A56B7">
        <w:trPr>
          <w:trHeight w:val="397"/>
        </w:trPr>
        <w:tc>
          <w:tcPr>
            <w:tcW w:w="2709" w:type="dxa"/>
            <w:tcBorders>
              <w:left w:val="single" w:sz="4" w:space="0" w:color="auto"/>
              <w:bottom w:val="single" w:sz="4" w:space="0" w:color="auto"/>
              <w:right w:val="single" w:sz="4" w:space="0" w:color="auto"/>
            </w:tcBorders>
            <w:vAlign w:val="center"/>
            <w:hideMark/>
          </w:tcPr>
          <w:p w14:paraId="0CA5B05C" w14:textId="05805709" w:rsidR="0012625C" w:rsidRPr="000845C9" w:rsidRDefault="002679E9" w:rsidP="0012625C">
            <w:pPr>
              <w:rPr>
                <w:rFonts w:ascii="Arial" w:hAnsi="Arial" w:cs="Arial"/>
                <w:color w:val="000000"/>
                <w:sz w:val="22"/>
                <w:szCs w:val="22"/>
              </w:rPr>
            </w:pPr>
            <w:r w:rsidRPr="000845C9">
              <w:rPr>
                <w:rFonts w:ascii="Arial" w:hAnsi="Arial" w:cs="Arial"/>
                <w:color w:val="000000"/>
                <w:sz w:val="22"/>
                <w:szCs w:val="22"/>
              </w:rPr>
              <w:t>Other</w:t>
            </w:r>
          </w:p>
        </w:tc>
        <w:tc>
          <w:tcPr>
            <w:tcW w:w="1060" w:type="dxa"/>
            <w:tcBorders>
              <w:left w:val="single" w:sz="4" w:space="0" w:color="auto"/>
              <w:bottom w:val="single" w:sz="4" w:space="0" w:color="auto"/>
            </w:tcBorders>
            <w:shd w:val="clear" w:color="auto" w:fill="EAF1DD" w:themeFill="accent3" w:themeFillTint="33"/>
            <w:vAlign w:val="center"/>
          </w:tcPr>
          <w:p w14:paraId="4B6B7331" w14:textId="779FDDD7" w:rsidR="0012625C" w:rsidRPr="000845C9" w:rsidRDefault="00631DDC" w:rsidP="0012625C">
            <w:pPr>
              <w:jc w:val="center"/>
              <w:rPr>
                <w:rFonts w:ascii="Arial" w:hAnsi="Arial" w:cs="Arial"/>
                <w:color w:val="000000"/>
                <w:sz w:val="22"/>
                <w:szCs w:val="22"/>
              </w:rPr>
            </w:pPr>
            <w:r w:rsidRPr="000845C9">
              <w:rPr>
                <w:rFonts w:ascii="Arial" w:hAnsi="Arial" w:cs="Arial"/>
                <w:color w:val="000000"/>
                <w:sz w:val="22"/>
                <w:szCs w:val="22"/>
              </w:rPr>
              <w:t>16,455</w:t>
            </w:r>
          </w:p>
        </w:tc>
        <w:tc>
          <w:tcPr>
            <w:tcW w:w="1198" w:type="dxa"/>
            <w:tcBorders>
              <w:bottom w:val="single" w:sz="4" w:space="0" w:color="auto"/>
            </w:tcBorders>
            <w:shd w:val="clear" w:color="auto" w:fill="EAF1DD" w:themeFill="accent3" w:themeFillTint="33"/>
            <w:vAlign w:val="center"/>
          </w:tcPr>
          <w:p w14:paraId="742F05DD" w14:textId="22BFE46A" w:rsidR="0012625C" w:rsidRPr="000845C9" w:rsidRDefault="001470E2" w:rsidP="0012625C">
            <w:pPr>
              <w:jc w:val="center"/>
              <w:rPr>
                <w:rFonts w:ascii="Arial" w:hAnsi="Arial" w:cs="Arial"/>
                <w:color w:val="000000"/>
                <w:sz w:val="22"/>
                <w:szCs w:val="22"/>
              </w:rPr>
            </w:pPr>
            <w:r w:rsidRPr="000845C9">
              <w:rPr>
                <w:rFonts w:ascii="Arial" w:hAnsi="Arial" w:cs="Arial"/>
                <w:color w:val="000000"/>
                <w:sz w:val="22"/>
                <w:szCs w:val="22"/>
              </w:rPr>
              <w:t>8,749</w:t>
            </w:r>
          </w:p>
        </w:tc>
        <w:tc>
          <w:tcPr>
            <w:tcW w:w="874" w:type="dxa"/>
            <w:tcBorders>
              <w:bottom w:val="single" w:sz="4" w:space="0" w:color="auto"/>
            </w:tcBorders>
            <w:shd w:val="clear" w:color="auto" w:fill="EAF1DD" w:themeFill="accent3" w:themeFillTint="33"/>
            <w:vAlign w:val="center"/>
          </w:tcPr>
          <w:p w14:paraId="4B00D663" w14:textId="4971F4F0" w:rsidR="0012625C" w:rsidRPr="000845C9" w:rsidRDefault="00F617D3" w:rsidP="0012625C">
            <w:pPr>
              <w:jc w:val="center"/>
              <w:rPr>
                <w:rFonts w:ascii="Arial" w:hAnsi="Arial" w:cs="Arial"/>
                <w:color w:val="000000"/>
                <w:sz w:val="22"/>
                <w:szCs w:val="22"/>
              </w:rPr>
            </w:pPr>
            <w:r w:rsidRPr="000845C9">
              <w:rPr>
                <w:rFonts w:ascii="Arial" w:hAnsi="Arial" w:cs="Arial"/>
                <w:color w:val="000000"/>
                <w:sz w:val="22"/>
                <w:szCs w:val="22"/>
              </w:rPr>
              <w:t>25,204</w:t>
            </w:r>
          </w:p>
        </w:tc>
        <w:tc>
          <w:tcPr>
            <w:tcW w:w="971" w:type="dxa"/>
            <w:gridSpan w:val="2"/>
            <w:tcBorders>
              <w:bottom w:val="single" w:sz="4" w:space="0" w:color="auto"/>
              <w:right w:val="single" w:sz="4" w:space="0" w:color="auto"/>
            </w:tcBorders>
            <w:shd w:val="clear" w:color="auto" w:fill="EAF1DD" w:themeFill="accent3" w:themeFillTint="33"/>
            <w:vAlign w:val="center"/>
          </w:tcPr>
          <w:p w14:paraId="7A2D6B67" w14:textId="060EA85C" w:rsidR="0012625C" w:rsidRPr="000845C9" w:rsidRDefault="00E64DED" w:rsidP="000845C9">
            <w:pPr>
              <w:jc w:val="center"/>
              <w:rPr>
                <w:rFonts w:ascii="Arial" w:hAnsi="Arial" w:cs="Arial"/>
                <w:color w:val="000000"/>
                <w:sz w:val="22"/>
                <w:szCs w:val="22"/>
              </w:rPr>
            </w:pPr>
            <w:r w:rsidRPr="000845C9">
              <w:rPr>
                <w:rFonts w:ascii="Arial" w:hAnsi="Arial" w:cs="Arial"/>
                <w:color w:val="000000"/>
                <w:sz w:val="22"/>
                <w:szCs w:val="22"/>
              </w:rPr>
              <w:t>6</w:t>
            </w:r>
          </w:p>
        </w:tc>
        <w:tc>
          <w:tcPr>
            <w:tcW w:w="1060" w:type="dxa"/>
            <w:tcBorders>
              <w:left w:val="single" w:sz="4" w:space="0" w:color="auto"/>
              <w:bottom w:val="single" w:sz="4" w:space="0" w:color="auto"/>
            </w:tcBorders>
            <w:vAlign w:val="center"/>
            <w:hideMark/>
          </w:tcPr>
          <w:p w14:paraId="3B7E4DA6" w14:textId="1D804CF4"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34,118</w:t>
            </w:r>
          </w:p>
        </w:tc>
        <w:tc>
          <w:tcPr>
            <w:tcW w:w="1137" w:type="dxa"/>
            <w:tcBorders>
              <w:bottom w:val="single" w:sz="4" w:space="0" w:color="auto"/>
            </w:tcBorders>
            <w:vAlign w:val="center"/>
            <w:hideMark/>
          </w:tcPr>
          <w:p w14:paraId="77759D43" w14:textId="632E61D3"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8,326</w:t>
            </w:r>
          </w:p>
        </w:tc>
        <w:tc>
          <w:tcPr>
            <w:tcW w:w="1084" w:type="dxa"/>
            <w:tcBorders>
              <w:bottom w:val="single" w:sz="4" w:space="0" w:color="auto"/>
            </w:tcBorders>
            <w:vAlign w:val="center"/>
            <w:hideMark/>
          </w:tcPr>
          <w:p w14:paraId="761F09E0" w14:textId="1462C34E"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42,444</w:t>
            </w:r>
          </w:p>
        </w:tc>
        <w:tc>
          <w:tcPr>
            <w:tcW w:w="830" w:type="dxa"/>
            <w:gridSpan w:val="2"/>
            <w:tcBorders>
              <w:bottom w:val="single" w:sz="4" w:space="0" w:color="auto"/>
              <w:right w:val="single" w:sz="4" w:space="0" w:color="auto"/>
            </w:tcBorders>
            <w:vAlign w:val="center"/>
            <w:hideMark/>
          </w:tcPr>
          <w:p w14:paraId="1FCABE01" w14:textId="7B33441C"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12</w:t>
            </w:r>
          </w:p>
        </w:tc>
      </w:tr>
      <w:tr w:rsidR="000224BB" w:rsidRPr="000845C9" w14:paraId="54FEBF33" w14:textId="77777777" w:rsidTr="006A56B7">
        <w:trPr>
          <w:trHeight w:val="397"/>
        </w:trPr>
        <w:tc>
          <w:tcPr>
            <w:tcW w:w="2709" w:type="dxa"/>
            <w:tcBorders>
              <w:top w:val="single" w:sz="4" w:space="0" w:color="auto"/>
              <w:left w:val="single" w:sz="4" w:space="0" w:color="auto"/>
              <w:right w:val="single" w:sz="4" w:space="0" w:color="auto"/>
            </w:tcBorders>
            <w:vAlign w:val="center"/>
            <w:hideMark/>
          </w:tcPr>
          <w:p w14:paraId="05DF9193" w14:textId="77777777"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Cash and cash equivalents:</w:t>
            </w:r>
          </w:p>
        </w:tc>
        <w:tc>
          <w:tcPr>
            <w:tcW w:w="1060" w:type="dxa"/>
            <w:tcBorders>
              <w:top w:val="single" w:sz="4" w:space="0" w:color="auto"/>
              <w:left w:val="single" w:sz="4" w:space="0" w:color="auto"/>
            </w:tcBorders>
            <w:shd w:val="clear" w:color="auto" w:fill="EAF1DD" w:themeFill="accent3" w:themeFillTint="33"/>
            <w:vAlign w:val="center"/>
          </w:tcPr>
          <w:p w14:paraId="6CE0786F" w14:textId="2278BC20" w:rsidR="0012625C" w:rsidRPr="000845C9" w:rsidRDefault="0012625C" w:rsidP="0012625C">
            <w:pPr>
              <w:jc w:val="center"/>
              <w:rPr>
                <w:rFonts w:ascii="Arial" w:hAnsi="Arial" w:cs="Arial"/>
                <w:b/>
                <w:bCs/>
                <w:color w:val="000000"/>
                <w:sz w:val="22"/>
                <w:szCs w:val="22"/>
              </w:rPr>
            </w:pPr>
          </w:p>
        </w:tc>
        <w:tc>
          <w:tcPr>
            <w:tcW w:w="1198" w:type="dxa"/>
            <w:tcBorders>
              <w:top w:val="single" w:sz="4" w:space="0" w:color="auto"/>
            </w:tcBorders>
            <w:shd w:val="clear" w:color="auto" w:fill="EAF1DD" w:themeFill="accent3" w:themeFillTint="33"/>
            <w:vAlign w:val="center"/>
          </w:tcPr>
          <w:p w14:paraId="7A7937D3" w14:textId="4A5D19DD" w:rsidR="0012625C" w:rsidRPr="000845C9" w:rsidRDefault="0012625C" w:rsidP="0012625C">
            <w:pPr>
              <w:jc w:val="center"/>
              <w:rPr>
                <w:rFonts w:ascii="Arial" w:hAnsi="Arial" w:cs="Arial"/>
                <w:b/>
                <w:bCs/>
                <w:color w:val="000000"/>
                <w:sz w:val="22"/>
                <w:szCs w:val="22"/>
              </w:rPr>
            </w:pPr>
          </w:p>
        </w:tc>
        <w:tc>
          <w:tcPr>
            <w:tcW w:w="874" w:type="dxa"/>
            <w:tcBorders>
              <w:top w:val="single" w:sz="4" w:space="0" w:color="auto"/>
            </w:tcBorders>
            <w:shd w:val="clear" w:color="auto" w:fill="EAF1DD" w:themeFill="accent3" w:themeFillTint="33"/>
            <w:vAlign w:val="center"/>
          </w:tcPr>
          <w:p w14:paraId="175FA373" w14:textId="703207AB" w:rsidR="0012625C" w:rsidRPr="000845C9" w:rsidRDefault="0012625C" w:rsidP="0012625C">
            <w:pPr>
              <w:jc w:val="center"/>
              <w:rPr>
                <w:rFonts w:ascii="Arial" w:hAnsi="Arial" w:cs="Arial"/>
                <w:b/>
                <w:bCs/>
                <w:color w:val="000000"/>
                <w:sz w:val="22"/>
                <w:szCs w:val="22"/>
              </w:rPr>
            </w:pPr>
          </w:p>
        </w:tc>
        <w:tc>
          <w:tcPr>
            <w:tcW w:w="971" w:type="dxa"/>
            <w:gridSpan w:val="2"/>
            <w:tcBorders>
              <w:top w:val="single" w:sz="4" w:space="0" w:color="auto"/>
              <w:right w:val="single" w:sz="4" w:space="0" w:color="auto"/>
            </w:tcBorders>
            <w:shd w:val="clear" w:color="auto" w:fill="EAF1DD" w:themeFill="accent3" w:themeFillTint="33"/>
            <w:vAlign w:val="center"/>
          </w:tcPr>
          <w:p w14:paraId="4B0E27C0" w14:textId="640A0A17" w:rsidR="0012625C" w:rsidRPr="000845C9" w:rsidRDefault="0012625C" w:rsidP="0012625C">
            <w:pPr>
              <w:jc w:val="center"/>
              <w:rPr>
                <w:rFonts w:ascii="Arial" w:hAnsi="Arial" w:cs="Arial"/>
                <w:b/>
                <w:bCs/>
                <w:color w:val="000000"/>
                <w:sz w:val="22"/>
                <w:szCs w:val="22"/>
              </w:rPr>
            </w:pPr>
          </w:p>
        </w:tc>
        <w:tc>
          <w:tcPr>
            <w:tcW w:w="1060" w:type="dxa"/>
            <w:tcBorders>
              <w:top w:val="single" w:sz="4" w:space="0" w:color="auto"/>
              <w:left w:val="single" w:sz="4" w:space="0" w:color="auto"/>
            </w:tcBorders>
            <w:noWrap/>
            <w:vAlign w:val="center"/>
            <w:hideMark/>
          </w:tcPr>
          <w:p w14:paraId="7917DAB2" w14:textId="6D2D3A74" w:rsidR="0012625C" w:rsidRPr="000845C9" w:rsidRDefault="0012625C" w:rsidP="0012625C">
            <w:pPr>
              <w:jc w:val="center"/>
              <w:rPr>
                <w:rFonts w:ascii="Arial" w:hAnsi="Arial" w:cs="Arial"/>
                <w:color w:val="000000"/>
                <w:sz w:val="22"/>
                <w:szCs w:val="22"/>
              </w:rPr>
            </w:pPr>
          </w:p>
        </w:tc>
        <w:tc>
          <w:tcPr>
            <w:tcW w:w="1137" w:type="dxa"/>
            <w:tcBorders>
              <w:top w:val="single" w:sz="4" w:space="0" w:color="auto"/>
            </w:tcBorders>
            <w:noWrap/>
            <w:vAlign w:val="center"/>
            <w:hideMark/>
          </w:tcPr>
          <w:p w14:paraId="232DD8B9" w14:textId="7B285D56" w:rsidR="0012625C" w:rsidRPr="000845C9" w:rsidRDefault="0012625C" w:rsidP="0012625C">
            <w:pPr>
              <w:jc w:val="center"/>
              <w:rPr>
                <w:rFonts w:ascii="Arial" w:hAnsi="Arial" w:cs="Arial"/>
                <w:color w:val="000000"/>
                <w:sz w:val="22"/>
                <w:szCs w:val="22"/>
              </w:rPr>
            </w:pPr>
          </w:p>
        </w:tc>
        <w:tc>
          <w:tcPr>
            <w:tcW w:w="1084" w:type="dxa"/>
            <w:tcBorders>
              <w:top w:val="single" w:sz="4" w:space="0" w:color="auto"/>
            </w:tcBorders>
            <w:noWrap/>
            <w:vAlign w:val="center"/>
            <w:hideMark/>
          </w:tcPr>
          <w:p w14:paraId="30E00700" w14:textId="5691AD58" w:rsidR="0012625C" w:rsidRPr="000845C9" w:rsidRDefault="0012625C" w:rsidP="0012625C">
            <w:pPr>
              <w:jc w:val="center"/>
              <w:rPr>
                <w:rFonts w:ascii="Arial" w:hAnsi="Arial" w:cs="Arial"/>
                <w:sz w:val="22"/>
                <w:szCs w:val="22"/>
              </w:rPr>
            </w:pPr>
          </w:p>
        </w:tc>
        <w:tc>
          <w:tcPr>
            <w:tcW w:w="830" w:type="dxa"/>
            <w:gridSpan w:val="2"/>
            <w:tcBorders>
              <w:top w:val="single" w:sz="4" w:space="0" w:color="auto"/>
              <w:right w:val="single" w:sz="4" w:space="0" w:color="auto"/>
            </w:tcBorders>
            <w:noWrap/>
            <w:vAlign w:val="center"/>
            <w:hideMark/>
          </w:tcPr>
          <w:p w14:paraId="1D796404" w14:textId="2DB3E19C" w:rsidR="0012625C" w:rsidRPr="000845C9" w:rsidRDefault="0012625C" w:rsidP="0012625C">
            <w:pPr>
              <w:jc w:val="center"/>
              <w:rPr>
                <w:rFonts w:ascii="Arial" w:hAnsi="Arial" w:cs="Arial"/>
                <w:color w:val="000000"/>
                <w:sz w:val="22"/>
                <w:szCs w:val="22"/>
              </w:rPr>
            </w:pPr>
          </w:p>
        </w:tc>
      </w:tr>
      <w:tr w:rsidR="000224BB" w:rsidRPr="000845C9" w14:paraId="4093EFEB" w14:textId="77777777" w:rsidTr="006A56B7">
        <w:trPr>
          <w:trHeight w:val="397"/>
        </w:trPr>
        <w:tc>
          <w:tcPr>
            <w:tcW w:w="2709" w:type="dxa"/>
            <w:tcBorders>
              <w:left w:val="single" w:sz="4" w:space="0" w:color="auto"/>
              <w:bottom w:val="single" w:sz="4" w:space="0" w:color="auto"/>
              <w:right w:val="single" w:sz="4" w:space="0" w:color="auto"/>
            </w:tcBorders>
            <w:vAlign w:val="center"/>
            <w:hideMark/>
          </w:tcPr>
          <w:p w14:paraId="4BF9E7E2" w14:textId="77777777" w:rsidR="0012625C" w:rsidRPr="000845C9" w:rsidRDefault="0012625C" w:rsidP="0012625C">
            <w:pPr>
              <w:rPr>
                <w:rFonts w:ascii="Arial" w:hAnsi="Arial" w:cs="Arial"/>
                <w:color w:val="000000"/>
                <w:sz w:val="22"/>
                <w:szCs w:val="22"/>
              </w:rPr>
            </w:pPr>
            <w:r w:rsidRPr="000845C9">
              <w:rPr>
                <w:rFonts w:ascii="Arial" w:hAnsi="Arial" w:cs="Arial"/>
                <w:color w:val="000000"/>
                <w:sz w:val="22"/>
                <w:szCs w:val="22"/>
              </w:rPr>
              <w:t>All</w:t>
            </w:r>
          </w:p>
        </w:tc>
        <w:tc>
          <w:tcPr>
            <w:tcW w:w="1060" w:type="dxa"/>
            <w:tcBorders>
              <w:left w:val="single" w:sz="4" w:space="0" w:color="auto"/>
              <w:bottom w:val="single" w:sz="4" w:space="0" w:color="auto"/>
            </w:tcBorders>
            <w:shd w:val="clear" w:color="auto" w:fill="EAF1DD" w:themeFill="accent3" w:themeFillTint="33"/>
            <w:vAlign w:val="center"/>
          </w:tcPr>
          <w:p w14:paraId="4D41B992" w14:textId="4CA1E309" w:rsidR="0012625C" w:rsidRPr="000845C9" w:rsidRDefault="001470E2" w:rsidP="0012625C">
            <w:pPr>
              <w:jc w:val="center"/>
              <w:rPr>
                <w:rFonts w:ascii="Arial" w:hAnsi="Arial" w:cs="Arial"/>
                <w:color w:val="000000"/>
                <w:sz w:val="22"/>
                <w:szCs w:val="22"/>
              </w:rPr>
            </w:pPr>
            <w:r w:rsidRPr="000845C9">
              <w:rPr>
                <w:rFonts w:ascii="Arial" w:hAnsi="Arial" w:cs="Arial"/>
                <w:color w:val="000000"/>
                <w:sz w:val="22"/>
                <w:szCs w:val="22"/>
              </w:rPr>
              <w:t>17,502</w:t>
            </w:r>
          </w:p>
        </w:tc>
        <w:tc>
          <w:tcPr>
            <w:tcW w:w="1198" w:type="dxa"/>
            <w:tcBorders>
              <w:bottom w:val="single" w:sz="4" w:space="0" w:color="auto"/>
            </w:tcBorders>
            <w:shd w:val="clear" w:color="auto" w:fill="EAF1DD" w:themeFill="accent3" w:themeFillTint="33"/>
            <w:vAlign w:val="center"/>
          </w:tcPr>
          <w:p w14:paraId="6D78E22A" w14:textId="676B4845"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w:t>
            </w:r>
          </w:p>
        </w:tc>
        <w:tc>
          <w:tcPr>
            <w:tcW w:w="874" w:type="dxa"/>
            <w:tcBorders>
              <w:bottom w:val="single" w:sz="4" w:space="0" w:color="auto"/>
            </w:tcBorders>
            <w:shd w:val="clear" w:color="auto" w:fill="EAF1DD" w:themeFill="accent3" w:themeFillTint="33"/>
            <w:vAlign w:val="center"/>
          </w:tcPr>
          <w:p w14:paraId="51895413" w14:textId="26ADFA13"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17,502</w:t>
            </w:r>
          </w:p>
        </w:tc>
        <w:tc>
          <w:tcPr>
            <w:tcW w:w="971" w:type="dxa"/>
            <w:gridSpan w:val="2"/>
            <w:tcBorders>
              <w:bottom w:val="single" w:sz="4" w:space="0" w:color="auto"/>
              <w:right w:val="single" w:sz="4" w:space="0" w:color="auto"/>
            </w:tcBorders>
            <w:shd w:val="clear" w:color="auto" w:fill="EAF1DD" w:themeFill="accent3" w:themeFillTint="33"/>
            <w:vAlign w:val="center"/>
          </w:tcPr>
          <w:p w14:paraId="1C6B4F9F" w14:textId="7B5F6E69" w:rsidR="0012625C" w:rsidRPr="000845C9" w:rsidRDefault="00E64DED" w:rsidP="0012625C">
            <w:pPr>
              <w:jc w:val="center"/>
              <w:rPr>
                <w:rFonts w:ascii="Arial" w:hAnsi="Arial" w:cs="Arial"/>
                <w:color w:val="000000"/>
                <w:sz w:val="22"/>
                <w:szCs w:val="22"/>
              </w:rPr>
            </w:pPr>
            <w:r w:rsidRPr="000845C9">
              <w:rPr>
                <w:rFonts w:ascii="Arial" w:hAnsi="Arial" w:cs="Arial"/>
                <w:color w:val="000000"/>
                <w:sz w:val="22"/>
                <w:szCs w:val="22"/>
              </w:rPr>
              <w:t>4</w:t>
            </w:r>
          </w:p>
        </w:tc>
        <w:tc>
          <w:tcPr>
            <w:tcW w:w="1060" w:type="dxa"/>
            <w:tcBorders>
              <w:left w:val="single" w:sz="4" w:space="0" w:color="auto"/>
              <w:bottom w:val="single" w:sz="4" w:space="0" w:color="auto"/>
            </w:tcBorders>
            <w:vAlign w:val="center"/>
            <w:hideMark/>
          </w:tcPr>
          <w:p w14:paraId="5BDA3DC2" w14:textId="4CCAD32D"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8,587</w:t>
            </w:r>
          </w:p>
        </w:tc>
        <w:tc>
          <w:tcPr>
            <w:tcW w:w="1137" w:type="dxa"/>
            <w:tcBorders>
              <w:bottom w:val="single" w:sz="4" w:space="0" w:color="auto"/>
            </w:tcBorders>
            <w:vAlign w:val="center"/>
            <w:hideMark/>
          </w:tcPr>
          <w:p w14:paraId="5E8021C1" w14:textId="4F55EB48"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w:t>
            </w:r>
          </w:p>
        </w:tc>
        <w:tc>
          <w:tcPr>
            <w:tcW w:w="1084" w:type="dxa"/>
            <w:tcBorders>
              <w:bottom w:val="single" w:sz="4" w:space="0" w:color="auto"/>
            </w:tcBorders>
            <w:vAlign w:val="center"/>
            <w:hideMark/>
          </w:tcPr>
          <w:p w14:paraId="749BC0A0" w14:textId="04936F6E"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8,587</w:t>
            </w:r>
          </w:p>
        </w:tc>
        <w:tc>
          <w:tcPr>
            <w:tcW w:w="830" w:type="dxa"/>
            <w:gridSpan w:val="2"/>
            <w:tcBorders>
              <w:bottom w:val="single" w:sz="4" w:space="0" w:color="auto"/>
              <w:right w:val="single" w:sz="4" w:space="0" w:color="auto"/>
            </w:tcBorders>
            <w:vAlign w:val="center"/>
            <w:hideMark/>
          </w:tcPr>
          <w:p w14:paraId="1639C053" w14:textId="0D274030" w:rsidR="0012625C" w:rsidRPr="000845C9" w:rsidRDefault="0012625C" w:rsidP="0012625C">
            <w:pPr>
              <w:jc w:val="center"/>
              <w:rPr>
                <w:rFonts w:ascii="Arial" w:hAnsi="Arial" w:cs="Arial"/>
                <w:color w:val="000000"/>
                <w:sz w:val="22"/>
                <w:szCs w:val="22"/>
              </w:rPr>
            </w:pPr>
            <w:r w:rsidRPr="000845C9">
              <w:rPr>
                <w:rFonts w:ascii="Arial" w:hAnsi="Arial" w:cs="Arial"/>
                <w:color w:val="000000"/>
                <w:sz w:val="22"/>
                <w:szCs w:val="22"/>
              </w:rPr>
              <w:t>2</w:t>
            </w:r>
          </w:p>
        </w:tc>
      </w:tr>
      <w:tr w:rsidR="000224BB" w:rsidRPr="000845C9" w14:paraId="231F0E91" w14:textId="77777777" w:rsidTr="006A56B7">
        <w:trPr>
          <w:trHeight w:val="397"/>
        </w:trPr>
        <w:tc>
          <w:tcPr>
            <w:tcW w:w="2709" w:type="dxa"/>
            <w:tcBorders>
              <w:top w:val="single" w:sz="4" w:space="0" w:color="auto"/>
              <w:left w:val="single" w:sz="4" w:space="0" w:color="auto"/>
              <w:bottom w:val="single" w:sz="4" w:space="0" w:color="auto"/>
              <w:right w:val="single" w:sz="4" w:space="0" w:color="auto"/>
            </w:tcBorders>
            <w:vAlign w:val="center"/>
            <w:hideMark/>
          </w:tcPr>
          <w:p w14:paraId="0667D3F4" w14:textId="77777777" w:rsidR="0012625C" w:rsidRPr="000845C9" w:rsidRDefault="0012625C" w:rsidP="0012625C">
            <w:pPr>
              <w:rPr>
                <w:rFonts w:ascii="Arial" w:hAnsi="Arial" w:cs="Arial"/>
                <w:b/>
                <w:bCs/>
                <w:color w:val="000000"/>
                <w:sz w:val="22"/>
                <w:szCs w:val="22"/>
              </w:rPr>
            </w:pPr>
            <w:r w:rsidRPr="000845C9">
              <w:rPr>
                <w:rFonts w:ascii="Arial" w:hAnsi="Arial" w:cs="Arial"/>
                <w:b/>
                <w:bCs/>
                <w:color w:val="000000"/>
                <w:sz w:val="22"/>
                <w:szCs w:val="22"/>
              </w:rPr>
              <w:t>Totals</w:t>
            </w:r>
          </w:p>
        </w:tc>
        <w:tc>
          <w:tcPr>
            <w:tcW w:w="1060" w:type="dxa"/>
            <w:tcBorders>
              <w:top w:val="single" w:sz="4" w:space="0" w:color="auto"/>
              <w:left w:val="single" w:sz="4" w:space="0" w:color="auto"/>
              <w:bottom w:val="double" w:sz="4" w:space="0" w:color="auto"/>
            </w:tcBorders>
            <w:shd w:val="clear" w:color="auto" w:fill="EAF1DD" w:themeFill="accent3" w:themeFillTint="33"/>
            <w:vAlign w:val="center"/>
          </w:tcPr>
          <w:p w14:paraId="583AF95A" w14:textId="48490595" w:rsidR="0012625C" w:rsidRPr="000845C9" w:rsidRDefault="001470E2" w:rsidP="0012625C">
            <w:pPr>
              <w:jc w:val="center"/>
              <w:rPr>
                <w:rFonts w:ascii="Arial" w:hAnsi="Arial" w:cs="Arial"/>
                <w:b/>
                <w:bCs/>
                <w:color w:val="000000"/>
                <w:sz w:val="22"/>
                <w:szCs w:val="22"/>
              </w:rPr>
            </w:pPr>
            <w:r w:rsidRPr="000845C9">
              <w:rPr>
                <w:rFonts w:ascii="Arial" w:hAnsi="Arial" w:cs="Arial"/>
                <w:b/>
                <w:bCs/>
                <w:color w:val="000000"/>
                <w:sz w:val="22"/>
                <w:szCs w:val="22"/>
              </w:rPr>
              <w:t>338,306</w:t>
            </w:r>
          </w:p>
        </w:tc>
        <w:tc>
          <w:tcPr>
            <w:tcW w:w="1198" w:type="dxa"/>
            <w:tcBorders>
              <w:top w:val="single" w:sz="4" w:space="0" w:color="auto"/>
              <w:bottom w:val="double" w:sz="4" w:space="0" w:color="auto"/>
            </w:tcBorders>
            <w:shd w:val="clear" w:color="auto" w:fill="EAF1DD" w:themeFill="accent3" w:themeFillTint="33"/>
            <w:vAlign w:val="center"/>
          </w:tcPr>
          <w:p w14:paraId="697CD6FF" w14:textId="27F26CC0" w:rsidR="0012625C" w:rsidRPr="000845C9" w:rsidRDefault="001470E2" w:rsidP="0012625C">
            <w:pPr>
              <w:jc w:val="center"/>
              <w:rPr>
                <w:rFonts w:ascii="Arial" w:hAnsi="Arial" w:cs="Arial"/>
                <w:b/>
                <w:bCs/>
                <w:color w:val="000000"/>
                <w:sz w:val="22"/>
                <w:szCs w:val="22"/>
              </w:rPr>
            </w:pPr>
            <w:r w:rsidRPr="000845C9">
              <w:rPr>
                <w:rFonts w:ascii="Arial" w:hAnsi="Arial" w:cs="Arial"/>
                <w:b/>
                <w:bCs/>
                <w:color w:val="000000"/>
                <w:sz w:val="22"/>
                <w:szCs w:val="22"/>
              </w:rPr>
              <w:t>86,389</w:t>
            </w:r>
          </w:p>
        </w:tc>
        <w:tc>
          <w:tcPr>
            <w:tcW w:w="874" w:type="dxa"/>
            <w:tcBorders>
              <w:top w:val="single" w:sz="4" w:space="0" w:color="auto"/>
              <w:bottom w:val="double" w:sz="4" w:space="0" w:color="auto"/>
            </w:tcBorders>
            <w:shd w:val="clear" w:color="auto" w:fill="EAF1DD" w:themeFill="accent3" w:themeFillTint="33"/>
            <w:vAlign w:val="center"/>
          </w:tcPr>
          <w:p w14:paraId="7550E4A7" w14:textId="50391322" w:rsidR="0012625C" w:rsidRPr="000845C9" w:rsidRDefault="001470E2" w:rsidP="0012625C">
            <w:pPr>
              <w:jc w:val="center"/>
              <w:rPr>
                <w:rFonts w:ascii="Arial" w:hAnsi="Arial" w:cs="Arial"/>
                <w:b/>
                <w:bCs/>
                <w:color w:val="000000"/>
                <w:sz w:val="22"/>
                <w:szCs w:val="22"/>
              </w:rPr>
            </w:pPr>
            <w:r w:rsidRPr="000845C9">
              <w:rPr>
                <w:rFonts w:ascii="Arial" w:hAnsi="Arial" w:cs="Arial"/>
                <w:b/>
                <w:bCs/>
                <w:color w:val="000000"/>
                <w:sz w:val="22"/>
                <w:szCs w:val="22"/>
              </w:rPr>
              <w:t>424,695</w:t>
            </w:r>
          </w:p>
        </w:tc>
        <w:tc>
          <w:tcPr>
            <w:tcW w:w="971" w:type="dxa"/>
            <w:gridSpan w:val="2"/>
            <w:tcBorders>
              <w:top w:val="single" w:sz="4" w:space="0" w:color="auto"/>
              <w:bottom w:val="double" w:sz="4" w:space="0" w:color="auto"/>
              <w:right w:val="single" w:sz="4" w:space="0" w:color="auto"/>
            </w:tcBorders>
            <w:shd w:val="clear" w:color="auto" w:fill="EAF1DD" w:themeFill="accent3" w:themeFillTint="33"/>
            <w:vAlign w:val="center"/>
          </w:tcPr>
          <w:p w14:paraId="3B60C9B6" w14:textId="2B4114F4" w:rsidR="0012625C" w:rsidRPr="000845C9" w:rsidRDefault="00E64DED" w:rsidP="0012625C">
            <w:pPr>
              <w:jc w:val="center"/>
              <w:rPr>
                <w:rFonts w:ascii="Arial" w:hAnsi="Arial" w:cs="Arial"/>
                <w:b/>
                <w:bCs/>
                <w:color w:val="000000"/>
                <w:sz w:val="22"/>
                <w:szCs w:val="22"/>
              </w:rPr>
            </w:pPr>
            <w:r w:rsidRPr="000845C9">
              <w:rPr>
                <w:rFonts w:ascii="Arial" w:hAnsi="Arial" w:cs="Arial"/>
                <w:b/>
                <w:bCs/>
                <w:color w:val="000000"/>
                <w:sz w:val="22"/>
                <w:szCs w:val="22"/>
              </w:rPr>
              <w:t>100</w:t>
            </w:r>
          </w:p>
        </w:tc>
        <w:tc>
          <w:tcPr>
            <w:tcW w:w="1060" w:type="dxa"/>
            <w:tcBorders>
              <w:top w:val="single" w:sz="4" w:space="0" w:color="auto"/>
              <w:left w:val="single" w:sz="4" w:space="0" w:color="auto"/>
              <w:bottom w:val="double" w:sz="4" w:space="0" w:color="auto"/>
            </w:tcBorders>
            <w:vAlign w:val="center"/>
            <w:hideMark/>
          </w:tcPr>
          <w:p w14:paraId="0B272C74" w14:textId="74A6276B" w:rsidR="0012625C" w:rsidRPr="000845C9" w:rsidRDefault="0012625C" w:rsidP="0012625C">
            <w:pPr>
              <w:jc w:val="center"/>
              <w:rPr>
                <w:rFonts w:ascii="Arial" w:hAnsi="Arial" w:cs="Arial"/>
                <w:b/>
                <w:bCs/>
                <w:color w:val="000000"/>
                <w:sz w:val="22"/>
                <w:szCs w:val="22"/>
              </w:rPr>
            </w:pPr>
            <w:r w:rsidRPr="000845C9">
              <w:rPr>
                <w:rFonts w:ascii="Arial" w:hAnsi="Arial" w:cs="Arial"/>
                <w:b/>
                <w:bCs/>
                <w:color w:val="000000"/>
                <w:sz w:val="22"/>
                <w:szCs w:val="22"/>
              </w:rPr>
              <w:t>300,030</w:t>
            </w:r>
          </w:p>
        </w:tc>
        <w:tc>
          <w:tcPr>
            <w:tcW w:w="1137" w:type="dxa"/>
            <w:tcBorders>
              <w:top w:val="single" w:sz="4" w:space="0" w:color="auto"/>
              <w:bottom w:val="double" w:sz="4" w:space="0" w:color="auto"/>
            </w:tcBorders>
            <w:vAlign w:val="center"/>
            <w:hideMark/>
          </w:tcPr>
          <w:p w14:paraId="78E10FBD" w14:textId="1A3DBC2D" w:rsidR="0012625C" w:rsidRPr="000845C9" w:rsidRDefault="0012625C" w:rsidP="0012625C">
            <w:pPr>
              <w:jc w:val="center"/>
              <w:rPr>
                <w:rFonts w:ascii="Arial" w:hAnsi="Arial" w:cs="Arial"/>
                <w:b/>
                <w:bCs/>
                <w:color w:val="000000"/>
                <w:sz w:val="22"/>
                <w:szCs w:val="22"/>
              </w:rPr>
            </w:pPr>
            <w:r w:rsidRPr="000845C9">
              <w:rPr>
                <w:rFonts w:ascii="Arial" w:hAnsi="Arial" w:cs="Arial"/>
                <w:b/>
                <w:bCs/>
                <w:color w:val="000000"/>
                <w:sz w:val="22"/>
                <w:szCs w:val="22"/>
              </w:rPr>
              <w:t>70,425</w:t>
            </w:r>
          </w:p>
        </w:tc>
        <w:tc>
          <w:tcPr>
            <w:tcW w:w="1084" w:type="dxa"/>
            <w:tcBorders>
              <w:top w:val="single" w:sz="4" w:space="0" w:color="auto"/>
              <w:bottom w:val="double" w:sz="4" w:space="0" w:color="auto"/>
            </w:tcBorders>
            <w:vAlign w:val="center"/>
            <w:hideMark/>
          </w:tcPr>
          <w:p w14:paraId="6D25CF4D" w14:textId="462D3A7D" w:rsidR="0012625C" w:rsidRPr="000845C9" w:rsidRDefault="0012625C" w:rsidP="0012625C">
            <w:pPr>
              <w:jc w:val="center"/>
              <w:rPr>
                <w:rFonts w:ascii="Arial" w:hAnsi="Arial" w:cs="Arial"/>
                <w:b/>
                <w:bCs/>
                <w:color w:val="000000"/>
                <w:sz w:val="22"/>
                <w:szCs w:val="22"/>
              </w:rPr>
            </w:pPr>
            <w:r w:rsidRPr="000845C9">
              <w:rPr>
                <w:rFonts w:ascii="Arial" w:hAnsi="Arial" w:cs="Arial"/>
                <w:b/>
                <w:bCs/>
                <w:color w:val="000000"/>
                <w:sz w:val="22"/>
                <w:szCs w:val="22"/>
              </w:rPr>
              <w:t>370,455</w:t>
            </w:r>
          </w:p>
        </w:tc>
        <w:tc>
          <w:tcPr>
            <w:tcW w:w="830" w:type="dxa"/>
            <w:gridSpan w:val="2"/>
            <w:tcBorders>
              <w:top w:val="single" w:sz="4" w:space="0" w:color="auto"/>
              <w:bottom w:val="double" w:sz="4" w:space="0" w:color="auto"/>
              <w:right w:val="single" w:sz="4" w:space="0" w:color="auto"/>
            </w:tcBorders>
            <w:vAlign w:val="center"/>
            <w:hideMark/>
          </w:tcPr>
          <w:p w14:paraId="5E8EB0BC" w14:textId="68BFF6E5" w:rsidR="0012625C" w:rsidRPr="000845C9" w:rsidRDefault="0012625C" w:rsidP="0012625C">
            <w:pPr>
              <w:jc w:val="center"/>
              <w:rPr>
                <w:rFonts w:ascii="Arial" w:hAnsi="Arial" w:cs="Arial"/>
                <w:b/>
                <w:bCs/>
                <w:color w:val="000000"/>
                <w:sz w:val="22"/>
                <w:szCs w:val="22"/>
              </w:rPr>
            </w:pPr>
            <w:r w:rsidRPr="000845C9">
              <w:rPr>
                <w:rFonts w:ascii="Arial" w:hAnsi="Arial" w:cs="Arial"/>
                <w:b/>
                <w:bCs/>
                <w:color w:val="000000"/>
                <w:sz w:val="22"/>
                <w:szCs w:val="22"/>
              </w:rPr>
              <w:t>100</w:t>
            </w:r>
          </w:p>
        </w:tc>
      </w:tr>
    </w:tbl>
    <w:p w14:paraId="42960497" w14:textId="77777777" w:rsidR="00AA7ED3" w:rsidRDefault="00AA7ED3" w:rsidP="00593DB2">
      <w:pPr>
        <w:ind w:left="-709"/>
        <w:jc w:val="both"/>
        <w:rPr>
          <w:rFonts w:ascii="Arial" w:hAnsi="Arial" w:cs="Arial"/>
          <w:color w:val="000000"/>
        </w:rPr>
        <w:sectPr w:rsidR="00AA7ED3" w:rsidSect="000845C9">
          <w:pgSz w:w="11906" w:h="16838" w:code="9"/>
          <w:pgMar w:top="851" w:right="1276" w:bottom="709" w:left="992" w:header="709" w:footer="709" w:gutter="0"/>
          <w:cols w:space="708"/>
          <w:docGrid w:linePitch="360"/>
        </w:sectPr>
      </w:pPr>
    </w:p>
    <w:p w14:paraId="30FEB2D1" w14:textId="77EB1434" w:rsidR="00FB5D7E" w:rsidRDefault="009B4D3C" w:rsidP="00593DB2">
      <w:pPr>
        <w:ind w:left="-709"/>
        <w:jc w:val="both"/>
        <w:rPr>
          <w:rFonts w:ascii="Arial" w:hAnsi="Arial" w:cs="Arial"/>
          <w:b/>
          <w:bCs/>
        </w:rPr>
      </w:pPr>
      <w:r w:rsidRPr="006C244A">
        <w:rPr>
          <w:rFonts w:ascii="Arial" w:hAnsi="Arial" w:cs="Arial"/>
          <w:b/>
          <w:bCs/>
        </w:rPr>
        <w:lastRenderedPageBreak/>
        <w:t>Change in fair value of SEPA'</w:t>
      </w:r>
      <w:r w:rsidR="007E7DAB" w:rsidRPr="006C244A">
        <w:rPr>
          <w:rFonts w:ascii="Arial" w:hAnsi="Arial" w:cs="Arial"/>
          <w:b/>
          <w:bCs/>
        </w:rPr>
        <w:t>s</w:t>
      </w:r>
      <w:r w:rsidRPr="006C244A">
        <w:rPr>
          <w:rFonts w:ascii="Arial" w:hAnsi="Arial" w:cs="Arial"/>
          <w:b/>
          <w:bCs/>
        </w:rPr>
        <w:t xml:space="preserve"> pension plan assets, defined benefit obligations, and net liability for the year ended 31 March 20</w:t>
      </w:r>
      <w:r w:rsidR="00BF752A" w:rsidRPr="006C244A">
        <w:rPr>
          <w:rFonts w:ascii="Arial" w:hAnsi="Arial" w:cs="Arial"/>
          <w:b/>
          <w:bCs/>
        </w:rPr>
        <w:t>2</w:t>
      </w:r>
      <w:r w:rsidR="00F53513" w:rsidRPr="006C244A">
        <w:rPr>
          <w:rFonts w:ascii="Arial" w:hAnsi="Arial" w:cs="Arial"/>
          <w:b/>
          <w:bCs/>
        </w:rPr>
        <w:t>2</w:t>
      </w:r>
      <w:r w:rsidRPr="006C244A">
        <w:rPr>
          <w:rFonts w:ascii="Arial" w:hAnsi="Arial" w:cs="Arial"/>
          <w:b/>
          <w:bCs/>
        </w:rPr>
        <w:t xml:space="preserve"> and 202</w:t>
      </w:r>
      <w:r w:rsidR="00F53513" w:rsidRPr="006C244A">
        <w:rPr>
          <w:rFonts w:ascii="Arial" w:hAnsi="Arial" w:cs="Arial"/>
          <w:b/>
          <w:bCs/>
        </w:rPr>
        <w:t>1</w:t>
      </w:r>
    </w:p>
    <w:p w14:paraId="62B173B9" w14:textId="77777777" w:rsidR="00336C09" w:rsidRPr="00FB5D7E" w:rsidRDefault="00336C09" w:rsidP="00593DB2">
      <w:pPr>
        <w:ind w:left="-709"/>
        <w:jc w:val="both"/>
        <w:rPr>
          <w:rFonts w:ascii="Arial" w:hAnsi="Arial" w:cs="Arial"/>
          <w:b/>
          <w:bCs/>
          <w:sz w:val="20"/>
          <w:szCs w:val="20"/>
        </w:rPr>
      </w:pPr>
    </w:p>
    <w:tbl>
      <w:tblPr>
        <w:tblW w:w="11351" w:type="dxa"/>
        <w:tblInd w:w="-709" w:type="dxa"/>
        <w:tblLook w:val="04A0" w:firstRow="1" w:lastRow="0" w:firstColumn="1" w:lastColumn="0" w:noHBand="0" w:noVBand="1"/>
      </w:tblPr>
      <w:tblGrid>
        <w:gridCol w:w="3545"/>
        <w:gridCol w:w="1110"/>
        <w:gridCol w:w="1536"/>
        <w:gridCol w:w="1270"/>
        <w:gridCol w:w="1084"/>
        <w:gridCol w:w="1536"/>
        <w:gridCol w:w="1270"/>
      </w:tblGrid>
      <w:tr w:rsidR="00863090" w:rsidRPr="00E26D69" w14:paraId="6F130B82" w14:textId="77777777" w:rsidTr="0054335C">
        <w:trPr>
          <w:trHeight w:val="397"/>
        </w:trPr>
        <w:tc>
          <w:tcPr>
            <w:tcW w:w="3545" w:type="dxa"/>
            <w:vMerge w:val="restart"/>
            <w:tcBorders>
              <w:top w:val="single" w:sz="4" w:space="0" w:color="auto"/>
              <w:left w:val="single" w:sz="4" w:space="0" w:color="auto"/>
              <w:bottom w:val="single" w:sz="4" w:space="0" w:color="auto"/>
              <w:right w:val="single" w:sz="4" w:space="0" w:color="auto"/>
            </w:tcBorders>
            <w:noWrap/>
            <w:vAlign w:val="bottom"/>
            <w:hideMark/>
          </w:tcPr>
          <w:p w14:paraId="153BF2D4" w14:textId="77777777" w:rsidR="00E03A12" w:rsidRPr="00964F64" w:rsidRDefault="00E03A12" w:rsidP="00E03A12">
            <w:pPr>
              <w:rPr>
                <w:rFonts w:ascii="Arial" w:hAnsi="Arial" w:cs="Arial"/>
                <w:b/>
                <w:bCs/>
                <w:color w:val="000000"/>
                <w:sz w:val="22"/>
                <w:szCs w:val="22"/>
              </w:rPr>
            </w:pPr>
          </w:p>
          <w:p w14:paraId="1386E2C5" w14:textId="77777777" w:rsidR="00E03A12" w:rsidRPr="00964F64" w:rsidRDefault="00E03A12" w:rsidP="00E03A12">
            <w:pPr>
              <w:rPr>
                <w:rFonts w:ascii="Arial" w:hAnsi="Arial" w:cs="Arial"/>
                <w:b/>
                <w:bCs/>
                <w:color w:val="000000"/>
                <w:sz w:val="22"/>
                <w:szCs w:val="22"/>
              </w:rPr>
            </w:pPr>
          </w:p>
          <w:p w14:paraId="5058786F" w14:textId="55DD406B" w:rsidR="00FE07AE" w:rsidRPr="00964F64" w:rsidRDefault="00FE07AE" w:rsidP="00E03A12">
            <w:pPr>
              <w:rPr>
                <w:rFonts w:ascii="Arial" w:hAnsi="Arial" w:cs="Arial"/>
                <w:b/>
                <w:bCs/>
                <w:color w:val="000000"/>
                <w:sz w:val="22"/>
                <w:szCs w:val="22"/>
              </w:rPr>
            </w:pPr>
            <w:r w:rsidRPr="00964F64">
              <w:rPr>
                <w:rFonts w:ascii="Arial" w:hAnsi="Arial" w:cs="Arial"/>
                <w:b/>
                <w:bCs/>
                <w:color w:val="000000"/>
                <w:sz w:val="22"/>
                <w:szCs w:val="22"/>
              </w:rPr>
              <w:t>Pensions deficit</w:t>
            </w:r>
          </w:p>
        </w:tc>
        <w:tc>
          <w:tcPr>
            <w:tcW w:w="3916" w:type="dxa"/>
            <w:gridSpan w:val="3"/>
            <w:tcBorders>
              <w:top w:val="single" w:sz="8" w:space="0" w:color="auto"/>
              <w:left w:val="single" w:sz="4" w:space="0" w:color="auto"/>
              <w:bottom w:val="single" w:sz="8" w:space="0" w:color="auto"/>
              <w:right w:val="single" w:sz="8" w:space="0" w:color="000000" w:themeColor="text1"/>
            </w:tcBorders>
            <w:shd w:val="clear" w:color="auto" w:fill="EAF1DD" w:themeFill="accent3" w:themeFillTint="33"/>
            <w:vAlign w:val="center"/>
            <w:hideMark/>
          </w:tcPr>
          <w:p w14:paraId="6D1124F2" w14:textId="277BCFE3" w:rsidR="00FE07AE" w:rsidRPr="00964F64" w:rsidRDefault="00FE07AE" w:rsidP="00195773">
            <w:pPr>
              <w:jc w:val="center"/>
              <w:rPr>
                <w:rFonts w:ascii="Arial" w:hAnsi="Arial" w:cs="Arial"/>
                <w:b/>
                <w:bCs/>
                <w:color w:val="000000"/>
                <w:sz w:val="22"/>
                <w:szCs w:val="22"/>
              </w:rPr>
            </w:pPr>
            <w:r w:rsidRPr="00964F64">
              <w:rPr>
                <w:rFonts w:ascii="Arial" w:hAnsi="Arial" w:cs="Arial"/>
                <w:b/>
                <w:bCs/>
                <w:color w:val="000000"/>
                <w:sz w:val="22"/>
                <w:szCs w:val="22"/>
              </w:rPr>
              <w:t>Year ended 31 March 202</w:t>
            </w:r>
            <w:r w:rsidR="00F53513">
              <w:rPr>
                <w:rFonts w:ascii="Arial" w:hAnsi="Arial" w:cs="Arial"/>
                <w:b/>
                <w:bCs/>
                <w:color w:val="000000"/>
                <w:sz w:val="22"/>
                <w:szCs w:val="22"/>
              </w:rPr>
              <w:t>2</w:t>
            </w:r>
          </w:p>
        </w:tc>
        <w:tc>
          <w:tcPr>
            <w:tcW w:w="3890" w:type="dxa"/>
            <w:gridSpan w:val="3"/>
            <w:tcBorders>
              <w:top w:val="single" w:sz="8" w:space="0" w:color="auto"/>
              <w:left w:val="nil"/>
              <w:bottom w:val="single" w:sz="8" w:space="0" w:color="auto"/>
              <w:right w:val="single" w:sz="8" w:space="0" w:color="000000" w:themeColor="text1"/>
            </w:tcBorders>
            <w:vAlign w:val="center"/>
            <w:hideMark/>
          </w:tcPr>
          <w:p w14:paraId="45C343F6" w14:textId="455E7A13" w:rsidR="00FE07AE" w:rsidRPr="00964F64" w:rsidRDefault="00FE07AE" w:rsidP="00195773">
            <w:pPr>
              <w:jc w:val="center"/>
              <w:rPr>
                <w:rFonts w:ascii="Arial" w:hAnsi="Arial" w:cs="Arial"/>
                <w:b/>
                <w:bCs/>
                <w:color w:val="000000"/>
                <w:sz w:val="22"/>
                <w:szCs w:val="22"/>
              </w:rPr>
            </w:pPr>
            <w:r w:rsidRPr="00964F64">
              <w:rPr>
                <w:rFonts w:ascii="Arial" w:hAnsi="Arial" w:cs="Arial"/>
                <w:b/>
                <w:bCs/>
                <w:color w:val="000000"/>
                <w:sz w:val="22"/>
                <w:szCs w:val="22"/>
              </w:rPr>
              <w:t>Year ended 31 March 20</w:t>
            </w:r>
            <w:r w:rsidR="003C087F" w:rsidRPr="00964F64">
              <w:rPr>
                <w:rFonts w:ascii="Arial" w:hAnsi="Arial" w:cs="Arial"/>
                <w:b/>
                <w:bCs/>
                <w:color w:val="000000"/>
                <w:sz w:val="22"/>
                <w:szCs w:val="22"/>
              </w:rPr>
              <w:t>2</w:t>
            </w:r>
            <w:r w:rsidR="00F53513">
              <w:rPr>
                <w:rFonts w:ascii="Arial" w:hAnsi="Arial" w:cs="Arial"/>
                <w:b/>
                <w:bCs/>
                <w:color w:val="000000"/>
                <w:sz w:val="22"/>
                <w:szCs w:val="22"/>
              </w:rPr>
              <w:t>1</w:t>
            </w:r>
          </w:p>
        </w:tc>
      </w:tr>
      <w:tr w:rsidR="000224BB" w:rsidRPr="00E26D69" w14:paraId="41899B58" w14:textId="77777777" w:rsidTr="0054335C">
        <w:trPr>
          <w:trHeight w:val="397"/>
        </w:trPr>
        <w:tc>
          <w:tcPr>
            <w:tcW w:w="3545" w:type="dxa"/>
            <w:vMerge/>
            <w:tcBorders>
              <w:left w:val="single" w:sz="4" w:space="0" w:color="auto"/>
              <w:bottom w:val="single" w:sz="4" w:space="0" w:color="auto"/>
            </w:tcBorders>
            <w:noWrap/>
            <w:vAlign w:val="center"/>
            <w:hideMark/>
          </w:tcPr>
          <w:p w14:paraId="48AD5D95" w14:textId="07803B72" w:rsidR="00FE07AE" w:rsidRPr="00964F64" w:rsidRDefault="00FE07AE" w:rsidP="00195773">
            <w:pPr>
              <w:rPr>
                <w:rFonts w:ascii="Arial" w:hAnsi="Arial" w:cs="Arial"/>
                <w:b/>
                <w:bCs/>
                <w:color w:val="000000"/>
                <w:sz w:val="22"/>
                <w:szCs w:val="22"/>
              </w:rPr>
            </w:pPr>
          </w:p>
        </w:tc>
        <w:tc>
          <w:tcPr>
            <w:tcW w:w="1110" w:type="dxa"/>
            <w:tcBorders>
              <w:top w:val="nil"/>
              <w:left w:val="single" w:sz="4" w:space="0" w:color="auto"/>
              <w:bottom w:val="nil"/>
              <w:right w:val="nil"/>
            </w:tcBorders>
            <w:shd w:val="clear" w:color="auto" w:fill="EAF1DD" w:themeFill="accent3" w:themeFillTint="33"/>
            <w:vAlign w:val="bottom"/>
            <w:hideMark/>
          </w:tcPr>
          <w:p w14:paraId="3DEBF193"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Assets</w:t>
            </w:r>
          </w:p>
        </w:tc>
        <w:tc>
          <w:tcPr>
            <w:tcW w:w="1536" w:type="dxa"/>
            <w:tcBorders>
              <w:top w:val="nil"/>
              <w:left w:val="nil"/>
              <w:bottom w:val="nil"/>
              <w:right w:val="nil"/>
            </w:tcBorders>
            <w:shd w:val="clear" w:color="auto" w:fill="EAF1DD" w:themeFill="accent3" w:themeFillTint="33"/>
            <w:vAlign w:val="bottom"/>
            <w:hideMark/>
          </w:tcPr>
          <w:p w14:paraId="1F9F6314"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Obligations</w:t>
            </w:r>
          </w:p>
        </w:tc>
        <w:tc>
          <w:tcPr>
            <w:tcW w:w="1270" w:type="dxa"/>
            <w:tcBorders>
              <w:top w:val="nil"/>
              <w:left w:val="nil"/>
              <w:bottom w:val="nil"/>
              <w:right w:val="single" w:sz="8" w:space="0" w:color="auto"/>
            </w:tcBorders>
            <w:shd w:val="clear" w:color="auto" w:fill="EAF1DD" w:themeFill="accent3" w:themeFillTint="33"/>
            <w:vAlign w:val="bottom"/>
            <w:hideMark/>
          </w:tcPr>
          <w:p w14:paraId="40A8C577"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Net (liability)/ asset</w:t>
            </w:r>
          </w:p>
        </w:tc>
        <w:tc>
          <w:tcPr>
            <w:tcW w:w="1084" w:type="dxa"/>
            <w:tcBorders>
              <w:top w:val="nil"/>
              <w:left w:val="nil"/>
              <w:bottom w:val="nil"/>
              <w:right w:val="nil"/>
            </w:tcBorders>
            <w:vAlign w:val="bottom"/>
            <w:hideMark/>
          </w:tcPr>
          <w:p w14:paraId="25AC3FD9"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Assets</w:t>
            </w:r>
          </w:p>
        </w:tc>
        <w:tc>
          <w:tcPr>
            <w:tcW w:w="1536" w:type="dxa"/>
            <w:tcBorders>
              <w:top w:val="nil"/>
              <w:left w:val="nil"/>
              <w:bottom w:val="nil"/>
              <w:right w:val="nil"/>
            </w:tcBorders>
            <w:vAlign w:val="bottom"/>
            <w:hideMark/>
          </w:tcPr>
          <w:p w14:paraId="5C1A2499"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Obligations</w:t>
            </w:r>
          </w:p>
        </w:tc>
        <w:tc>
          <w:tcPr>
            <w:tcW w:w="1270" w:type="dxa"/>
            <w:tcBorders>
              <w:top w:val="nil"/>
              <w:left w:val="nil"/>
              <w:bottom w:val="nil"/>
              <w:right w:val="single" w:sz="8" w:space="0" w:color="auto"/>
            </w:tcBorders>
            <w:vAlign w:val="bottom"/>
            <w:hideMark/>
          </w:tcPr>
          <w:p w14:paraId="71FAE755"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Net (liability)/ asset</w:t>
            </w:r>
          </w:p>
        </w:tc>
      </w:tr>
      <w:tr w:rsidR="000224BB" w:rsidRPr="00E26D69" w14:paraId="5AEBC360" w14:textId="77777777" w:rsidTr="0054335C">
        <w:trPr>
          <w:trHeight w:val="397"/>
        </w:trPr>
        <w:tc>
          <w:tcPr>
            <w:tcW w:w="3545" w:type="dxa"/>
            <w:vMerge/>
            <w:tcBorders>
              <w:left w:val="single" w:sz="4" w:space="0" w:color="auto"/>
              <w:bottom w:val="single" w:sz="4" w:space="0" w:color="auto"/>
            </w:tcBorders>
            <w:vAlign w:val="center"/>
            <w:hideMark/>
          </w:tcPr>
          <w:p w14:paraId="5719555C" w14:textId="4D33C708" w:rsidR="00FE07AE" w:rsidRPr="00964F64" w:rsidRDefault="00FE07AE" w:rsidP="00195773">
            <w:pPr>
              <w:rPr>
                <w:rFonts w:ascii="Arial" w:hAnsi="Arial" w:cs="Arial"/>
                <w:b/>
                <w:bCs/>
                <w:color w:val="000000"/>
                <w:sz w:val="22"/>
                <w:szCs w:val="22"/>
              </w:rPr>
            </w:pPr>
          </w:p>
        </w:tc>
        <w:tc>
          <w:tcPr>
            <w:tcW w:w="1110" w:type="dxa"/>
            <w:tcBorders>
              <w:top w:val="nil"/>
              <w:left w:val="single" w:sz="4" w:space="0" w:color="auto"/>
              <w:bottom w:val="single" w:sz="8" w:space="0" w:color="auto"/>
              <w:right w:val="nil"/>
            </w:tcBorders>
            <w:shd w:val="clear" w:color="auto" w:fill="EAF1DD" w:themeFill="accent3" w:themeFillTint="33"/>
            <w:vAlign w:val="bottom"/>
            <w:hideMark/>
          </w:tcPr>
          <w:p w14:paraId="01EC94D3"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£'000</w:t>
            </w:r>
          </w:p>
        </w:tc>
        <w:tc>
          <w:tcPr>
            <w:tcW w:w="1536" w:type="dxa"/>
            <w:tcBorders>
              <w:top w:val="nil"/>
              <w:left w:val="nil"/>
              <w:bottom w:val="single" w:sz="8" w:space="0" w:color="auto"/>
              <w:right w:val="nil"/>
            </w:tcBorders>
            <w:shd w:val="clear" w:color="auto" w:fill="EAF1DD" w:themeFill="accent3" w:themeFillTint="33"/>
            <w:vAlign w:val="bottom"/>
            <w:hideMark/>
          </w:tcPr>
          <w:p w14:paraId="6C16136E"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£'000</w:t>
            </w:r>
          </w:p>
        </w:tc>
        <w:tc>
          <w:tcPr>
            <w:tcW w:w="1270" w:type="dxa"/>
            <w:tcBorders>
              <w:top w:val="nil"/>
              <w:left w:val="nil"/>
              <w:bottom w:val="single" w:sz="8" w:space="0" w:color="auto"/>
              <w:right w:val="single" w:sz="8" w:space="0" w:color="auto"/>
            </w:tcBorders>
            <w:shd w:val="clear" w:color="auto" w:fill="EAF1DD" w:themeFill="accent3" w:themeFillTint="33"/>
            <w:vAlign w:val="bottom"/>
            <w:hideMark/>
          </w:tcPr>
          <w:p w14:paraId="25F44652" w14:textId="77777777" w:rsidR="00FE07AE" w:rsidRPr="00964F64" w:rsidRDefault="00FE07AE" w:rsidP="009A2E5E">
            <w:pPr>
              <w:jc w:val="center"/>
              <w:rPr>
                <w:rFonts w:ascii="Arial" w:hAnsi="Arial" w:cs="Arial"/>
                <w:b/>
                <w:bCs/>
                <w:color w:val="000000"/>
                <w:sz w:val="22"/>
                <w:szCs w:val="22"/>
              </w:rPr>
            </w:pPr>
            <w:r w:rsidRPr="00964F64">
              <w:rPr>
                <w:rFonts w:ascii="Arial" w:hAnsi="Arial" w:cs="Arial"/>
                <w:b/>
                <w:bCs/>
                <w:color w:val="000000"/>
                <w:sz w:val="22"/>
                <w:szCs w:val="22"/>
              </w:rPr>
              <w:t>£'000</w:t>
            </w:r>
          </w:p>
        </w:tc>
        <w:tc>
          <w:tcPr>
            <w:tcW w:w="1084" w:type="dxa"/>
            <w:tcBorders>
              <w:top w:val="nil"/>
              <w:left w:val="nil"/>
              <w:bottom w:val="single" w:sz="8" w:space="0" w:color="auto"/>
              <w:right w:val="nil"/>
            </w:tcBorders>
            <w:vAlign w:val="bottom"/>
            <w:hideMark/>
          </w:tcPr>
          <w:p w14:paraId="273A7CCD"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£'000</w:t>
            </w:r>
          </w:p>
        </w:tc>
        <w:tc>
          <w:tcPr>
            <w:tcW w:w="1536" w:type="dxa"/>
            <w:tcBorders>
              <w:top w:val="nil"/>
              <w:left w:val="nil"/>
              <w:bottom w:val="single" w:sz="8" w:space="0" w:color="auto"/>
              <w:right w:val="nil"/>
            </w:tcBorders>
            <w:vAlign w:val="bottom"/>
            <w:hideMark/>
          </w:tcPr>
          <w:p w14:paraId="09D2831E"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£'000</w:t>
            </w:r>
          </w:p>
        </w:tc>
        <w:tc>
          <w:tcPr>
            <w:tcW w:w="1270" w:type="dxa"/>
            <w:tcBorders>
              <w:top w:val="nil"/>
              <w:left w:val="nil"/>
              <w:bottom w:val="single" w:sz="8" w:space="0" w:color="auto"/>
              <w:right w:val="single" w:sz="8" w:space="0" w:color="auto"/>
            </w:tcBorders>
            <w:vAlign w:val="bottom"/>
            <w:hideMark/>
          </w:tcPr>
          <w:p w14:paraId="6BFCC3AD" w14:textId="77777777" w:rsidR="00FE07AE" w:rsidRPr="00964F64" w:rsidRDefault="00FE07AE" w:rsidP="00E03A12">
            <w:pPr>
              <w:jc w:val="center"/>
              <w:rPr>
                <w:rFonts w:ascii="Arial" w:hAnsi="Arial" w:cs="Arial"/>
                <w:b/>
                <w:bCs/>
                <w:color w:val="000000"/>
                <w:sz w:val="22"/>
                <w:szCs w:val="22"/>
              </w:rPr>
            </w:pPr>
            <w:r w:rsidRPr="00964F64">
              <w:rPr>
                <w:rFonts w:ascii="Arial" w:hAnsi="Arial" w:cs="Arial"/>
                <w:b/>
                <w:bCs/>
                <w:color w:val="000000"/>
                <w:sz w:val="22"/>
                <w:szCs w:val="22"/>
              </w:rPr>
              <w:t>£'000</w:t>
            </w:r>
          </w:p>
        </w:tc>
      </w:tr>
      <w:tr w:rsidR="000224BB" w:rsidRPr="00E26D69" w14:paraId="06BD25CA" w14:textId="77777777" w:rsidTr="0054335C">
        <w:trPr>
          <w:trHeight w:val="369"/>
        </w:trPr>
        <w:tc>
          <w:tcPr>
            <w:tcW w:w="3545" w:type="dxa"/>
            <w:tcBorders>
              <w:top w:val="single" w:sz="4" w:space="0" w:color="auto"/>
              <w:left w:val="single" w:sz="8" w:space="0" w:color="auto"/>
              <w:bottom w:val="nil"/>
              <w:right w:val="single" w:sz="8" w:space="0" w:color="auto"/>
            </w:tcBorders>
            <w:vAlign w:val="bottom"/>
            <w:hideMark/>
          </w:tcPr>
          <w:p w14:paraId="21B319B6"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Fair value of employer assets</w:t>
            </w:r>
          </w:p>
        </w:tc>
        <w:tc>
          <w:tcPr>
            <w:tcW w:w="1110" w:type="dxa"/>
            <w:tcBorders>
              <w:top w:val="nil"/>
              <w:left w:val="nil"/>
              <w:bottom w:val="nil"/>
              <w:right w:val="nil"/>
            </w:tcBorders>
            <w:shd w:val="clear" w:color="auto" w:fill="EAF1DD" w:themeFill="accent3" w:themeFillTint="33"/>
            <w:vAlign w:val="bottom"/>
          </w:tcPr>
          <w:p w14:paraId="6EEE1ACE" w14:textId="37CA8835"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370,455</w:t>
            </w:r>
          </w:p>
        </w:tc>
        <w:tc>
          <w:tcPr>
            <w:tcW w:w="1536" w:type="dxa"/>
            <w:tcBorders>
              <w:top w:val="nil"/>
              <w:left w:val="nil"/>
              <w:bottom w:val="nil"/>
              <w:right w:val="nil"/>
            </w:tcBorders>
            <w:shd w:val="clear" w:color="auto" w:fill="EAF1DD" w:themeFill="accent3" w:themeFillTint="33"/>
            <w:vAlign w:val="bottom"/>
          </w:tcPr>
          <w:p w14:paraId="3F8739D0" w14:textId="59C482D8"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41C1A679" w14:textId="5BEB95F8"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370,455</w:t>
            </w:r>
          </w:p>
        </w:tc>
        <w:tc>
          <w:tcPr>
            <w:tcW w:w="1084" w:type="dxa"/>
            <w:tcBorders>
              <w:top w:val="nil"/>
              <w:left w:val="nil"/>
              <w:bottom w:val="nil"/>
              <w:right w:val="nil"/>
            </w:tcBorders>
            <w:vAlign w:val="bottom"/>
            <w:hideMark/>
          </w:tcPr>
          <w:p w14:paraId="3D1C357E" w14:textId="148A0E19"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300,568</w:t>
            </w:r>
          </w:p>
        </w:tc>
        <w:tc>
          <w:tcPr>
            <w:tcW w:w="1536" w:type="dxa"/>
            <w:tcBorders>
              <w:top w:val="nil"/>
              <w:left w:val="nil"/>
              <w:bottom w:val="nil"/>
              <w:right w:val="nil"/>
            </w:tcBorders>
            <w:vAlign w:val="bottom"/>
            <w:hideMark/>
          </w:tcPr>
          <w:p w14:paraId="7E3CEBD3" w14:textId="606F1FDC"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nil"/>
              <w:right w:val="single" w:sz="8" w:space="0" w:color="auto"/>
            </w:tcBorders>
            <w:vAlign w:val="bottom"/>
            <w:hideMark/>
          </w:tcPr>
          <w:p w14:paraId="023001AE" w14:textId="2D166A90"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300,568</w:t>
            </w:r>
          </w:p>
        </w:tc>
      </w:tr>
      <w:tr w:rsidR="000224BB" w:rsidRPr="00E26D69" w14:paraId="01F67693" w14:textId="77777777" w:rsidTr="0054335C">
        <w:trPr>
          <w:trHeight w:val="369"/>
        </w:trPr>
        <w:tc>
          <w:tcPr>
            <w:tcW w:w="3545" w:type="dxa"/>
            <w:tcBorders>
              <w:top w:val="nil"/>
              <w:left w:val="single" w:sz="8" w:space="0" w:color="auto"/>
              <w:bottom w:val="single" w:sz="8" w:space="0" w:color="auto"/>
              <w:right w:val="single" w:sz="8" w:space="0" w:color="auto"/>
            </w:tcBorders>
            <w:vAlign w:val="bottom"/>
            <w:hideMark/>
          </w:tcPr>
          <w:p w14:paraId="215F64FE"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Present value of funded liabilities</w:t>
            </w:r>
          </w:p>
        </w:tc>
        <w:tc>
          <w:tcPr>
            <w:tcW w:w="1110" w:type="dxa"/>
            <w:tcBorders>
              <w:top w:val="nil"/>
              <w:left w:val="nil"/>
              <w:bottom w:val="single" w:sz="8" w:space="0" w:color="auto"/>
              <w:right w:val="nil"/>
            </w:tcBorders>
            <w:shd w:val="clear" w:color="auto" w:fill="EAF1DD" w:themeFill="accent3" w:themeFillTint="33"/>
            <w:vAlign w:val="bottom"/>
          </w:tcPr>
          <w:p w14:paraId="63B22DFE" w14:textId="6F8D2237"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single" w:sz="8" w:space="0" w:color="auto"/>
              <w:right w:val="nil"/>
            </w:tcBorders>
            <w:shd w:val="clear" w:color="auto" w:fill="EAF1DD" w:themeFill="accent3" w:themeFillTint="33"/>
            <w:vAlign w:val="bottom"/>
          </w:tcPr>
          <w:p w14:paraId="459B500A" w14:textId="0CEC2141"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(560,109)</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725A5ADC" w14:textId="0082A598" w:rsidR="00A10103" w:rsidRPr="00FA0C28" w:rsidRDefault="00FF4091" w:rsidP="00A10103">
            <w:pPr>
              <w:jc w:val="center"/>
              <w:rPr>
                <w:rFonts w:ascii="Arial" w:hAnsi="Arial" w:cs="Arial"/>
                <w:color w:val="000000"/>
                <w:sz w:val="22"/>
                <w:szCs w:val="22"/>
              </w:rPr>
            </w:pPr>
            <w:r>
              <w:rPr>
                <w:rFonts w:ascii="Arial" w:hAnsi="Arial" w:cs="Arial"/>
                <w:color w:val="000000"/>
                <w:sz w:val="22"/>
                <w:szCs w:val="22"/>
              </w:rPr>
              <w:t>(560,109)</w:t>
            </w:r>
          </w:p>
        </w:tc>
        <w:tc>
          <w:tcPr>
            <w:tcW w:w="1084" w:type="dxa"/>
            <w:tcBorders>
              <w:top w:val="nil"/>
              <w:left w:val="nil"/>
              <w:bottom w:val="single" w:sz="8" w:space="0" w:color="auto"/>
              <w:right w:val="nil"/>
            </w:tcBorders>
            <w:vAlign w:val="bottom"/>
            <w:hideMark/>
          </w:tcPr>
          <w:p w14:paraId="0F5C91DA" w14:textId="16BC13C8"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single" w:sz="8" w:space="0" w:color="auto"/>
              <w:right w:val="nil"/>
            </w:tcBorders>
            <w:vAlign w:val="bottom"/>
            <w:hideMark/>
          </w:tcPr>
          <w:p w14:paraId="6D540945" w14:textId="30730986"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(417,374)</w:t>
            </w:r>
          </w:p>
        </w:tc>
        <w:tc>
          <w:tcPr>
            <w:tcW w:w="1270" w:type="dxa"/>
            <w:tcBorders>
              <w:top w:val="nil"/>
              <w:left w:val="nil"/>
              <w:bottom w:val="single" w:sz="8" w:space="0" w:color="auto"/>
              <w:right w:val="single" w:sz="8" w:space="0" w:color="auto"/>
            </w:tcBorders>
            <w:vAlign w:val="bottom"/>
            <w:hideMark/>
          </w:tcPr>
          <w:p w14:paraId="4BF49B4B" w14:textId="06FDD707"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(417,374)</w:t>
            </w:r>
          </w:p>
        </w:tc>
      </w:tr>
      <w:tr w:rsidR="000224BB" w:rsidRPr="00E26D69" w14:paraId="6887A9F3" w14:textId="77777777" w:rsidTr="0054335C">
        <w:trPr>
          <w:trHeight w:val="369"/>
        </w:trPr>
        <w:tc>
          <w:tcPr>
            <w:tcW w:w="3545" w:type="dxa"/>
            <w:tcBorders>
              <w:top w:val="nil"/>
              <w:left w:val="single" w:sz="8" w:space="0" w:color="auto"/>
              <w:bottom w:val="single" w:sz="8" w:space="0" w:color="auto"/>
              <w:right w:val="single" w:sz="8" w:space="0" w:color="auto"/>
            </w:tcBorders>
            <w:vAlign w:val="bottom"/>
            <w:hideMark/>
          </w:tcPr>
          <w:p w14:paraId="672F8F36" w14:textId="76E81EB2"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 xml:space="preserve">Opening position at 31 March </w:t>
            </w:r>
          </w:p>
        </w:tc>
        <w:tc>
          <w:tcPr>
            <w:tcW w:w="1110" w:type="dxa"/>
            <w:tcBorders>
              <w:top w:val="single" w:sz="8" w:space="0" w:color="auto"/>
              <w:left w:val="nil"/>
              <w:bottom w:val="single" w:sz="8" w:space="0" w:color="auto"/>
              <w:right w:val="nil"/>
            </w:tcBorders>
            <w:shd w:val="clear" w:color="auto" w:fill="EAF1DD" w:themeFill="accent3" w:themeFillTint="33"/>
            <w:vAlign w:val="bottom"/>
          </w:tcPr>
          <w:p w14:paraId="2695F219" w14:textId="7EB7DE2B" w:rsidR="00A10103" w:rsidRPr="00FA0C28" w:rsidRDefault="00690EEB" w:rsidP="00A10103">
            <w:pPr>
              <w:jc w:val="center"/>
              <w:rPr>
                <w:rFonts w:ascii="Arial" w:hAnsi="Arial" w:cs="Arial"/>
                <w:b/>
                <w:bCs/>
                <w:color w:val="000000"/>
                <w:sz w:val="22"/>
                <w:szCs w:val="22"/>
              </w:rPr>
            </w:pPr>
            <w:r>
              <w:rPr>
                <w:rFonts w:ascii="Arial" w:hAnsi="Arial" w:cs="Arial"/>
                <w:b/>
                <w:bCs/>
                <w:color w:val="000000"/>
                <w:sz w:val="22"/>
                <w:szCs w:val="22"/>
              </w:rPr>
              <w:t>370,455</w:t>
            </w:r>
          </w:p>
        </w:tc>
        <w:tc>
          <w:tcPr>
            <w:tcW w:w="1536" w:type="dxa"/>
            <w:tcBorders>
              <w:top w:val="single" w:sz="8" w:space="0" w:color="auto"/>
              <w:left w:val="nil"/>
              <w:bottom w:val="single" w:sz="8" w:space="0" w:color="auto"/>
              <w:right w:val="nil"/>
            </w:tcBorders>
            <w:shd w:val="clear" w:color="auto" w:fill="EAF1DD" w:themeFill="accent3" w:themeFillTint="33"/>
            <w:vAlign w:val="bottom"/>
          </w:tcPr>
          <w:p w14:paraId="61756DA4" w14:textId="1F5C005B" w:rsidR="00A10103" w:rsidRPr="00FA0C28" w:rsidRDefault="00690EEB" w:rsidP="00A10103">
            <w:pPr>
              <w:jc w:val="center"/>
              <w:rPr>
                <w:rFonts w:ascii="Arial" w:hAnsi="Arial" w:cs="Arial"/>
                <w:b/>
                <w:bCs/>
                <w:color w:val="000000"/>
                <w:sz w:val="22"/>
                <w:szCs w:val="22"/>
              </w:rPr>
            </w:pPr>
            <w:r>
              <w:rPr>
                <w:rFonts w:ascii="Arial" w:hAnsi="Arial" w:cs="Arial"/>
                <w:b/>
                <w:bCs/>
                <w:color w:val="000000"/>
                <w:sz w:val="22"/>
                <w:szCs w:val="22"/>
              </w:rPr>
              <w:t>(560,109)</w:t>
            </w:r>
          </w:p>
        </w:tc>
        <w:tc>
          <w:tcPr>
            <w:tcW w:w="1270" w:type="dxa"/>
            <w:tcBorders>
              <w:top w:val="single" w:sz="8" w:space="0" w:color="auto"/>
              <w:left w:val="nil"/>
              <w:bottom w:val="single" w:sz="8" w:space="0" w:color="auto"/>
              <w:right w:val="single" w:sz="4" w:space="0" w:color="auto"/>
            </w:tcBorders>
            <w:shd w:val="clear" w:color="auto" w:fill="EAF1DD" w:themeFill="accent3" w:themeFillTint="33"/>
            <w:vAlign w:val="bottom"/>
          </w:tcPr>
          <w:p w14:paraId="70FC0E22" w14:textId="2DF8A2EB" w:rsidR="00A10103" w:rsidRPr="00FA0C28" w:rsidRDefault="00690EEB" w:rsidP="00A10103">
            <w:pPr>
              <w:jc w:val="center"/>
              <w:rPr>
                <w:rFonts w:ascii="Arial" w:hAnsi="Arial" w:cs="Arial"/>
                <w:b/>
                <w:bCs/>
                <w:color w:val="000000"/>
                <w:sz w:val="22"/>
                <w:szCs w:val="22"/>
              </w:rPr>
            </w:pPr>
            <w:r>
              <w:rPr>
                <w:rFonts w:ascii="Arial" w:hAnsi="Arial" w:cs="Arial"/>
                <w:b/>
                <w:bCs/>
                <w:color w:val="000000"/>
                <w:sz w:val="22"/>
                <w:szCs w:val="22"/>
              </w:rPr>
              <w:t>(189,654)</w:t>
            </w:r>
          </w:p>
        </w:tc>
        <w:tc>
          <w:tcPr>
            <w:tcW w:w="1084" w:type="dxa"/>
            <w:tcBorders>
              <w:top w:val="single" w:sz="8" w:space="0" w:color="auto"/>
              <w:left w:val="nil"/>
              <w:bottom w:val="single" w:sz="8" w:space="0" w:color="auto"/>
              <w:right w:val="nil"/>
            </w:tcBorders>
            <w:vAlign w:val="bottom"/>
            <w:hideMark/>
          </w:tcPr>
          <w:p w14:paraId="10B71B3A" w14:textId="495B4C0E"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300,568</w:t>
            </w:r>
          </w:p>
        </w:tc>
        <w:tc>
          <w:tcPr>
            <w:tcW w:w="1536" w:type="dxa"/>
            <w:tcBorders>
              <w:top w:val="single" w:sz="8" w:space="0" w:color="auto"/>
              <w:left w:val="nil"/>
              <w:bottom w:val="single" w:sz="8" w:space="0" w:color="auto"/>
              <w:right w:val="nil"/>
            </w:tcBorders>
            <w:vAlign w:val="bottom"/>
            <w:hideMark/>
          </w:tcPr>
          <w:p w14:paraId="5B9C30B3" w14:textId="5B6BEABC"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(417,374)</w:t>
            </w:r>
          </w:p>
        </w:tc>
        <w:tc>
          <w:tcPr>
            <w:tcW w:w="1270" w:type="dxa"/>
            <w:tcBorders>
              <w:top w:val="single" w:sz="8" w:space="0" w:color="auto"/>
              <w:left w:val="nil"/>
              <w:bottom w:val="single" w:sz="8" w:space="0" w:color="auto"/>
              <w:right w:val="single" w:sz="4" w:space="0" w:color="auto"/>
            </w:tcBorders>
            <w:vAlign w:val="bottom"/>
            <w:hideMark/>
          </w:tcPr>
          <w:p w14:paraId="12051873" w14:textId="1A17AFDB"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(116,806)</w:t>
            </w:r>
          </w:p>
        </w:tc>
      </w:tr>
      <w:tr w:rsidR="000224BB" w:rsidRPr="00E26D69" w14:paraId="12231D07" w14:textId="77777777" w:rsidTr="0054335C">
        <w:trPr>
          <w:trHeight w:val="369"/>
        </w:trPr>
        <w:tc>
          <w:tcPr>
            <w:tcW w:w="3545" w:type="dxa"/>
            <w:tcBorders>
              <w:top w:val="nil"/>
              <w:left w:val="single" w:sz="8" w:space="0" w:color="auto"/>
              <w:bottom w:val="nil"/>
              <w:right w:val="single" w:sz="8" w:space="0" w:color="auto"/>
            </w:tcBorders>
            <w:vAlign w:val="bottom"/>
            <w:hideMark/>
          </w:tcPr>
          <w:p w14:paraId="378FB5A1"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Service cost</w:t>
            </w:r>
          </w:p>
        </w:tc>
        <w:tc>
          <w:tcPr>
            <w:tcW w:w="1110" w:type="dxa"/>
            <w:tcBorders>
              <w:top w:val="nil"/>
              <w:left w:val="nil"/>
              <w:bottom w:val="nil"/>
              <w:right w:val="nil"/>
            </w:tcBorders>
            <w:shd w:val="clear" w:color="auto" w:fill="EAF1DD" w:themeFill="accent3" w:themeFillTint="33"/>
            <w:vAlign w:val="bottom"/>
          </w:tcPr>
          <w:p w14:paraId="1F37BFFA" w14:textId="14ACDAA6"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shd w:val="clear" w:color="auto" w:fill="EAF1DD" w:themeFill="accent3" w:themeFillTint="33"/>
            <w:vAlign w:val="bottom"/>
          </w:tcPr>
          <w:p w14:paraId="38CC8F2C" w14:textId="464CD3CB" w:rsidR="00A10103" w:rsidRPr="00FA0C28" w:rsidRDefault="00A10103" w:rsidP="00A10103">
            <w:pPr>
              <w:jc w:val="center"/>
              <w:rPr>
                <w:rFonts w:ascii="Arial" w:hAnsi="Arial" w:cs="Arial"/>
                <w:b/>
                <w:bCs/>
                <w:color w:val="000000"/>
                <w:sz w:val="22"/>
                <w:szCs w:val="22"/>
              </w:rPr>
            </w:pPr>
          </w:p>
        </w:tc>
        <w:tc>
          <w:tcPr>
            <w:tcW w:w="1270" w:type="dxa"/>
            <w:tcBorders>
              <w:top w:val="nil"/>
              <w:left w:val="nil"/>
              <w:bottom w:val="nil"/>
              <w:right w:val="single" w:sz="8" w:space="0" w:color="auto"/>
            </w:tcBorders>
            <w:shd w:val="clear" w:color="auto" w:fill="EAF1DD" w:themeFill="accent3" w:themeFillTint="33"/>
            <w:vAlign w:val="bottom"/>
          </w:tcPr>
          <w:p w14:paraId="1A9D4B0D" w14:textId="0C65E326" w:rsidR="00A10103" w:rsidRPr="00FA0C28" w:rsidRDefault="00A10103" w:rsidP="00A10103">
            <w:pPr>
              <w:jc w:val="center"/>
              <w:rPr>
                <w:rFonts w:ascii="Arial" w:hAnsi="Arial" w:cs="Arial"/>
                <w:b/>
                <w:bCs/>
                <w:color w:val="000000"/>
                <w:sz w:val="22"/>
                <w:szCs w:val="22"/>
              </w:rPr>
            </w:pPr>
          </w:p>
        </w:tc>
        <w:tc>
          <w:tcPr>
            <w:tcW w:w="1084" w:type="dxa"/>
            <w:tcBorders>
              <w:top w:val="nil"/>
              <w:left w:val="nil"/>
              <w:bottom w:val="nil"/>
              <w:right w:val="nil"/>
            </w:tcBorders>
            <w:vAlign w:val="bottom"/>
            <w:hideMark/>
          </w:tcPr>
          <w:p w14:paraId="1F54F0D1" w14:textId="77777777"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vAlign w:val="bottom"/>
            <w:hideMark/>
          </w:tcPr>
          <w:p w14:paraId="18A73328" w14:textId="77777777" w:rsidR="00A10103" w:rsidRPr="00FA0C28" w:rsidRDefault="00A10103" w:rsidP="00A10103">
            <w:pPr>
              <w:jc w:val="center"/>
              <w:rPr>
                <w:rFonts w:ascii="Arial" w:hAnsi="Arial" w:cs="Arial"/>
                <w:sz w:val="22"/>
                <w:szCs w:val="22"/>
              </w:rPr>
            </w:pPr>
          </w:p>
        </w:tc>
        <w:tc>
          <w:tcPr>
            <w:tcW w:w="1270" w:type="dxa"/>
            <w:tcBorders>
              <w:top w:val="nil"/>
              <w:left w:val="nil"/>
              <w:bottom w:val="nil"/>
              <w:right w:val="single" w:sz="8" w:space="0" w:color="auto"/>
            </w:tcBorders>
            <w:vAlign w:val="bottom"/>
            <w:hideMark/>
          </w:tcPr>
          <w:p w14:paraId="616245F8" w14:textId="0ECBD0BB" w:rsidR="00A10103" w:rsidRPr="00FA0C28" w:rsidRDefault="00A10103" w:rsidP="00A10103">
            <w:pPr>
              <w:jc w:val="center"/>
              <w:rPr>
                <w:rFonts w:ascii="Arial" w:hAnsi="Arial" w:cs="Arial"/>
                <w:b/>
                <w:bCs/>
                <w:color w:val="000000"/>
                <w:sz w:val="22"/>
                <w:szCs w:val="22"/>
              </w:rPr>
            </w:pPr>
          </w:p>
        </w:tc>
      </w:tr>
      <w:tr w:rsidR="000224BB" w:rsidRPr="00E26D69" w14:paraId="7258D919" w14:textId="77777777" w:rsidTr="0054335C">
        <w:trPr>
          <w:trHeight w:val="369"/>
        </w:trPr>
        <w:tc>
          <w:tcPr>
            <w:tcW w:w="3545" w:type="dxa"/>
            <w:tcBorders>
              <w:top w:val="nil"/>
              <w:left w:val="single" w:sz="8" w:space="0" w:color="auto"/>
              <w:bottom w:val="nil"/>
              <w:right w:val="single" w:sz="8" w:space="0" w:color="auto"/>
            </w:tcBorders>
            <w:vAlign w:val="bottom"/>
            <w:hideMark/>
          </w:tcPr>
          <w:p w14:paraId="681D5887" w14:textId="77777777" w:rsidR="00A10103" w:rsidRPr="00FA0C28" w:rsidRDefault="00A10103" w:rsidP="00A10103">
            <w:pPr>
              <w:rPr>
                <w:rFonts w:ascii="Arial" w:hAnsi="Arial" w:cs="Arial"/>
                <w:color w:val="0563C1"/>
                <w:sz w:val="22"/>
                <w:szCs w:val="22"/>
              </w:rPr>
            </w:pPr>
            <w:r w:rsidRPr="00FA0C28">
              <w:rPr>
                <w:rFonts w:ascii="Arial" w:hAnsi="Arial" w:cs="Arial"/>
                <w:sz w:val="22"/>
                <w:szCs w:val="22"/>
              </w:rPr>
              <w:footnoteReference w:customMarkFollows="1" w:id="20"/>
              <w:t>Current service cost</w:t>
            </w:r>
            <w:r w:rsidRPr="00FA0C28">
              <w:rPr>
                <w:rFonts w:ascii="Arial" w:hAnsi="Arial" w:cs="Arial"/>
                <w:sz w:val="22"/>
                <w:szCs w:val="22"/>
                <w:vertAlign w:val="superscript"/>
              </w:rPr>
              <w:footnoteReference w:id="21"/>
            </w:r>
          </w:p>
        </w:tc>
        <w:tc>
          <w:tcPr>
            <w:tcW w:w="1110" w:type="dxa"/>
            <w:tcBorders>
              <w:top w:val="nil"/>
              <w:left w:val="nil"/>
              <w:bottom w:val="nil"/>
              <w:right w:val="nil"/>
            </w:tcBorders>
            <w:shd w:val="clear" w:color="auto" w:fill="EAF1DD" w:themeFill="accent3" w:themeFillTint="33"/>
            <w:vAlign w:val="bottom"/>
          </w:tcPr>
          <w:p w14:paraId="48DA1BB8" w14:textId="612FF44D" w:rsidR="00A10103" w:rsidRPr="00FA0C28" w:rsidRDefault="00690EEB"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7266322A" w14:textId="66A8DF6E" w:rsidR="00A10103" w:rsidRPr="00FA0C28" w:rsidRDefault="00C42058" w:rsidP="00A10103">
            <w:pPr>
              <w:jc w:val="center"/>
              <w:rPr>
                <w:rFonts w:ascii="Arial" w:hAnsi="Arial" w:cs="Arial"/>
                <w:color w:val="000000"/>
                <w:sz w:val="22"/>
                <w:szCs w:val="22"/>
              </w:rPr>
            </w:pPr>
            <w:r>
              <w:rPr>
                <w:rFonts w:ascii="Arial" w:hAnsi="Arial" w:cs="Arial"/>
                <w:color w:val="000000"/>
                <w:sz w:val="22"/>
                <w:szCs w:val="22"/>
              </w:rPr>
              <w:t>(</w:t>
            </w:r>
            <w:r w:rsidR="00690EEB">
              <w:rPr>
                <w:rFonts w:ascii="Arial" w:hAnsi="Arial" w:cs="Arial"/>
                <w:color w:val="000000"/>
                <w:sz w:val="22"/>
                <w:szCs w:val="22"/>
              </w:rPr>
              <w:t>25,313</w:t>
            </w:r>
            <w:r>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559F6AAB" w14:textId="3A5F0AC4" w:rsidR="00A10103" w:rsidRPr="00FA0C28" w:rsidRDefault="00C42058" w:rsidP="00A10103">
            <w:pPr>
              <w:jc w:val="center"/>
              <w:rPr>
                <w:rFonts w:ascii="Arial" w:hAnsi="Arial" w:cs="Arial"/>
                <w:color w:val="000000"/>
                <w:sz w:val="22"/>
                <w:szCs w:val="22"/>
              </w:rPr>
            </w:pPr>
            <w:r>
              <w:rPr>
                <w:rFonts w:ascii="Arial" w:hAnsi="Arial" w:cs="Arial"/>
                <w:color w:val="000000"/>
                <w:sz w:val="22"/>
                <w:szCs w:val="22"/>
              </w:rPr>
              <w:t>(25,313)</w:t>
            </w:r>
          </w:p>
        </w:tc>
        <w:tc>
          <w:tcPr>
            <w:tcW w:w="1084" w:type="dxa"/>
            <w:tcBorders>
              <w:top w:val="nil"/>
              <w:left w:val="nil"/>
              <w:bottom w:val="nil"/>
              <w:right w:val="nil"/>
            </w:tcBorders>
            <w:vAlign w:val="bottom"/>
            <w:hideMark/>
          </w:tcPr>
          <w:p w14:paraId="5FCC143C" w14:textId="458B69AB"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nil"/>
              <w:right w:val="nil"/>
            </w:tcBorders>
            <w:vAlign w:val="bottom"/>
            <w:hideMark/>
          </w:tcPr>
          <w:p w14:paraId="33313423" w14:textId="09A9713C"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(15,700)</w:t>
            </w:r>
          </w:p>
        </w:tc>
        <w:tc>
          <w:tcPr>
            <w:tcW w:w="1270" w:type="dxa"/>
            <w:tcBorders>
              <w:top w:val="nil"/>
              <w:left w:val="nil"/>
              <w:bottom w:val="nil"/>
              <w:right w:val="single" w:sz="8" w:space="0" w:color="auto"/>
            </w:tcBorders>
            <w:vAlign w:val="bottom"/>
            <w:hideMark/>
          </w:tcPr>
          <w:p w14:paraId="01AA039A" w14:textId="2A0B3A34"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(15,700)</w:t>
            </w:r>
          </w:p>
        </w:tc>
      </w:tr>
      <w:tr w:rsidR="000224BB" w:rsidRPr="00E26D69" w14:paraId="023EBE59" w14:textId="77777777" w:rsidTr="0054335C">
        <w:trPr>
          <w:trHeight w:val="369"/>
        </w:trPr>
        <w:tc>
          <w:tcPr>
            <w:tcW w:w="3545" w:type="dxa"/>
            <w:tcBorders>
              <w:top w:val="nil"/>
              <w:left w:val="single" w:sz="8" w:space="0" w:color="auto"/>
              <w:bottom w:val="nil"/>
              <w:right w:val="single" w:sz="8" w:space="0" w:color="auto"/>
            </w:tcBorders>
            <w:vAlign w:val="bottom"/>
            <w:hideMark/>
          </w:tcPr>
          <w:p w14:paraId="558D9017" w14:textId="49CD019F"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 xml:space="preserve">Past </w:t>
            </w:r>
            <w:r>
              <w:rPr>
                <w:rFonts w:ascii="Arial" w:hAnsi="Arial" w:cs="Arial"/>
                <w:color w:val="000000"/>
                <w:sz w:val="22"/>
                <w:szCs w:val="22"/>
              </w:rPr>
              <w:t>s</w:t>
            </w:r>
            <w:r w:rsidRPr="00FA0C28">
              <w:rPr>
                <w:rFonts w:ascii="Arial" w:hAnsi="Arial" w:cs="Arial"/>
                <w:color w:val="000000"/>
                <w:sz w:val="22"/>
                <w:szCs w:val="22"/>
              </w:rPr>
              <w:t>ervice cost</w:t>
            </w:r>
          </w:p>
        </w:tc>
        <w:tc>
          <w:tcPr>
            <w:tcW w:w="1110" w:type="dxa"/>
            <w:tcBorders>
              <w:top w:val="nil"/>
              <w:left w:val="nil"/>
              <w:bottom w:val="nil"/>
              <w:right w:val="nil"/>
            </w:tcBorders>
            <w:shd w:val="clear" w:color="auto" w:fill="EAF1DD" w:themeFill="accent3" w:themeFillTint="33"/>
            <w:vAlign w:val="bottom"/>
          </w:tcPr>
          <w:p w14:paraId="32DD990C" w14:textId="00E1FD9C" w:rsidR="00A10103" w:rsidRPr="00FA0C28" w:rsidRDefault="00C42058"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7A454144" w14:textId="78CAFA99" w:rsidR="00A10103" w:rsidRPr="00FA0C28" w:rsidRDefault="00C42058"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4DE5BAB9" w14:textId="1DFCB0E1" w:rsidR="00A10103" w:rsidRPr="00FA0C28" w:rsidRDefault="00C42058" w:rsidP="00A10103">
            <w:pPr>
              <w:jc w:val="center"/>
              <w:rPr>
                <w:rFonts w:ascii="Arial" w:hAnsi="Arial" w:cs="Arial"/>
                <w:color w:val="000000"/>
                <w:sz w:val="22"/>
                <w:szCs w:val="22"/>
              </w:rPr>
            </w:pPr>
            <w:r>
              <w:rPr>
                <w:rFonts w:ascii="Arial" w:hAnsi="Arial" w:cs="Arial"/>
                <w:color w:val="000000"/>
                <w:sz w:val="22"/>
                <w:szCs w:val="22"/>
              </w:rPr>
              <w:t>-</w:t>
            </w:r>
          </w:p>
        </w:tc>
        <w:tc>
          <w:tcPr>
            <w:tcW w:w="1084" w:type="dxa"/>
            <w:tcBorders>
              <w:top w:val="nil"/>
              <w:left w:val="nil"/>
              <w:bottom w:val="nil"/>
              <w:right w:val="nil"/>
            </w:tcBorders>
            <w:vAlign w:val="bottom"/>
            <w:hideMark/>
          </w:tcPr>
          <w:p w14:paraId="01393024" w14:textId="1297CD25"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nil"/>
              <w:right w:val="nil"/>
            </w:tcBorders>
            <w:vAlign w:val="bottom"/>
            <w:hideMark/>
          </w:tcPr>
          <w:p w14:paraId="09F87BE5" w14:textId="47A6E059"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single" w:sz="8" w:space="0" w:color="auto"/>
              <w:right w:val="single" w:sz="8" w:space="0" w:color="auto"/>
            </w:tcBorders>
            <w:vAlign w:val="bottom"/>
            <w:hideMark/>
          </w:tcPr>
          <w:p w14:paraId="1CB5B71E" w14:textId="6E10E327"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r>
      <w:tr w:rsidR="000224BB" w:rsidRPr="00E26D69" w14:paraId="5CBF39E8" w14:textId="77777777" w:rsidTr="0054335C">
        <w:trPr>
          <w:trHeight w:val="369"/>
        </w:trPr>
        <w:tc>
          <w:tcPr>
            <w:tcW w:w="3545" w:type="dxa"/>
            <w:tcBorders>
              <w:top w:val="single" w:sz="8" w:space="0" w:color="auto"/>
              <w:left w:val="single" w:sz="8" w:space="0" w:color="auto"/>
              <w:bottom w:val="single" w:sz="8" w:space="0" w:color="auto"/>
              <w:right w:val="single" w:sz="8" w:space="0" w:color="auto"/>
            </w:tcBorders>
            <w:vAlign w:val="bottom"/>
            <w:hideMark/>
          </w:tcPr>
          <w:p w14:paraId="3C192041"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Total service cost</w:t>
            </w:r>
          </w:p>
        </w:tc>
        <w:tc>
          <w:tcPr>
            <w:tcW w:w="1110" w:type="dxa"/>
            <w:tcBorders>
              <w:top w:val="single" w:sz="8" w:space="0" w:color="auto"/>
              <w:left w:val="nil"/>
              <w:bottom w:val="single" w:sz="8" w:space="0" w:color="auto"/>
              <w:right w:val="nil"/>
            </w:tcBorders>
            <w:shd w:val="clear" w:color="auto" w:fill="EAF1DD" w:themeFill="accent3" w:themeFillTint="33"/>
            <w:vAlign w:val="bottom"/>
          </w:tcPr>
          <w:p w14:paraId="2AF73D7D" w14:textId="021A58F8" w:rsidR="00A10103" w:rsidRPr="00FA0C28" w:rsidRDefault="00C42058" w:rsidP="00A10103">
            <w:pPr>
              <w:jc w:val="center"/>
              <w:rPr>
                <w:rFonts w:ascii="Arial" w:hAnsi="Arial" w:cs="Arial"/>
                <w:b/>
                <w:bCs/>
                <w:color w:val="000000"/>
                <w:sz w:val="22"/>
                <w:szCs w:val="22"/>
              </w:rPr>
            </w:pPr>
            <w:r>
              <w:rPr>
                <w:rFonts w:ascii="Arial" w:hAnsi="Arial" w:cs="Arial"/>
                <w:b/>
                <w:bCs/>
                <w:color w:val="000000"/>
                <w:sz w:val="22"/>
                <w:szCs w:val="22"/>
              </w:rPr>
              <w:t>-</w:t>
            </w:r>
          </w:p>
        </w:tc>
        <w:tc>
          <w:tcPr>
            <w:tcW w:w="1536" w:type="dxa"/>
            <w:tcBorders>
              <w:top w:val="single" w:sz="8" w:space="0" w:color="auto"/>
              <w:left w:val="nil"/>
              <w:bottom w:val="single" w:sz="8" w:space="0" w:color="auto"/>
              <w:right w:val="nil"/>
            </w:tcBorders>
            <w:shd w:val="clear" w:color="auto" w:fill="EAF1DD" w:themeFill="accent3" w:themeFillTint="33"/>
            <w:vAlign w:val="bottom"/>
          </w:tcPr>
          <w:p w14:paraId="69FEAB5D" w14:textId="5472D85B" w:rsidR="00A10103" w:rsidRPr="00FA0C28" w:rsidRDefault="00C42058" w:rsidP="00A10103">
            <w:pPr>
              <w:jc w:val="center"/>
              <w:rPr>
                <w:rFonts w:ascii="Arial" w:hAnsi="Arial" w:cs="Arial"/>
                <w:b/>
                <w:bCs/>
                <w:color w:val="000000"/>
                <w:sz w:val="22"/>
                <w:szCs w:val="22"/>
              </w:rPr>
            </w:pPr>
            <w:r>
              <w:rPr>
                <w:rFonts w:ascii="Arial" w:hAnsi="Arial" w:cs="Arial"/>
                <w:b/>
                <w:bCs/>
                <w:color w:val="000000"/>
                <w:sz w:val="22"/>
                <w:szCs w:val="22"/>
              </w:rPr>
              <w:t>(25,313)</w:t>
            </w:r>
          </w:p>
        </w:tc>
        <w:tc>
          <w:tcPr>
            <w:tcW w:w="1270" w:type="dxa"/>
            <w:tcBorders>
              <w:top w:val="single" w:sz="8" w:space="0" w:color="auto"/>
              <w:left w:val="nil"/>
              <w:bottom w:val="single" w:sz="8" w:space="0" w:color="auto"/>
              <w:right w:val="single" w:sz="4" w:space="0" w:color="auto"/>
            </w:tcBorders>
            <w:shd w:val="clear" w:color="auto" w:fill="EAF1DD" w:themeFill="accent3" w:themeFillTint="33"/>
            <w:vAlign w:val="bottom"/>
          </w:tcPr>
          <w:p w14:paraId="6A010F82" w14:textId="5BF28333" w:rsidR="00A10103" w:rsidRPr="00FA0C28" w:rsidRDefault="00C42058" w:rsidP="00A10103">
            <w:pPr>
              <w:jc w:val="center"/>
              <w:rPr>
                <w:rFonts w:ascii="Arial" w:hAnsi="Arial" w:cs="Arial"/>
                <w:b/>
                <w:bCs/>
                <w:color w:val="000000"/>
                <w:sz w:val="22"/>
                <w:szCs w:val="22"/>
              </w:rPr>
            </w:pPr>
            <w:r>
              <w:rPr>
                <w:rFonts w:ascii="Arial" w:hAnsi="Arial" w:cs="Arial"/>
                <w:b/>
                <w:bCs/>
                <w:color w:val="000000"/>
                <w:sz w:val="22"/>
                <w:szCs w:val="22"/>
              </w:rPr>
              <w:t>(25,313)</w:t>
            </w:r>
          </w:p>
        </w:tc>
        <w:tc>
          <w:tcPr>
            <w:tcW w:w="1084" w:type="dxa"/>
            <w:tcBorders>
              <w:top w:val="single" w:sz="8" w:space="0" w:color="auto"/>
              <w:left w:val="nil"/>
              <w:bottom w:val="single" w:sz="8" w:space="0" w:color="auto"/>
              <w:right w:val="nil"/>
            </w:tcBorders>
            <w:vAlign w:val="bottom"/>
            <w:hideMark/>
          </w:tcPr>
          <w:p w14:paraId="45BCF0AD" w14:textId="78D1EFD0"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w:t>
            </w:r>
          </w:p>
        </w:tc>
        <w:tc>
          <w:tcPr>
            <w:tcW w:w="1536" w:type="dxa"/>
            <w:tcBorders>
              <w:top w:val="single" w:sz="8" w:space="0" w:color="auto"/>
              <w:left w:val="nil"/>
              <w:bottom w:val="single" w:sz="8" w:space="0" w:color="auto"/>
              <w:right w:val="nil"/>
            </w:tcBorders>
            <w:vAlign w:val="bottom"/>
            <w:hideMark/>
          </w:tcPr>
          <w:p w14:paraId="7C69FFC0" w14:textId="32F6A180"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(15,700)</w:t>
            </w:r>
          </w:p>
        </w:tc>
        <w:tc>
          <w:tcPr>
            <w:tcW w:w="1270" w:type="dxa"/>
            <w:tcBorders>
              <w:top w:val="single" w:sz="8" w:space="0" w:color="auto"/>
              <w:left w:val="nil"/>
              <w:bottom w:val="single" w:sz="8" w:space="0" w:color="auto"/>
              <w:right w:val="single" w:sz="4" w:space="0" w:color="auto"/>
            </w:tcBorders>
            <w:vAlign w:val="bottom"/>
            <w:hideMark/>
          </w:tcPr>
          <w:p w14:paraId="09855FF7" w14:textId="6EBBC8C8"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(15,700)</w:t>
            </w:r>
          </w:p>
        </w:tc>
      </w:tr>
      <w:tr w:rsidR="000224BB" w:rsidRPr="00E26D69" w14:paraId="64B0D0C4" w14:textId="77777777" w:rsidTr="0054335C">
        <w:trPr>
          <w:trHeight w:val="369"/>
        </w:trPr>
        <w:tc>
          <w:tcPr>
            <w:tcW w:w="3545" w:type="dxa"/>
            <w:tcBorders>
              <w:top w:val="nil"/>
              <w:left w:val="single" w:sz="8" w:space="0" w:color="auto"/>
              <w:bottom w:val="nil"/>
              <w:right w:val="single" w:sz="8" w:space="0" w:color="auto"/>
            </w:tcBorders>
            <w:vAlign w:val="bottom"/>
            <w:hideMark/>
          </w:tcPr>
          <w:p w14:paraId="2F1D5572"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Net interest</w:t>
            </w:r>
          </w:p>
        </w:tc>
        <w:tc>
          <w:tcPr>
            <w:tcW w:w="1110" w:type="dxa"/>
            <w:tcBorders>
              <w:top w:val="nil"/>
              <w:left w:val="nil"/>
              <w:bottom w:val="nil"/>
              <w:right w:val="nil"/>
            </w:tcBorders>
            <w:shd w:val="clear" w:color="auto" w:fill="EAF1DD" w:themeFill="accent3" w:themeFillTint="33"/>
            <w:vAlign w:val="bottom"/>
          </w:tcPr>
          <w:p w14:paraId="1363B9ED" w14:textId="3BC7D876"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shd w:val="clear" w:color="auto" w:fill="EAF1DD" w:themeFill="accent3" w:themeFillTint="33"/>
            <w:vAlign w:val="bottom"/>
          </w:tcPr>
          <w:p w14:paraId="73E085D2" w14:textId="7CC7EE6C" w:rsidR="00A10103" w:rsidRPr="00FA0C28" w:rsidRDefault="00A10103" w:rsidP="00A10103">
            <w:pPr>
              <w:jc w:val="center"/>
              <w:rPr>
                <w:rFonts w:ascii="Arial" w:hAnsi="Arial" w:cs="Arial"/>
                <w:b/>
                <w:bCs/>
                <w:color w:val="000000"/>
                <w:sz w:val="22"/>
                <w:szCs w:val="22"/>
              </w:rPr>
            </w:pPr>
          </w:p>
        </w:tc>
        <w:tc>
          <w:tcPr>
            <w:tcW w:w="1270" w:type="dxa"/>
            <w:tcBorders>
              <w:top w:val="nil"/>
              <w:left w:val="nil"/>
              <w:bottom w:val="nil"/>
              <w:right w:val="single" w:sz="8" w:space="0" w:color="auto"/>
            </w:tcBorders>
            <w:shd w:val="clear" w:color="auto" w:fill="EAF1DD" w:themeFill="accent3" w:themeFillTint="33"/>
            <w:vAlign w:val="bottom"/>
          </w:tcPr>
          <w:p w14:paraId="077AC97F" w14:textId="1D1290FC" w:rsidR="00A10103" w:rsidRPr="00FA0C28" w:rsidRDefault="00A10103" w:rsidP="00A10103">
            <w:pPr>
              <w:jc w:val="center"/>
              <w:rPr>
                <w:rFonts w:ascii="Arial" w:hAnsi="Arial" w:cs="Arial"/>
                <w:b/>
                <w:bCs/>
                <w:color w:val="000000"/>
                <w:sz w:val="22"/>
                <w:szCs w:val="22"/>
              </w:rPr>
            </w:pPr>
          </w:p>
        </w:tc>
        <w:tc>
          <w:tcPr>
            <w:tcW w:w="1084" w:type="dxa"/>
            <w:tcBorders>
              <w:top w:val="nil"/>
              <w:left w:val="nil"/>
              <w:bottom w:val="nil"/>
              <w:right w:val="nil"/>
            </w:tcBorders>
            <w:vAlign w:val="bottom"/>
            <w:hideMark/>
          </w:tcPr>
          <w:p w14:paraId="0C90B886" w14:textId="77777777"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vAlign w:val="bottom"/>
            <w:hideMark/>
          </w:tcPr>
          <w:p w14:paraId="2703A6AD" w14:textId="77777777" w:rsidR="00A10103" w:rsidRPr="00FA0C28" w:rsidRDefault="00A10103" w:rsidP="00A10103">
            <w:pPr>
              <w:jc w:val="center"/>
              <w:rPr>
                <w:rFonts w:ascii="Arial" w:hAnsi="Arial" w:cs="Arial"/>
                <w:sz w:val="22"/>
                <w:szCs w:val="22"/>
              </w:rPr>
            </w:pPr>
          </w:p>
        </w:tc>
        <w:tc>
          <w:tcPr>
            <w:tcW w:w="1270" w:type="dxa"/>
            <w:tcBorders>
              <w:top w:val="nil"/>
              <w:left w:val="nil"/>
              <w:bottom w:val="nil"/>
              <w:right w:val="single" w:sz="8" w:space="0" w:color="auto"/>
            </w:tcBorders>
            <w:vAlign w:val="bottom"/>
            <w:hideMark/>
          </w:tcPr>
          <w:p w14:paraId="521E04F3" w14:textId="3C134849" w:rsidR="00A10103" w:rsidRPr="00FA0C28" w:rsidRDefault="00A10103" w:rsidP="00A10103">
            <w:pPr>
              <w:jc w:val="center"/>
              <w:rPr>
                <w:rFonts w:ascii="Arial" w:hAnsi="Arial" w:cs="Arial"/>
                <w:b/>
                <w:bCs/>
                <w:color w:val="000000"/>
                <w:sz w:val="22"/>
                <w:szCs w:val="22"/>
              </w:rPr>
            </w:pPr>
          </w:p>
        </w:tc>
      </w:tr>
      <w:tr w:rsidR="000224BB" w:rsidRPr="00E26D69" w14:paraId="6125B897" w14:textId="77777777" w:rsidTr="0054335C">
        <w:trPr>
          <w:trHeight w:val="369"/>
        </w:trPr>
        <w:tc>
          <w:tcPr>
            <w:tcW w:w="3545" w:type="dxa"/>
            <w:tcBorders>
              <w:top w:val="nil"/>
              <w:left w:val="single" w:sz="8" w:space="0" w:color="auto"/>
              <w:bottom w:val="nil"/>
              <w:right w:val="single" w:sz="8" w:space="0" w:color="auto"/>
            </w:tcBorders>
            <w:vAlign w:val="bottom"/>
            <w:hideMark/>
          </w:tcPr>
          <w:p w14:paraId="6E45DE05"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Interest income on plan assets</w:t>
            </w:r>
          </w:p>
        </w:tc>
        <w:tc>
          <w:tcPr>
            <w:tcW w:w="1110" w:type="dxa"/>
            <w:tcBorders>
              <w:top w:val="nil"/>
              <w:left w:val="nil"/>
              <w:bottom w:val="nil"/>
              <w:right w:val="nil"/>
            </w:tcBorders>
            <w:shd w:val="clear" w:color="auto" w:fill="EAF1DD" w:themeFill="accent3" w:themeFillTint="33"/>
            <w:vAlign w:val="bottom"/>
          </w:tcPr>
          <w:p w14:paraId="09635876" w14:textId="6DF91E06"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7,459</w:t>
            </w:r>
          </w:p>
        </w:tc>
        <w:tc>
          <w:tcPr>
            <w:tcW w:w="1536" w:type="dxa"/>
            <w:tcBorders>
              <w:top w:val="nil"/>
              <w:left w:val="nil"/>
              <w:bottom w:val="nil"/>
              <w:right w:val="nil"/>
            </w:tcBorders>
            <w:shd w:val="clear" w:color="auto" w:fill="EAF1DD" w:themeFill="accent3" w:themeFillTint="33"/>
            <w:vAlign w:val="bottom"/>
          </w:tcPr>
          <w:p w14:paraId="4345570C" w14:textId="0901CA5D"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56293954" w14:textId="5BF7AEB2"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7,459</w:t>
            </w:r>
          </w:p>
        </w:tc>
        <w:tc>
          <w:tcPr>
            <w:tcW w:w="1084" w:type="dxa"/>
            <w:tcBorders>
              <w:top w:val="nil"/>
              <w:left w:val="nil"/>
              <w:bottom w:val="nil"/>
              <w:right w:val="nil"/>
            </w:tcBorders>
            <w:vAlign w:val="bottom"/>
            <w:hideMark/>
          </w:tcPr>
          <w:p w14:paraId="068940C8" w14:textId="273343C7"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6,968</w:t>
            </w:r>
          </w:p>
        </w:tc>
        <w:tc>
          <w:tcPr>
            <w:tcW w:w="1536" w:type="dxa"/>
            <w:tcBorders>
              <w:top w:val="nil"/>
              <w:left w:val="nil"/>
              <w:bottom w:val="nil"/>
              <w:right w:val="nil"/>
            </w:tcBorders>
            <w:vAlign w:val="bottom"/>
            <w:hideMark/>
          </w:tcPr>
          <w:p w14:paraId="5A86F665" w14:textId="66F45905"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nil"/>
              <w:right w:val="single" w:sz="8" w:space="0" w:color="auto"/>
            </w:tcBorders>
            <w:vAlign w:val="bottom"/>
            <w:hideMark/>
          </w:tcPr>
          <w:p w14:paraId="06A7744F" w14:textId="19411357"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6,968</w:t>
            </w:r>
          </w:p>
        </w:tc>
      </w:tr>
      <w:tr w:rsidR="000224BB" w:rsidRPr="00E26D69" w14:paraId="0CC90CB4" w14:textId="77777777" w:rsidTr="0054335C">
        <w:trPr>
          <w:trHeight w:val="567"/>
        </w:trPr>
        <w:tc>
          <w:tcPr>
            <w:tcW w:w="3545" w:type="dxa"/>
            <w:tcBorders>
              <w:top w:val="nil"/>
              <w:left w:val="single" w:sz="8" w:space="0" w:color="auto"/>
              <w:bottom w:val="nil"/>
              <w:right w:val="single" w:sz="8" w:space="0" w:color="auto"/>
            </w:tcBorders>
            <w:vAlign w:val="bottom"/>
            <w:hideMark/>
          </w:tcPr>
          <w:p w14:paraId="7F27540A"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Interest cost on defined benefit obligation</w:t>
            </w:r>
          </w:p>
        </w:tc>
        <w:tc>
          <w:tcPr>
            <w:tcW w:w="1110" w:type="dxa"/>
            <w:tcBorders>
              <w:top w:val="nil"/>
              <w:left w:val="nil"/>
              <w:bottom w:val="nil"/>
              <w:right w:val="nil"/>
            </w:tcBorders>
            <w:shd w:val="clear" w:color="auto" w:fill="EAF1DD" w:themeFill="accent3" w:themeFillTint="33"/>
            <w:vAlign w:val="bottom"/>
          </w:tcPr>
          <w:p w14:paraId="22D00603" w14:textId="47F5C38C"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218356AA" w14:textId="20988A8D"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(11,408)</w:t>
            </w:r>
          </w:p>
        </w:tc>
        <w:tc>
          <w:tcPr>
            <w:tcW w:w="1270" w:type="dxa"/>
            <w:tcBorders>
              <w:top w:val="nil"/>
              <w:left w:val="nil"/>
              <w:bottom w:val="nil"/>
              <w:right w:val="single" w:sz="8" w:space="0" w:color="auto"/>
            </w:tcBorders>
            <w:shd w:val="clear" w:color="auto" w:fill="EAF1DD" w:themeFill="accent3" w:themeFillTint="33"/>
            <w:vAlign w:val="bottom"/>
          </w:tcPr>
          <w:p w14:paraId="46A08CBA" w14:textId="00AA1F50" w:rsidR="00A10103" w:rsidRPr="00FA0C28" w:rsidRDefault="00555A44" w:rsidP="00A10103">
            <w:pPr>
              <w:jc w:val="center"/>
              <w:rPr>
                <w:rFonts w:ascii="Arial" w:hAnsi="Arial" w:cs="Arial"/>
                <w:color w:val="000000"/>
                <w:sz w:val="22"/>
                <w:szCs w:val="22"/>
              </w:rPr>
            </w:pPr>
            <w:r>
              <w:rPr>
                <w:rFonts w:ascii="Arial" w:hAnsi="Arial" w:cs="Arial"/>
                <w:color w:val="000000"/>
                <w:sz w:val="22"/>
                <w:szCs w:val="22"/>
              </w:rPr>
              <w:t>(11,408)</w:t>
            </w:r>
          </w:p>
        </w:tc>
        <w:tc>
          <w:tcPr>
            <w:tcW w:w="1084" w:type="dxa"/>
            <w:tcBorders>
              <w:top w:val="nil"/>
              <w:left w:val="nil"/>
              <w:bottom w:val="nil"/>
              <w:right w:val="nil"/>
            </w:tcBorders>
            <w:vAlign w:val="bottom"/>
            <w:hideMark/>
          </w:tcPr>
          <w:p w14:paraId="184394AA" w14:textId="5328F932"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nil"/>
              <w:right w:val="nil"/>
            </w:tcBorders>
            <w:vAlign w:val="bottom"/>
            <w:hideMark/>
          </w:tcPr>
          <w:p w14:paraId="73AAF01B" w14:textId="483C7424"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(9,729)</w:t>
            </w:r>
          </w:p>
        </w:tc>
        <w:tc>
          <w:tcPr>
            <w:tcW w:w="1270" w:type="dxa"/>
            <w:tcBorders>
              <w:top w:val="nil"/>
              <w:left w:val="nil"/>
              <w:bottom w:val="nil"/>
              <w:right w:val="single" w:sz="8" w:space="0" w:color="auto"/>
            </w:tcBorders>
            <w:vAlign w:val="bottom"/>
            <w:hideMark/>
          </w:tcPr>
          <w:p w14:paraId="7FCA3E68" w14:textId="08A17FC2"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(9,729)</w:t>
            </w:r>
          </w:p>
        </w:tc>
      </w:tr>
      <w:tr w:rsidR="000224BB" w:rsidRPr="00E26D69" w14:paraId="47C68C13" w14:textId="77777777" w:rsidTr="0054335C">
        <w:trPr>
          <w:trHeight w:val="369"/>
        </w:trPr>
        <w:tc>
          <w:tcPr>
            <w:tcW w:w="3545" w:type="dxa"/>
            <w:tcBorders>
              <w:top w:val="single" w:sz="8" w:space="0" w:color="auto"/>
              <w:left w:val="single" w:sz="8" w:space="0" w:color="auto"/>
              <w:bottom w:val="single" w:sz="8" w:space="0" w:color="auto"/>
              <w:right w:val="single" w:sz="8" w:space="0" w:color="auto"/>
            </w:tcBorders>
            <w:vAlign w:val="bottom"/>
            <w:hideMark/>
          </w:tcPr>
          <w:p w14:paraId="17F8FEAE"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Total net interest</w:t>
            </w:r>
          </w:p>
        </w:tc>
        <w:tc>
          <w:tcPr>
            <w:tcW w:w="1110" w:type="dxa"/>
            <w:tcBorders>
              <w:top w:val="single" w:sz="8" w:space="0" w:color="auto"/>
              <w:left w:val="nil"/>
              <w:bottom w:val="single" w:sz="8" w:space="0" w:color="auto"/>
              <w:right w:val="nil"/>
            </w:tcBorders>
            <w:shd w:val="clear" w:color="auto" w:fill="EAF1DD" w:themeFill="accent3" w:themeFillTint="33"/>
            <w:vAlign w:val="bottom"/>
          </w:tcPr>
          <w:p w14:paraId="464F0FE9" w14:textId="73EADDDD" w:rsidR="00A10103" w:rsidRPr="00FA0C28" w:rsidRDefault="00555A44" w:rsidP="00A10103">
            <w:pPr>
              <w:jc w:val="center"/>
              <w:rPr>
                <w:rFonts w:ascii="Arial" w:hAnsi="Arial" w:cs="Arial"/>
                <w:b/>
                <w:bCs/>
                <w:color w:val="000000"/>
                <w:sz w:val="22"/>
                <w:szCs w:val="22"/>
              </w:rPr>
            </w:pPr>
            <w:r>
              <w:rPr>
                <w:rFonts w:ascii="Arial" w:hAnsi="Arial" w:cs="Arial"/>
                <w:b/>
                <w:bCs/>
                <w:color w:val="000000"/>
                <w:sz w:val="22"/>
                <w:szCs w:val="22"/>
              </w:rPr>
              <w:t>7,459</w:t>
            </w:r>
          </w:p>
        </w:tc>
        <w:tc>
          <w:tcPr>
            <w:tcW w:w="1536" w:type="dxa"/>
            <w:tcBorders>
              <w:top w:val="single" w:sz="8" w:space="0" w:color="auto"/>
              <w:left w:val="nil"/>
              <w:bottom w:val="single" w:sz="8" w:space="0" w:color="auto"/>
              <w:right w:val="nil"/>
            </w:tcBorders>
            <w:shd w:val="clear" w:color="auto" w:fill="EAF1DD" w:themeFill="accent3" w:themeFillTint="33"/>
            <w:vAlign w:val="bottom"/>
          </w:tcPr>
          <w:p w14:paraId="6222280C" w14:textId="5FCC0823" w:rsidR="00A10103" w:rsidRPr="00FA0C28" w:rsidRDefault="00555A44" w:rsidP="00A10103">
            <w:pPr>
              <w:jc w:val="center"/>
              <w:rPr>
                <w:rFonts w:ascii="Arial" w:hAnsi="Arial" w:cs="Arial"/>
                <w:b/>
                <w:bCs/>
                <w:color w:val="000000"/>
                <w:sz w:val="22"/>
                <w:szCs w:val="22"/>
              </w:rPr>
            </w:pPr>
            <w:r>
              <w:rPr>
                <w:rFonts w:ascii="Arial" w:hAnsi="Arial" w:cs="Arial"/>
                <w:b/>
                <w:bCs/>
                <w:color w:val="000000"/>
                <w:sz w:val="22"/>
                <w:szCs w:val="22"/>
              </w:rPr>
              <w:t>(11,408)</w:t>
            </w:r>
          </w:p>
        </w:tc>
        <w:tc>
          <w:tcPr>
            <w:tcW w:w="1270" w:type="dxa"/>
            <w:tcBorders>
              <w:top w:val="single" w:sz="8" w:space="0" w:color="auto"/>
              <w:left w:val="nil"/>
              <w:bottom w:val="single" w:sz="8" w:space="0" w:color="auto"/>
              <w:right w:val="single" w:sz="8" w:space="0" w:color="auto"/>
            </w:tcBorders>
            <w:shd w:val="clear" w:color="auto" w:fill="EAF1DD" w:themeFill="accent3" w:themeFillTint="33"/>
            <w:vAlign w:val="bottom"/>
          </w:tcPr>
          <w:p w14:paraId="53673C5C" w14:textId="15D83D4A" w:rsidR="00A10103" w:rsidRPr="00FA0C28" w:rsidRDefault="00555A44" w:rsidP="00A10103">
            <w:pPr>
              <w:jc w:val="center"/>
              <w:rPr>
                <w:rFonts w:ascii="Arial" w:hAnsi="Arial" w:cs="Arial"/>
                <w:b/>
                <w:bCs/>
                <w:color w:val="000000"/>
                <w:sz w:val="22"/>
                <w:szCs w:val="22"/>
              </w:rPr>
            </w:pPr>
            <w:r>
              <w:rPr>
                <w:rFonts w:ascii="Arial" w:hAnsi="Arial" w:cs="Arial"/>
                <w:b/>
                <w:bCs/>
                <w:color w:val="000000"/>
                <w:sz w:val="22"/>
                <w:szCs w:val="22"/>
              </w:rPr>
              <w:t>(3,949)</w:t>
            </w:r>
          </w:p>
        </w:tc>
        <w:tc>
          <w:tcPr>
            <w:tcW w:w="1084" w:type="dxa"/>
            <w:tcBorders>
              <w:top w:val="single" w:sz="8" w:space="0" w:color="auto"/>
              <w:left w:val="nil"/>
              <w:bottom w:val="single" w:sz="8" w:space="0" w:color="auto"/>
              <w:right w:val="nil"/>
            </w:tcBorders>
            <w:vAlign w:val="bottom"/>
            <w:hideMark/>
          </w:tcPr>
          <w:p w14:paraId="3A8373C2" w14:textId="6E3A352C"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6,968</w:t>
            </w:r>
          </w:p>
        </w:tc>
        <w:tc>
          <w:tcPr>
            <w:tcW w:w="1536" w:type="dxa"/>
            <w:tcBorders>
              <w:top w:val="single" w:sz="8" w:space="0" w:color="auto"/>
              <w:left w:val="nil"/>
              <w:bottom w:val="single" w:sz="8" w:space="0" w:color="auto"/>
              <w:right w:val="nil"/>
            </w:tcBorders>
            <w:vAlign w:val="bottom"/>
            <w:hideMark/>
          </w:tcPr>
          <w:p w14:paraId="5FFCA740" w14:textId="69A81768"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(9,729)</w:t>
            </w:r>
          </w:p>
        </w:tc>
        <w:tc>
          <w:tcPr>
            <w:tcW w:w="1270" w:type="dxa"/>
            <w:tcBorders>
              <w:top w:val="single" w:sz="8" w:space="0" w:color="auto"/>
              <w:left w:val="nil"/>
              <w:bottom w:val="single" w:sz="8" w:space="0" w:color="auto"/>
              <w:right w:val="single" w:sz="8" w:space="0" w:color="auto"/>
            </w:tcBorders>
            <w:vAlign w:val="bottom"/>
            <w:hideMark/>
          </w:tcPr>
          <w:p w14:paraId="7AA930EA" w14:textId="66ED44A5"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(2,761)</w:t>
            </w:r>
          </w:p>
        </w:tc>
      </w:tr>
      <w:tr w:rsidR="000224BB" w:rsidRPr="00E26D69" w14:paraId="514BC012" w14:textId="77777777" w:rsidTr="0054335C">
        <w:trPr>
          <w:trHeight w:val="567"/>
        </w:trPr>
        <w:tc>
          <w:tcPr>
            <w:tcW w:w="3545" w:type="dxa"/>
            <w:tcBorders>
              <w:top w:val="nil"/>
              <w:left w:val="single" w:sz="8" w:space="0" w:color="auto"/>
              <w:bottom w:val="single" w:sz="8" w:space="0" w:color="auto"/>
              <w:right w:val="single" w:sz="8" w:space="0" w:color="auto"/>
            </w:tcBorders>
            <w:vAlign w:val="bottom"/>
            <w:hideMark/>
          </w:tcPr>
          <w:p w14:paraId="26F8938A"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Total defined benefit cost recognised in profit or (loss)</w:t>
            </w:r>
          </w:p>
        </w:tc>
        <w:tc>
          <w:tcPr>
            <w:tcW w:w="1110" w:type="dxa"/>
            <w:tcBorders>
              <w:top w:val="nil"/>
              <w:left w:val="nil"/>
              <w:bottom w:val="single" w:sz="8" w:space="0" w:color="auto"/>
              <w:right w:val="nil"/>
            </w:tcBorders>
            <w:shd w:val="clear" w:color="auto" w:fill="EAF1DD" w:themeFill="accent3" w:themeFillTint="33"/>
            <w:vAlign w:val="bottom"/>
          </w:tcPr>
          <w:p w14:paraId="2940D86C" w14:textId="7A7220C3" w:rsidR="00A10103" w:rsidRPr="00FA0C28" w:rsidRDefault="00CF16E5" w:rsidP="00A10103">
            <w:pPr>
              <w:jc w:val="center"/>
              <w:rPr>
                <w:rFonts w:ascii="Arial" w:hAnsi="Arial" w:cs="Arial"/>
                <w:b/>
                <w:bCs/>
                <w:color w:val="000000"/>
                <w:sz w:val="22"/>
                <w:szCs w:val="22"/>
              </w:rPr>
            </w:pPr>
            <w:r>
              <w:rPr>
                <w:rFonts w:ascii="Arial" w:hAnsi="Arial" w:cs="Arial"/>
                <w:b/>
                <w:bCs/>
                <w:color w:val="000000"/>
                <w:sz w:val="22"/>
                <w:szCs w:val="22"/>
              </w:rPr>
              <w:t>7,459</w:t>
            </w:r>
          </w:p>
        </w:tc>
        <w:tc>
          <w:tcPr>
            <w:tcW w:w="1536" w:type="dxa"/>
            <w:tcBorders>
              <w:top w:val="nil"/>
              <w:left w:val="nil"/>
              <w:bottom w:val="single" w:sz="8" w:space="0" w:color="auto"/>
              <w:right w:val="nil"/>
            </w:tcBorders>
            <w:shd w:val="clear" w:color="auto" w:fill="EAF1DD" w:themeFill="accent3" w:themeFillTint="33"/>
            <w:vAlign w:val="bottom"/>
          </w:tcPr>
          <w:p w14:paraId="37BB5F0F" w14:textId="3261D49F" w:rsidR="00A10103" w:rsidRPr="00FA0C28" w:rsidRDefault="00CF16E5" w:rsidP="00A10103">
            <w:pPr>
              <w:jc w:val="center"/>
              <w:rPr>
                <w:rFonts w:ascii="Arial" w:hAnsi="Arial" w:cs="Arial"/>
                <w:b/>
                <w:bCs/>
                <w:color w:val="000000"/>
                <w:sz w:val="22"/>
                <w:szCs w:val="22"/>
              </w:rPr>
            </w:pPr>
            <w:r>
              <w:rPr>
                <w:rFonts w:ascii="Arial" w:hAnsi="Arial" w:cs="Arial"/>
                <w:b/>
                <w:bCs/>
                <w:color w:val="000000"/>
                <w:sz w:val="22"/>
                <w:szCs w:val="22"/>
              </w:rPr>
              <w:t>(36,721)</w:t>
            </w:r>
          </w:p>
        </w:tc>
        <w:tc>
          <w:tcPr>
            <w:tcW w:w="1270" w:type="dxa"/>
            <w:tcBorders>
              <w:top w:val="single" w:sz="8" w:space="0" w:color="auto"/>
              <w:left w:val="nil"/>
              <w:bottom w:val="single" w:sz="8" w:space="0" w:color="auto"/>
              <w:right w:val="single" w:sz="4" w:space="0" w:color="auto"/>
            </w:tcBorders>
            <w:shd w:val="clear" w:color="auto" w:fill="EAF1DD" w:themeFill="accent3" w:themeFillTint="33"/>
            <w:vAlign w:val="bottom"/>
          </w:tcPr>
          <w:p w14:paraId="2A3A824A" w14:textId="3EE74F1F" w:rsidR="00A10103" w:rsidRPr="00FA0C28" w:rsidRDefault="00CF16E5" w:rsidP="00A10103">
            <w:pPr>
              <w:jc w:val="center"/>
              <w:rPr>
                <w:rFonts w:ascii="Arial" w:hAnsi="Arial" w:cs="Arial"/>
                <w:b/>
                <w:bCs/>
                <w:color w:val="000000"/>
                <w:sz w:val="22"/>
                <w:szCs w:val="22"/>
              </w:rPr>
            </w:pPr>
            <w:r>
              <w:rPr>
                <w:rFonts w:ascii="Arial" w:hAnsi="Arial" w:cs="Arial"/>
                <w:b/>
                <w:bCs/>
                <w:color w:val="000000"/>
                <w:sz w:val="22"/>
                <w:szCs w:val="22"/>
              </w:rPr>
              <w:t>(29,262)</w:t>
            </w:r>
          </w:p>
        </w:tc>
        <w:tc>
          <w:tcPr>
            <w:tcW w:w="1084" w:type="dxa"/>
            <w:tcBorders>
              <w:top w:val="nil"/>
              <w:left w:val="nil"/>
              <w:bottom w:val="single" w:sz="8" w:space="0" w:color="auto"/>
              <w:right w:val="nil"/>
            </w:tcBorders>
            <w:vAlign w:val="bottom"/>
            <w:hideMark/>
          </w:tcPr>
          <w:p w14:paraId="21A5216F" w14:textId="43AB8F1F"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6,968</w:t>
            </w:r>
          </w:p>
        </w:tc>
        <w:tc>
          <w:tcPr>
            <w:tcW w:w="1536" w:type="dxa"/>
            <w:tcBorders>
              <w:top w:val="nil"/>
              <w:left w:val="nil"/>
              <w:bottom w:val="single" w:sz="8" w:space="0" w:color="auto"/>
              <w:right w:val="nil"/>
            </w:tcBorders>
            <w:vAlign w:val="bottom"/>
            <w:hideMark/>
          </w:tcPr>
          <w:p w14:paraId="57005CEA" w14:textId="0394EC3E"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(25,429)</w:t>
            </w:r>
          </w:p>
        </w:tc>
        <w:tc>
          <w:tcPr>
            <w:tcW w:w="1270" w:type="dxa"/>
            <w:tcBorders>
              <w:top w:val="single" w:sz="8" w:space="0" w:color="auto"/>
              <w:left w:val="nil"/>
              <w:bottom w:val="single" w:sz="8" w:space="0" w:color="auto"/>
              <w:right w:val="single" w:sz="4" w:space="0" w:color="auto"/>
            </w:tcBorders>
            <w:vAlign w:val="bottom"/>
            <w:hideMark/>
          </w:tcPr>
          <w:p w14:paraId="43F962B0" w14:textId="0D34D4AC"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(18,461)</w:t>
            </w:r>
          </w:p>
        </w:tc>
      </w:tr>
      <w:tr w:rsidR="000224BB" w:rsidRPr="00E26D69" w14:paraId="3B29C7C0" w14:textId="77777777" w:rsidTr="0054335C">
        <w:trPr>
          <w:trHeight w:val="369"/>
        </w:trPr>
        <w:tc>
          <w:tcPr>
            <w:tcW w:w="3545" w:type="dxa"/>
            <w:tcBorders>
              <w:top w:val="nil"/>
              <w:left w:val="single" w:sz="8" w:space="0" w:color="auto"/>
              <w:bottom w:val="nil"/>
              <w:right w:val="single" w:sz="8" w:space="0" w:color="auto"/>
            </w:tcBorders>
            <w:vAlign w:val="bottom"/>
            <w:hideMark/>
          </w:tcPr>
          <w:p w14:paraId="62144CFA"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Cash flows</w:t>
            </w:r>
          </w:p>
        </w:tc>
        <w:tc>
          <w:tcPr>
            <w:tcW w:w="1110" w:type="dxa"/>
            <w:tcBorders>
              <w:top w:val="nil"/>
              <w:left w:val="nil"/>
              <w:bottom w:val="nil"/>
              <w:right w:val="nil"/>
            </w:tcBorders>
            <w:shd w:val="clear" w:color="auto" w:fill="EAF1DD" w:themeFill="accent3" w:themeFillTint="33"/>
            <w:vAlign w:val="bottom"/>
          </w:tcPr>
          <w:p w14:paraId="3FD9F5E0" w14:textId="6C50CED0"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shd w:val="clear" w:color="auto" w:fill="EAF1DD" w:themeFill="accent3" w:themeFillTint="33"/>
            <w:vAlign w:val="bottom"/>
          </w:tcPr>
          <w:p w14:paraId="27BA7129" w14:textId="731AF566" w:rsidR="00A10103" w:rsidRPr="00FA0C28" w:rsidRDefault="00A10103" w:rsidP="00A10103">
            <w:pPr>
              <w:jc w:val="center"/>
              <w:rPr>
                <w:rFonts w:ascii="Arial" w:hAnsi="Arial" w:cs="Arial"/>
                <w:b/>
                <w:bCs/>
                <w:color w:val="000000"/>
                <w:sz w:val="22"/>
                <w:szCs w:val="22"/>
              </w:rPr>
            </w:pPr>
          </w:p>
        </w:tc>
        <w:tc>
          <w:tcPr>
            <w:tcW w:w="1270" w:type="dxa"/>
            <w:tcBorders>
              <w:top w:val="nil"/>
              <w:left w:val="nil"/>
              <w:bottom w:val="nil"/>
              <w:right w:val="single" w:sz="8" w:space="0" w:color="auto"/>
            </w:tcBorders>
            <w:shd w:val="clear" w:color="auto" w:fill="EAF1DD" w:themeFill="accent3" w:themeFillTint="33"/>
            <w:vAlign w:val="bottom"/>
          </w:tcPr>
          <w:p w14:paraId="3694031E" w14:textId="6C45435C" w:rsidR="00A10103" w:rsidRPr="00FA0C28" w:rsidRDefault="00A10103" w:rsidP="00A10103">
            <w:pPr>
              <w:jc w:val="center"/>
              <w:rPr>
                <w:rFonts w:ascii="Arial" w:hAnsi="Arial" w:cs="Arial"/>
                <w:b/>
                <w:bCs/>
                <w:color w:val="000000"/>
                <w:sz w:val="22"/>
                <w:szCs w:val="22"/>
              </w:rPr>
            </w:pPr>
          </w:p>
        </w:tc>
        <w:tc>
          <w:tcPr>
            <w:tcW w:w="1084" w:type="dxa"/>
            <w:tcBorders>
              <w:top w:val="nil"/>
              <w:left w:val="nil"/>
              <w:bottom w:val="nil"/>
              <w:right w:val="nil"/>
            </w:tcBorders>
            <w:vAlign w:val="bottom"/>
            <w:hideMark/>
          </w:tcPr>
          <w:p w14:paraId="67486BD7" w14:textId="77777777"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vAlign w:val="bottom"/>
            <w:hideMark/>
          </w:tcPr>
          <w:p w14:paraId="605DFE0E" w14:textId="77777777" w:rsidR="00A10103" w:rsidRPr="00FA0C28" w:rsidRDefault="00A10103" w:rsidP="00A10103">
            <w:pPr>
              <w:jc w:val="center"/>
              <w:rPr>
                <w:rFonts w:ascii="Arial" w:hAnsi="Arial" w:cs="Arial"/>
                <w:sz w:val="22"/>
                <w:szCs w:val="22"/>
              </w:rPr>
            </w:pPr>
          </w:p>
        </w:tc>
        <w:tc>
          <w:tcPr>
            <w:tcW w:w="1270" w:type="dxa"/>
            <w:tcBorders>
              <w:top w:val="nil"/>
              <w:left w:val="nil"/>
              <w:bottom w:val="nil"/>
              <w:right w:val="single" w:sz="8" w:space="0" w:color="auto"/>
            </w:tcBorders>
            <w:vAlign w:val="bottom"/>
            <w:hideMark/>
          </w:tcPr>
          <w:p w14:paraId="10E84EF5" w14:textId="4AC8F4C2" w:rsidR="00A10103" w:rsidRPr="00FA0C28" w:rsidRDefault="00A10103" w:rsidP="00A10103">
            <w:pPr>
              <w:jc w:val="center"/>
              <w:rPr>
                <w:rFonts w:ascii="Arial" w:hAnsi="Arial" w:cs="Arial"/>
                <w:b/>
                <w:bCs/>
                <w:color w:val="000000"/>
                <w:sz w:val="22"/>
                <w:szCs w:val="22"/>
              </w:rPr>
            </w:pPr>
          </w:p>
        </w:tc>
      </w:tr>
      <w:tr w:rsidR="000224BB" w:rsidRPr="00E26D69" w14:paraId="68AAAC2B" w14:textId="77777777" w:rsidTr="0054335C">
        <w:trPr>
          <w:trHeight w:val="369"/>
        </w:trPr>
        <w:tc>
          <w:tcPr>
            <w:tcW w:w="3545" w:type="dxa"/>
            <w:tcBorders>
              <w:top w:val="nil"/>
              <w:left w:val="single" w:sz="8" w:space="0" w:color="auto"/>
              <w:bottom w:val="nil"/>
              <w:right w:val="single" w:sz="8" w:space="0" w:color="auto"/>
            </w:tcBorders>
            <w:vAlign w:val="bottom"/>
            <w:hideMark/>
          </w:tcPr>
          <w:p w14:paraId="4CE0D3CF" w14:textId="77777777" w:rsidR="00A10103" w:rsidRPr="00E23EC6" w:rsidRDefault="00A10103" w:rsidP="00A10103">
            <w:pPr>
              <w:rPr>
                <w:rFonts w:ascii="Arial" w:hAnsi="Arial" w:cs="Arial"/>
                <w:color w:val="000000"/>
                <w:sz w:val="22"/>
                <w:szCs w:val="22"/>
              </w:rPr>
            </w:pPr>
            <w:r w:rsidRPr="00E23EC6">
              <w:rPr>
                <w:rFonts w:ascii="Arial" w:hAnsi="Arial" w:cs="Arial"/>
                <w:color w:val="000000"/>
                <w:sz w:val="22"/>
                <w:szCs w:val="22"/>
              </w:rPr>
              <w:t>Plan participants' contributions</w:t>
            </w:r>
          </w:p>
        </w:tc>
        <w:tc>
          <w:tcPr>
            <w:tcW w:w="1110" w:type="dxa"/>
            <w:tcBorders>
              <w:top w:val="nil"/>
              <w:left w:val="nil"/>
              <w:bottom w:val="nil"/>
              <w:right w:val="nil"/>
            </w:tcBorders>
            <w:shd w:val="clear" w:color="auto" w:fill="EAF1DD" w:themeFill="accent3" w:themeFillTint="33"/>
            <w:vAlign w:val="bottom"/>
          </w:tcPr>
          <w:p w14:paraId="682A9BD7" w14:textId="0B8DA035" w:rsidR="00A10103" w:rsidRPr="00E23EC6" w:rsidRDefault="00CF16E5" w:rsidP="00A10103">
            <w:pPr>
              <w:jc w:val="center"/>
              <w:rPr>
                <w:rFonts w:ascii="Arial" w:hAnsi="Arial" w:cs="Arial"/>
                <w:color w:val="000000"/>
                <w:sz w:val="22"/>
                <w:szCs w:val="22"/>
              </w:rPr>
            </w:pPr>
            <w:r w:rsidRPr="00E23EC6">
              <w:rPr>
                <w:rFonts w:ascii="Arial" w:hAnsi="Arial" w:cs="Arial"/>
                <w:color w:val="000000"/>
                <w:sz w:val="22"/>
                <w:szCs w:val="22"/>
              </w:rPr>
              <w:t>3,179</w:t>
            </w:r>
          </w:p>
        </w:tc>
        <w:tc>
          <w:tcPr>
            <w:tcW w:w="1536" w:type="dxa"/>
            <w:tcBorders>
              <w:top w:val="nil"/>
              <w:left w:val="nil"/>
              <w:bottom w:val="nil"/>
              <w:right w:val="nil"/>
            </w:tcBorders>
            <w:shd w:val="clear" w:color="auto" w:fill="EAF1DD" w:themeFill="accent3" w:themeFillTint="33"/>
            <w:vAlign w:val="bottom"/>
          </w:tcPr>
          <w:p w14:paraId="45A979AC" w14:textId="2FDA47FD" w:rsidR="00A10103" w:rsidRPr="00E23EC6" w:rsidRDefault="005A085F" w:rsidP="00A10103">
            <w:pPr>
              <w:jc w:val="center"/>
              <w:rPr>
                <w:rFonts w:ascii="Arial" w:hAnsi="Arial" w:cs="Arial"/>
                <w:color w:val="000000"/>
                <w:sz w:val="22"/>
                <w:szCs w:val="22"/>
              </w:rPr>
            </w:pPr>
            <w:r w:rsidRPr="00E23EC6">
              <w:rPr>
                <w:rFonts w:ascii="Arial" w:hAnsi="Arial" w:cs="Arial"/>
                <w:color w:val="000000"/>
                <w:sz w:val="22"/>
                <w:szCs w:val="22"/>
              </w:rPr>
              <w:t>(3,</w:t>
            </w:r>
            <w:r w:rsidR="00E23EC6" w:rsidRPr="00E23EC6">
              <w:rPr>
                <w:rFonts w:ascii="Arial" w:hAnsi="Arial" w:cs="Arial"/>
                <w:color w:val="000000"/>
                <w:sz w:val="22"/>
                <w:szCs w:val="22"/>
              </w:rPr>
              <w:t>179</w:t>
            </w:r>
            <w:r w:rsidRPr="00E23EC6">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11AD8AE9" w14:textId="09188CD1" w:rsidR="00A10103" w:rsidRPr="00E23EC6" w:rsidRDefault="005A085F" w:rsidP="005A085F">
            <w:pPr>
              <w:rPr>
                <w:rFonts w:ascii="Arial" w:hAnsi="Arial" w:cs="Arial"/>
                <w:color w:val="000000"/>
                <w:sz w:val="22"/>
                <w:szCs w:val="22"/>
              </w:rPr>
            </w:pPr>
            <w:r w:rsidRPr="00E23EC6">
              <w:rPr>
                <w:rFonts w:ascii="Arial" w:hAnsi="Arial" w:cs="Arial"/>
                <w:color w:val="000000"/>
                <w:sz w:val="22"/>
                <w:szCs w:val="22"/>
              </w:rPr>
              <w:t xml:space="preserve">       -</w:t>
            </w:r>
          </w:p>
        </w:tc>
        <w:tc>
          <w:tcPr>
            <w:tcW w:w="1084" w:type="dxa"/>
            <w:tcBorders>
              <w:top w:val="nil"/>
              <w:left w:val="nil"/>
              <w:bottom w:val="nil"/>
              <w:right w:val="nil"/>
            </w:tcBorders>
            <w:vAlign w:val="bottom"/>
            <w:hideMark/>
          </w:tcPr>
          <w:p w14:paraId="49B6D4CD" w14:textId="3C284C1D" w:rsidR="00A10103" w:rsidRPr="00E23EC6" w:rsidRDefault="00A10103" w:rsidP="00A10103">
            <w:pPr>
              <w:jc w:val="center"/>
              <w:rPr>
                <w:rFonts w:ascii="Arial" w:hAnsi="Arial" w:cs="Arial"/>
                <w:color w:val="000000"/>
                <w:sz w:val="22"/>
                <w:szCs w:val="22"/>
              </w:rPr>
            </w:pPr>
            <w:r w:rsidRPr="00E23EC6">
              <w:rPr>
                <w:rFonts w:ascii="Arial" w:hAnsi="Arial" w:cs="Arial"/>
                <w:color w:val="000000"/>
                <w:sz w:val="22"/>
                <w:szCs w:val="22"/>
              </w:rPr>
              <w:t>3,084</w:t>
            </w:r>
          </w:p>
        </w:tc>
        <w:tc>
          <w:tcPr>
            <w:tcW w:w="1536" w:type="dxa"/>
            <w:tcBorders>
              <w:top w:val="nil"/>
              <w:left w:val="nil"/>
              <w:bottom w:val="nil"/>
              <w:right w:val="nil"/>
            </w:tcBorders>
            <w:vAlign w:val="bottom"/>
            <w:hideMark/>
          </w:tcPr>
          <w:p w14:paraId="060E933E" w14:textId="2F889366" w:rsidR="00A10103" w:rsidRPr="00E23EC6" w:rsidRDefault="00A10103" w:rsidP="00A10103">
            <w:pPr>
              <w:jc w:val="center"/>
              <w:rPr>
                <w:rFonts w:ascii="Arial" w:hAnsi="Arial" w:cs="Arial"/>
                <w:color w:val="000000"/>
                <w:sz w:val="22"/>
                <w:szCs w:val="22"/>
              </w:rPr>
            </w:pPr>
            <w:r w:rsidRPr="00E23EC6">
              <w:rPr>
                <w:rFonts w:ascii="Arial" w:hAnsi="Arial" w:cs="Arial"/>
                <w:color w:val="000000"/>
                <w:sz w:val="22"/>
                <w:szCs w:val="22"/>
              </w:rPr>
              <w:t>(3,084)</w:t>
            </w:r>
          </w:p>
        </w:tc>
        <w:tc>
          <w:tcPr>
            <w:tcW w:w="1270" w:type="dxa"/>
            <w:tcBorders>
              <w:top w:val="nil"/>
              <w:left w:val="nil"/>
              <w:bottom w:val="nil"/>
              <w:right w:val="single" w:sz="8" w:space="0" w:color="auto"/>
            </w:tcBorders>
            <w:vAlign w:val="bottom"/>
            <w:hideMark/>
          </w:tcPr>
          <w:p w14:paraId="78337209" w14:textId="73D737A3" w:rsidR="00A10103" w:rsidRPr="00FA0C28" w:rsidRDefault="00A10103" w:rsidP="00A10103">
            <w:pPr>
              <w:jc w:val="center"/>
              <w:rPr>
                <w:rFonts w:ascii="Arial" w:hAnsi="Arial" w:cs="Arial"/>
                <w:color w:val="000000"/>
                <w:sz w:val="22"/>
                <w:szCs w:val="22"/>
              </w:rPr>
            </w:pPr>
            <w:r w:rsidRPr="00E23EC6">
              <w:rPr>
                <w:rFonts w:ascii="Arial" w:hAnsi="Arial" w:cs="Arial"/>
                <w:color w:val="000000"/>
                <w:sz w:val="22"/>
                <w:szCs w:val="22"/>
              </w:rPr>
              <w:t>-</w:t>
            </w:r>
          </w:p>
        </w:tc>
      </w:tr>
      <w:tr w:rsidR="000224BB" w:rsidRPr="00E26D69" w14:paraId="6A602635" w14:textId="77777777" w:rsidTr="0054335C">
        <w:trPr>
          <w:trHeight w:val="369"/>
        </w:trPr>
        <w:tc>
          <w:tcPr>
            <w:tcW w:w="3545" w:type="dxa"/>
            <w:tcBorders>
              <w:top w:val="nil"/>
              <w:left w:val="single" w:sz="8" w:space="0" w:color="auto"/>
              <w:bottom w:val="nil"/>
              <w:right w:val="single" w:sz="8" w:space="0" w:color="auto"/>
            </w:tcBorders>
            <w:vAlign w:val="bottom"/>
            <w:hideMark/>
          </w:tcPr>
          <w:p w14:paraId="769BD2D9"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Employer contributions</w:t>
            </w:r>
          </w:p>
        </w:tc>
        <w:tc>
          <w:tcPr>
            <w:tcW w:w="1110" w:type="dxa"/>
            <w:tcBorders>
              <w:top w:val="nil"/>
              <w:left w:val="nil"/>
              <w:bottom w:val="nil"/>
              <w:right w:val="nil"/>
            </w:tcBorders>
            <w:shd w:val="clear" w:color="auto" w:fill="EAF1DD" w:themeFill="accent3" w:themeFillTint="33"/>
            <w:vAlign w:val="bottom"/>
          </w:tcPr>
          <w:p w14:paraId="52F4B7E1" w14:textId="2840FB02" w:rsidR="00A10103" w:rsidRPr="00FA0C28" w:rsidRDefault="005A085F" w:rsidP="00A10103">
            <w:pPr>
              <w:jc w:val="center"/>
              <w:rPr>
                <w:rFonts w:ascii="Arial" w:hAnsi="Arial" w:cs="Arial"/>
                <w:color w:val="000000"/>
                <w:sz w:val="22"/>
                <w:szCs w:val="22"/>
              </w:rPr>
            </w:pPr>
            <w:r>
              <w:rPr>
                <w:rFonts w:ascii="Arial" w:hAnsi="Arial" w:cs="Arial"/>
                <w:color w:val="000000"/>
                <w:sz w:val="22"/>
                <w:szCs w:val="22"/>
              </w:rPr>
              <w:t>9,290</w:t>
            </w:r>
          </w:p>
        </w:tc>
        <w:tc>
          <w:tcPr>
            <w:tcW w:w="1536" w:type="dxa"/>
            <w:tcBorders>
              <w:top w:val="nil"/>
              <w:left w:val="nil"/>
              <w:bottom w:val="nil"/>
              <w:right w:val="nil"/>
            </w:tcBorders>
            <w:shd w:val="clear" w:color="auto" w:fill="EAF1DD" w:themeFill="accent3" w:themeFillTint="33"/>
            <w:vAlign w:val="bottom"/>
          </w:tcPr>
          <w:p w14:paraId="113F260E" w14:textId="5FEA4455" w:rsidR="00A10103" w:rsidRPr="00FA0C28" w:rsidRDefault="005A085F"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3EA3AF78" w14:textId="2DD18BC3" w:rsidR="00A10103" w:rsidRPr="00FA0C28" w:rsidRDefault="005A085F" w:rsidP="00A10103">
            <w:pPr>
              <w:jc w:val="center"/>
              <w:rPr>
                <w:rFonts w:ascii="Arial" w:hAnsi="Arial" w:cs="Arial"/>
                <w:color w:val="000000"/>
                <w:sz w:val="22"/>
                <w:szCs w:val="22"/>
              </w:rPr>
            </w:pPr>
            <w:r>
              <w:rPr>
                <w:rFonts w:ascii="Arial" w:hAnsi="Arial" w:cs="Arial"/>
                <w:color w:val="000000"/>
                <w:sz w:val="22"/>
                <w:szCs w:val="22"/>
              </w:rPr>
              <w:t>9,290</w:t>
            </w:r>
          </w:p>
        </w:tc>
        <w:tc>
          <w:tcPr>
            <w:tcW w:w="1084" w:type="dxa"/>
            <w:tcBorders>
              <w:top w:val="nil"/>
              <w:left w:val="nil"/>
              <w:bottom w:val="nil"/>
              <w:right w:val="nil"/>
            </w:tcBorders>
            <w:vAlign w:val="bottom"/>
            <w:hideMark/>
          </w:tcPr>
          <w:p w14:paraId="288F53E7" w14:textId="67029C68"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9,049</w:t>
            </w:r>
          </w:p>
        </w:tc>
        <w:tc>
          <w:tcPr>
            <w:tcW w:w="1536" w:type="dxa"/>
            <w:tcBorders>
              <w:top w:val="nil"/>
              <w:left w:val="nil"/>
              <w:bottom w:val="nil"/>
              <w:right w:val="nil"/>
            </w:tcBorders>
            <w:vAlign w:val="bottom"/>
            <w:hideMark/>
          </w:tcPr>
          <w:p w14:paraId="1D929F6F" w14:textId="64FF5150"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nil"/>
              <w:right w:val="single" w:sz="8" w:space="0" w:color="auto"/>
            </w:tcBorders>
            <w:vAlign w:val="bottom"/>
            <w:hideMark/>
          </w:tcPr>
          <w:p w14:paraId="1CFB28FD" w14:textId="5E9896F1"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9,049</w:t>
            </w:r>
          </w:p>
        </w:tc>
      </w:tr>
      <w:tr w:rsidR="000224BB" w:rsidRPr="00E26D69" w14:paraId="7C76AF75" w14:textId="77777777" w:rsidTr="0054335C">
        <w:trPr>
          <w:trHeight w:val="369"/>
        </w:trPr>
        <w:tc>
          <w:tcPr>
            <w:tcW w:w="3545" w:type="dxa"/>
            <w:tcBorders>
              <w:top w:val="nil"/>
              <w:left w:val="single" w:sz="8" w:space="0" w:color="auto"/>
              <w:bottom w:val="single" w:sz="8" w:space="0" w:color="auto"/>
              <w:right w:val="single" w:sz="8" w:space="0" w:color="auto"/>
            </w:tcBorders>
            <w:vAlign w:val="bottom"/>
            <w:hideMark/>
          </w:tcPr>
          <w:p w14:paraId="05A6B738"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Benefits paid</w:t>
            </w:r>
          </w:p>
        </w:tc>
        <w:tc>
          <w:tcPr>
            <w:tcW w:w="1110" w:type="dxa"/>
            <w:tcBorders>
              <w:top w:val="nil"/>
              <w:left w:val="nil"/>
              <w:bottom w:val="single" w:sz="8" w:space="0" w:color="auto"/>
              <w:right w:val="nil"/>
            </w:tcBorders>
            <w:shd w:val="clear" w:color="auto" w:fill="EAF1DD" w:themeFill="accent3" w:themeFillTint="33"/>
            <w:vAlign w:val="bottom"/>
          </w:tcPr>
          <w:p w14:paraId="67CF8B66" w14:textId="2AEE2AB7" w:rsidR="00A10103" w:rsidRPr="00FA0C28" w:rsidRDefault="008B379A" w:rsidP="00A10103">
            <w:pPr>
              <w:jc w:val="center"/>
              <w:rPr>
                <w:rFonts w:ascii="Arial" w:hAnsi="Arial" w:cs="Arial"/>
                <w:color w:val="000000"/>
                <w:sz w:val="22"/>
                <w:szCs w:val="22"/>
              </w:rPr>
            </w:pPr>
            <w:r>
              <w:rPr>
                <w:rFonts w:ascii="Arial" w:hAnsi="Arial" w:cs="Arial"/>
                <w:color w:val="000000"/>
                <w:sz w:val="22"/>
                <w:szCs w:val="22"/>
              </w:rPr>
              <w:t>(6,986)</w:t>
            </w:r>
          </w:p>
        </w:tc>
        <w:tc>
          <w:tcPr>
            <w:tcW w:w="1536" w:type="dxa"/>
            <w:tcBorders>
              <w:top w:val="nil"/>
              <w:left w:val="nil"/>
              <w:bottom w:val="single" w:sz="8" w:space="0" w:color="auto"/>
              <w:right w:val="nil"/>
            </w:tcBorders>
            <w:shd w:val="clear" w:color="auto" w:fill="EAF1DD" w:themeFill="accent3" w:themeFillTint="33"/>
            <w:vAlign w:val="bottom"/>
          </w:tcPr>
          <w:p w14:paraId="2023C0C4" w14:textId="76F76E45" w:rsidR="00A10103" w:rsidRPr="00FA0C28" w:rsidRDefault="008B379A" w:rsidP="00A10103">
            <w:pPr>
              <w:jc w:val="center"/>
              <w:rPr>
                <w:rFonts w:ascii="Arial" w:hAnsi="Arial" w:cs="Arial"/>
                <w:color w:val="000000"/>
                <w:sz w:val="22"/>
                <w:szCs w:val="22"/>
              </w:rPr>
            </w:pPr>
            <w:r>
              <w:rPr>
                <w:rFonts w:ascii="Arial" w:hAnsi="Arial" w:cs="Arial"/>
                <w:color w:val="000000"/>
                <w:sz w:val="22"/>
                <w:szCs w:val="22"/>
              </w:rPr>
              <w:t>6,986</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16A6EA95" w14:textId="0D4E3E83" w:rsidR="00A10103" w:rsidRPr="00FA0C28" w:rsidRDefault="008B379A" w:rsidP="00A10103">
            <w:pPr>
              <w:jc w:val="center"/>
              <w:rPr>
                <w:rFonts w:ascii="Arial" w:hAnsi="Arial" w:cs="Arial"/>
                <w:color w:val="000000"/>
                <w:sz w:val="22"/>
                <w:szCs w:val="22"/>
              </w:rPr>
            </w:pPr>
            <w:r>
              <w:rPr>
                <w:rFonts w:ascii="Arial" w:hAnsi="Arial" w:cs="Arial"/>
                <w:color w:val="000000"/>
                <w:sz w:val="22"/>
                <w:szCs w:val="22"/>
              </w:rPr>
              <w:t>-</w:t>
            </w:r>
          </w:p>
        </w:tc>
        <w:tc>
          <w:tcPr>
            <w:tcW w:w="1084" w:type="dxa"/>
            <w:tcBorders>
              <w:top w:val="nil"/>
              <w:left w:val="nil"/>
              <w:bottom w:val="single" w:sz="8" w:space="0" w:color="auto"/>
              <w:right w:val="nil"/>
            </w:tcBorders>
            <w:vAlign w:val="bottom"/>
            <w:hideMark/>
          </w:tcPr>
          <w:p w14:paraId="1C8225A1" w14:textId="170CEFA6"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(6,886)</w:t>
            </w:r>
          </w:p>
        </w:tc>
        <w:tc>
          <w:tcPr>
            <w:tcW w:w="1536" w:type="dxa"/>
            <w:tcBorders>
              <w:top w:val="nil"/>
              <w:left w:val="nil"/>
              <w:bottom w:val="single" w:sz="8" w:space="0" w:color="auto"/>
              <w:right w:val="nil"/>
            </w:tcBorders>
            <w:vAlign w:val="bottom"/>
            <w:hideMark/>
          </w:tcPr>
          <w:p w14:paraId="47EA609D" w14:textId="0543158B"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6,886</w:t>
            </w:r>
          </w:p>
        </w:tc>
        <w:tc>
          <w:tcPr>
            <w:tcW w:w="1270" w:type="dxa"/>
            <w:tcBorders>
              <w:top w:val="nil"/>
              <w:left w:val="nil"/>
              <w:bottom w:val="single" w:sz="8" w:space="0" w:color="auto"/>
              <w:right w:val="single" w:sz="8" w:space="0" w:color="auto"/>
            </w:tcBorders>
            <w:vAlign w:val="bottom"/>
            <w:hideMark/>
          </w:tcPr>
          <w:p w14:paraId="058939AF" w14:textId="441DC40D"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r>
      <w:tr w:rsidR="000224BB" w:rsidRPr="00E26D69" w14:paraId="0356577A" w14:textId="77777777" w:rsidTr="0054335C">
        <w:trPr>
          <w:trHeight w:val="369"/>
        </w:trPr>
        <w:tc>
          <w:tcPr>
            <w:tcW w:w="3545" w:type="dxa"/>
            <w:tcBorders>
              <w:top w:val="nil"/>
              <w:left w:val="single" w:sz="8" w:space="0" w:color="auto"/>
              <w:bottom w:val="single" w:sz="8" w:space="0" w:color="auto"/>
              <w:right w:val="single" w:sz="8" w:space="0" w:color="auto"/>
            </w:tcBorders>
            <w:vAlign w:val="bottom"/>
            <w:hideMark/>
          </w:tcPr>
          <w:p w14:paraId="7036273E"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Expected closing position</w:t>
            </w:r>
          </w:p>
        </w:tc>
        <w:tc>
          <w:tcPr>
            <w:tcW w:w="1110" w:type="dxa"/>
            <w:tcBorders>
              <w:top w:val="nil"/>
              <w:left w:val="nil"/>
              <w:bottom w:val="single" w:sz="8" w:space="0" w:color="auto"/>
              <w:right w:val="nil"/>
            </w:tcBorders>
            <w:shd w:val="clear" w:color="auto" w:fill="EAF1DD" w:themeFill="accent3" w:themeFillTint="33"/>
            <w:vAlign w:val="bottom"/>
          </w:tcPr>
          <w:p w14:paraId="688C6C95" w14:textId="7DCE3D85" w:rsidR="00A10103" w:rsidRPr="00FA0C28" w:rsidRDefault="008B379A" w:rsidP="00A10103">
            <w:pPr>
              <w:jc w:val="center"/>
              <w:rPr>
                <w:rFonts w:ascii="Arial" w:hAnsi="Arial" w:cs="Arial"/>
                <w:b/>
                <w:bCs/>
                <w:color w:val="000000"/>
                <w:sz w:val="22"/>
                <w:szCs w:val="22"/>
              </w:rPr>
            </w:pPr>
            <w:r>
              <w:rPr>
                <w:rFonts w:ascii="Arial" w:hAnsi="Arial" w:cs="Arial"/>
                <w:b/>
                <w:bCs/>
                <w:color w:val="000000"/>
                <w:sz w:val="22"/>
                <w:szCs w:val="22"/>
              </w:rPr>
              <w:t>383,397</w:t>
            </w:r>
          </w:p>
        </w:tc>
        <w:tc>
          <w:tcPr>
            <w:tcW w:w="1536" w:type="dxa"/>
            <w:tcBorders>
              <w:top w:val="nil"/>
              <w:left w:val="nil"/>
              <w:bottom w:val="single" w:sz="8" w:space="0" w:color="auto"/>
              <w:right w:val="nil"/>
            </w:tcBorders>
            <w:shd w:val="clear" w:color="auto" w:fill="EAF1DD" w:themeFill="accent3" w:themeFillTint="33"/>
            <w:vAlign w:val="bottom"/>
          </w:tcPr>
          <w:p w14:paraId="6E2E8218" w14:textId="66B6B227" w:rsidR="00A10103" w:rsidRPr="00FA0C28" w:rsidRDefault="008B379A" w:rsidP="00A10103">
            <w:pPr>
              <w:jc w:val="center"/>
              <w:rPr>
                <w:rFonts w:ascii="Arial" w:hAnsi="Arial" w:cs="Arial"/>
                <w:b/>
                <w:bCs/>
                <w:color w:val="000000"/>
                <w:sz w:val="22"/>
                <w:szCs w:val="22"/>
              </w:rPr>
            </w:pPr>
            <w:r>
              <w:rPr>
                <w:rFonts w:ascii="Arial" w:hAnsi="Arial" w:cs="Arial"/>
                <w:b/>
                <w:bCs/>
                <w:color w:val="000000"/>
                <w:sz w:val="22"/>
                <w:szCs w:val="22"/>
              </w:rPr>
              <w:t>(59</w:t>
            </w:r>
            <w:r w:rsidR="00D14059">
              <w:rPr>
                <w:rFonts w:ascii="Arial" w:hAnsi="Arial" w:cs="Arial"/>
                <w:b/>
                <w:bCs/>
                <w:color w:val="000000"/>
                <w:sz w:val="22"/>
                <w:szCs w:val="22"/>
              </w:rPr>
              <w:t>3</w:t>
            </w:r>
            <w:r>
              <w:rPr>
                <w:rFonts w:ascii="Arial" w:hAnsi="Arial" w:cs="Arial"/>
                <w:b/>
                <w:bCs/>
                <w:color w:val="000000"/>
                <w:sz w:val="22"/>
                <w:szCs w:val="22"/>
              </w:rPr>
              <w:t>,023)</w:t>
            </w:r>
          </w:p>
        </w:tc>
        <w:tc>
          <w:tcPr>
            <w:tcW w:w="1270" w:type="dxa"/>
            <w:tcBorders>
              <w:top w:val="single" w:sz="8" w:space="0" w:color="auto"/>
              <w:left w:val="nil"/>
              <w:bottom w:val="single" w:sz="8" w:space="0" w:color="auto"/>
              <w:right w:val="single" w:sz="4" w:space="0" w:color="auto"/>
            </w:tcBorders>
            <w:shd w:val="clear" w:color="auto" w:fill="EAF1DD" w:themeFill="accent3" w:themeFillTint="33"/>
            <w:vAlign w:val="bottom"/>
          </w:tcPr>
          <w:p w14:paraId="0941B720" w14:textId="4CCC32F2" w:rsidR="00A10103" w:rsidRPr="00FA0C28" w:rsidRDefault="008B379A" w:rsidP="00A10103">
            <w:pPr>
              <w:jc w:val="center"/>
              <w:rPr>
                <w:rFonts w:ascii="Arial" w:hAnsi="Arial" w:cs="Arial"/>
                <w:b/>
                <w:bCs/>
                <w:color w:val="000000"/>
                <w:sz w:val="22"/>
                <w:szCs w:val="22"/>
              </w:rPr>
            </w:pPr>
            <w:r>
              <w:rPr>
                <w:rFonts w:ascii="Arial" w:hAnsi="Arial" w:cs="Arial"/>
                <w:b/>
                <w:bCs/>
                <w:color w:val="000000"/>
                <w:sz w:val="22"/>
                <w:szCs w:val="22"/>
              </w:rPr>
              <w:t>(209,626)</w:t>
            </w:r>
          </w:p>
        </w:tc>
        <w:tc>
          <w:tcPr>
            <w:tcW w:w="1084" w:type="dxa"/>
            <w:tcBorders>
              <w:top w:val="nil"/>
              <w:left w:val="nil"/>
              <w:bottom w:val="single" w:sz="8" w:space="0" w:color="auto"/>
              <w:right w:val="nil"/>
            </w:tcBorders>
            <w:vAlign w:val="bottom"/>
            <w:hideMark/>
          </w:tcPr>
          <w:p w14:paraId="391B0963" w14:textId="528729DD"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312,783</w:t>
            </w:r>
          </w:p>
        </w:tc>
        <w:tc>
          <w:tcPr>
            <w:tcW w:w="1536" w:type="dxa"/>
            <w:tcBorders>
              <w:top w:val="nil"/>
              <w:left w:val="nil"/>
              <w:bottom w:val="single" w:sz="8" w:space="0" w:color="auto"/>
              <w:right w:val="nil"/>
            </w:tcBorders>
            <w:vAlign w:val="bottom"/>
            <w:hideMark/>
          </w:tcPr>
          <w:p w14:paraId="5D43EEBC" w14:textId="7B2F5854"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(439,001)</w:t>
            </w:r>
          </w:p>
        </w:tc>
        <w:tc>
          <w:tcPr>
            <w:tcW w:w="1270" w:type="dxa"/>
            <w:tcBorders>
              <w:top w:val="single" w:sz="8" w:space="0" w:color="auto"/>
              <w:left w:val="nil"/>
              <w:bottom w:val="single" w:sz="8" w:space="0" w:color="auto"/>
              <w:right w:val="single" w:sz="4" w:space="0" w:color="auto"/>
            </w:tcBorders>
            <w:vAlign w:val="bottom"/>
            <w:hideMark/>
          </w:tcPr>
          <w:p w14:paraId="122A7EFC" w14:textId="10556334"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(126,218)</w:t>
            </w:r>
          </w:p>
        </w:tc>
      </w:tr>
      <w:tr w:rsidR="000224BB" w:rsidRPr="00E26D69" w14:paraId="53F313D5" w14:textId="77777777" w:rsidTr="0054335C">
        <w:trPr>
          <w:trHeight w:val="369"/>
        </w:trPr>
        <w:tc>
          <w:tcPr>
            <w:tcW w:w="3545" w:type="dxa"/>
            <w:tcBorders>
              <w:top w:val="nil"/>
              <w:left w:val="single" w:sz="8" w:space="0" w:color="auto"/>
              <w:bottom w:val="nil"/>
              <w:right w:val="single" w:sz="8" w:space="0" w:color="auto"/>
            </w:tcBorders>
            <w:vAlign w:val="bottom"/>
            <w:hideMark/>
          </w:tcPr>
          <w:p w14:paraId="22669334"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Re-measurements</w:t>
            </w:r>
          </w:p>
        </w:tc>
        <w:tc>
          <w:tcPr>
            <w:tcW w:w="1110" w:type="dxa"/>
            <w:tcBorders>
              <w:top w:val="nil"/>
              <w:left w:val="nil"/>
              <w:bottom w:val="nil"/>
              <w:right w:val="nil"/>
            </w:tcBorders>
            <w:shd w:val="clear" w:color="auto" w:fill="EAF1DD" w:themeFill="accent3" w:themeFillTint="33"/>
            <w:vAlign w:val="bottom"/>
          </w:tcPr>
          <w:p w14:paraId="5429E7FD" w14:textId="3836239F" w:rsidR="00A10103" w:rsidRPr="00FA0C28" w:rsidRDefault="00A10103" w:rsidP="00A10103">
            <w:pPr>
              <w:jc w:val="center"/>
              <w:rPr>
                <w:rFonts w:ascii="Arial" w:hAnsi="Arial" w:cs="Arial"/>
                <w:b/>
                <w:bCs/>
                <w:color w:val="000000"/>
                <w:sz w:val="22"/>
                <w:szCs w:val="22"/>
              </w:rPr>
            </w:pPr>
          </w:p>
        </w:tc>
        <w:tc>
          <w:tcPr>
            <w:tcW w:w="1536" w:type="dxa"/>
            <w:tcBorders>
              <w:top w:val="nil"/>
              <w:left w:val="nil"/>
              <w:bottom w:val="nil"/>
              <w:right w:val="nil"/>
            </w:tcBorders>
            <w:shd w:val="clear" w:color="auto" w:fill="EAF1DD" w:themeFill="accent3" w:themeFillTint="33"/>
            <w:vAlign w:val="bottom"/>
          </w:tcPr>
          <w:p w14:paraId="66B5B44B" w14:textId="100166B4" w:rsidR="00A10103" w:rsidRPr="00FA0C28" w:rsidRDefault="00A10103" w:rsidP="00A10103">
            <w:pPr>
              <w:jc w:val="center"/>
              <w:rPr>
                <w:rFonts w:ascii="Arial" w:hAnsi="Arial" w:cs="Arial"/>
                <w:b/>
                <w:bCs/>
                <w:color w:val="000000"/>
                <w:sz w:val="22"/>
                <w:szCs w:val="22"/>
              </w:rPr>
            </w:pPr>
          </w:p>
        </w:tc>
        <w:tc>
          <w:tcPr>
            <w:tcW w:w="1270" w:type="dxa"/>
            <w:tcBorders>
              <w:top w:val="nil"/>
              <w:left w:val="nil"/>
              <w:bottom w:val="nil"/>
              <w:right w:val="single" w:sz="8" w:space="0" w:color="auto"/>
            </w:tcBorders>
            <w:shd w:val="clear" w:color="auto" w:fill="EAF1DD" w:themeFill="accent3" w:themeFillTint="33"/>
            <w:vAlign w:val="bottom"/>
          </w:tcPr>
          <w:p w14:paraId="63D283DA" w14:textId="20CDB600" w:rsidR="00A10103" w:rsidRPr="00FA0C28" w:rsidRDefault="00A10103" w:rsidP="00A10103">
            <w:pPr>
              <w:jc w:val="center"/>
              <w:rPr>
                <w:rFonts w:ascii="Arial" w:hAnsi="Arial" w:cs="Arial"/>
                <w:color w:val="000000"/>
                <w:sz w:val="22"/>
                <w:szCs w:val="22"/>
              </w:rPr>
            </w:pPr>
          </w:p>
        </w:tc>
        <w:tc>
          <w:tcPr>
            <w:tcW w:w="1084" w:type="dxa"/>
            <w:tcBorders>
              <w:top w:val="nil"/>
              <w:left w:val="nil"/>
              <w:bottom w:val="nil"/>
              <w:right w:val="nil"/>
            </w:tcBorders>
            <w:vAlign w:val="bottom"/>
            <w:hideMark/>
          </w:tcPr>
          <w:p w14:paraId="1E191D89" w14:textId="77777777" w:rsidR="00A10103" w:rsidRPr="00FA0C28" w:rsidRDefault="00A10103" w:rsidP="00A10103">
            <w:pPr>
              <w:jc w:val="center"/>
              <w:rPr>
                <w:rFonts w:ascii="Arial" w:hAnsi="Arial" w:cs="Arial"/>
                <w:color w:val="000000"/>
                <w:sz w:val="22"/>
                <w:szCs w:val="22"/>
              </w:rPr>
            </w:pPr>
          </w:p>
        </w:tc>
        <w:tc>
          <w:tcPr>
            <w:tcW w:w="1536" w:type="dxa"/>
            <w:tcBorders>
              <w:top w:val="nil"/>
              <w:left w:val="nil"/>
              <w:bottom w:val="nil"/>
              <w:right w:val="nil"/>
            </w:tcBorders>
            <w:vAlign w:val="bottom"/>
            <w:hideMark/>
          </w:tcPr>
          <w:p w14:paraId="448ED45B" w14:textId="77777777" w:rsidR="00A10103" w:rsidRPr="00FA0C28" w:rsidRDefault="00A10103" w:rsidP="00A10103">
            <w:pPr>
              <w:jc w:val="center"/>
              <w:rPr>
                <w:rFonts w:ascii="Arial" w:hAnsi="Arial" w:cs="Arial"/>
                <w:sz w:val="22"/>
                <w:szCs w:val="22"/>
              </w:rPr>
            </w:pPr>
          </w:p>
        </w:tc>
        <w:tc>
          <w:tcPr>
            <w:tcW w:w="1270" w:type="dxa"/>
            <w:tcBorders>
              <w:top w:val="nil"/>
              <w:left w:val="nil"/>
              <w:bottom w:val="nil"/>
              <w:right w:val="single" w:sz="8" w:space="0" w:color="auto"/>
            </w:tcBorders>
            <w:vAlign w:val="bottom"/>
            <w:hideMark/>
          </w:tcPr>
          <w:p w14:paraId="36757AC1" w14:textId="1A6280F5" w:rsidR="00A10103" w:rsidRPr="00FA0C28" w:rsidRDefault="00A10103" w:rsidP="00A10103">
            <w:pPr>
              <w:jc w:val="center"/>
              <w:rPr>
                <w:rFonts w:ascii="Arial" w:hAnsi="Arial" w:cs="Arial"/>
                <w:color w:val="000000"/>
                <w:sz w:val="22"/>
                <w:szCs w:val="22"/>
              </w:rPr>
            </w:pPr>
          </w:p>
        </w:tc>
      </w:tr>
      <w:tr w:rsidR="000224BB" w:rsidRPr="00E26D69" w14:paraId="7A0155FE" w14:textId="77777777" w:rsidTr="0054335C">
        <w:trPr>
          <w:trHeight w:val="589"/>
        </w:trPr>
        <w:tc>
          <w:tcPr>
            <w:tcW w:w="3545" w:type="dxa"/>
            <w:tcBorders>
              <w:top w:val="nil"/>
              <w:left w:val="single" w:sz="8" w:space="0" w:color="auto"/>
              <w:bottom w:val="nil"/>
              <w:right w:val="single" w:sz="8" w:space="0" w:color="auto"/>
            </w:tcBorders>
            <w:vAlign w:val="bottom"/>
            <w:hideMark/>
          </w:tcPr>
          <w:p w14:paraId="2F4CA46D"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Change in demographic assumptions</w:t>
            </w:r>
          </w:p>
        </w:tc>
        <w:tc>
          <w:tcPr>
            <w:tcW w:w="1110" w:type="dxa"/>
            <w:tcBorders>
              <w:top w:val="nil"/>
              <w:left w:val="nil"/>
              <w:bottom w:val="nil"/>
              <w:right w:val="nil"/>
            </w:tcBorders>
            <w:shd w:val="clear" w:color="auto" w:fill="EAF1DD" w:themeFill="accent3" w:themeFillTint="33"/>
            <w:vAlign w:val="bottom"/>
          </w:tcPr>
          <w:p w14:paraId="2A4CBF78" w14:textId="247E8CA8" w:rsidR="00A10103" w:rsidRPr="00FA0C28" w:rsidRDefault="003D507D"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5D5A1836" w14:textId="0C012DE8" w:rsidR="00A10103" w:rsidRPr="00FA0C28" w:rsidRDefault="003D507D" w:rsidP="00A10103">
            <w:pPr>
              <w:jc w:val="center"/>
              <w:rPr>
                <w:rFonts w:ascii="Arial" w:hAnsi="Arial" w:cs="Arial"/>
                <w:color w:val="000000"/>
                <w:sz w:val="22"/>
                <w:szCs w:val="22"/>
              </w:rPr>
            </w:pPr>
            <w:r>
              <w:rPr>
                <w:rFonts w:ascii="Arial" w:hAnsi="Arial" w:cs="Arial"/>
                <w:color w:val="000000"/>
                <w:sz w:val="22"/>
                <w:szCs w:val="22"/>
              </w:rPr>
              <w:t>2,869</w:t>
            </w:r>
          </w:p>
        </w:tc>
        <w:tc>
          <w:tcPr>
            <w:tcW w:w="1270" w:type="dxa"/>
            <w:tcBorders>
              <w:top w:val="nil"/>
              <w:left w:val="nil"/>
              <w:bottom w:val="nil"/>
              <w:right w:val="single" w:sz="8" w:space="0" w:color="auto"/>
            </w:tcBorders>
            <w:shd w:val="clear" w:color="auto" w:fill="EAF1DD" w:themeFill="accent3" w:themeFillTint="33"/>
            <w:vAlign w:val="bottom"/>
          </w:tcPr>
          <w:p w14:paraId="645FC39B" w14:textId="630CAD1B" w:rsidR="00A10103" w:rsidRPr="00FA0C28" w:rsidRDefault="003D507D" w:rsidP="00A10103">
            <w:pPr>
              <w:jc w:val="center"/>
              <w:rPr>
                <w:rFonts w:ascii="Arial" w:hAnsi="Arial" w:cs="Arial"/>
                <w:color w:val="000000"/>
                <w:sz w:val="22"/>
                <w:szCs w:val="22"/>
              </w:rPr>
            </w:pPr>
            <w:r>
              <w:rPr>
                <w:rFonts w:ascii="Arial" w:hAnsi="Arial" w:cs="Arial"/>
                <w:color w:val="000000"/>
                <w:sz w:val="22"/>
                <w:szCs w:val="22"/>
              </w:rPr>
              <w:t>2,869</w:t>
            </w:r>
          </w:p>
        </w:tc>
        <w:tc>
          <w:tcPr>
            <w:tcW w:w="1084" w:type="dxa"/>
            <w:tcBorders>
              <w:top w:val="nil"/>
              <w:left w:val="nil"/>
              <w:bottom w:val="nil"/>
              <w:right w:val="nil"/>
            </w:tcBorders>
            <w:vAlign w:val="bottom"/>
            <w:hideMark/>
          </w:tcPr>
          <w:p w14:paraId="48DFF20A" w14:textId="35CFCF6B"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nil"/>
              <w:right w:val="nil"/>
            </w:tcBorders>
            <w:vAlign w:val="bottom"/>
            <w:hideMark/>
          </w:tcPr>
          <w:p w14:paraId="52555694" w14:textId="581DFC18"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2,181</w:t>
            </w:r>
          </w:p>
        </w:tc>
        <w:tc>
          <w:tcPr>
            <w:tcW w:w="1270" w:type="dxa"/>
            <w:tcBorders>
              <w:top w:val="nil"/>
              <w:left w:val="nil"/>
              <w:bottom w:val="nil"/>
              <w:right w:val="single" w:sz="8" w:space="0" w:color="auto"/>
            </w:tcBorders>
            <w:vAlign w:val="bottom"/>
            <w:hideMark/>
          </w:tcPr>
          <w:p w14:paraId="2EE749A7" w14:textId="396D5F30"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2</w:t>
            </w:r>
            <w:r>
              <w:rPr>
                <w:rFonts w:ascii="Arial" w:hAnsi="Arial" w:cs="Arial"/>
                <w:color w:val="000000"/>
                <w:sz w:val="22"/>
                <w:szCs w:val="22"/>
              </w:rPr>
              <w:t>,</w:t>
            </w:r>
            <w:r w:rsidRPr="00FA0C28">
              <w:rPr>
                <w:rFonts w:ascii="Arial" w:hAnsi="Arial" w:cs="Arial"/>
                <w:color w:val="000000"/>
                <w:sz w:val="22"/>
                <w:szCs w:val="22"/>
              </w:rPr>
              <w:t>181</w:t>
            </w:r>
          </w:p>
        </w:tc>
      </w:tr>
      <w:tr w:rsidR="000224BB" w:rsidRPr="00E26D69" w14:paraId="26BA3B30" w14:textId="77777777" w:rsidTr="0054335C">
        <w:trPr>
          <w:trHeight w:val="369"/>
        </w:trPr>
        <w:tc>
          <w:tcPr>
            <w:tcW w:w="3545" w:type="dxa"/>
            <w:tcBorders>
              <w:top w:val="nil"/>
              <w:left w:val="single" w:sz="8" w:space="0" w:color="auto"/>
              <w:bottom w:val="nil"/>
              <w:right w:val="single" w:sz="8" w:space="0" w:color="auto"/>
            </w:tcBorders>
            <w:vAlign w:val="bottom"/>
            <w:hideMark/>
          </w:tcPr>
          <w:p w14:paraId="204CF8AC"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Change in financial assumptions</w:t>
            </w:r>
          </w:p>
        </w:tc>
        <w:tc>
          <w:tcPr>
            <w:tcW w:w="1110" w:type="dxa"/>
            <w:tcBorders>
              <w:top w:val="nil"/>
              <w:left w:val="nil"/>
              <w:bottom w:val="nil"/>
              <w:right w:val="nil"/>
            </w:tcBorders>
            <w:shd w:val="clear" w:color="auto" w:fill="EAF1DD" w:themeFill="accent3" w:themeFillTint="33"/>
            <w:vAlign w:val="bottom"/>
          </w:tcPr>
          <w:p w14:paraId="43EC9AA7" w14:textId="5A62EA18" w:rsidR="00A10103" w:rsidRPr="00FA0C28" w:rsidRDefault="002D0B3D"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66F5CD09" w14:textId="2A186842" w:rsidR="00A10103" w:rsidRPr="00FA0C28" w:rsidRDefault="003D507D" w:rsidP="00A10103">
            <w:pPr>
              <w:jc w:val="center"/>
              <w:rPr>
                <w:rFonts w:ascii="Arial" w:hAnsi="Arial" w:cs="Arial"/>
                <w:color w:val="000000"/>
                <w:sz w:val="22"/>
                <w:szCs w:val="22"/>
              </w:rPr>
            </w:pPr>
            <w:r>
              <w:rPr>
                <w:rFonts w:ascii="Arial" w:hAnsi="Arial" w:cs="Arial"/>
                <w:color w:val="000000"/>
                <w:sz w:val="22"/>
                <w:szCs w:val="22"/>
              </w:rPr>
              <w:t>45,425</w:t>
            </w:r>
          </w:p>
        </w:tc>
        <w:tc>
          <w:tcPr>
            <w:tcW w:w="1270" w:type="dxa"/>
            <w:tcBorders>
              <w:top w:val="nil"/>
              <w:left w:val="nil"/>
              <w:bottom w:val="nil"/>
              <w:right w:val="single" w:sz="8" w:space="0" w:color="auto"/>
            </w:tcBorders>
            <w:shd w:val="clear" w:color="auto" w:fill="EAF1DD" w:themeFill="accent3" w:themeFillTint="33"/>
            <w:vAlign w:val="bottom"/>
          </w:tcPr>
          <w:p w14:paraId="7EC7C056" w14:textId="4D73CF71" w:rsidR="00A10103" w:rsidRPr="00FA0C28" w:rsidRDefault="003D507D" w:rsidP="00A10103">
            <w:pPr>
              <w:jc w:val="center"/>
              <w:rPr>
                <w:rFonts w:ascii="Arial" w:hAnsi="Arial" w:cs="Arial"/>
                <w:color w:val="000000"/>
                <w:sz w:val="22"/>
                <w:szCs w:val="22"/>
              </w:rPr>
            </w:pPr>
            <w:r>
              <w:rPr>
                <w:rFonts w:ascii="Arial" w:hAnsi="Arial" w:cs="Arial"/>
                <w:color w:val="000000"/>
                <w:sz w:val="22"/>
                <w:szCs w:val="22"/>
              </w:rPr>
              <w:t>45</w:t>
            </w:r>
            <w:r w:rsidR="00226C78">
              <w:rPr>
                <w:rFonts w:ascii="Arial" w:hAnsi="Arial" w:cs="Arial"/>
                <w:color w:val="000000"/>
                <w:sz w:val="22"/>
                <w:szCs w:val="22"/>
              </w:rPr>
              <w:t>,425</w:t>
            </w:r>
          </w:p>
        </w:tc>
        <w:tc>
          <w:tcPr>
            <w:tcW w:w="1084" w:type="dxa"/>
            <w:tcBorders>
              <w:top w:val="nil"/>
              <w:left w:val="nil"/>
              <w:bottom w:val="nil"/>
              <w:right w:val="nil"/>
            </w:tcBorders>
            <w:vAlign w:val="bottom"/>
            <w:hideMark/>
          </w:tcPr>
          <w:p w14:paraId="502A9CED" w14:textId="1F88C80C"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nil"/>
              <w:right w:val="nil"/>
            </w:tcBorders>
            <w:vAlign w:val="bottom"/>
            <w:hideMark/>
          </w:tcPr>
          <w:p w14:paraId="0DD30957" w14:textId="10883E2E"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(126,578)</w:t>
            </w:r>
          </w:p>
        </w:tc>
        <w:tc>
          <w:tcPr>
            <w:tcW w:w="1270" w:type="dxa"/>
            <w:tcBorders>
              <w:top w:val="nil"/>
              <w:left w:val="nil"/>
              <w:bottom w:val="nil"/>
              <w:right w:val="single" w:sz="8" w:space="0" w:color="auto"/>
            </w:tcBorders>
            <w:vAlign w:val="bottom"/>
            <w:hideMark/>
          </w:tcPr>
          <w:p w14:paraId="741A0EE4" w14:textId="2C0B0E6A"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(126,578)</w:t>
            </w:r>
          </w:p>
        </w:tc>
      </w:tr>
      <w:tr w:rsidR="000224BB" w:rsidRPr="00E26D69" w14:paraId="01CE9168" w14:textId="77777777" w:rsidTr="0054335C">
        <w:trPr>
          <w:trHeight w:val="369"/>
        </w:trPr>
        <w:tc>
          <w:tcPr>
            <w:tcW w:w="3545" w:type="dxa"/>
            <w:tcBorders>
              <w:top w:val="nil"/>
              <w:left w:val="single" w:sz="8" w:space="0" w:color="auto"/>
              <w:bottom w:val="nil"/>
              <w:right w:val="single" w:sz="8" w:space="0" w:color="auto"/>
            </w:tcBorders>
            <w:vAlign w:val="bottom"/>
            <w:hideMark/>
          </w:tcPr>
          <w:p w14:paraId="517D6BBD"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Other experience</w:t>
            </w:r>
          </w:p>
        </w:tc>
        <w:tc>
          <w:tcPr>
            <w:tcW w:w="1110" w:type="dxa"/>
            <w:tcBorders>
              <w:top w:val="nil"/>
              <w:left w:val="nil"/>
              <w:bottom w:val="nil"/>
              <w:right w:val="nil"/>
            </w:tcBorders>
            <w:shd w:val="clear" w:color="auto" w:fill="EAF1DD" w:themeFill="accent3" w:themeFillTint="33"/>
            <w:vAlign w:val="bottom"/>
          </w:tcPr>
          <w:p w14:paraId="539B208E" w14:textId="1FBB7A08" w:rsidR="00A10103" w:rsidRPr="00FA0C28" w:rsidRDefault="002D0B3D"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nil"/>
              <w:right w:val="nil"/>
            </w:tcBorders>
            <w:shd w:val="clear" w:color="auto" w:fill="EAF1DD" w:themeFill="accent3" w:themeFillTint="33"/>
            <w:vAlign w:val="bottom"/>
          </w:tcPr>
          <w:p w14:paraId="013CBAD6" w14:textId="7F14F905" w:rsidR="00A10103" w:rsidRPr="00FA0C28" w:rsidRDefault="002D0B3D" w:rsidP="00A10103">
            <w:pPr>
              <w:jc w:val="center"/>
              <w:rPr>
                <w:rFonts w:ascii="Arial" w:hAnsi="Arial" w:cs="Arial"/>
                <w:color w:val="000000"/>
                <w:sz w:val="22"/>
                <w:szCs w:val="22"/>
              </w:rPr>
            </w:pPr>
            <w:r>
              <w:rPr>
                <w:rFonts w:ascii="Arial" w:hAnsi="Arial" w:cs="Arial"/>
                <w:color w:val="000000"/>
                <w:sz w:val="22"/>
                <w:szCs w:val="22"/>
              </w:rPr>
              <w:t>(933)</w:t>
            </w:r>
          </w:p>
        </w:tc>
        <w:tc>
          <w:tcPr>
            <w:tcW w:w="1270" w:type="dxa"/>
            <w:tcBorders>
              <w:top w:val="nil"/>
              <w:left w:val="nil"/>
              <w:bottom w:val="nil"/>
              <w:right w:val="single" w:sz="8" w:space="0" w:color="auto"/>
            </w:tcBorders>
            <w:shd w:val="clear" w:color="auto" w:fill="EAF1DD" w:themeFill="accent3" w:themeFillTint="33"/>
            <w:vAlign w:val="bottom"/>
          </w:tcPr>
          <w:p w14:paraId="11D84FA7" w14:textId="4557F51B" w:rsidR="00A10103" w:rsidRPr="00FA0C28" w:rsidRDefault="002D0B3D" w:rsidP="00A10103">
            <w:pPr>
              <w:jc w:val="center"/>
              <w:rPr>
                <w:rFonts w:ascii="Arial" w:hAnsi="Arial" w:cs="Arial"/>
                <w:color w:val="000000"/>
                <w:sz w:val="22"/>
                <w:szCs w:val="22"/>
              </w:rPr>
            </w:pPr>
            <w:r>
              <w:rPr>
                <w:rFonts w:ascii="Arial" w:hAnsi="Arial" w:cs="Arial"/>
                <w:color w:val="000000"/>
                <w:sz w:val="22"/>
                <w:szCs w:val="22"/>
              </w:rPr>
              <w:t>(933)</w:t>
            </w:r>
          </w:p>
        </w:tc>
        <w:tc>
          <w:tcPr>
            <w:tcW w:w="1084" w:type="dxa"/>
            <w:tcBorders>
              <w:top w:val="nil"/>
              <w:left w:val="nil"/>
              <w:bottom w:val="nil"/>
              <w:right w:val="nil"/>
            </w:tcBorders>
            <w:vAlign w:val="bottom"/>
            <w:hideMark/>
          </w:tcPr>
          <w:p w14:paraId="32747E14" w14:textId="64F87A39"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(3,107)</w:t>
            </w:r>
          </w:p>
        </w:tc>
        <w:tc>
          <w:tcPr>
            <w:tcW w:w="1536" w:type="dxa"/>
            <w:tcBorders>
              <w:top w:val="nil"/>
              <w:left w:val="nil"/>
              <w:bottom w:val="nil"/>
              <w:right w:val="nil"/>
            </w:tcBorders>
            <w:vAlign w:val="bottom"/>
            <w:hideMark/>
          </w:tcPr>
          <w:p w14:paraId="3A15A463" w14:textId="60307047"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3,289</w:t>
            </w:r>
          </w:p>
        </w:tc>
        <w:tc>
          <w:tcPr>
            <w:tcW w:w="1270" w:type="dxa"/>
            <w:tcBorders>
              <w:top w:val="nil"/>
              <w:left w:val="nil"/>
              <w:bottom w:val="nil"/>
              <w:right w:val="single" w:sz="8" w:space="0" w:color="auto"/>
            </w:tcBorders>
            <w:vAlign w:val="bottom"/>
            <w:hideMark/>
          </w:tcPr>
          <w:p w14:paraId="6B50475C" w14:textId="48FEC57F"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182</w:t>
            </w:r>
          </w:p>
        </w:tc>
      </w:tr>
      <w:tr w:rsidR="000224BB" w:rsidRPr="00E26D69" w14:paraId="70DD9B39" w14:textId="77777777" w:rsidTr="0054335C">
        <w:trPr>
          <w:trHeight w:val="567"/>
        </w:trPr>
        <w:tc>
          <w:tcPr>
            <w:tcW w:w="3545" w:type="dxa"/>
            <w:tcBorders>
              <w:top w:val="nil"/>
              <w:left w:val="single" w:sz="8" w:space="0" w:color="auto"/>
              <w:bottom w:val="nil"/>
              <w:right w:val="single" w:sz="8" w:space="0" w:color="auto"/>
            </w:tcBorders>
            <w:vAlign w:val="bottom"/>
            <w:hideMark/>
          </w:tcPr>
          <w:p w14:paraId="6CACF55B"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Return on assets excluding amounts included in net interest</w:t>
            </w:r>
          </w:p>
        </w:tc>
        <w:tc>
          <w:tcPr>
            <w:tcW w:w="1110" w:type="dxa"/>
            <w:tcBorders>
              <w:top w:val="nil"/>
              <w:left w:val="nil"/>
              <w:bottom w:val="single" w:sz="8" w:space="0" w:color="auto"/>
              <w:right w:val="nil"/>
            </w:tcBorders>
            <w:shd w:val="clear" w:color="auto" w:fill="EAF1DD" w:themeFill="accent3" w:themeFillTint="33"/>
            <w:vAlign w:val="bottom"/>
          </w:tcPr>
          <w:p w14:paraId="424D9534" w14:textId="10F8CECC" w:rsidR="00A10103" w:rsidRPr="00FA0C28" w:rsidRDefault="00055287" w:rsidP="00A10103">
            <w:pPr>
              <w:jc w:val="center"/>
              <w:rPr>
                <w:rFonts w:ascii="Arial" w:hAnsi="Arial" w:cs="Arial"/>
                <w:color w:val="000000"/>
                <w:sz w:val="22"/>
                <w:szCs w:val="22"/>
              </w:rPr>
            </w:pPr>
            <w:r>
              <w:rPr>
                <w:rFonts w:ascii="Arial" w:hAnsi="Arial" w:cs="Arial"/>
                <w:color w:val="000000"/>
                <w:sz w:val="22"/>
                <w:szCs w:val="22"/>
              </w:rPr>
              <w:t>41,298</w:t>
            </w:r>
          </w:p>
        </w:tc>
        <w:tc>
          <w:tcPr>
            <w:tcW w:w="1536" w:type="dxa"/>
            <w:tcBorders>
              <w:top w:val="nil"/>
              <w:left w:val="nil"/>
              <w:bottom w:val="single" w:sz="8" w:space="0" w:color="auto"/>
              <w:right w:val="nil"/>
            </w:tcBorders>
            <w:shd w:val="clear" w:color="auto" w:fill="EAF1DD" w:themeFill="accent3" w:themeFillTint="33"/>
            <w:vAlign w:val="bottom"/>
          </w:tcPr>
          <w:p w14:paraId="3561C116" w14:textId="342234C3" w:rsidR="00A10103" w:rsidRPr="00FA0C28" w:rsidRDefault="00055287"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023930A1" w14:textId="61BBCDCA" w:rsidR="00A10103" w:rsidRPr="00FA0C28" w:rsidRDefault="00055287" w:rsidP="00A10103">
            <w:pPr>
              <w:jc w:val="center"/>
              <w:rPr>
                <w:rFonts w:ascii="Arial" w:hAnsi="Arial" w:cs="Arial"/>
                <w:color w:val="000000"/>
                <w:sz w:val="22"/>
                <w:szCs w:val="22"/>
              </w:rPr>
            </w:pPr>
            <w:r>
              <w:rPr>
                <w:rFonts w:ascii="Arial" w:hAnsi="Arial" w:cs="Arial"/>
                <w:color w:val="000000"/>
                <w:sz w:val="22"/>
                <w:szCs w:val="22"/>
              </w:rPr>
              <w:t>41,298</w:t>
            </w:r>
          </w:p>
        </w:tc>
        <w:tc>
          <w:tcPr>
            <w:tcW w:w="1084" w:type="dxa"/>
            <w:tcBorders>
              <w:top w:val="nil"/>
              <w:left w:val="nil"/>
              <w:bottom w:val="single" w:sz="8" w:space="0" w:color="auto"/>
              <w:right w:val="nil"/>
            </w:tcBorders>
            <w:vAlign w:val="bottom"/>
            <w:hideMark/>
          </w:tcPr>
          <w:p w14:paraId="670B367A" w14:textId="13A3D2A0"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60,779</w:t>
            </w:r>
          </w:p>
        </w:tc>
        <w:tc>
          <w:tcPr>
            <w:tcW w:w="1536" w:type="dxa"/>
            <w:tcBorders>
              <w:top w:val="nil"/>
              <w:left w:val="nil"/>
              <w:bottom w:val="single" w:sz="8" w:space="0" w:color="auto"/>
              <w:right w:val="nil"/>
            </w:tcBorders>
            <w:vAlign w:val="bottom"/>
            <w:hideMark/>
          </w:tcPr>
          <w:p w14:paraId="3435C3AF" w14:textId="755E5A26"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single" w:sz="8" w:space="0" w:color="auto"/>
              <w:right w:val="single" w:sz="8" w:space="0" w:color="auto"/>
            </w:tcBorders>
            <w:vAlign w:val="bottom"/>
            <w:hideMark/>
          </w:tcPr>
          <w:p w14:paraId="0DA0E77F" w14:textId="2A970BD3"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60,779</w:t>
            </w:r>
          </w:p>
        </w:tc>
      </w:tr>
      <w:tr w:rsidR="000224BB" w:rsidRPr="00E26D69" w14:paraId="5CA8F33A" w14:textId="77777777" w:rsidTr="0054335C">
        <w:trPr>
          <w:trHeight w:val="567"/>
        </w:trPr>
        <w:tc>
          <w:tcPr>
            <w:tcW w:w="3545" w:type="dxa"/>
            <w:tcBorders>
              <w:top w:val="single" w:sz="8" w:space="0" w:color="auto"/>
              <w:left w:val="single" w:sz="8" w:space="0" w:color="auto"/>
              <w:bottom w:val="single" w:sz="8" w:space="0" w:color="auto"/>
              <w:right w:val="single" w:sz="8" w:space="0" w:color="auto"/>
            </w:tcBorders>
            <w:vAlign w:val="bottom"/>
            <w:hideMark/>
          </w:tcPr>
          <w:p w14:paraId="0098BA5E" w14:textId="77777777"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Total re-measurements recognised in other comprehensive income</w:t>
            </w:r>
          </w:p>
        </w:tc>
        <w:tc>
          <w:tcPr>
            <w:tcW w:w="1110" w:type="dxa"/>
            <w:tcBorders>
              <w:top w:val="nil"/>
              <w:left w:val="nil"/>
              <w:bottom w:val="single" w:sz="8" w:space="0" w:color="auto"/>
              <w:right w:val="nil"/>
            </w:tcBorders>
            <w:shd w:val="clear" w:color="auto" w:fill="EAF1DD" w:themeFill="accent3" w:themeFillTint="33"/>
            <w:vAlign w:val="bottom"/>
          </w:tcPr>
          <w:p w14:paraId="7E3267E9" w14:textId="38BB19BD" w:rsidR="00A10103" w:rsidRPr="00FA0C28" w:rsidRDefault="00055287" w:rsidP="00A10103">
            <w:pPr>
              <w:jc w:val="center"/>
              <w:rPr>
                <w:rFonts w:ascii="Arial" w:hAnsi="Arial" w:cs="Arial"/>
                <w:b/>
                <w:bCs/>
                <w:color w:val="000000"/>
                <w:sz w:val="22"/>
                <w:szCs w:val="22"/>
              </w:rPr>
            </w:pPr>
            <w:r>
              <w:rPr>
                <w:rFonts w:ascii="Arial" w:hAnsi="Arial" w:cs="Arial"/>
                <w:b/>
                <w:bCs/>
                <w:color w:val="000000"/>
                <w:sz w:val="22"/>
                <w:szCs w:val="22"/>
              </w:rPr>
              <w:t>4</w:t>
            </w:r>
            <w:r w:rsidR="003A7EE9">
              <w:rPr>
                <w:rFonts w:ascii="Arial" w:hAnsi="Arial" w:cs="Arial"/>
                <w:b/>
                <w:bCs/>
                <w:color w:val="000000"/>
                <w:sz w:val="22"/>
                <w:szCs w:val="22"/>
              </w:rPr>
              <w:t>1</w:t>
            </w:r>
            <w:r>
              <w:rPr>
                <w:rFonts w:ascii="Arial" w:hAnsi="Arial" w:cs="Arial"/>
                <w:b/>
                <w:bCs/>
                <w:color w:val="000000"/>
                <w:sz w:val="22"/>
                <w:szCs w:val="22"/>
              </w:rPr>
              <w:t>,</w:t>
            </w:r>
            <w:r w:rsidR="003A7EE9">
              <w:rPr>
                <w:rFonts w:ascii="Arial" w:hAnsi="Arial" w:cs="Arial"/>
                <w:b/>
                <w:bCs/>
                <w:color w:val="000000"/>
                <w:sz w:val="22"/>
                <w:szCs w:val="22"/>
              </w:rPr>
              <w:t>298</w:t>
            </w:r>
          </w:p>
        </w:tc>
        <w:tc>
          <w:tcPr>
            <w:tcW w:w="1536" w:type="dxa"/>
            <w:tcBorders>
              <w:top w:val="nil"/>
              <w:left w:val="nil"/>
              <w:bottom w:val="single" w:sz="8" w:space="0" w:color="auto"/>
              <w:right w:val="nil"/>
            </w:tcBorders>
            <w:shd w:val="clear" w:color="auto" w:fill="EAF1DD" w:themeFill="accent3" w:themeFillTint="33"/>
            <w:vAlign w:val="bottom"/>
          </w:tcPr>
          <w:p w14:paraId="6EC94596" w14:textId="64206412" w:rsidR="00A10103" w:rsidRPr="00FA0C28" w:rsidRDefault="003A7EE9" w:rsidP="00A10103">
            <w:pPr>
              <w:jc w:val="center"/>
              <w:rPr>
                <w:rFonts w:ascii="Arial" w:hAnsi="Arial" w:cs="Arial"/>
                <w:b/>
                <w:bCs/>
                <w:color w:val="000000"/>
                <w:sz w:val="22"/>
                <w:szCs w:val="22"/>
              </w:rPr>
            </w:pPr>
            <w:r>
              <w:rPr>
                <w:rFonts w:ascii="Arial" w:hAnsi="Arial" w:cs="Arial"/>
                <w:b/>
                <w:bCs/>
                <w:color w:val="000000"/>
                <w:sz w:val="22"/>
                <w:szCs w:val="22"/>
              </w:rPr>
              <w:t>47,361</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3A7F7F1B" w14:textId="09DC8D1A" w:rsidR="00A10103" w:rsidRPr="00FA0C28" w:rsidRDefault="003A7EE9" w:rsidP="00A10103">
            <w:pPr>
              <w:jc w:val="center"/>
              <w:rPr>
                <w:rFonts w:ascii="Arial" w:hAnsi="Arial" w:cs="Arial"/>
                <w:b/>
                <w:bCs/>
                <w:color w:val="000000"/>
                <w:sz w:val="22"/>
                <w:szCs w:val="22"/>
              </w:rPr>
            </w:pPr>
            <w:r>
              <w:rPr>
                <w:rFonts w:ascii="Arial" w:hAnsi="Arial" w:cs="Arial"/>
                <w:b/>
                <w:bCs/>
                <w:color w:val="000000"/>
                <w:sz w:val="22"/>
                <w:szCs w:val="22"/>
              </w:rPr>
              <w:t>88,659</w:t>
            </w:r>
          </w:p>
        </w:tc>
        <w:tc>
          <w:tcPr>
            <w:tcW w:w="1084" w:type="dxa"/>
            <w:tcBorders>
              <w:top w:val="nil"/>
              <w:left w:val="nil"/>
              <w:bottom w:val="single" w:sz="8" w:space="0" w:color="auto"/>
              <w:right w:val="nil"/>
            </w:tcBorders>
            <w:vAlign w:val="bottom"/>
            <w:hideMark/>
          </w:tcPr>
          <w:p w14:paraId="483C1323" w14:textId="3858C1CA"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57,672</w:t>
            </w:r>
          </w:p>
        </w:tc>
        <w:tc>
          <w:tcPr>
            <w:tcW w:w="1536" w:type="dxa"/>
            <w:tcBorders>
              <w:top w:val="nil"/>
              <w:left w:val="nil"/>
              <w:bottom w:val="single" w:sz="8" w:space="0" w:color="auto"/>
              <w:right w:val="nil"/>
            </w:tcBorders>
            <w:vAlign w:val="bottom"/>
            <w:hideMark/>
          </w:tcPr>
          <w:p w14:paraId="43B707DF" w14:textId="216F8070"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(121,108)</w:t>
            </w:r>
          </w:p>
        </w:tc>
        <w:tc>
          <w:tcPr>
            <w:tcW w:w="1270" w:type="dxa"/>
            <w:tcBorders>
              <w:top w:val="nil"/>
              <w:left w:val="nil"/>
              <w:bottom w:val="single" w:sz="8" w:space="0" w:color="auto"/>
              <w:right w:val="single" w:sz="8" w:space="0" w:color="auto"/>
            </w:tcBorders>
            <w:vAlign w:val="bottom"/>
            <w:hideMark/>
          </w:tcPr>
          <w:p w14:paraId="5FB5CDE7" w14:textId="670EAAFF"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(63,436)</w:t>
            </w:r>
          </w:p>
        </w:tc>
      </w:tr>
      <w:tr w:rsidR="000224BB" w:rsidRPr="00E26D69" w14:paraId="1B7D3514" w14:textId="77777777" w:rsidTr="0054335C">
        <w:trPr>
          <w:trHeight w:val="369"/>
        </w:trPr>
        <w:tc>
          <w:tcPr>
            <w:tcW w:w="3545" w:type="dxa"/>
            <w:tcBorders>
              <w:top w:val="nil"/>
              <w:left w:val="single" w:sz="8" w:space="0" w:color="auto"/>
              <w:bottom w:val="nil"/>
              <w:right w:val="single" w:sz="8" w:space="0" w:color="auto"/>
            </w:tcBorders>
            <w:vAlign w:val="bottom"/>
            <w:hideMark/>
          </w:tcPr>
          <w:p w14:paraId="5887EFE1"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Fair value of employer assets</w:t>
            </w:r>
          </w:p>
        </w:tc>
        <w:tc>
          <w:tcPr>
            <w:tcW w:w="1110" w:type="dxa"/>
            <w:tcBorders>
              <w:top w:val="nil"/>
              <w:left w:val="nil"/>
              <w:bottom w:val="nil"/>
              <w:right w:val="nil"/>
            </w:tcBorders>
            <w:shd w:val="clear" w:color="auto" w:fill="EAF1DD" w:themeFill="accent3" w:themeFillTint="33"/>
            <w:vAlign w:val="bottom"/>
          </w:tcPr>
          <w:p w14:paraId="720A7595" w14:textId="2524F0C3" w:rsidR="00A10103" w:rsidRPr="00FA0C28" w:rsidRDefault="003A7EE9" w:rsidP="00A10103">
            <w:pPr>
              <w:jc w:val="center"/>
              <w:rPr>
                <w:rFonts w:ascii="Arial" w:hAnsi="Arial" w:cs="Arial"/>
                <w:color w:val="000000"/>
                <w:sz w:val="22"/>
                <w:szCs w:val="22"/>
              </w:rPr>
            </w:pPr>
            <w:r>
              <w:rPr>
                <w:rFonts w:ascii="Arial" w:hAnsi="Arial" w:cs="Arial"/>
                <w:color w:val="000000"/>
                <w:sz w:val="22"/>
                <w:szCs w:val="22"/>
              </w:rPr>
              <w:t>424,695</w:t>
            </w:r>
          </w:p>
        </w:tc>
        <w:tc>
          <w:tcPr>
            <w:tcW w:w="1536" w:type="dxa"/>
            <w:tcBorders>
              <w:top w:val="nil"/>
              <w:left w:val="nil"/>
              <w:bottom w:val="nil"/>
              <w:right w:val="nil"/>
            </w:tcBorders>
            <w:shd w:val="clear" w:color="auto" w:fill="EAF1DD" w:themeFill="accent3" w:themeFillTint="33"/>
            <w:vAlign w:val="bottom"/>
          </w:tcPr>
          <w:p w14:paraId="164DD615" w14:textId="37052B06" w:rsidR="00A10103" w:rsidRPr="00FA0C28" w:rsidRDefault="009254DB" w:rsidP="00A10103">
            <w:pPr>
              <w:jc w:val="center"/>
              <w:rPr>
                <w:rFonts w:ascii="Arial" w:hAnsi="Arial" w:cs="Arial"/>
                <w:color w:val="000000"/>
                <w:sz w:val="22"/>
                <w:szCs w:val="22"/>
              </w:rPr>
            </w:pPr>
            <w:r>
              <w:rPr>
                <w:rFonts w:ascii="Arial" w:hAnsi="Arial" w:cs="Arial"/>
                <w:color w:val="000000"/>
                <w:sz w:val="22"/>
                <w:szCs w:val="22"/>
              </w:rPr>
              <w:t>-</w:t>
            </w:r>
          </w:p>
        </w:tc>
        <w:tc>
          <w:tcPr>
            <w:tcW w:w="1270" w:type="dxa"/>
            <w:tcBorders>
              <w:top w:val="nil"/>
              <w:left w:val="nil"/>
              <w:bottom w:val="nil"/>
              <w:right w:val="single" w:sz="8" w:space="0" w:color="auto"/>
            </w:tcBorders>
            <w:shd w:val="clear" w:color="auto" w:fill="EAF1DD" w:themeFill="accent3" w:themeFillTint="33"/>
            <w:vAlign w:val="bottom"/>
          </w:tcPr>
          <w:p w14:paraId="431AAE55" w14:textId="41B93831" w:rsidR="00A10103" w:rsidRPr="00FA0C28" w:rsidRDefault="009254DB" w:rsidP="00A10103">
            <w:pPr>
              <w:jc w:val="center"/>
              <w:rPr>
                <w:rFonts w:ascii="Arial" w:hAnsi="Arial" w:cs="Arial"/>
                <w:color w:val="000000"/>
                <w:sz w:val="22"/>
                <w:szCs w:val="22"/>
              </w:rPr>
            </w:pPr>
            <w:r>
              <w:rPr>
                <w:rFonts w:ascii="Arial" w:hAnsi="Arial" w:cs="Arial"/>
                <w:color w:val="000000"/>
                <w:sz w:val="22"/>
                <w:szCs w:val="22"/>
              </w:rPr>
              <w:t>424,695</w:t>
            </w:r>
          </w:p>
        </w:tc>
        <w:tc>
          <w:tcPr>
            <w:tcW w:w="1084" w:type="dxa"/>
            <w:tcBorders>
              <w:top w:val="nil"/>
              <w:left w:val="nil"/>
              <w:bottom w:val="nil"/>
              <w:right w:val="nil"/>
            </w:tcBorders>
            <w:vAlign w:val="bottom"/>
            <w:hideMark/>
          </w:tcPr>
          <w:p w14:paraId="719ED063" w14:textId="2921F52E"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370,455</w:t>
            </w:r>
          </w:p>
        </w:tc>
        <w:tc>
          <w:tcPr>
            <w:tcW w:w="1536" w:type="dxa"/>
            <w:tcBorders>
              <w:top w:val="nil"/>
              <w:left w:val="nil"/>
              <w:bottom w:val="nil"/>
              <w:right w:val="nil"/>
            </w:tcBorders>
            <w:vAlign w:val="bottom"/>
            <w:hideMark/>
          </w:tcPr>
          <w:p w14:paraId="74AD5A2D" w14:textId="02E21163"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270" w:type="dxa"/>
            <w:tcBorders>
              <w:top w:val="nil"/>
              <w:left w:val="nil"/>
              <w:bottom w:val="nil"/>
              <w:right w:val="single" w:sz="8" w:space="0" w:color="auto"/>
            </w:tcBorders>
            <w:vAlign w:val="bottom"/>
            <w:hideMark/>
          </w:tcPr>
          <w:p w14:paraId="39696610" w14:textId="65D10415"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370,455</w:t>
            </w:r>
          </w:p>
        </w:tc>
      </w:tr>
      <w:tr w:rsidR="000224BB" w:rsidRPr="00E26D69" w14:paraId="726614C3" w14:textId="77777777" w:rsidTr="0054335C">
        <w:trPr>
          <w:trHeight w:val="369"/>
        </w:trPr>
        <w:tc>
          <w:tcPr>
            <w:tcW w:w="3545" w:type="dxa"/>
            <w:tcBorders>
              <w:top w:val="nil"/>
              <w:left w:val="single" w:sz="8" w:space="0" w:color="auto"/>
              <w:bottom w:val="nil"/>
              <w:right w:val="single" w:sz="8" w:space="0" w:color="auto"/>
            </w:tcBorders>
            <w:vAlign w:val="bottom"/>
            <w:hideMark/>
          </w:tcPr>
          <w:p w14:paraId="2D69FBC3" w14:textId="77777777" w:rsidR="00A10103" w:rsidRPr="00FA0C28" w:rsidRDefault="00A10103" w:rsidP="00A10103">
            <w:pPr>
              <w:rPr>
                <w:rFonts w:ascii="Arial" w:hAnsi="Arial" w:cs="Arial"/>
                <w:color w:val="000000"/>
                <w:sz w:val="22"/>
                <w:szCs w:val="22"/>
              </w:rPr>
            </w:pPr>
            <w:r w:rsidRPr="00FA0C28">
              <w:rPr>
                <w:rFonts w:ascii="Arial" w:hAnsi="Arial" w:cs="Arial"/>
                <w:color w:val="000000"/>
                <w:sz w:val="22"/>
                <w:szCs w:val="22"/>
              </w:rPr>
              <w:t>Present value of funded liabilities</w:t>
            </w:r>
          </w:p>
        </w:tc>
        <w:tc>
          <w:tcPr>
            <w:tcW w:w="1110" w:type="dxa"/>
            <w:tcBorders>
              <w:top w:val="nil"/>
              <w:left w:val="nil"/>
              <w:bottom w:val="single" w:sz="8" w:space="0" w:color="auto"/>
              <w:right w:val="nil"/>
            </w:tcBorders>
            <w:shd w:val="clear" w:color="auto" w:fill="EAF1DD" w:themeFill="accent3" w:themeFillTint="33"/>
            <w:vAlign w:val="bottom"/>
          </w:tcPr>
          <w:p w14:paraId="55EC23DB" w14:textId="79AD9780" w:rsidR="00A10103" w:rsidRPr="00FA0C28" w:rsidRDefault="009254DB" w:rsidP="00A10103">
            <w:pPr>
              <w:jc w:val="center"/>
              <w:rPr>
                <w:rFonts w:ascii="Arial" w:hAnsi="Arial" w:cs="Arial"/>
                <w:color w:val="000000"/>
                <w:sz w:val="22"/>
                <w:szCs w:val="22"/>
              </w:rPr>
            </w:pPr>
            <w:r>
              <w:rPr>
                <w:rFonts w:ascii="Arial" w:hAnsi="Arial" w:cs="Arial"/>
                <w:color w:val="000000"/>
                <w:sz w:val="22"/>
                <w:szCs w:val="22"/>
              </w:rPr>
              <w:t>-</w:t>
            </w:r>
          </w:p>
        </w:tc>
        <w:tc>
          <w:tcPr>
            <w:tcW w:w="1536" w:type="dxa"/>
            <w:tcBorders>
              <w:top w:val="nil"/>
              <w:left w:val="nil"/>
              <w:bottom w:val="single" w:sz="8" w:space="0" w:color="auto"/>
              <w:right w:val="nil"/>
            </w:tcBorders>
            <w:shd w:val="clear" w:color="auto" w:fill="EAF1DD" w:themeFill="accent3" w:themeFillTint="33"/>
            <w:vAlign w:val="bottom"/>
          </w:tcPr>
          <w:p w14:paraId="5F28755A" w14:textId="1EAF851D" w:rsidR="00A10103" w:rsidRPr="00FA0C28" w:rsidRDefault="009254DB" w:rsidP="00A10103">
            <w:pPr>
              <w:jc w:val="center"/>
              <w:rPr>
                <w:rFonts w:ascii="Arial" w:hAnsi="Arial" w:cs="Arial"/>
                <w:color w:val="000000"/>
                <w:sz w:val="22"/>
                <w:szCs w:val="22"/>
              </w:rPr>
            </w:pPr>
            <w:r>
              <w:rPr>
                <w:rFonts w:ascii="Arial" w:hAnsi="Arial" w:cs="Arial"/>
                <w:color w:val="000000"/>
                <w:sz w:val="22"/>
                <w:szCs w:val="22"/>
              </w:rPr>
              <w:t>(545,662)</w:t>
            </w:r>
          </w:p>
        </w:tc>
        <w:tc>
          <w:tcPr>
            <w:tcW w:w="1270" w:type="dxa"/>
            <w:tcBorders>
              <w:top w:val="nil"/>
              <w:left w:val="nil"/>
              <w:bottom w:val="single" w:sz="8" w:space="0" w:color="auto"/>
              <w:right w:val="single" w:sz="8" w:space="0" w:color="auto"/>
            </w:tcBorders>
            <w:shd w:val="clear" w:color="auto" w:fill="EAF1DD" w:themeFill="accent3" w:themeFillTint="33"/>
            <w:vAlign w:val="bottom"/>
          </w:tcPr>
          <w:p w14:paraId="2E2AF402" w14:textId="7DBC0A9D" w:rsidR="00A10103" w:rsidRPr="00FA0C28" w:rsidRDefault="009254DB" w:rsidP="00A10103">
            <w:pPr>
              <w:jc w:val="center"/>
              <w:rPr>
                <w:rFonts w:ascii="Arial" w:hAnsi="Arial" w:cs="Arial"/>
                <w:color w:val="000000"/>
                <w:sz w:val="22"/>
                <w:szCs w:val="22"/>
              </w:rPr>
            </w:pPr>
            <w:r>
              <w:rPr>
                <w:rFonts w:ascii="Arial" w:hAnsi="Arial" w:cs="Arial"/>
                <w:color w:val="000000"/>
                <w:sz w:val="22"/>
                <w:szCs w:val="22"/>
              </w:rPr>
              <w:t>(545,662)</w:t>
            </w:r>
          </w:p>
        </w:tc>
        <w:tc>
          <w:tcPr>
            <w:tcW w:w="1084" w:type="dxa"/>
            <w:tcBorders>
              <w:top w:val="nil"/>
              <w:left w:val="nil"/>
              <w:bottom w:val="single" w:sz="8" w:space="0" w:color="auto"/>
              <w:right w:val="nil"/>
            </w:tcBorders>
            <w:vAlign w:val="bottom"/>
            <w:hideMark/>
          </w:tcPr>
          <w:p w14:paraId="40DFC34C" w14:textId="0F7C15E1"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w:t>
            </w:r>
          </w:p>
        </w:tc>
        <w:tc>
          <w:tcPr>
            <w:tcW w:w="1536" w:type="dxa"/>
            <w:tcBorders>
              <w:top w:val="nil"/>
              <w:left w:val="nil"/>
              <w:bottom w:val="single" w:sz="8" w:space="0" w:color="auto"/>
              <w:right w:val="nil"/>
            </w:tcBorders>
            <w:vAlign w:val="bottom"/>
            <w:hideMark/>
          </w:tcPr>
          <w:p w14:paraId="63541AE4" w14:textId="4C48DC98"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(560,109)</w:t>
            </w:r>
          </w:p>
        </w:tc>
        <w:tc>
          <w:tcPr>
            <w:tcW w:w="1270" w:type="dxa"/>
            <w:tcBorders>
              <w:top w:val="nil"/>
              <w:left w:val="nil"/>
              <w:bottom w:val="single" w:sz="8" w:space="0" w:color="auto"/>
              <w:right w:val="single" w:sz="8" w:space="0" w:color="auto"/>
            </w:tcBorders>
            <w:vAlign w:val="bottom"/>
            <w:hideMark/>
          </w:tcPr>
          <w:p w14:paraId="2C988654" w14:textId="14E0661D" w:rsidR="00A10103" w:rsidRPr="00FA0C28" w:rsidRDefault="00A10103" w:rsidP="00A10103">
            <w:pPr>
              <w:jc w:val="center"/>
              <w:rPr>
                <w:rFonts w:ascii="Arial" w:hAnsi="Arial" w:cs="Arial"/>
                <w:color w:val="000000"/>
                <w:sz w:val="22"/>
                <w:szCs w:val="22"/>
              </w:rPr>
            </w:pPr>
            <w:r w:rsidRPr="00FA0C28">
              <w:rPr>
                <w:rFonts w:ascii="Arial" w:hAnsi="Arial" w:cs="Arial"/>
                <w:color w:val="000000"/>
                <w:sz w:val="22"/>
                <w:szCs w:val="22"/>
              </w:rPr>
              <w:t>(560,109)</w:t>
            </w:r>
          </w:p>
        </w:tc>
      </w:tr>
      <w:tr w:rsidR="000224BB" w:rsidRPr="00E26D69" w14:paraId="67868E0B" w14:textId="77777777" w:rsidTr="0054335C">
        <w:trPr>
          <w:trHeight w:val="397"/>
        </w:trPr>
        <w:tc>
          <w:tcPr>
            <w:tcW w:w="3545" w:type="dxa"/>
            <w:tcBorders>
              <w:top w:val="single" w:sz="8" w:space="0" w:color="auto"/>
              <w:left w:val="single" w:sz="8" w:space="0" w:color="auto"/>
              <w:bottom w:val="single" w:sz="8" w:space="0" w:color="auto"/>
              <w:right w:val="single" w:sz="8" w:space="0" w:color="auto"/>
            </w:tcBorders>
            <w:vAlign w:val="bottom"/>
            <w:hideMark/>
          </w:tcPr>
          <w:p w14:paraId="51376B49" w14:textId="412E89B1" w:rsidR="00A10103" w:rsidRPr="00FA0C28" w:rsidRDefault="00A10103" w:rsidP="00A10103">
            <w:pPr>
              <w:rPr>
                <w:rFonts w:ascii="Arial" w:hAnsi="Arial" w:cs="Arial"/>
                <w:b/>
                <w:bCs/>
                <w:color w:val="000000"/>
                <w:sz w:val="22"/>
                <w:szCs w:val="22"/>
              </w:rPr>
            </w:pPr>
            <w:r w:rsidRPr="00FA0C28">
              <w:rPr>
                <w:rFonts w:ascii="Arial" w:hAnsi="Arial" w:cs="Arial"/>
                <w:b/>
                <w:bCs/>
                <w:color w:val="000000"/>
                <w:sz w:val="22"/>
                <w:szCs w:val="22"/>
              </w:rPr>
              <w:t xml:space="preserve">Closing position at 31 March </w:t>
            </w:r>
            <w:r w:rsidR="007D114E">
              <w:rPr>
                <w:rFonts w:ascii="Arial" w:hAnsi="Arial" w:cs="Arial"/>
                <w:b/>
                <w:bCs/>
                <w:color w:val="000000"/>
                <w:sz w:val="22"/>
                <w:szCs w:val="22"/>
              </w:rPr>
              <w:t>2022</w:t>
            </w:r>
          </w:p>
        </w:tc>
        <w:tc>
          <w:tcPr>
            <w:tcW w:w="1110" w:type="dxa"/>
            <w:tcBorders>
              <w:top w:val="single" w:sz="8" w:space="0" w:color="auto"/>
              <w:left w:val="nil"/>
              <w:bottom w:val="double" w:sz="4" w:space="0" w:color="auto"/>
              <w:right w:val="nil"/>
            </w:tcBorders>
            <w:shd w:val="clear" w:color="auto" w:fill="EAF1DD" w:themeFill="accent3" w:themeFillTint="33"/>
            <w:vAlign w:val="bottom"/>
          </w:tcPr>
          <w:p w14:paraId="561B9F78" w14:textId="2C973F53" w:rsidR="00A10103" w:rsidRPr="00FA0C28" w:rsidRDefault="007D114E" w:rsidP="00A10103">
            <w:pPr>
              <w:jc w:val="center"/>
              <w:rPr>
                <w:rFonts w:ascii="Arial" w:hAnsi="Arial" w:cs="Arial"/>
                <w:b/>
                <w:bCs/>
                <w:color w:val="000000"/>
                <w:sz w:val="22"/>
                <w:szCs w:val="22"/>
              </w:rPr>
            </w:pPr>
            <w:r>
              <w:rPr>
                <w:rFonts w:ascii="Arial" w:hAnsi="Arial" w:cs="Arial"/>
                <w:b/>
                <w:bCs/>
                <w:color w:val="000000"/>
                <w:sz w:val="22"/>
                <w:szCs w:val="22"/>
              </w:rPr>
              <w:t>424,695</w:t>
            </w:r>
          </w:p>
        </w:tc>
        <w:tc>
          <w:tcPr>
            <w:tcW w:w="1536" w:type="dxa"/>
            <w:tcBorders>
              <w:top w:val="single" w:sz="8" w:space="0" w:color="auto"/>
              <w:left w:val="nil"/>
              <w:bottom w:val="double" w:sz="4" w:space="0" w:color="auto"/>
              <w:right w:val="nil"/>
            </w:tcBorders>
            <w:shd w:val="clear" w:color="auto" w:fill="EAF1DD" w:themeFill="accent3" w:themeFillTint="33"/>
            <w:vAlign w:val="bottom"/>
          </w:tcPr>
          <w:p w14:paraId="7CC19129" w14:textId="442D5597" w:rsidR="00A10103" w:rsidRPr="00FA0C28" w:rsidRDefault="007D114E" w:rsidP="00A10103">
            <w:pPr>
              <w:jc w:val="center"/>
              <w:rPr>
                <w:rFonts w:ascii="Arial" w:hAnsi="Arial" w:cs="Arial"/>
                <w:b/>
                <w:bCs/>
                <w:color w:val="000000"/>
                <w:sz w:val="22"/>
                <w:szCs w:val="22"/>
              </w:rPr>
            </w:pPr>
            <w:r>
              <w:rPr>
                <w:rFonts w:ascii="Arial" w:hAnsi="Arial" w:cs="Arial"/>
                <w:b/>
                <w:bCs/>
                <w:color w:val="000000"/>
                <w:sz w:val="22"/>
                <w:szCs w:val="22"/>
              </w:rPr>
              <w:t>(545,662)</w:t>
            </w:r>
          </w:p>
        </w:tc>
        <w:tc>
          <w:tcPr>
            <w:tcW w:w="1270" w:type="dxa"/>
            <w:tcBorders>
              <w:top w:val="single" w:sz="8" w:space="0" w:color="auto"/>
              <w:left w:val="nil"/>
              <w:bottom w:val="double" w:sz="4" w:space="0" w:color="auto"/>
              <w:right w:val="single" w:sz="8" w:space="0" w:color="auto"/>
            </w:tcBorders>
            <w:shd w:val="clear" w:color="auto" w:fill="EAF1DD" w:themeFill="accent3" w:themeFillTint="33"/>
            <w:vAlign w:val="bottom"/>
          </w:tcPr>
          <w:p w14:paraId="28EAD88B" w14:textId="5D825AED" w:rsidR="00A10103" w:rsidRPr="00FA0C28" w:rsidRDefault="007D114E" w:rsidP="00A10103">
            <w:pPr>
              <w:jc w:val="center"/>
              <w:rPr>
                <w:rFonts w:ascii="Arial" w:hAnsi="Arial" w:cs="Arial"/>
                <w:b/>
                <w:bCs/>
                <w:color w:val="000000"/>
                <w:sz w:val="22"/>
                <w:szCs w:val="22"/>
              </w:rPr>
            </w:pPr>
            <w:r>
              <w:rPr>
                <w:rFonts w:ascii="Arial" w:hAnsi="Arial" w:cs="Arial"/>
                <w:b/>
                <w:bCs/>
                <w:color w:val="000000"/>
                <w:sz w:val="22"/>
                <w:szCs w:val="22"/>
              </w:rPr>
              <w:t>(120,</w:t>
            </w:r>
            <w:r w:rsidR="00FE2CA0">
              <w:rPr>
                <w:rFonts w:ascii="Arial" w:hAnsi="Arial" w:cs="Arial"/>
                <w:b/>
                <w:bCs/>
                <w:color w:val="000000"/>
                <w:sz w:val="22"/>
                <w:szCs w:val="22"/>
              </w:rPr>
              <w:t>967</w:t>
            </w:r>
            <w:r>
              <w:rPr>
                <w:rFonts w:ascii="Arial" w:hAnsi="Arial" w:cs="Arial"/>
                <w:b/>
                <w:bCs/>
                <w:color w:val="000000"/>
                <w:sz w:val="22"/>
                <w:szCs w:val="22"/>
              </w:rPr>
              <w:t>)</w:t>
            </w:r>
          </w:p>
        </w:tc>
        <w:tc>
          <w:tcPr>
            <w:tcW w:w="1084" w:type="dxa"/>
            <w:tcBorders>
              <w:top w:val="single" w:sz="8" w:space="0" w:color="auto"/>
              <w:left w:val="nil"/>
              <w:bottom w:val="double" w:sz="4" w:space="0" w:color="auto"/>
              <w:right w:val="nil"/>
            </w:tcBorders>
            <w:vAlign w:val="bottom"/>
            <w:hideMark/>
          </w:tcPr>
          <w:p w14:paraId="54820FB5" w14:textId="254D6B2E"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370,455</w:t>
            </w:r>
          </w:p>
        </w:tc>
        <w:tc>
          <w:tcPr>
            <w:tcW w:w="1536" w:type="dxa"/>
            <w:tcBorders>
              <w:top w:val="single" w:sz="8" w:space="0" w:color="auto"/>
              <w:left w:val="nil"/>
              <w:bottom w:val="double" w:sz="4" w:space="0" w:color="auto"/>
              <w:right w:val="nil"/>
            </w:tcBorders>
            <w:vAlign w:val="bottom"/>
            <w:hideMark/>
          </w:tcPr>
          <w:p w14:paraId="1CA169F9" w14:textId="251389DD"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(560,109)</w:t>
            </w:r>
          </w:p>
        </w:tc>
        <w:tc>
          <w:tcPr>
            <w:tcW w:w="1270" w:type="dxa"/>
            <w:tcBorders>
              <w:top w:val="single" w:sz="8" w:space="0" w:color="auto"/>
              <w:left w:val="nil"/>
              <w:bottom w:val="double" w:sz="4" w:space="0" w:color="auto"/>
              <w:right w:val="single" w:sz="8" w:space="0" w:color="auto"/>
            </w:tcBorders>
            <w:vAlign w:val="bottom"/>
            <w:hideMark/>
          </w:tcPr>
          <w:p w14:paraId="776B396A" w14:textId="0AB4A175" w:rsidR="00A10103" w:rsidRPr="00FA0C28" w:rsidRDefault="00A10103" w:rsidP="00A10103">
            <w:pPr>
              <w:jc w:val="center"/>
              <w:rPr>
                <w:rFonts w:ascii="Arial" w:hAnsi="Arial" w:cs="Arial"/>
                <w:b/>
                <w:bCs/>
                <w:color w:val="000000"/>
                <w:sz w:val="22"/>
                <w:szCs w:val="22"/>
              </w:rPr>
            </w:pPr>
            <w:r w:rsidRPr="00FA0C28">
              <w:rPr>
                <w:rFonts w:ascii="Arial" w:hAnsi="Arial" w:cs="Arial"/>
                <w:b/>
                <w:bCs/>
                <w:color w:val="000000"/>
                <w:sz w:val="22"/>
                <w:szCs w:val="22"/>
              </w:rPr>
              <w:t>(189,654)</w:t>
            </w:r>
          </w:p>
        </w:tc>
      </w:tr>
    </w:tbl>
    <w:p w14:paraId="297AD96F" w14:textId="77777777" w:rsidR="007C7D1E" w:rsidRDefault="007C7D1E" w:rsidP="000A1D9E">
      <w:pPr>
        <w:numPr>
          <w:ilvl w:val="0"/>
          <w:numId w:val="19"/>
        </w:numPr>
        <w:spacing w:line="360" w:lineRule="auto"/>
        <w:ind w:left="113" w:firstLine="567"/>
        <w:contextualSpacing/>
        <w:rPr>
          <w:rFonts w:ascii="Arial" w:hAnsi="Arial" w:cs="Arial"/>
          <w:b/>
        </w:rPr>
        <w:sectPr w:rsidR="007C7D1E" w:rsidSect="007C7D1E">
          <w:pgSz w:w="11906" w:h="16838" w:code="9"/>
          <w:pgMar w:top="851" w:right="1276" w:bottom="709" w:left="992" w:header="709" w:footer="709" w:gutter="0"/>
          <w:cols w:space="708"/>
          <w:docGrid w:linePitch="360"/>
        </w:sectPr>
      </w:pPr>
    </w:p>
    <w:p w14:paraId="4543A481" w14:textId="5BD78D66" w:rsidR="004452E0" w:rsidRPr="007D114E" w:rsidRDefault="00A8044E" w:rsidP="00F25B2F">
      <w:pPr>
        <w:spacing w:line="360" w:lineRule="auto"/>
        <w:ind w:left="-284"/>
        <w:contextualSpacing/>
        <w:rPr>
          <w:rFonts w:ascii="Arial" w:hAnsi="Arial" w:cs="Arial"/>
          <w:b/>
        </w:rPr>
      </w:pPr>
      <w:bookmarkStart w:id="49" w:name="Note16IAS19DetailsofentriesintheStatemen"/>
      <w:r>
        <w:rPr>
          <w:rFonts w:ascii="Arial" w:hAnsi="Arial" w:cs="Arial"/>
          <w:b/>
        </w:rPr>
        <w:lastRenderedPageBreak/>
        <w:t xml:space="preserve">Note 16. </w:t>
      </w:r>
      <w:r w:rsidR="008E0D32" w:rsidRPr="007D114E">
        <w:rPr>
          <w:rFonts w:ascii="Arial" w:hAnsi="Arial" w:cs="Arial"/>
          <w:b/>
        </w:rPr>
        <w:t>IAS 19: Details of entries in the Statement of Comprehensive Net Expenditure</w:t>
      </w:r>
      <w:bookmarkEnd w:id="49"/>
    </w:p>
    <w:p w14:paraId="5D8C7E16" w14:textId="553D3593" w:rsidR="00E26D69" w:rsidRPr="00E26D69" w:rsidRDefault="00647B6B" w:rsidP="00D946A7">
      <w:pPr>
        <w:spacing w:line="360" w:lineRule="auto"/>
        <w:ind w:left="-284" w:right="-710"/>
        <w:rPr>
          <w:rFonts w:ascii="Arial" w:hAnsi="Arial" w:cs="Arial"/>
        </w:rPr>
      </w:pPr>
      <w:r>
        <w:rPr>
          <w:rFonts w:ascii="Arial" w:hAnsi="Arial" w:cs="Arial"/>
        </w:rPr>
        <w:t>International Accounting Standard (</w:t>
      </w:r>
      <w:r w:rsidR="00E26D69" w:rsidRPr="00503418">
        <w:rPr>
          <w:rFonts w:ascii="Arial" w:hAnsi="Arial" w:cs="Arial"/>
        </w:rPr>
        <w:t>IAS</w:t>
      </w:r>
      <w:r>
        <w:rPr>
          <w:rFonts w:ascii="Arial" w:hAnsi="Arial" w:cs="Arial"/>
        </w:rPr>
        <w:t>)</w:t>
      </w:r>
      <w:r w:rsidR="00E26D69" w:rsidRPr="00503418">
        <w:rPr>
          <w:rFonts w:ascii="Arial" w:hAnsi="Arial" w:cs="Arial"/>
        </w:rPr>
        <w:t xml:space="preserve"> 19 requires SEPA to analyse and</w:t>
      </w:r>
      <w:r w:rsidR="00E26D69" w:rsidRPr="00E26D69">
        <w:rPr>
          <w:rFonts w:ascii="Arial" w:hAnsi="Arial" w:cs="Arial"/>
        </w:rPr>
        <w:t xml:space="preserve"> disclose the amounts included within the Statement of Comprehensive Net Expenditure.  These are detailed below.  </w:t>
      </w:r>
    </w:p>
    <w:p w14:paraId="71CE084D" w14:textId="77777777" w:rsidR="00E26D69" w:rsidRPr="00E26D69" w:rsidRDefault="00E26D69" w:rsidP="00D946A7">
      <w:pPr>
        <w:spacing w:line="360" w:lineRule="auto"/>
        <w:jc w:val="both"/>
        <w:rPr>
          <w:rFonts w:ascii="Arial" w:hAnsi="Arial" w:cs="Arial"/>
        </w:rPr>
      </w:pPr>
    </w:p>
    <w:p w14:paraId="545BBF5F" w14:textId="1D6C07F9" w:rsidR="009B4D3C" w:rsidRPr="005C1826" w:rsidRDefault="005C1826" w:rsidP="00D946A7">
      <w:pPr>
        <w:pStyle w:val="Caption"/>
        <w:keepNext/>
        <w:spacing w:after="0" w:line="360" w:lineRule="auto"/>
        <w:ind w:hanging="284"/>
        <w:rPr>
          <w:rFonts w:ascii="Arial" w:hAnsi="Arial" w:cs="Arial"/>
          <w:color w:val="000000" w:themeColor="text1"/>
          <w:sz w:val="24"/>
          <w:szCs w:val="24"/>
        </w:rPr>
      </w:pPr>
      <w:r w:rsidRPr="007D114E">
        <w:rPr>
          <w:rFonts w:ascii="Arial" w:hAnsi="Arial" w:cs="Arial"/>
          <w:color w:val="000000" w:themeColor="text1"/>
          <w:sz w:val="24"/>
          <w:szCs w:val="24"/>
        </w:rPr>
        <w:t>Statement of Comprehensive Net Expenditure</w:t>
      </w:r>
    </w:p>
    <w:tbl>
      <w:tblPr>
        <w:tblW w:w="10634" w:type="dxa"/>
        <w:tblInd w:w="-284" w:type="dxa"/>
        <w:tblLook w:val="04A0" w:firstRow="1" w:lastRow="0" w:firstColumn="1" w:lastColumn="0" w:noHBand="0" w:noVBand="1"/>
      </w:tblPr>
      <w:tblGrid>
        <w:gridCol w:w="6204"/>
        <w:gridCol w:w="2410"/>
        <w:gridCol w:w="2020"/>
      </w:tblGrid>
      <w:tr w:rsidR="00C60582" w:rsidRPr="00E26D69" w14:paraId="73C10E97" w14:textId="77777777" w:rsidTr="00524659">
        <w:trPr>
          <w:trHeight w:val="397"/>
        </w:trPr>
        <w:tc>
          <w:tcPr>
            <w:tcW w:w="6204" w:type="dxa"/>
            <w:tcBorders>
              <w:top w:val="nil"/>
              <w:left w:val="nil"/>
              <w:bottom w:val="nil"/>
              <w:right w:val="nil"/>
            </w:tcBorders>
            <w:vAlign w:val="center"/>
            <w:hideMark/>
          </w:tcPr>
          <w:p w14:paraId="08216AE9" w14:textId="71E52B3A" w:rsidR="00E26D69" w:rsidRPr="00E26D69" w:rsidRDefault="00E26D69" w:rsidP="009D4B38">
            <w:pPr>
              <w:ind w:left="-93"/>
              <w:rPr>
                <w:rFonts w:ascii="Arial" w:hAnsi="Arial" w:cs="Arial"/>
                <w:b/>
                <w:bCs/>
                <w:color w:val="000000"/>
              </w:rPr>
            </w:pPr>
          </w:p>
        </w:tc>
        <w:tc>
          <w:tcPr>
            <w:tcW w:w="2410" w:type="dxa"/>
            <w:tcBorders>
              <w:top w:val="nil"/>
              <w:left w:val="nil"/>
              <w:bottom w:val="nil"/>
              <w:right w:val="nil"/>
            </w:tcBorders>
            <w:shd w:val="clear" w:color="auto" w:fill="EAF1DD" w:themeFill="accent3" w:themeFillTint="33"/>
            <w:vAlign w:val="bottom"/>
            <w:hideMark/>
          </w:tcPr>
          <w:p w14:paraId="1CD36E73" w14:textId="4022BD35" w:rsidR="00E26D69" w:rsidRDefault="00E26D69" w:rsidP="00524659">
            <w:pPr>
              <w:jc w:val="right"/>
              <w:rPr>
                <w:rFonts w:ascii="Arial" w:hAnsi="Arial" w:cs="Arial"/>
                <w:b/>
                <w:bCs/>
                <w:color w:val="000000"/>
              </w:rPr>
            </w:pPr>
            <w:r w:rsidRPr="00E26D69">
              <w:rPr>
                <w:rFonts w:ascii="Arial" w:hAnsi="Arial" w:cs="Arial"/>
                <w:b/>
                <w:bCs/>
                <w:color w:val="000000"/>
              </w:rPr>
              <w:t>Year to 31 March 202</w:t>
            </w:r>
            <w:r w:rsidR="00AD695C">
              <w:rPr>
                <w:rFonts w:ascii="Arial" w:hAnsi="Arial" w:cs="Arial"/>
                <w:b/>
                <w:bCs/>
                <w:color w:val="000000"/>
              </w:rPr>
              <w:t>2</w:t>
            </w:r>
          </w:p>
          <w:p w14:paraId="7BD2EED3" w14:textId="77777777" w:rsidR="00524659" w:rsidRDefault="00524659" w:rsidP="00524659">
            <w:pPr>
              <w:jc w:val="right"/>
              <w:rPr>
                <w:rFonts w:ascii="Arial" w:hAnsi="Arial" w:cs="Arial"/>
                <w:b/>
                <w:bCs/>
                <w:color w:val="000000"/>
              </w:rPr>
            </w:pPr>
          </w:p>
          <w:p w14:paraId="050F26B8" w14:textId="14A188EB" w:rsidR="00524659" w:rsidRPr="00E26D69" w:rsidRDefault="00524659" w:rsidP="00524659">
            <w:pPr>
              <w:jc w:val="right"/>
              <w:rPr>
                <w:rFonts w:ascii="Arial" w:hAnsi="Arial" w:cs="Arial"/>
                <w:b/>
                <w:bCs/>
                <w:color w:val="000000"/>
              </w:rPr>
            </w:pPr>
            <w:r>
              <w:rPr>
                <w:rFonts w:ascii="Arial" w:hAnsi="Arial" w:cs="Arial"/>
                <w:b/>
                <w:bCs/>
                <w:color w:val="000000"/>
              </w:rPr>
              <w:t>£’000</w:t>
            </w:r>
          </w:p>
        </w:tc>
        <w:tc>
          <w:tcPr>
            <w:tcW w:w="2020" w:type="dxa"/>
            <w:tcBorders>
              <w:top w:val="nil"/>
              <w:left w:val="nil"/>
              <w:bottom w:val="nil"/>
              <w:right w:val="nil"/>
            </w:tcBorders>
            <w:vAlign w:val="bottom"/>
            <w:hideMark/>
          </w:tcPr>
          <w:p w14:paraId="0425A52A" w14:textId="0C6CE470" w:rsidR="00E26D69" w:rsidRDefault="00E26D69" w:rsidP="00524659">
            <w:pPr>
              <w:jc w:val="right"/>
              <w:rPr>
                <w:rFonts w:ascii="Arial" w:hAnsi="Arial" w:cs="Arial"/>
                <w:b/>
                <w:bCs/>
                <w:color w:val="000000"/>
              </w:rPr>
            </w:pPr>
            <w:r w:rsidRPr="00E26D69">
              <w:rPr>
                <w:rFonts w:ascii="Arial" w:hAnsi="Arial" w:cs="Arial"/>
                <w:b/>
                <w:bCs/>
                <w:color w:val="000000"/>
              </w:rPr>
              <w:t>Year to 31 March 2</w:t>
            </w:r>
            <w:r w:rsidR="003A5B03">
              <w:rPr>
                <w:rFonts w:ascii="Arial" w:hAnsi="Arial" w:cs="Arial"/>
                <w:b/>
                <w:bCs/>
                <w:color w:val="000000"/>
              </w:rPr>
              <w:t>02</w:t>
            </w:r>
            <w:r w:rsidR="00AD695C">
              <w:rPr>
                <w:rFonts w:ascii="Arial" w:hAnsi="Arial" w:cs="Arial"/>
                <w:b/>
                <w:bCs/>
                <w:color w:val="000000"/>
              </w:rPr>
              <w:t>1</w:t>
            </w:r>
          </w:p>
          <w:p w14:paraId="694E1A89" w14:textId="77777777" w:rsidR="00524659" w:rsidRDefault="00524659" w:rsidP="00524659">
            <w:pPr>
              <w:jc w:val="right"/>
              <w:rPr>
                <w:rFonts w:ascii="Arial" w:hAnsi="Arial" w:cs="Arial"/>
                <w:b/>
                <w:bCs/>
                <w:color w:val="000000"/>
              </w:rPr>
            </w:pPr>
          </w:p>
          <w:p w14:paraId="314D0B8E" w14:textId="65953F23" w:rsidR="00524659" w:rsidRPr="00E26D69" w:rsidRDefault="00524659" w:rsidP="00524659">
            <w:pPr>
              <w:jc w:val="right"/>
              <w:rPr>
                <w:rFonts w:ascii="Arial" w:hAnsi="Arial" w:cs="Arial"/>
                <w:b/>
                <w:bCs/>
                <w:color w:val="000000"/>
              </w:rPr>
            </w:pPr>
            <w:r>
              <w:rPr>
                <w:rFonts w:ascii="Arial" w:hAnsi="Arial" w:cs="Arial"/>
                <w:b/>
                <w:bCs/>
                <w:color w:val="000000"/>
              </w:rPr>
              <w:t>£’000</w:t>
            </w:r>
          </w:p>
        </w:tc>
      </w:tr>
      <w:tr w:rsidR="00863090" w:rsidRPr="00E26D69" w14:paraId="00637D19" w14:textId="77777777" w:rsidTr="00F25B2F">
        <w:trPr>
          <w:trHeight w:val="454"/>
        </w:trPr>
        <w:tc>
          <w:tcPr>
            <w:tcW w:w="6204" w:type="dxa"/>
            <w:tcBorders>
              <w:top w:val="nil"/>
              <w:left w:val="nil"/>
              <w:bottom w:val="nil"/>
              <w:right w:val="nil"/>
            </w:tcBorders>
            <w:vAlign w:val="bottom"/>
            <w:hideMark/>
          </w:tcPr>
          <w:p w14:paraId="42FAD22F" w14:textId="77777777" w:rsidR="00E26D69" w:rsidRPr="00E26D69" w:rsidRDefault="00E26D69" w:rsidP="00524659">
            <w:pPr>
              <w:ind w:left="-93"/>
              <w:rPr>
                <w:rFonts w:ascii="Arial" w:hAnsi="Arial" w:cs="Arial"/>
                <w:b/>
                <w:bCs/>
                <w:color w:val="000000"/>
              </w:rPr>
            </w:pPr>
            <w:r w:rsidRPr="00E26D69">
              <w:rPr>
                <w:rFonts w:ascii="Arial" w:hAnsi="Arial" w:cs="Arial"/>
                <w:b/>
                <w:bCs/>
                <w:color w:val="000000"/>
              </w:rPr>
              <w:t>Charge to operating costs</w:t>
            </w:r>
          </w:p>
        </w:tc>
        <w:tc>
          <w:tcPr>
            <w:tcW w:w="2410" w:type="dxa"/>
            <w:tcBorders>
              <w:top w:val="nil"/>
              <w:left w:val="nil"/>
              <w:right w:val="nil"/>
            </w:tcBorders>
            <w:shd w:val="clear" w:color="auto" w:fill="EAF1DD" w:themeFill="accent3" w:themeFillTint="33"/>
            <w:vAlign w:val="bottom"/>
            <w:hideMark/>
          </w:tcPr>
          <w:p w14:paraId="2B5E1E22" w14:textId="77777777" w:rsidR="00E26D69" w:rsidRPr="00E26D69" w:rsidRDefault="00E26D69" w:rsidP="00524659">
            <w:pPr>
              <w:jc w:val="right"/>
              <w:rPr>
                <w:rFonts w:ascii="Arial" w:hAnsi="Arial" w:cs="Arial"/>
                <w:b/>
                <w:bCs/>
                <w:color w:val="000000"/>
              </w:rPr>
            </w:pPr>
          </w:p>
        </w:tc>
        <w:tc>
          <w:tcPr>
            <w:tcW w:w="2020" w:type="dxa"/>
            <w:tcBorders>
              <w:top w:val="nil"/>
              <w:left w:val="nil"/>
              <w:right w:val="nil"/>
            </w:tcBorders>
            <w:vAlign w:val="bottom"/>
            <w:hideMark/>
          </w:tcPr>
          <w:p w14:paraId="54B6B5A6" w14:textId="77777777" w:rsidR="00E26D69" w:rsidRPr="00E26D69" w:rsidRDefault="00E26D69" w:rsidP="00524659">
            <w:pPr>
              <w:jc w:val="right"/>
              <w:rPr>
                <w:rFonts w:ascii="Arial" w:hAnsi="Arial" w:cs="Arial"/>
                <w:b/>
                <w:bCs/>
                <w:color w:val="000000"/>
              </w:rPr>
            </w:pPr>
          </w:p>
        </w:tc>
      </w:tr>
      <w:tr w:rsidR="00863090" w:rsidRPr="00E26D69" w14:paraId="15B4F7BA" w14:textId="77777777" w:rsidTr="00F25B2F">
        <w:trPr>
          <w:trHeight w:val="454"/>
        </w:trPr>
        <w:tc>
          <w:tcPr>
            <w:tcW w:w="6204" w:type="dxa"/>
            <w:tcBorders>
              <w:top w:val="nil"/>
              <w:left w:val="nil"/>
              <w:bottom w:val="nil"/>
              <w:right w:val="nil"/>
            </w:tcBorders>
            <w:vAlign w:val="bottom"/>
            <w:hideMark/>
          </w:tcPr>
          <w:p w14:paraId="03C2C8C1" w14:textId="77777777" w:rsidR="00D946A7" w:rsidRPr="00E26D69" w:rsidRDefault="00D946A7" w:rsidP="00D946A7">
            <w:pPr>
              <w:ind w:left="-93"/>
              <w:rPr>
                <w:rFonts w:ascii="Arial" w:hAnsi="Arial" w:cs="Arial"/>
                <w:color w:val="000000"/>
              </w:rPr>
            </w:pPr>
            <w:r w:rsidRPr="00E26D69">
              <w:rPr>
                <w:rFonts w:ascii="Arial" w:hAnsi="Arial" w:cs="Arial"/>
                <w:color w:val="000000"/>
              </w:rPr>
              <w:t xml:space="preserve">Current service cost </w:t>
            </w:r>
          </w:p>
        </w:tc>
        <w:tc>
          <w:tcPr>
            <w:tcW w:w="2410" w:type="dxa"/>
            <w:tcBorders>
              <w:top w:val="nil"/>
              <w:left w:val="nil"/>
              <w:right w:val="nil"/>
            </w:tcBorders>
            <w:shd w:val="clear" w:color="auto" w:fill="EAF1DD" w:themeFill="accent3" w:themeFillTint="33"/>
            <w:vAlign w:val="bottom"/>
          </w:tcPr>
          <w:p w14:paraId="629C4F15" w14:textId="5B0C3B76" w:rsidR="00D946A7" w:rsidRPr="00E26D69" w:rsidRDefault="001C7C6D" w:rsidP="00D946A7">
            <w:pPr>
              <w:jc w:val="right"/>
              <w:rPr>
                <w:rFonts w:ascii="Arial" w:hAnsi="Arial" w:cs="Arial"/>
                <w:color w:val="000000"/>
              </w:rPr>
            </w:pPr>
            <w:r>
              <w:rPr>
                <w:rFonts w:ascii="Arial" w:hAnsi="Arial" w:cs="Arial"/>
                <w:color w:val="000000"/>
              </w:rPr>
              <w:t>25,313</w:t>
            </w:r>
          </w:p>
        </w:tc>
        <w:tc>
          <w:tcPr>
            <w:tcW w:w="2020" w:type="dxa"/>
            <w:tcBorders>
              <w:top w:val="nil"/>
              <w:left w:val="nil"/>
              <w:right w:val="nil"/>
            </w:tcBorders>
            <w:vAlign w:val="bottom"/>
          </w:tcPr>
          <w:p w14:paraId="2192BEF8" w14:textId="7A3852ED" w:rsidR="00D946A7" w:rsidRPr="00E26D69" w:rsidRDefault="00D946A7" w:rsidP="00D946A7">
            <w:pPr>
              <w:jc w:val="right"/>
              <w:rPr>
                <w:rFonts w:ascii="Arial" w:hAnsi="Arial" w:cs="Arial"/>
                <w:color w:val="000000"/>
              </w:rPr>
            </w:pPr>
            <w:r>
              <w:rPr>
                <w:rFonts w:ascii="Arial" w:hAnsi="Arial" w:cs="Arial"/>
                <w:color w:val="000000"/>
              </w:rPr>
              <w:t>15,700</w:t>
            </w:r>
          </w:p>
        </w:tc>
      </w:tr>
      <w:tr w:rsidR="005A4491" w:rsidRPr="00E26D69" w14:paraId="02D4253B" w14:textId="77777777" w:rsidTr="00F25B2F">
        <w:trPr>
          <w:trHeight w:val="454"/>
        </w:trPr>
        <w:tc>
          <w:tcPr>
            <w:tcW w:w="6204" w:type="dxa"/>
            <w:tcBorders>
              <w:top w:val="nil"/>
              <w:left w:val="nil"/>
              <w:bottom w:val="nil"/>
              <w:right w:val="nil"/>
            </w:tcBorders>
            <w:vAlign w:val="bottom"/>
            <w:hideMark/>
          </w:tcPr>
          <w:p w14:paraId="5A9066EC" w14:textId="77777777" w:rsidR="00D946A7" w:rsidRPr="00E26D69" w:rsidRDefault="00D946A7" w:rsidP="00D946A7">
            <w:pPr>
              <w:ind w:left="-93"/>
              <w:rPr>
                <w:rFonts w:ascii="Arial" w:hAnsi="Arial" w:cs="Arial"/>
                <w:color w:val="000000"/>
              </w:rPr>
            </w:pPr>
            <w:r w:rsidRPr="00E26D69">
              <w:rPr>
                <w:rFonts w:ascii="Arial" w:hAnsi="Arial" w:cs="Arial"/>
                <w:color w:val="000000"/>
              </w:rPr>
              <w:t xml:space="preserve">Past service cost </w:t>
            </w:r>
          </w:p>
        </w:tc>
        <w:tc>
          <w:tcPr>
            <w:tcW w:w="2410" w:type="dxa"/>
            <w:tcBorders>
              <w:top w:val="nil"/>
              <w:left w:val="nil"/>
              <w:bottom w:val="single" w:sz="4" w:space="0" w:color="auto"/>
              <w:right w:val="nil"/>
            </w:tcBorders>
            <w:shd w:val="clear" w:color="auto" w:fill="EAF1DD" w:themeFill="accent3" w:themeFillTint="33"/>
            <w:vAlign w:val="bottom"/>
          </w:tcPr>
          <w:p w14:paraId="70C94918" w14:textId="7F51F5FB" w:rsidR="00D946A7" w:rsidRPr="00E26D69" w:rsidRDefault="001C7C6D" w:rsidP="00D946A7">
            <w:pPr>
              <w:jc w:val="right"/>
              <w:rPr>
                <w:rFonts w:ascii="Arial" w:hAnsi="Arial" w:cs="Arial"/>
                <w:color w:val="000000"/>
              </w:rPr>
            </w:pPr>
            <w:r>
              <w:rPr>
                <w:rFonts w:ascii="Arial" w:hAnsi="Arial" w:cs="Arial"/>
                <w:color w:val="000000"/>
              </w:rPr>
              <w:t>-</w:t>
            </w:r>
          </w:p>
        </w:tc>
        <w:tc>
          <w:tcPr>
            <w:tcW w:w="2020" w:type="dxa"/>
            <w:tcBorders>
              <w:top w:val="nil"/>
              <w:left w:val="nil"/>
              <w:bottom w:val="single" w:sz="4" w:space="0" w:color="auto"/>
              <w:right w:val="nil"/>
            </w:tcBorders>
            <w:vAlign w:val="bottom"/>
          </w:tcPr>
          <w:p w14:paraId="750603FE" w14:textId="6544120D" w:rsidR="00D946A7" w:rsidRPr="00E26D69" w:rsidRDefault="00D946A7" w:rsidP="00D946A7">
            <w:pPr>
              <w:jc w:val="right"/>
              <w:rPr>
                <w:rFonts w:ascii="Arial" w:hAnsi="Arial" w:cs="Arial"/>
                <w:color w:val="000000"/>
              </w:rPr>
            </w:pPr>
            <w:r>
              <w:rPr>
                <w:rFonts w:ascii="Arial" w:hAnsi="Arial" w:cs="Arial"/>
                <w:color w:val="000000"/>
              </w:rPr>
              <w:t>-</w:t>
            </w:r>
          </w:p>
        </w:tc>
      </w:tr>
      <w:tr w:rsidR="005A4491" w:rsidRPr="00E26D69" w14:paraId="27902ABB" w14:textId="77777777" w:rsidTr="00F25B2F">
        <w:trPr>
          <w:trHeight w:val="454"/>
        </w:trPr>
        <w:tc>
          <w:tcPr>
            <w:tcW w:w="6204" w:type="dxa"/>
            <w:tcBorders>
              <w:top w:val="nil"/>
              <w:left w:val="nil"/>
              <w:bottom w:val="nil"/>
              <w:right w:val="nil"/>
            </w:tcBorders>
            <w:vAlign w:val="bottom"/>
            <w:hideMark/>
          </w:tcPr>
          <w:p w14:paraId="1FA508F3" w14:textId="77777777" w:rsidR="00D946A7" w:rsidRPr="00E26D69" w:rsidRDefault="00D946A7" w:rsidP="00D946A7">
            <w:pPr>
              <w:ind w:left="-93"/>
              <w:rPr>
                <w:rFonts w:ascii="Arial" w:hAnsi="Arial" w:cs="Arial"/>
                <w:color w:val="000000"/>
              </w:rPr>
            </w:pPr>
            <w:r w:rsidRPr="00E26D69">
              <w:rPr>
                <w:rFonts w:ascii="Arial" w:hAnsi="Arial" w:cs="Arial"/>
                <w:color w:val="000000"/>
              </w:rPr>
              <w:t>Total service cost</w:t>
            </w:r>
          </w:p>
        </w:tc>
        <w:tc>
          <w:tcPr>
            <w:tcW w:w="2410" w:type="dxa"/>
            <w:tcBorders>
              <w:top w:val="single" w:sz="4" w:space="0" w:color="auto"/>
              <w:left w:val="nil"/>
              <w:bottom w:val="nil"/>
              <w:right w:val="nil"/>
            </w:tcBorders>
            <w:shd w:val="clear" w:color="auto" w:fill="EAF1DD" w:themeFill="accent3" w:themeFillTint="33"/>
            <w:vAlign w:val="bottom"/>
          </w:tcPr>
          <w:p w14:paraId="195514D2" w14:textId="18E3DCBE" w:rsidR="00D946A7" w:rsidRPr="00E26D69" w:rsidRDefault="001C7C6D" w:rsidP="00D946A7">
            <w:pPr>
              <w:jc w:val="right"/>
              <w:rPr>
                <w:rFonts w:ascii="Arial" w:hAnsi="Arial" w:cs="Arial"/>
                <w:color w:val="000000"/>
              </w:rPr>
            </w:pPr>
            <w:r>
              <w:rPr>
                <w:rFonts w:ascii="Arial" w:hAnsi="Arial" w:cs="Arial"/>
                <w:color w:val="000000"/>
              </w:rPr>
              <w:t>25,313</w:t>
            </w:r>
          </w:p>
        </w:tc>
        <w:tc>
          <w:tcPr>
            <w:tcW w:w="2020" w:type="dxa"/>
            <w:tcBorders>
              <w:top w:val="single" w:sz="4" w:space="0" w:color="auto"/>
              <w:left w:val="nil"/>
              <w:bottom w:val="nil"/>
              <w:right w:val="nil"/>
            </w:tcBorders>
            <w:vAlign w:val="bottom"/>
          </w:tcPr>
          <w:p w14:paraId="700C6BCA" w14:textId="53AC024D" w:rsidR="00D946A7" w:rsidRPr="00E26D69" w:rsidRDefault="00D946A7" w:rsidP="00D946A7">
            <w:pPr>
              <w:jc w:val="right"/>
              <w:rPr>
                <w:rFonts w:ascii="Arial" w:hAnsi="Arial" w:cs="Arial"/>
                <w:color w:val="000000"/>
              </w:rPr>
            </w:pPr>
            <w:r>
              <w:rPr>
                <w:rFonts w:ascii="Arial" w:hAnsi="Arial" w:cs="Arial"/>
                <w:color w:val="000000"/>
              </w:rPr>
              <w:t>15,700</w:t>
            </w:r>
          </w:p>
        </w:tc>
      </w:tr>
      <w:tr w:rsidR="00863090" w:rsidRPr="00E26D69" w14:paraId="7C4BD39E" w14:textId="77777777" w:rsidTr="00F25B2F">
        <w:trPr>
          <w:trHeight w:val="454"/>
        </w:trPr>
        <w:tc>
          <w:tcPr>
            <w:tcW w:w="6204" w:type="dxa"/>
            <w:tcBorders>
              <w:top w:val="nil"/>
              <w:left w:val="nil"/>
              <w:right w:val="nil"/>
            </w:tcBorders>
            <w:vAlign w:val="bottom"/>
            <w:hideMark/>
          </w:tcPr>
          <w:p w14:paraId="60C415A2" w14:textId="77777777" w:rsidR="00D946A7" w:rsidRPr="00E26D69" w:rsidRDefault="00D946A7" w:rsidP="00D946A7">
            <w:pPr>
              <w:ind w:left="-93"/>
              <w:rPr>
                <w:rFonts w:ascii="Arial" w:hAnsi="Arial" w:cs="Arial"/>
                <w:color w:val="000000"/>
              </w:rPr>
            </w:pPr>
            <w:r w:rsidRPr="00E26D69">
              <w:rPr>
                <w:rFonts w:ascii="Arial" w:hAnsi="Arial" w:cs="Arial"/>
                <w:color w:val="000000"/>
              </w:rPr>
              <w:t>Employer contribution</w:t>
            </w:r>
          </w:p>
        </w:tc>
        <w:tc>
          <w:tcPr>
            <w:tcW w:w="2410" w:type="dxa"/>
            <w:tcBorders>
              <w:top w:val="nil"/>
              <w:left w:val="nil"/>
              <w:bottom w:val="single" w:sz="4" w:space="0" w:color="auto"/>
              <w:right w:val="nil"/>
            </w:tcBorders>
            <w:shd w:val="clear" w:color="auto" w:fill="EAF1DD" w:themeFill="accent3" w:themeFillTint="33"/>
            <w:vAlign w:val="bottom"/>
          </w:tcPr>
          <w:p w14:paraId="5D7ECF8D" w14:textId="7710CAF8" w:rsidR="00D946A7" w:rsidRPr="00E26D69" w:rsidRDefault="001C7C6D" w:rsidP="00D946A7">
            <w:pPr>
              <w:jc w:val="right"/>
              <w:rPr>
                <w:rFonts w:ascii="Arial" w:hAnsi="Arial" w:cs="Arial"/>
                <w:color w:val="000000"/>
              </w:rPr>
            </w:pPr>
            <w:r>
              <w:rPr>
                <w:rFonts w:ascii="Arial" w:hAnsi="Arial" w:cs="Arial"/>
                <w:color w:val="000000"/>
              </w:rPr>
              <w:t>(9,290)</w:t>
            </w:r>
          </w:p>
        </w:tc>
        <w:tc>
          <w:tcPr>
            <w:tcW w:w="2020" w:type="dxa"/>
            <w:tcBorders>
              <w:top w:val="nil"/>
              <w:left w:val="nil"/>
              <w:bottom w:val="single" w:sz="4" w:space="0" w:color="auto"/>
              <w:right w:val="nil"/>
            </w:tcBorders>
            <w:vAlign w:val="bottom"/>
          </w:tcPr>
          <w:p w14:paraId="64ED3D0C" w14:textId="42AB5EEB" w:rsidR="00D946A7" w:rsidRPr="00E26D69" w:rsidRDefault="00D946A7" w:rsidP="00D946A7">
            <w:pPr>
              <w:jc w:val="right"/>
              <w:rPr>
                <w:rFonts w:ascii="Arial" w:hAnsi="Arial" w:cs="Arial"/>
                <w:color w:val="000000"/>
              </w:rPr>
            </w:pPr>
            <w:r>
              <w:rPr>
                <w:rFonts w:ascii="Arial" w:hAnsi="Arial" w:cs="Arial"/>
                <w:color w:val="000000"/>
              </w:rPr>
              <w:t>(9,049)</w:t>
            </w:r>
          </w:p>
        </w:tc>
      </w:tr>
      <w:tr w:rsidR="005A4491" w:rsidRPr="00E26D69" w14:paraId="57CE08FF" w14:textId="77777777" w:rsidTr="00F25B2F">
        <w:trPr>
          <w:trHeight w:val="454"/>
        </w:trPr>
        <w:tc>
          <w:tcPr>
            <w:tcW w:w="6204" w:type="dxa"/>
            <w:tcBorders>
              <w:top w:val="nil"/>
              <w:left w:val="nil"/>
              <w:bottom w:val="nil"/>
              <w:right w:val="nil"/>
            </w:tcBorders>
            <w:vAlign w:val="bottom"/>
            <w:hideMark/>
          </w:tcPr>
          <w:p w14:paraId="04024193" w14:textId="5FCE7E76" w:rsidR="00D946A7" w:rsidRPr="00E26D69" w:rsidRDefault="00D946A7" w:rsidP="00D946A7">
            <w:pPr>
              <w:ind w:left="-93"/>
              <w:rPr>
                <w:rFonts w:ascii="Arial" w:hAnsi="Arial" w:cs="Arial"/>
                <w:b/>
                <w:bCs/>
                <w:color w:val="000000"/>
              </w:rPr>
            </w:pPr>
            <w:r w:rsidRPr="00E26D69">
              <w:rPr>
                <w:rFonts w:ascii="Arial" w:hAnsi="Arial" w:cs="Arial"/>
                <w:b/>
                <w:bCs/>
                <w:color w:val="000000"/>
              </w:rPr>
              <w:t xml:space="preserve">Added to staff costs </w:t>
            </w:r>
            <w:r w:rsidRPr="008957C6">
              <w:rPr>
                <w:rFonts w:ascii="Arial" w:hAnsi="Arial" w:cs="Arial"/>
                <w:bCs/>
                <w:color w:val="000000"/>
              </w:rPr>
              <w:t xml:space="preserve">(see </w:t>
            </w:r>
            <w:hyperlink w:anchor="Note4inforegardingemployeesandBoard" w:history="1">
              <w:r w:rsidRPr="00F25B2F">
                <w:rPr>
                  <w:rStyle w:val="Hyperlink"/>
                  <w:rFonts w:ascii="Arial" w:hAnsi="Arial" w:cs="Arial"/>
                  <w:bCs/>
                </w:rPr>
                <w:t>note 4</w:t>
              </w:r>
            </w:hyperlink>
            <w:r w:rsidRPr="008957C6">
              <w:rPr>
                <w:rFonts w:ascii="Arial" w:hAnsi="Arial" w:cs="Arial"/>
                <w:bCs/>
                <w:color w:val="000000"/>
              </w:rPr>
              <w:t>)</w:t>
            </w:r>
          </w:p>
        </w:tc>
        <w:tc>
          <w:tcPr>
            <w:tcW w:w="2410" w:type="dxa"/>
            <w:tcBorders>
              <w:top w:val="single" w:sz="4" w:space="0" w:color="auto"/>
              <w:left w:val="nil"/>
              <w:bottom w:val="double" w:sz="4" w:space="0" w:color="auto"/>
              <w:right w:val="nil"/>
            </w:tcBorders>
            <w:shd w:val="clear" w:color="auto" w:fill="EAF1DD" w:themeFill="accent3" w:themeFillTint="33"/>
            <w:vAlign w:val="bottom"/>
          </w:tcPr>
          <w:p w14:paraId="659A4A8A" w14:textId="2E85E1A4" w:rsidR="00D946A7" w:rsidRPr="00E26D69" w:rsidRDefault="00DB5E68" w:rsidP="00D946A7">
            <w:pPr>
              <w:jc w:val="right"/>
              <w:rPr>
                <w:rFonts w:ascii="Arial" w:hAnsi="Arial" w:cs="Arial"/>
                <w:b/>
                <w:bCs/>
                <w:color w:val="000000"/>
              </w:rPr>
            </w:pPr>
            <w:r>
              <w:rPr>
                <w:rFonts w:ascii="Arial" w:hAnsi="Arial" w:cs="Arial"/>
                <w:b/>
                <w:bCs/>
                <w:color w:val="000000"/>
              </w:rPr>
              <w:t>16,023</w:t>
            </w:r>
          </w:p>
        </w:tc>
        <w:tc>
          <w:tcPr>
            <w:tcW w:w="2020" w:type="dxa"/>
            <w:tcBorders>
              <w:top w:val="single" w:sz="4" w:space="0" w:color="auto"/>
              <w:left w:val="nil"/>
              <w:bottom w:val="double" w:sz="4" w:space="0" w:color="auto"/>
              <w:right w:val="nil"/>
            </w:tcBorders>
            <w:vAlign w:val="bottom"/>
          </w:tcPr>
          <w:p w14:paraId="6B2A7B6E" w14:textId="1EEC8E4E" w:rsidR="00D946A7" w:rsidRPr="00E26D69" w:rsidRDefault="00D946A7" w:rsidP="00D946A7">
            <w:pPr>
              <w:jc w:val="right"/>
              <w:rPr>
                <w:rFonts w:ascii="Arial" w:hAnsi="Arial" w:cs="Arial"/>
                <w:b/>
                <w:bCs/>
                <w:color w:val="000000"/>
              </w:rPr>
            </w:pPr>
            <w:r>
              <w:rPr>
                <w:rFonts w:ascii="Arial" w:hAnsi="Arial" w:cs="Arial"/>
                <w:b/>
                <w:bCs/>
                <w:color w:val="000000"/>
              </w:rPr>
              <w:t>6,651</w:t>
            </w:r>
          </w:p>
        </w:tc>
      </w:tr>
    </w:tbl>
    <w:p w14:paraId="163BF6FB" w14:textId="77777777" w:rsidR="00E26D69" w:rsidRPr="00E26D69" w:rsidRDefault="00E26D69" w:rsidP="009D4B38">
      <w:pPr>
        <w:rPr>
          <w:rFonts w:ascii="Arial" w:hAnsi="Arial" w:cs="Arial"/>
          <w:color w:val="000000"/>
          <w:highlight w:val="cyan"/>
        </w:rPr>
      </w:pPr>
    </w:p>
    <w:tbl>
      <w:tblPr>
        <w:tblW w:w="10632" w:type="dxa"/>
        <w:tblInd w:w="-284" w:type="dxa"/>
        <w:tblLook w:val="04A0" w:firstRow="1" w:lastRow="0" w:firstColumn="1" w:lastColumn="0" w:noHBand="0" w:noVBand="1"/>
      </w:tblPr>
      <w:tblGrid>
        <w:gridCol w:w="6231"/>
        <w:gridCol w:w="2406"/>
        <w:gridCol w:w="1995"/>
      </w:tblGrid>
      <w:tr w:rsidR="00863090" w:rsidRPr="00E26D69" w14:paraId="1FF26CEC" w14:textId="77777777" w:rsidTr="00F25B2F">
        <w:trPr>
          <w:trHeight w:val="454"/>
        </w:trPr>
        <w:tc>
          <w:tcPr>
            <w:tcW w:w="6231" w:type="dxa"/>
            <w:tcBorders>
              <w:top w:val="nil"/>
              <w:left w:val="nil"/>
              <w:bottom w:val="nil"/>
              <w:right w:val="nil"/>
            </w:tcBorders>
            <w:vAlign w:val="bottom"/>
            <w:hideMark/>
          </w:tcPr>
          <w:p w14:paraId="157EB495" w14:textId="3A094157" w:rsidR="00E26D69" w:rsidRPr="00E26D69" w:rsidRDefault="00E26D69" w:rsidP="00524659">
            <w:pPr>
              <w:ind w:left="-108"/>
              <w:rPr>
                <w:rFonts w:ascii="Arial" w:hAnsi="Arial" w:cs="Arial"/>
              </w:rPr>
            </w:pPr>
            <w:r w:rsidRPr="00E26D69">
              <w:rPr>
                <w:rFonts w:ascii="Arial" w:hAnsi="Arial" w:cs="Arial"/>
              </w:rPr>
              <w:t>Projected return on employers</w:t>
            </w:r>
            <w:r w:rsidR="009E4626">
              <w:rPr>
                <w:rFonts w:ascii="Arial" w:hAnsi="Arial" w:cs="Arial"/>
              </w:rPr>
              <w:t>’</w:t>
            </w:r>
            <w:r w:rsidRPr="00E26D69">
              <w:rPr>
                <w:rFonts w:ascii="Arial" w:hAnsi="Arial" w:cs="Arial"/>
              </w:rPr>
              <w:t xml:space="preserve"> assets </w:t>
            </w:r>
          </w:p>
        </w:tc>
        <w:tc>
          <w:tcPr>
            <w:tcW w:w="2406" w:type="dxa"/>
            <w:tcBorders>
              <w:left w:val="nil"/>
              <w:bottom w:val="nil"/>
              <w:right w:val="nil"/>
            </w:tcBorders>
            <w:shd w:val="clear" w:color="auto" w:fill="EAF1DD" w:themeFill="accent3" w:themeFillTint="33"/>
            <w:vAlign w:val="bottom"/>
          </w:tcPr>
          <w:p w14:paraId="38E270DA" w14:textId="2ABFF3ED" w:rsidR="00E26D69" w:rsidRPr="00E26D69" w:rsidRDefault="003A4BC6" w:rsidP="00524659">
            <w:pPr>
              <w:jc w:val="right"/>
              <w:rPr>
                <w:rFonts w:ascii="Arial" w:hAnsi="Arial" w:cs="Arial"/>
              </w:rPr>
            </w:pPr>
            <w:r>
              <w:rPr>
                <w:rFonts w:ascii="Arial" w:hAnsi="Arial" w:cs="Arial"/>
              </w:rPr>
              <w:t>(11,408)</w:t>
            </w:r>
          </w:p>
        </w:tc>
        <w:tc>
          <w:tcPr>
            <w:tcW w:w="1995" w:type="dxa"/>
            <w:tcBorders>
              <w:top w:val="nil"/>
              <w:left w:val="nil"/>
              <w:bottom w:val="nil"/>
              <w:right w:val="nil"/>
            </w:tcBorders>
            <w:vAlign w:val="bottom"/>
          </w:tcPr>
          <w:p w14:paraId="621021ED" w14:textId="6F686DDC" w:rsidR="00E26D69" w:rsidRPr="00E26D69" w:rsidRDefault="00E26D69" w:rsidP="00524659">
            <w:pPr>
              <w:jc w:val="right"/>
              <w:rPr>
                <w:rFonts w:ascii="Arial" w:hAnsi="Arial" w:cs="Arial"/>
              </w:rPr>
            </w:pPr>
            <w:r w:rsidRPr="00E26D69">
              <w:rPr>
                <w:rFonts w:ascii="Arial" w:hAnsi="Arial" w:cs="Arial"/>
              </w:rPr>
              <w:t xml:space="preserve"> </w:t>
            </w:r>
            <w:r w:rsidR="00D946A7">
              <w:rPr>
                <w:rFonts w:ascii="Arial" w:hAnsi="Arial" w:cs="Arial"/>
              </w:rPr>
              <w:t>(9,729)</w:t>
            </w:r>
          </w:p>
        </w:tc>
      </w:tr>
      <w:tr w:rsidR="005A4491" w:rsidRPr="00E26D69" w14:paraId="44910532" w14:textId="77777777" w:rsidTr="00F25B2F">
        <w:trPr>
          <w:trHeight w:val="454"/>
        </w:trPr>
        <w:tc>
          <w:tcPr>
            <w:tcW w:w="6231" w:type="dxa"/>
            <w:tcBorders>
              <w:top w:val="nil"/>
              <w:left w:val="nil"/>
              <w:bottom w:val="nil"/>
              <w:right w:val="nil"/>
            </w:tcBorders>
            <w:vAlign w:val="bottom"/>
            <w:hideMark/>
          </w:tcPr>
          <w:p w14:paraId="32495BD3" w14:textId="77777777" w:rsidR="00E26D69" w:rsidRPr="00E26D69" w:rsidRDefault="00E26D69" w:rsidP="00524659">
            <w:pPr>
              <w:ind w:left="-108"/>
              <w:rPr>
                <w:rFonts w:ascii="Arial" w:hAnsi="Arial" w:cs="Arial"/>
              </w:rPr>
            </w:pPr>
            <w:r w:rsidRPr="00E26D69">
              <w:rPr>
                <w:rFonts w:ascii="Arial" w:hAnsi="Arial" w:cs="Arial"/>
              </w:rPr>
              <w:t xml:space="preserve">Actual return on employer assets </w:t>
            </w:r>
          </w:p>
        </w:tc>
        <w:tc>
          <w:tcPr>
            <w:tcW w:w="2406" w:type="dxa"/>
            <w:tcBorders>
              <w:top w:val="nil"/>
              <w:left w:val="nil"/>
              <w:bottom w:val="single" w:sz="4" w:space="0" w:color="auto"/>
              <w:right w:val="nil"/>
            </w:tcBorders>
            <w:shd w:val="clear" w:color="auto" w:fill="EAF1DD" w:themeFill="accent3" w:themeFillTint="33"/>
            <w:vAlign w:val="bottom"/>
          </w:tcPr>
          <w:p w14:paraId="43546912" w14:textId="1E4D401C" w:rsidR="00E26D69" w:rsidRPr="00E26D69" w:rsidRDefault="003A4BC6" w:rsidP="00524659">
            <w:pPr>
              <w:jc w:val="right"/>
              <w:rPr>
                <w:rFonts w:ascii="Arial" w:hAnsi="Arial" w:cs="Arial"/>
              </w:rPr>
            </w:pPr>
            <w:r>
              <w:rPr>
                <w:rFonts w:ascii="Arial" w:hAnsi="Arial" w:cs="Arial"/>
              </w:rPr>
              <w:t>7,459</w:t>
            </w:r>
          </w:p>
        </w:tc>
        <w:tc>
          <w:tcPr>
            <w:tcW w:w="1995" w:type="dxa"/>
            <w:tcBorders>
              <w:top w:val="nil"/>
              <w:left w:val="nil"/>
              <w:bottom w:val="single" w:sz="4" w:space="0" w:color="auto"/>
              <w:right w:val="nil"/>
            </w:tcBorders>
            <w:vAlign w:val="bottom"/>
          </w:tcPr>
          <w:p w14:paraId="184FB2F4" w14:textId="2FE2FC79" w:rsidR="00E26D69" w:rsidRPr="00E26D69" w:rsidRDefault="00D946A7" w:rsidP="00524659">
            <w:pPr>
              <w:jc w:val="right"/>
              <w:rPr>
                <w:rFonts w:ascii="Arial" w:hAnsi="Arial" w:cs="Arial"/>
              </w:rPr>
            </w:pPr>
            <w:r>
              <w:rPr>
                <w:rFonts w:ascii="Arial" w:hAnsi="Arial" w:cs="Arial"/>
              </w:rPr>
              <w:t>6,968</w:t>
            </w:r>
          </w:p>
        </w:tc>
      </w:tr>
      <w:tr w:rsidR="005A4491" w:rsidRPr="00E26D69" w14:paraId="06B7E4D8" w14:textId="77777777" w:rsidTr="00F25B2F">
        <w:trPr>
          <w:trHeight w:val="454"/>
        </w:trPr>
        <w:tc>
          <w:tcPr>
            <w:tcW w:w="6231" w:type="dxa"/>
            <w:tcBorders>
              <w:top w:val="nil"/>
              <w:left w:val="nil"/>
              <w:bottom w:val="nil"/>
              <w:right w:val="nil"/>
            </w:tcBorders>
            <w:vAlign w:val="bottom"/>
          </w:tcPr>
          <w:p w14:paraId="0A811EBE" w14:textId="0D6846D8" w:rsidR="00E26D69" w:rsidRPr="00422BF9" w:rsidRDefault="00422BF9" w:rsidP="00524659">
            <w:pPr>
              <w:ind w:left="-108"/>
              <w:rPr>
                <w:rFonts w:ascii="Arial" w:hAnsi="Arial" w:cs="Arial"/>
                <w:b/>
                <w:bCs/>
              </w:rPr>
            </w:pPr>
            <w:r w:rsidRPr="00422BF9">
              <w:rPr>
                <w:rFonts w:ascii="Arial" w:hAnsi="Arial" w:cs="Arial"/>
                <w:b/>
                <w:bCs/>
              </w:rPr>
              <w:t>Interest payable</w:t>
            </w:r>
            <w:r w:rsidR="0043606D" w:rsidRPr="008957C6">
              <w:rPr>
                <w:rFonts w:ascii="Arial" w:hAnsi="Arial" w:cs="Arial"/>
              </w:rPr>
              <w:t xml:space="preserve"> (</w:t>
            </w:r>
            <w:hyperlink w:anchor="Note7interestpayable" w:history="1">
              <w:r w:rsidR="0043606D" w:rsidRPr="00F25B2F">
                <w:rPr>
                  <w:rStyle w:val="Hyperlink"/>
                  <w:rFonts w:ascii="Arial" w:hAnsi="Arial" w:cs="Arial"/>
                </w:rPr>
                <w:t>note</w:t>
              </w:r>
              <w:r w:rsidR="008957C6" w:rsidRPr="00F25B2F">
                <w:rPr>
                  <w:rStyle w:val="Hyperlink"/>
                  <w:rFonts w:ascii="Arial" w:hAnsi="Arial" w:cs="Arial"/>
                </w:rPr>
                <w:t xml:space="preserve"> 7</w:t>
              </w:r>
            </w:hyperlink>
            <w:r w:rsidR="008957C6" w:rsidRPr="008957C6">
              <w:rPr>
                <w:rFonts w:ascii="Arial" w:hAnsi="Arial" w:cs="Arial"/>
              </w:rPr>
              <w:t>)</w:t>
            </w:r>
          </w:p>
        </w:tc>
        <w:tc>
          <w:tcPr>
            <w:tcW w:w="2406" w:type="dxa"/>
            <w:tcBorders>
              <w:top w:val="single" w:sz="4" w:space="0" w:color="auto"/>
              <w:left w:val="nil"/>
              <w:bottom w:val="double" w:sz="4" w:space="0" w:color="auto"/>
              <w:right w:val="nil"/>
            </w:tcBorders>
            <w:shd w:val="clear" w:color="auto" w:fill="EAF1DD" w:themeFill="accent3" w:themeFillTint="33"/>
            <w:vAlign w:val="bottom"/>
          </w:tcPr>
          <w:p w14:paraId="16850EC1" w14:textId="53B672A6" w:rsidR="00E26D69" w:rsidRPr="00E26D69" w:rsidRDefault="003A4BC6" w:rsidP="00524659">
            <w:pPr>
              <w:jc w:val="right"/>
              <w:rPr>
                <w:rFonts w:ascii="Arial" w:hAnsi="Arial" w:cs="Arial"/>
                <w:b/>
              </w:rPr>
            </w:pPr>
            <w:r>
              <w:rPr>
                <w:rFonts w:ascii="Arial" w:hAnsi="Arial" w:cs="Arial"/>
                <w:b/>
              </w:rPr>
              <w:t>(3,949)</w:t>
            </w:r>
          </w:p>
        </w:tc>
        <w:tc>
          <w:tcPr>
            <w:tcW w:w="1995" w:type="dxa"/>
            <w:tcBorders>
              <w:top w:val="single" w:sz="4" w:space="0" w:color="auto"/>
              <w:left w:val="nil"/>
              <w:bottom w:val="double" w:sz="4" w:space="0" w:color="auto"/>
              <w:right w:val="nil"/>
            </w:tcBorders>
            <w:vAlign w:val="bottom"/>
          </w:tcPr>
          <w:p w14:paraId="0993D0A4" w14:textId="01ACB9A6" w:rsidR="00E26D69" w:rsidRPr="00E26D69" w:rsidRDefault="00D946A7" w:rsidP="00524659">
            <w:pPr>
              <w:jc w:val="right"/>
              <w:rPr>
                <w:rFonts w:ascii="Arial" w:hAnsi="Arial" w:cs="Arial"/>
                <w:b/>
              </w:rPr>
            </w:pPr>
            <w:r>
              <w:rPr>
                <w:rFonts w:ascii="Arial" w:hAnsi="Arial" w:cs="Arial"/>
                <w:b/>
              </w:rPr>
              <w:t>(2,761)</w:t>
            </w:r>
          </w:p>
        </w:tc>
      </w:tr>
    </w:tbl>
    <w:p w14:paraId="57D2EDF6" w14:textId="77777777" w:rsidR="00E26D69" w:rsidRPr="00E26D69" w:rsidRDefault="00E26D69" w:rsidP="00E26D69">
      <w:pPr>
        <w:spacing w:line="360" w:lineRule="auto"/>
        <w:rPr>
          <w:rFonts w:ascii="Arial" w:hAnsi="Arial" w:cs="Arial"/>
        </w:rPr>
      </w:pPr>
    </w:p>
    <w:p w14:paraId="51FFD8BF" w14:textId="2586D55F" w:rsidR="00E26D69" w:rsidRPr="00E26D69" w:rsidRDefault="00E26D69" w:rsidP="00935A7F">
      <w:pPr>
        <w:spacing w:line="360" w:lineRule="auto"/>
        <w:ind w:left="-284" w:right="-710"/>
        <w:rPr>
          <w:rFonts w:ascii="Arial" w:hAnsi="Arial" w:cs="Arial"/>
        </w:rPr>
      </w:pPr>
      <w:r w:rsidRPr="00C10F3A">
        <w:rPr>
          <w:rFonts w:ascii="Arial" w:hAnsi="Arial" w:cs="Arial"/>
        </w:rPr>
        <w:t>Hymans Robertson have estimated SEPA's employer’s contributions for the period to 31 March 202</w:t>
      </w:r>
      <w:r w:rsidR="00BF246A" w:rsidRPr="00C10F3A">
        <w:rPr>
          <w:rFonts w:ascii="Arial" w:hAnsi="Arial" w:cs="Arial"/>
        </w:rPr>
        <w:t>2</w:t>
      </w:r>
      <w:r w:rsidRPr="00C10F3A">
        <w:rPr>
          <w:rFonts w:ascii="Arial" w:hAnsi="Arial" w:cs="Arial"/>
        </w:rPr>
        <w:t xml:space="preserve"> at approximately £</w:t>
      </w:r>
      <w:r w:rsidR="006B4C60" w:rsidRPr="00C10F3A">
        <w:rPr>
          <w:rFonts w:ascii="Arial" w:hAnsi="Arial" w:cs="Arial"/>
        </w:rPr>
        <w:t>9</w:t>
      </w:r>
      <w:r w:rsidR="00887E8B">
        <w:rPr>
          <w:rFonts w:ascii="Arial" w:hAnsi="Arial" w:cs="Arial"/>
        </w:rPr>
        <w:t>.3</w:t>
      </w:r>
      <w:r w:rsidRPr="00C10F3A">
        <w:rPr>
          <w:rFonts w:ascii="Arial" w:hAnsi="Arial" w:cs="Arial"/>
        </w:rPr>
        <w:t>m.</w:t>
      </w:r>
    </w:p>
    <w:p w14:paraId="5F2B042E" w14:textId="77777777" w:rsidR="00E26D69" w:rsidRPr="00E26D69" w:rsidRDefault="00E26D69" w:rsidP="009F42F2">
      <w:pPr>
        <w:ind w:right="-710"/>
        <w:rPr>
          <w:rFonts w:ascii="Arial" w:hAnsi="Arial" w:cs="Arial"/>
        </w:rPr>
      </w:pPr>
    </w:p>
    <w:p w14:paraId="540CE7D6" w14:textId="1D91F3DD" w:rsidR="00935A7F" w:rsidRPr="00B12B54" w:rsidRDefault="00A8044E" w:rsidP="000845C9">
      <w:pPr>
        <w:spacing w:line="360" w:lineRule="auto"/>
        <w:ind w:left="-284" w:right="-710"/>
        <w:contextualSpacing/>
        <w:rPr>
          <w:rFonts w:ascii="Arial" w:hAnsi="Arial" w:cs="Arial"/>
          <w:b/>
        </w:rPr>
      </w:pPr>
      <w:bookmarkStart w:id="50" w:name="Note17Relatedpartytransactions"/>
      <w:r>
        <w:rPr>
          <w:rFonts w:ascii="Arial" w:hAnsi="Arial" w:cs="Arial"/>
          <w:b/>
        </w:rPr>
        <w:t>Not</w:t>
      </w:r>
      <w:r w:rsidR="00AD2157">
        <w:rPr>
          <w:rFonts w:ascii="Arial" w:hAnsi="Arial" w:cs="Arial"/>
          <w:b/>
        </w:rPr>
        <w:t>e 17.</w:t>
      </w:r>
      <w:r w:rsidR="00E26D69" w:rsidRPr="00E26D69">
        <w:rPr>
          <w:rFonts w:ascii="Arial" w:hAnsi="Arial" w:cs="Arial"/>
          <w:b/>
        </w:rPr>
        <w:t xml:space="preserve"> </w:t>
      </w:r>
      <w:r w:rsidR="00E26D69" w:rsidRPr="00B12B54">
        <w:rPr>
          <w:rFonts w:ascii="Arial" w:hAnsi="Arial" w:cs="Arial"/>
          <w:b/>
        </w:rPr>
        <w:t xml:space="preserve">Related party transactions </w:t>
      </w:r>
    </w:p>
    <w:bookmarkEnd w:id="50"/>
    <w:p w14:paraId="76C3F03F" w14:textId="129D7A2B" w:rsidR="00A051BA" w:rsidRDefault="00E26D69" w:rsidP="009F42F2">
      <w:pPr>
        <w:spacing w:line="360" w:lineRule="auto"/>
        <w:ind w:left="-284" w:right="-710"/>
        <w:contextualSpacing/>
        <w:rPr>
          <w:rFonts w:ascii="Arial" w:hAnsi="Arial" w:cs="Arial"/>
          <w:color w:val="000000"/>
        </w:rPr>
      </w:pPr>
      <w:r w:rsidRPr="00935A7F">
        <w:rPr>
          <w:rFonts w:ascii="Arial" w:hAnsi="Arial" w:cs="Arial"/>
          <w:color w:val="000000"/>
        </w:rPr>
        <w:t xml:space="preserve">SEPA is a non-departmental public body sponsored by the Scottish Government Directorate for Environment and Forestry. The Scottish Government is regarded as a related party. During the year, SEPA has had various material transactions </w:t>
      </w:r>
      <w:r w:rsidR="00D43318">
        <w:rPr>
          <w:rFonts w:ascii="Arial" w:hAnsi="Arial" w:cs="Arial"/>
          <w:color w:val="000000"/>
        </w:rPr>
        <w:t xml:space="preserve">mainly in relation </w:t>
      </w:r>
      <w:r w:rsidR="00A051BA">
        <w:rPr>
          <w:rFonts w:ascii="Arial" w:hAnsi="Arial" w:cs="Arial"/>
          <w:color w:val="000000"/>
        </w:rPr>
        <w:t xml:space="preserve">to the drawdown of Grant </w:t>
      </w:r>
      <w:r w:rsidR="00782737">
        <w:rPr>
          <w:rFonts w:ascii="Arial" w:hAnsi="Arial" w:cs="Arial"/>
          <w:color w:val="000000"/>
        </w:rPr>
        <w:t>in</w:t>
      </w:r>
      <w:r w:rsidR="00A051BA">
        <w:rPr>
          <w:rFonts w:ascii="Arial" w:hAnsi="Arial" w:cs="Arial"/>
          <w:color w:val="000000"/>
        </w:rPr>
        <w:t xml:space="preserve"> A</w:t>
      </w:r>
      <w:r w:rsidR="00782737">
        <w:rPr>
          <w:rFonts w:ascii="Arial" w:hAnsi="Arial" w:cs="Arial"/>
          <w:color w:val="000000"/>
        </w:rPr>
        <w:t>id</w:t>
      </w:r>
      <w:r w:rsidR="00A051BA">
        <w:rPr>
          <w:rFonts w:ascii="Arial" w:hAnsi="Arial" w:cs="Arial"/>
          <w:color w:val="000000"/>
        </w:rPr>
        <w:t xml:space="preserve"> and Grant Funding to support the Water Environment Fund.</w:t>
      </w:r>
    </w:p>
    <w:p w14:paraId="3EDC82EA" w14:textId="77777777" w:rsidR="00A051BA" w:rsidRDefault="00A051BA" w:rsidP="009F42F2">
      <w:pPr>
        <w:spacing w:line="360" w:lineRule="auto"/>
        <w:ind w:left="-284" w:right="-710"/>
        <w:contextualSpacing/>
        <w:rPr>
          <w:rFonts w:ascii="Arial" w:hAnsi="Arial" w:cs="Arial"/>
          <w:color w:val="000000"/>
        </w:rPr>
      </w:pPr>
    </w:p>
    <w:p w14:paraId="223D2C84" w14:textId="53054195" w:rsidR="001B6DE6" w:rsidRDefault="00A051BA" w:rsidP="000845C9">
      <w:pPr>
        <w:spacing w:line="360" w:lineRule="auto"/>
        <w:ind w:left="-284" w:right="-710"/>
        <w:contextualSpacing/>
        <w:rPr>
          <w:rFonts w:ascii="Arial" w:hAnsi="Arial" w:cs="Arial"/>
          <w:color w:val="000000"/>
        </w:rPr>
      </w:pPr>
      <w:r>
        <w:rPr>
          <w:rFonts w:ascii="Arial" w:hAnsi="Arial" w:cs="Arial"/>
          <w:color w:val="000000"/>
        </w:rPr>
        <w:t xml:space="preserve">SEPA also has </w:t>
      </w:r>
      <w:r w:rsidR="00782737">
        <w:rPr>
          <w:rFonts w:ascii="Arial" w:hAnsi="Arial" w:cs="Arial"/>
          <w:color w:val="000000"/>
        </w:rPr>
        <w:t xml:space="preserve">material transactions </w:t>
      </w:r>
      <w:r w:rsidR="00E26D69" w:rsidRPr="00935A7F">
        <w:rPr>
          <w:rFonts w:ascii="Arial" w:hAnsi="Arial" w:cs="Arial"/>
          <w:color w:val="000000"/>
        </w:rPr>
        <w:t>with</w:t>
      </w:r>
      <w:r w:rsidR="00782737">
        <w:rPr>
          <w:rFonts w:ascii="Arial" w:hAnsi="Arial" w:cs="Arial"/>
          <w:color w:val="000000"/>
        </w:rPr>
        <w:t xml:space="preserve"> </w:t>
      </w:r>
      <w:r w:rsidR="00E26D69" w:rsidRPr="00935A7F">
        <w:rPr>
          <w:rFonts w:ascii="Arial" w:hAnsi="Arial" w:cs="Arial"/>
          <w:color w:val="000000"/>
        </w:rPr>
        <w:t>other entities for which the Scottish Government is regarded as a parent body</w:t>
      </w:r>
      <w:r w:rsidR="004F2EDF">
        <w:rPr>
          <w:rFonts w:ascii="Arial" w:hAnsi="Arial" w:cs="Arial"/>
          <w:color w:val="000000"/>
        </w:rPr>
        <w:t xml:space="preserve"> </w:t>
      </w:r>
      <w:r w:rsidR="001530EF">
        <w:rPr>
          <w:rFonts w:ascii="Arial" w:hAnsi="Arial" w:cs="Arial"/>
          <w:color w:val="000000"/>
        </w:rPr>
        <w:t>including</w:t>
      </w:r>
      <w:r w:rsidR="000845C9">
        <w:rPr>
          <w:rFonts w:ascii="Arial" w:hAnsi="Arial" w:cs="Arial"/>
          <w:color w:val="000000"/>
        </w:rPr>
        <w:t xml:space="preserve">: </w:t>
      </w:r>
      <w:r w:rsidR="001530EF">
        <w:rPr>
          <w:rFonts w:ascii="Arial" w:hAnsi="Arial" w:cs="Arial"/>
          <w:color w:val="000000"/>
        </w:rPr>
        <w:t>Scottish</w:t>
      </w:r>
      <w:r w:rsidR="00EB58A5">
        <w:rPr>
          <w:rFonts w:ascii="Arial" w:hAnsi="Arial" w:cs="Arial"/>
          <w:color w:val="000000"/>
        </w:rPr>
        <w:t xml:space="preserve"> Water</w:t>
      </w:r>
      <w:r w:rsidR="000845C9">
        <w:rPr>
          <w:rFonts w:ascii="Arial" w:hAnsi="Arial" w:cs="Arial"/>
          <w:color w:val="000000"/>
        </w:rPr>
        <w:t xml:space="preserve">, </w:t>
      </w:r>
      <w:r w:rsidR="001530EF">
        <w:rPr>
          <w:rFonts w:ascii="Arial" w:hAnsi="Arial" w:cs="Arial"/>
          <w:color w:val="000000"/>
        </w:rPr>
        <w:t>Revenue Scotland</w:t>
      </w:r>
      <w:r w:rsidR="000845C9">
        <w:rPr>
          <w:rFonts w:ascii="Arial" w:hAnsi="Arial" w:cs="Arial"/>
          <w:color w:val="000000"/>
        </w:rPr>
        <w:t xml:space="preserve">, </w:t>
      </w:r>
      <w:r w:rsidR="001530EF">
        <w:rPr>
          <w:rFonts w:ascii="Arial" w:hAnsi="Arial" w:cs="Arial"/>
          <w:color w:val="000000"/>
        </w:rPr>
        <w:t>Forestry and Land Scotland</w:t>
      </w:r>
      <w:r w:rsidR="000845C9">
        <w:rPr>
          <w:rFonts w:ascii="Arial" w:hAnsi="Arial" w:cs="Arial"/>
          <w:color w:val="000000"/>
        </w:rPr>
        <w:t xml:space="preserve">, </w:t>
      </w:r>
      <w:r w:rsidR="001B6DE6">
        <w:rPr>
          <w:rFonts w:ascii="Arial" w:hAnsi="Arial" w:cs="Arial"/>
          <w:color w:val="000000"/>
        </w:rPr>
        <w:t>East Renfrewshire Council</w:t>
      </w:r>
      <w:r w:rsidR="000845C9">
        <w:rPr>
          <w:rFonts w:ascii="Arial" w:hAnsi="Arial" w:cs="Arial"/>
          <w:color w:val="000000"/>
        </w:rPr>
        <w:t xml:space="preserve">, </w:t>
      </w:r>
      <w:r w:rsidR="001B6DE6">
        <w:rPr>
          <w:rFonts w:ascii="Arial" w:hAnsi="Arial" w:cs="Arial"/>
          <w:color w:val="000000"/>
        </w:rPr>
        <w:t>East Dunbartonshire Council</w:t>
      </w:r>
      <w:r w:rsidR="000845C9">
        <w:rPr>
          <w:rFonts w:ascii="Arial" w:hAnsi="Arial" w:cs="Arial"/>
          <w:color w:val="000000"/>
        </w:rPr>
        <w:t xml:space="preserve">, </w:t>
      </w:r>
      <w:r w:rsidR="001B6DE6">
        <w:rPr>
          <w:rFonts w:ascii="Arial" w:hAnsi="Arial" w:cs="Arial"/>
          <w:color w:val="000000"/>
        </w:rPr>
        <w:t>North Lanarkshire Council</w:t>
      </w:r>
      <w:r w:rsidR="00F25B2F">
        <w:rPr>
          <w:rFonts w:ascii="Arial" w:hAnsi="Arial" w:cs="Arial"/>
          <w:color w:val="000000"/>
        </w:rPr>
        <w:t>, and</w:t>
      </w:r>
    </w:p>
    <w:p w14:paraId="6783CFAC" w14:textId="1824DA6F" w:rsidR="001B6DE6" w:rsidRDefault="001B6DE6" w:rsidP="009F42F2">
      <w:pPr>
        <w:spacing w:line="360" w:lineRule="auto"/>
        <w:ind w:left="-284" w:right="-710"/>
        <w:contextualSpacing/>
        <w:rPr>
          <w:rFonts w:ascii="Arial" w:hAnsi="Arial" w:cs="Arial"/>
          <w:color w:val="000000"/>
        </w:rPr>
      </w:pPr>
      <w:r>
        <w:rPr>
          <w:rFonts w:ascii="Arial" w:hAnsi="Arial" w:cs="Arial"/>
          <w:color w:val="000000"/>
        </w:rPr>
        <w:t>Nature Scot</w:t>
      </w:r>
      <w:r w:rsidR="000845C9">
        <w:rPr>
          <w:rFonts w:ascii="Arial" w:hAnsi="Arial" w:cs="Arial"/>
          <w:color w:val="000000"/>
        </w:rPr>
        <w:t>.</w:t>
      </w:r>
    </w:p>
    <w:p w14:paraId="2ED08E36" w14:textId="77777777" w:rsidR="001B6DE6" w:rsidRDefault="001B6DE6" w:rsidP="009F42F2">
      <w:pPr>
        <w:spacing w:line="360" w:lineRule="auto"/>
        <w:ind w:left="-284" w:right="-710"/>
        <w:contextualSpacing/>
        <w:rPr>
          <w:rFonts w:ascii="Arial" w:hAnsi="Arial" w:cs="Arial"/>
          <w:color w:val="000000"/>
        </w:rPr>
      </w:pPr>
    </w:p>
    <w:p w14:paraId="0BE97D0E" w14:textId="0F053F78" w:rsidR="000B593B" w:rsidRDefault="001B6DE6" w:rsidP="009F42F2">
      <w:pPr>
        <w:spacing w:line="360" w:lineRule="auto"/>
        <w:ind w:left="-284" w:right="-710"/>
        <w:contextualSpacing/>
        <w:rPr>
          <w:rFonts w:ascii="Arial" w:hAnsi="Arial" w:cs="Arial"/>
          <w:color w:val="000000"/>
        </w:rPr>
      </w:pPr>
      <w:r>
        <w:rPr>
          <w:rFonts w:ascii="Arial" w:hAnsi="Arial" w:cs="Arial"/>
          <w:color w:val="000000"/>
        </w:rPr>
        <w:lastRenderedPageBreak/>
        <w:t>D</w:t>
      </w:r>
      <w:r w:rsidR="001530EF">
        <w:rPr>
          <w:rFonts w:ascii="Arial" w:hAnsi="Arial" w:cs="Arial"/>
          <w:color w:val="000000"/>
        </w:rPr>
        <w:t>ur</w:t>
      </w:r>
      <w:r w:rsidR="00E26D69" w:rsidRPr="008D06E3">
        <w:rPr>
          <w:rFonts w:ascii="Arial" w:hAnsi="Arial" w:cs="Arial"/>
          <w:color w:val="000000"/>
        </w:rPr>
        <w:t>ing the year, apart from their service contracts, no Board Member, key manager</w:t>
      </w:r>
      <w:r w:rsidR="00270F06" w:rsidRPr="008D06E3">
        <w:rPr>
          <w:rFonts w:ascii="Arial" w:hAnsi="Arial" w:cs="Arial"/>
          <w:color w:val="000000"/>
        </w:rPr>
        <w:t>,</w:t>
      </w:r>
      <w:r w:rsidR="00E26D69" w:rsidRPr="008D06E3">
        <w:rPr>
          <w:rFonts w:ascii="Arial" w:hAnsi="Arial" w:cs="Arial"/>
          <w:color w:val="000000"/>
        </w:rPr>
        <w:t xml:space="preserve"> or other related par</w:t>
      </w:r>
      <w:r w:rsidR="00E26D69" w:rsidRPr="00935A7F">
        <w:rPr>
          <w:rFonts w:ascii="Arial" w:hAnsi="Arial" w:cs="Arial"/>
          <w:color w:val="000000"/>
        </w:rPr>
        <w:t xml:space="preserve">ties have undertaken any material transactions with SEPA. Board Member Declarations of Registered Interests is published on the SEPA </w:t>
      </w:r>
      <w:hyperlink r:id="rId78" w:history="1">
        <w:r w:rsidR="00E26D69" w:rsidRPr="00935A7F">
          <w:rPr>
            <w:rFonts w:ascii="Arial" w:hAnsi="Arial" w:cs="Arial"/>
            <w:color w:val="0000FF"/>
            <w:u w:val="single"/>
          </w:rPr>
          <w:t>website</w:t>
        </w:r>
      </w:hyperlink>
      <w:r w:rsidR="00E26D69" w:rsidRPr="00935A7F">
        <w:rPr>
          <w:rFonts w:ascii="Arial" w:hAnsi="Arial" w:cs="Arial"/>
          <w:color w:val="000000"/>
        </w:rPr>
        <w:t>.</w:t>
      </w:r>
    </w:p>
    <w:p w14:paraId="0BFA1CFC" w14:textId="77777777" w:rsidR="009F42F2" w:rsidRDefault="009F42F2" w:rsidP="009F42F2">
      <w:pPr>
        <w:spacing w:line="360" w:lineRule="auto"/>
        <w:ind w:left="-284" w:right="-710"/>
        <w:contextualSpacing/>
        <w:rPr>
          <w:rFonts w:ascii="Arial" w:hAnsi="Arial" w:cs="Arial"/>
          <w:color w:val="000000"/>
        </w:rPr>
      </w:pPr>
    </w:p>
    <w:p w14:paraId="299E9959" w14:textId="2C2E94AC" w:rsidR="00D11534" w:rsidRPr="009263D1" w:rsidRDefault="00D11534" w:rsidP="009F42F2">
      <w:pPr>
        <w:spacing w:line="360" w:lineRule="auto"/>
        <w:ind w:left="-284" w:right="-710"/>
        <w:rPr>
          <w:rFonts w:ascii="Arial" w:hAnsi="Arial" w:cs="Arial"/>
          <w:color w:val="FF0000"/>
        </w:rPr>
      </w:pPr>
      <w:r w:rsidRPr="00487A68">
        <w:rPr>
          <w:rFonts w:ascii="Arial" w:hAnsi="Arial" w:cs="Arial"/>
          <w:color w:val="000000"/>
        </w:rPr>
        <w:t xml:space="preserve">One non-executive member of the </w:t>
      </w:r>
      <w:r w:rsidR="001B5AA4">
        <w:rPr>
          <w:rFonts w:ascii="Arial" w:hAnsi="Arial" w:cs="Arial"/>
          <w:color w:val="000000"/>
        </w:rPr>
        <w:t>B</w:t>
      </w:r>
      <w:r w:rsidRPr="00487A68">
        <w:rPr>
          <w:rFonts w:ascii="Arial" w:hAnsi="Arial" w:cs="Arial"/>
          <w:color w:val="000000"/>
        </w:rPr>
        <w:t xml:space="preserve">oard also </w:t>
      </w:r>
      <w:r w:rsidR="00B732C3">
        <w:rPr>
          <w:rFonts w:ascii="Arial" w:hAnsi="Arial" w:cs="Arial"/>
          <w:color w:val="000000"/>
        </w:rPr>
        <w:t>sat as Vice</w:t>
      </w:r>
      <w:r w:rsidR="00204B0C">
        <w:rPr>
          <w:rFonts w:ascii="Arial" w:hAnsi="Arial" w:cs="Arial"/>
          <w:color w:val="000000"/>
        </w:rPr>
        <w:t xml:space="preserve"> </w:t>
      </w:r>
      <w:r w:rsidR="000845C9">
        <w:rPr>
          <w:rFonts w:ascii="Arial" w:hAnsi="Arial" w:cs="Arial"/>
          <w:color w:val="000000"/>
        </w:rPr>
        <w:t>C</w:t>
      </w:r>
      <w:r w:rsidR="00204B0C">
        <w:rPr>
          <w:rFonts w:ascii="Arial" w:hAnsi="Arial" w:cs="Arial"/>
          <w:color w:val="000000"/>
        </w:rPr>
        <w:t>hair on</w:t>
      </w:r>
      <w:r w:rsidRPr="00487A68">
        <w:rPr>
          <w:rFonts w:ascii="Arial" w:hAnsi="Arial" w:cs="Arial"/>
          <w:color w:val="000000"/>
        </w:rPr>
        <w:t xml:space="preserve"> the Board of NHS Lothian</w:t>
      </w:r>
      <w:r w:rsidR="00A05D8D">
        <w:rPr>
          <w:rFonts w:ascii="Arial" w:hAnsi="Arial" w:cs="Arial"/>
          <w:color w:val="000000"/>
        </w:rPr>
        <w:t xml:space="preserve"> until December 2021</w:t>
      </w:r>
      <w:r w:rsidRPr="00487A68">
        <w:rPr>
          <w:rFonts w:ascii="Arial" w:hAnsi="Arial" w:cs="Arial"/>
          <w:color w:val="000000"/>
        </w:rPr>
        <w:t>. NHS Lothian are deemed to be a related party</w:t>
      </w:r>
      <w:r w:rsidRPr="009263D1">
        <w:rPr>
          <w:rFonts w:ascii="Arial" w:hAnsi="Arial" w:cs="Arial"/>
          <w:color w:val="FF0000"/>
        </w:rPr>
        <w:t xml:space="preserve">. </w:t>
      </w:r>
      <w:r w:rsidRPr="000845C9">
        <w:rPr>
          <w:rFonts w:ascii="Arial" w:hAnsi="Arial" w:cs="Arial"/>
          <w:color w:val="000000" w:themeColor="text1"/>
        </w:rPr>
        <w:t>SEPA had a small number of transactions with NHS Lothian</w:t>
      </w:r>
      <w:r w:rsidR="00487A68" w:rsidRPr="000845C9">
        <w:rPr>
          <w:rFonts w:ascii="Arial" w:hAnsi="Arial" w:cs="Arial"/>
          <w:color w:val="000000" w:themeColor="text1"/>
        </w:rPr>
        <w:t xml:space="preserve"> </w:t>
      </w:r>
      <w:r w:rsidRPr="000845C9">
        <w:rPr>
          <w:rFonts w:ascii="Arial" w:hAnsi="Arial" w:cs="Arial"/>
          <w:color w:val="000000" w:themeColor="text1"/>
        </w:rPr>
        <w:t>during the year</w:t>
      </w:r>
      <w:r w:rsidR="00865276">
        <w:rPr>
          <w:rFonts w:ascii="Arial" w:hAnsi="Arial" w:cs="Arial"/>
          <w:color w:val="000000" w:themeColor="text1"/>
        </w:rPr>
        <w:t xml:space="preserve"> to the value of £85k</w:t>
      </w:r>
      <w:r w:rsidRPr="000845C9">
        <w:rPr>
          <w:rFonts w:ascii="Arial" w:hAnsi="Arial" w:cs="Arial"/>
          <w:color w:val="000000" w:themeColor="text1"/>
        </w:rPr>
        <w:t>.</w:t>
      </w:r>
    </w:p>
    <w:p w14:paraId="244E6046" w14:textId="593F83C8" w:rsidR="00235028" w:rsidRPr="009263D1" w:rsidRDefault="00235028" w:rsidP="009623CD">
      <w:pPr>
        <w:spacing w:line="360" w:lineRule="auto"/>
        <w:ind w:right="-427"/>
        <w:contextualSpacing/>
        <w:rPr>
          <w:rFonts w:ascii="Arial" w:hAnsi="Arial" w:cs="Arial"/>
          <w:b/>
          <w:color w:val="FF0000"/>
        </w:rPr>
      </w:pPr>
    </w:p>
    <w:p w14:paraId="5DDA0883" w14:textId="77777777" w:rsidR="000F5C87" w:rsidRDefault="000F5C87" w:rsidP="007D597A">
      <w:pPr>
        <w:spacing w:line="360" w:lineRule="auto"/>
        <w:ind w:left="-284"/>
        <w:jc w:val="both"/>
        <w:rPr>
          <w:rFonts w:ascii="Arial" w:hAnsi="Arial" w:cs="Arial"/>
          <w:color w:val="000000"/>
        </w:rPr>
        <w:sectPr w:rsidR="000F5C87" w:rsidSect="00425546">
          <w:pgSz w:w="11906" w:h="16838" w:code="9"/>
          <w:pgMar w:top="1418" w:right="1276" w:bottom="709" w:left="992" w:header="709" w:footer="709" w:gutter="0"/>
          <w:cols w:space="708"/>
          <w:docGrid w:linePitch="360"/>
        </w:sectPr>
      </w:pPr>
    </w:p>
    <w:p w14:paraId="04DC5D39" w14:textId="62AB00DF" w:rsidR="007160EA" w:rsidRDefault="00DB7513" w:rsidP="00F13CEC">
      <w:pPr>
        <w:spacing w:line="360" w:lineRule="auto"/>
        <w:ind w:left="-142" w:right="-710" w:firstLine="142"/>
        <w:contextualSpacing/>
        <w:rPr>
          <w:rFonts w:ascii="Arial" w:hAnsi="Arial" w:cs="Arial"/>
          <w:b/>
        </w:rPr>
      </w:pPr>
      <w:bookmarkStart w:id="51" w:name="Note18Segmentalanalysis"/>
      <w:r w:rsidRPr="00D75F42">
        <w:rPr>
          <w:rFonts w:ascii="Arial" w:hAnsi="Arial" w:cs="Arial"/>
          <w:b/>
        </w:rPr>
        <w:lastRenderedPageBreak/>
        <w:t>Note 1</w:t>
      </w:r>
      <w:r w:rsidR="00AD2157" w:rsidRPr="00D75F42">
        <w:rPr>
          <w:rFonts w:ascii="Arial" w:hAnsi="Arial" w:cs="Arial"/>
          <w:b/>
        </w:rPr>
        <w:t>8</w:t>
      </w:r>
      <w:r w:rsidR="00C25A5E">
        <w:rPr>
          <w:rFonts w:ascii="Arial" w:hAnsi="Arial" w:cs="Arial"/>
          <w:b/>
        </w:rPr>
        <w:t>.</w:t>
      </w:r>
      <w:r w:rsidRPr="00D75F42">
        <w:rPr>
          <w:rFonts w:ascii="Arial" w:hAnsi="Arial" w:cs="Arial"/>
          <w:b/>
        </w:rPr>
        <w:t xml:space="preserve"> </w:t>
      </w:r>
      <w:r w:rsidR="00BF2853" w:rsidRPr="00D75F42">
        <w:rPr>
          <w:rFonts w:ascii="Arial" w:hAnsi="Arial" w:cs="Arial"/>
          <w:b/>
        </w:rPr>
        <w:t>Segmental</w:t>
      </w:r>
      <w:r w:rsidR="00F75D34" w:rsidRPr="00D75F42">
        <w:rPr>
          <w:rFonts w:ascii="Arial" w:hAnsi="Arial" w:cs="Arial"/>
          <w:b/>
        </w:rPr>
        <w:t xml:space="preserve"> </w:t>
      </w:r>
      <w:r w:rsidR="003D6AFF">
        <w:rPr>
          <w:rFonts w:ascii="Arial" w:hAnsi="Arial" w:cs="Arial"/>
          <w:b/>
        </w:rPr>
        <w:t>a</w:t>
      </w:r>
      <w:r w:rsidR="00F75D34" w:rsidRPr="00D75F42">
        <w:rPr>
          <w:rFonts w:ascii="Arial" w:hAnsi="Arial" w:cs="Arial"/>
          <w:b/>
        </w:rPr>
        <w:t>nalysis for 20</w:t>
      </w:r>
      <w:r w:rsidR="0033366D" w:rsidRPr="00D75F42">
        <w:rPr>
          <w:rFonts w:ascii="Arial" w:hAnsi="Arial" w:cs="Arial"/>
          <w:b/>
        </w:rPr>
        <w:t>21</w:t>
      </w:r>
      <w:r w:rsidR="00F75D34" w:rsidRPr="00D75F42">
        <w:rPr>
          <w:rFonts w:ascii="Arial" w:hAnsi="Arial" w:cs="Arial"/>
          <w:b/>
        </w:rPr>
        <w:t>/</w:t>
      </w:r>
      <w:r w:rsidR="0033366D" w:rsidRPr="00D75F42">
        <w:rPr>
          <w:rFonts w:ascii="Arial" w:hAnsi="Arial" w:cs="Arial"/>
          <w:b/>
        </w:rPr>
        <w:t>22</w:t>
      </w:r>
    </w:p>
    <w:p w14:paraId="50BA3315" w14:textId="762A2032" w:rsidR="007C584B" w:rsidRPr="007C584B" w:rsidRDefault="00F14110" w:rsidP="007C584B">
      <w:pPr>
        <w:spacing w:after="160" w:line="259" w:lineRule="auto"/>
        <w:rPr>
          <w:rFonts w:ascii="Arial" w:hAnsi="Arial" w:cs="Arial"/>
          <w:color w:val="000000"/>
        </w:rPr>
      </w:pPr>
      <w:r>
        <w:rPr>
          <w:rFonts w:ascii="Arial" w:hAnsi="Arial" w:cs="Arial"/>
          <w:color w:val="000000"/>
        </w:rPr>
        <w:t>International Financial Reporting Standard (</w:t>
      </w:r>
      <w:r w:rsidR="007C584B" w:rsidRPr="007C584B">
        <w:rPr>
          <w:rFonts w:ascii="Arial" w:hAnsi="Arial" w:cs="Arial"/>
          <w:color w:val="000000"/>
        </w:rPr>
        <w:t>IFRS</w:t>
      </w:r>
      <w:r>
        <w:rPr>
          <w:rFonts w:ascii="Arial" w:hAnsi="Arial" w:cs="Arial"/>
          <w:color w:val="000000"/>
        </w:rPr>
        <w:t>)</w:t>
      </w:r>
      <w:r w:rsidR="007C584B" w:rsidRPr="007C584B">
        <w:rPr>
          <w:rFonts w:ascii="Arial" w:hAnsi="Arial" w:cs="Arial"/>
          <w:color w:val="000000"/>
        </w:rPr>
        <w:t xml:space="preserve"> 8 requires operating segments to be identified on the basis of internal reports about components of SEPA that are regularly reviewed in order to allocate resources to the segment and to assess its performance. SEPA reports segmental information based on the organisations</w:t>
      </w:r>
      <w:r w:rsidR="004960C8">
        <w:rPr>
          <w:rFonts w:ascii="Arial" w:hAnsi="Arial" w:cs="Arial"/>
          <w:color w:val="000000"/>
        </w:rPr>
        <w:t>’</w:t>
      </w:r>
      <w:r w:rsidR="007C584B" w:rsidRPr="007C584B">
        <w:rPr>
          <w:rFonts w:ascii="Arial" w:hAnsi="Arial" w:cs="Arial"/>
          <w:color w:val="000000"/>
        </w:rPr>
        <w:t xml:space="preserve"> </w:t>
      </w:r>
      <w:r w:rsidR="00F13CEC">
        <w:rPr>
          <w:rFonts w:ascii="Arial" w:hAnsi="Arial" w:cs="Arial"/>
          <w:color w:val="000000"/>
        </w:rPr>
        <w:t>p</w:t>
      </w:r>
      <w:r w:rsidR="007C584B" w:rsidRPr="007C584B">
        <w:rPr>
          <w:rFonts w:ascii="Arial" w:hAnsi="Arial" w:cs="Arial"/>
          <w:color w:val="000000"/>
        </w:rPr>
        <w:t>ortfolios.</w:t>
      </w:r>
    </w:p>
    <w:p w14:paraId="12467CA8" w14:textId="5FE6B91F" w:rsidR="007C584B" w:rsidRPr="007C584B" w:rsidRDefault="007C584B" w:rsidP="007C584B">
      <w:pPr>
        <w:spacing w:after="160" w:line="259" w:lineRule="auto"/>
        <w:rPr>
          <w:rFonts w:ascii="Arial" w:hAnsi="Arial" w:cs="Arial"/>
          <w:color w:val="000000"/>
        </w:rPr>
      </w:pPr>
      <w:r w:rsidRPr="007C584B">
        <w:rPr>
          <w:rFonts w:ascii="Arial" w:hAnsi="Arial" w:cs="Arial"/>
          <w:color w:val="000000"/>
        </w:rPr>
        <w:t xml:space="preserve">The table presents management information, produced on an IFRS basis, on income, expenditure, and net operating cost </w:t>
      </w:r>
      <w:r w:rsidR="00CC147F">
        <w:rPr>
          <w:rFonts w:ascii="Arial" w:hAnsi="Arial" w:cs="Arial"/>
          <w:color w:val="000000"/>
        </w:rPr>
        <w:t>as at 31</w:t>
      </w:r>
      <w:r w:rsidR="00CC147F" w:rsidRPr="00CC147F">
        <w:rPr>
          <w:rFonts w:ascii="Arial" w:hAnsi="Arial" w:cs="Arial"/>
          <w:color w:val="000000"/>
          <w:vertAlign w:val="superscript"/>
        </w:rPr>
        <w:t>st</w:t>
      </w:r>
      <w:r w:rsidR="00CC147F">
        <w:rPr>
          <w:rFonts w:ascii="Arial" w:hAnsi="Arial" w:cs="Arial"/>
          <w:color w:val="000000"/>
        </w:rPr>
        <w:t xml:space="preserve"> March </w:t>
      </w:r>
      <w:r w:rsidRPr="007C584B">
        <w:rPr>
          <w:rFonts w:ascii="Arial" w:hAnsi="Arial" w:cs="Arial"/>
          <w:color w:val="000000"/>
        </w:rPr>
        <w:t>202</w:t>
      </w:r>
      <w:r w:rsidR="007F6AF1">
        <w:rPr>
          <w:rFonts w:ascii="Arial" w:hAnsi="Arial" w:cs="Arial"/>
          <w:color w:val="000000"/>
        </w:rPr>
        <w:t>2</w:t>
      </w:r>
      <w:r w:rsidRPr="007C584B">
        <w:rPr>
          <w:rFonts w:ascii="Arial" w:hAnsi="Arial" w:cs="Arial"/>
          <w:color w:val="000000"/>
        </w:rPr>
        <w:t>.</w:t>
      </w:r>
    </w:p>
    <w:bookmarkEnd w:id="51"/>
    <w:tbl>
      <w:tblPr>
        <w:tblStyle w:val="TableClassic1"/>
        <w:tblW w:w="14714" w:type="dxa"/>
        <w:tblLook w:val="04A0" w:firstRow="1" w:lastRow="0" w:firstColumn="1" w:lastColumn="0" w:noHBand="0" w:noVBand="1"/>
      </w:tblPr>
      <w:tblGrid>
        <w:gridCol w:w="2672"/>
        <w:gridCol w:w="1270"/>
        <w:gridCol w:w="1337"/>
        <w:gridCol w:w="1684"/>
        <w:gridCol w:w="1228"/>
        <w:gridCol w:w="1159"/>
        <w:gridCol w:w="1577"/>
        <w:gridCol w:w="1314"/>
        <w:gridCol w:w="1363"/>
        <w:gridCol w:w="1110"/>
      </w:tblGrid>
      <w:tr w:rsidR="00BC16BB" w:rsidRPr="002833A3" w14:paraId="487D819F" w14:textId="216DBD0D" w:rsidTr="00FF7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tcPr>
          <w:p w14:paraId="2F730FCD" w14:textId="77777777" w:rsidR="001A0C0E" w:rsidRPr="00A253B5" w:rsidRDefault="001A0C0E" w:rsidP="001214E9">
            <w:pPr>
              <w:spacing w:line="360" w:lineRule="auto"/>
              <w:jc w:val="both"/>
              <w:rPr>
                <w:rFonts w:ascii="Arial" w:hAnsi="Arial" w:cs="Arial"/>
                <w:color w:val="000000"/>
              </w:rPr>
            </w:pPr>
          </w:p>
        </w:tc>
        <w:tc>
          <w:tcPr>
            <w:tcW w:w="236" w:type="dxa"/>
            <w:tcBorders>
              <w:top w:val="nil"/>
              <w:left w:val="nil"/>
              <w:bottom w:val="nil"/>
              <w:right w:val="nil"/>
            </w:tcBorders>
            <w:shd w:val="clear" w:color="auto" w:fill="EAF1DE"/>
            <w:vAlign w:val="center"/>
          </w:tcPr>
          <w:p w14:paraId="56B68C78" w14:textId="4712A3C0"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Evidence</w:t>
            </w:r>
            <w:r w:rsidR="002833A3">
              <w:rPr>
                <w:rFonts w:ascii="Arial" w:hAnsi="Arial" w:cs="Arial"/>
                <w:b/>
                <w:bCs/>
                <w:i w:val="0"/>
                <w:iCs w:val="0"/>
                <w:color w:val="000000"/>
              </w:rPr>
              <w:t xml:space="preserve"> </w:t>
            </w:r>
            <w:r w:rsidRPr="002833A3">
              <w:rPr>
                <w:rFonts w:ascii="Arial" w:hAnsi="Arial" w:cs="Arial"/>
                <w:b/>
                <w:bCs/>
                <w:i w:val="0"/>
                <w:iCs w:val="0"/>
                <w:color w:val="000000"/>
              </w:rPr>
              <w:t>&amp; Flooding</w:t>
            </w:r>
          </w:p>
          <w:p w14:paraId="3120DA7D"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555EC71B" w14:textId="3CADB4CD"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337" w:type="dxa"/>
            <w:tcBorders>
              <w:top w:val="nil"/>
              <w:left w:val="nil"/>
              <w:bottom w:val="nil"/>
              <w:right w:val="nil"/>
            </w:tcBorders>
            <w:shd w:val="clear" w:color="auto" w:fill="EAF1DE"/>
            <w:vAlign w:val="center"/>
          </w:tcPr>
          <w:p w14:paraId="1C61406C" w14:textId="546AA9CD"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Chief Exec</w:t>
            </w:r>
            <w:r w:rsidR="007B0ACE">
              <w:rPr>
                <w:rFonts w:ascii="Arial" w:hAnsi="Arial" w:cs="Arial"/>
                <w:b/>
                <w:bCs/>
                <w:i w:val="0"/>
                <w:iCs w:val="0"/>
                <w:color w:val="000000"/>
              </w:rPr>
              <w:t>utive</w:t>
            </w:r>
            <w:r w:rsidRPr="002833A3">
              <w:rPr>
                <w:rFonts w:ascii="Arial" w:hAnsi="Arial" w:cs="Arial"/>
                <w:b/>
                <w:bCs/>
                <w:i w:val="0"/>
                <w:iCs w:val="0"/>
                <w:color w:val="000000"/>
              </w:rPr>
              <w:t xml:space="preserve"> Office</w:t>
            </w:r>
          </w:p>
          <w:p w14:paraId="1B0106C0"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300934FF" w14:textId="18E95AD9"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684" w:type="dxa"/>
            <w:tcBorders>
              <w:top w:val="nil"/>
              <w:left w:val="nil"/>
              <w:bottom w:val="nil"/>
              <w:right w:val="nil"/>
            </w:tcBorders>
            <w:shd w:val="clear" w:color="auto" w:fill="EAF1DE"/>
            <w:vAlign w:val="center"/>
          </w:tcPr>
          <w:p w14:paraId="3217557A"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Performance &amp; Innovation</w:t>
            </w:r>
          </w:p>
          <w:p w14:paraId="0DCEAA14" w14:textId="116CAF19" w:rsid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1186002B"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6C42DA79" w14:textId="4FA1FFA4"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251" w:type="dxa"/>
            <w:tcBorders>
              <w:top w:val="nil"/>
              <w:left w:val="nil"/>
              <w:bottom w:val="nil"/>
              <w:right w:val="nil"/>
            </w:tcBorders>
            <w:shd w:val="clear" w:color="auto" w:fill="EAF1DE"/>
            <w:vAlign w:val="center"/>
          </w:tcPr>
          <w:p w14:paraId="67999C0E"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People &amp; Property</w:t>
            </w:r>
          </w:p>
          <w:p w14:paraId="770CB505"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5BC44ADE" w14:textId="573F886A"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192" w:type="dxa"/>
            <w:tcBorders>
              <w:top w:val="nil"/>
              <w:left w:val="nil"/>
              <w:bottom w:val="nil"/>
              <w:right w:val="nil"/>
            </w:tcBorders>
            <w:shd w:val="clear" w:color="auto" w:fill="EAF1DE"/>
            <w:vAlign w:val="center"/>
          </w:tcPr>
          <w:p w14:paraId="17D6465A" w14:textId="2A77BC72"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Finance</w:t>
            </w:r>
          </w:p>
          <w:p w14:paraId="5A850EF5" w14:textId="3D8980CB" w:rsid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5F1ECEE0" w14:textId="37BD20AC"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6D9B49E9"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14790AAE" w14:textId="71DA37A2"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577" w:type="dxa"/>
            <w:tcBorders>
              <w:top w:val="nil"/>
              <w:left w:val="nil"/>
              <w:bottom w:val="nil"/>
              <w:right w:val="nil"/>
            </w:tcBorders>
            <w:shd w:val="clear" w:color="auto" w:fill="EAF1DE"/>
            <w:vAlign w:val="center"/>
          </w:tcPr>
          <w:p w14:paraId="0813E4D6"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Compliance &amp; Beyond</w:t>
            </w:r>
          </w:p>
          <w:p w14:paraId="4382DFC4" w14:textId="796F7144" w:rsid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43594732"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029B7B7F" w14:textId="73CF3935" w:rsidR="002833A3" w:rsidRPr="002833A3" w:rsidRDefault="002833A3"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330" w:type="dxa"/>
            <w:tcBorders>
              <w:top w:val="nil"/>
              <w:left w:val="nil"/>
              <w:bottom w:val="nil"/>
              <w:right w:val="nil"/>
            </w:tcBorders>
            <w:shd w:val="clear" w:color="auto" w:fill="EAF1DE"/>
            <w:vAlign w:val="center"/>
          </w:tcPr>
          <w:p w14:paraId="1045BF18"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Circular Economy</w:t>
            </w:r>
          </w:p>
          <w:p w14:paraId="20CBC5D0" w14:textId="530D2EFE" w:rsidR="007B0ACE" w:rsidRDefault="007B0AC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3BD09A58"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21DD7927" w14:textId="5F147D85" w:rsidR="007B0ACE" w:rsidRPr="002833A3" w:rsidRDefault="007B0AC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363" w:type="dxa"/>
            <w:tcBorders>
              <w:top w:val="nil"/>
              <w:left w:val="nil"/>
              <w:bottom w:val="nil"/>
              <w:right w:val="nil"/>
            </w:tcBorders>
            <w:shd w:val="clear" w:color="auto" w:fill="EAF1DE"/>
            <w:vAlign w:val="center"/>
          </w:tcPr>
          <w:p w14:paraId="5E0A9D34"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Corporate</w:t>
            </w:r>
          </w:p>
          <w:p w14:paraId="512D7161" w14:textId="77777777" w:rsidR="007B0ACE" w:rsidRDefault="007B0AC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2072D70A" w14:textId="4CBDF42A" w:rsidR="007B0ACE" w:rsidRDefault="007B0AC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2E4CD310"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7BED6EE2" w14:textId="02ABF781" w:rsidR="007B0ACE" w:rsidRPr="002833A3" w:rsidRDefault="007B0AC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c>
          <w:tcPr>
            <w:tcW w:w="1110" w:type="dxa"/>
            <w:tcBorders>
              <w:top w:val="nil"/>
              <w:left w:val="nil"/>
              <w:bottom w:val="nil"/>
            </w:tcBorders>
            <w:shd w:val="clear" w:color="auto" w:fill="EAF1DE"/>
            <w:vAlign w:val="center"/>
          </w:tcPr>
          <w:p w14:paraId="503C1BAE" w14:textId="77777777" w:rsidR="001A0C0E" w:rsidRDefault="001A0C0E"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r w:rsidRPr="002833A3">
              <w:rPr>
                <w:rFonts w:ascii="Arial" w:hAnsi="Arial" w:cs="Arial"/>
                <w:b/>
                <w:bCs/>
                <w:i w:val="0"/>
                <w:iCs w:val="0"/>
                <w:color w:val="000000"/>
              </w:rPr>
              <w:t>Total</w:t>
            </w:r>
          </w:p>
          <w:p w14:paraId="43F9E1F7" w14:textId="77777777" w:rsidR="00B81B1D" w:rsidRDefault="00B81B1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1DBE34CE" w14:textId="4B1D6F2F" w:rsidR="00B81B1D" w:rsidRDefault="00B81B1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p>
          <w:p w14:paraId="5D095C0E" w14:textId="77777777" w:rsidR="00E778AD" w:rsidRDefault="00E778A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color w:val="000000"/>
              </w:rPr>
            </w:pPr>
          </w:p>
          <w:p w14:paraId="09FA6A2D" w14:textId="7F599360" w:rsidR="00B81B1D" w:rsidRPr="002833A3" w:rsidRDefault="00B81B1D" w:rsidP="00FF7D3B">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000000"/>
              </w:rPr>
            </w:pPr>
            <w:r>
              <w:rPr>
                <w:rFonts w:ascii="Arial" w:hAnsi="Arial" w:cs="Arial"/>
                <w:b/>
                <w:bCs/>
                <w:i w:val="0"/>
                <w:iCs w:val="0"/>
                <w:color w:val="000000"/>
              </w:rPr>
              <w:t>£’000</w:t>
            </w:r>
          </w:p>
        </w:tc>
      </w:tr>
      <w:tr w:rsidR="007B0ACE" w:rsidRPr="002833A3" w14:paraId="3FAEBFC7" w14:textId="77777777"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tcPr>
          <w:p w14:paraId="5C10F9DD" w14:textId="30AF4F95" w:rsidR="007B0ACE" w:rsidRPr="00A253B5" w:rsidRDefault="007B0ACE" w:rsidP="00C51326">
            <w:pPr>
              <w:jc w:val="both"/>
              <w:rPr>
                <w:rFonts w:ascii="Arial" w:hAnsi="Arial" w:cs="Arial"/>
                <w:color w:val="000000"/>
              </w:rPr>
            </w:pPr>
          </w:p>
        </w:tc>
        <w:tc>
          <w:tcPr>
            <w:tcW w:w="236" w:type="dxa"/>
            <w:tcBorders>
              <w:top w:val="nil"/>
              <w:left w:val="nil"/>
            </w:tcBorders>
            <w:vAlign w:val="center"/>
          </w:tcPr>
          <w:p w14:paraId="124E88A0"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337" w:type="dxa"/>
            <w:tcBorders>
              <w:top w:val="nil"/>
            </w:tcBorders>
            <w:vAlign w:val="center"/>
          </w:tcPr>
          <w:p w14:paraId="69DC26D5"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684" w:type="dxa"/>
            <w:tcBorders>
              <w:top w:val="nil"/>
            </w:tcBorders>
            <w:vAlign w:val="center"/>
          </w:tcPr>
          <w:p w14:paraId="3DCAA8DF"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251" w:type="dxa"/>
            <w:tcBorders>
              <w:top w:val="nil"/>
            </w:tcBorders>
            <w:vAlign w:val="center"/>
          </w:tcPr>
          <w:p w14:paraId="22BD57A4"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192" w:type="dxa"/>
            <w:tcBorders>
              <w:top w:val="nil"/>
            </w:tcBorders>
            <w:vAlign w:val="center"/>
          </w:tcPr>
          <w:p w14:paraId="54D8063E"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577" w:type="dxa"/>
            <w:tcBorders>
              <w:top w:val="nil"/>
            </w:tcBorders>
            <w:vAlign w:val="center"/>
          </w:tcPr>
          <w:p w14:paraId="7E74664A"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330" w:type="dxa"/>
            <w:tcBorders>
              <w:top w:val="nil"/>
            </w:tcBorders>
            <w:vAlign w:val="center"/>
          </w:tcPr>
          <w:p w14:paraId="5285290E"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363" w:type="dxa"/>
            <w:tcBorders>
              <w:top w:val="nil"/>
            </w:tcBorders>
            <w:vAlign w:val="center"/>
          </w:tcPr>
          <w:p w14:paraId="5984E7CF"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c>
          <w:tcPr>
            <w:tcW w:w="1110" w:type="dxa"/>
            <w:tcBorders>
              <w:top w:val="nil"/>
            </w:tcBorders>
            <w:vAlign w:val="center"/>
          </w:tcPr>
          <w:p w14:paraId="5ABDD55A" w14:textId="77777777" w:rsidR="007B0ACE" w:rsidRPr="002833A3" w:rsidRDefault="007B0AC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r>
      <w:tr w:rsidR="0077288C" w:rsidRPr="00A253B5" w14:paraId="67EE715B" w14:textId="3C7495E8"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20297B59" w14:textId="38DF165F" w:rsidR="001A0C0E" w:rsidRPr="00A253B5" w:rsidRDefault="001A0C0E" w:rsidP="00C51326">
            <w:pPr>
              <w:rPr>
                <w:rFonts w:ascii="Arial" w:hAnsi="Arial" w:cs="Arial"/>
                <w:color w:val="000000"/>
              </w:rPr>
            </w:pPr>
            <w:r w:rsidRPr="00A253B5">
              <w:rPr>
                <w:rFonts w:ascii="Arial" w:hAnsi="Arial" w:cs="Arial"/>
                <w:color w:val="000000"/>
              </w:rPr>
              <w:t xml:space="preserve">Charging </w:t>
            </w:r>
            <w:r w:rsidR="006C6713">
              <w:rPr>
                <w:rFonts w:ascii="Arial" w:hAnsi="Arial" w:cs="Arial"/>
                <w:color w:val="000000"/>
              </w:rPr>
              <w:t>s</w:t>
            </w:r>
            <w:r w:rsidRPr="00A253B5">
              <w:rPr>
                <w:rFonts w:ascii="Arial" w:hAnsi="Arial" w:cs="Arial"/>
                <w:color w:val="000000"/>
              </w:rPr>
              <w:t>cheme</w:t>
            </w:r>
            <w:r w:rsidR="0011563B">
              <w:rPr>
                <w:rFonts w:ascii="Arial" w:hAnsi="Arial" w:cs="Arial"/>
                <w:color w:val="000000"/>
              </w:rPr>
              <w:t>s</w:t>
            </w:r>
          </w:p>
        </w:tc>
        <w:tc>
          <w:tcPr>
            <w:tcW w:w="236" w:type="dxa"/>
            <w:tcBorders>
              <w:left w:val="nil"/>
            </w:tcBorders>
            <w:vAlign w:val="bottom"/>
          </w:tcPr>
          <w:p w14:paraId="76EA4846" w14:textId="079ACC3D"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7" w:type="dxa"/>
            <w:vAlign w:val="bottom"/>
          </w:tcPr>
          <w:p w14:paraId="14E392E7" w14:textId="5899E912"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684" w:type="dxa"/>
            <w:vAlign w:val="bottom"/>
          </w:tcPr>
          <w:p w14:paraId="798769ED" w14:textId="238F3820"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251" w:type="dxa"/>
            <w:vAlign w:val="bottom"/>
          </w:tcPr>
          <w:p w14:paraId="5AF7AA46" w14:textId="4868DC45"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192" w:type="dxa"/>
            <w:vAlign w:val="bottom"/>
          </w:tcPr>
          <w:p w14:paraId="6A4C1EF6" w14:textId="79D72931"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577" w:type="dxa"/>
            <w:vAlign w:val="bottom"/>
          </w:tcPr>
          <w:p w14:paraId="054CB3EA" w14:textId="4E542CBE"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0" w:type="dxa"/>
            <w:vAlign w:val="bottom"/>
          </w:tcPr>
          <w:p w14:paraId="6A9EC4BD" w14:textId="0E455D41" w:rsidR="001A0C0E" w:rsidRPr="00A253B5" w:rsidRDefault="0011563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63" w:type="dxa"/>
            <w:vAlign w:val="bottom"/>
          </w:tcPr>
          <w:p w14:paraId="70164E6A" w14:textId="582B3A15"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42,705</w:t>
            </w:r>
          </w:p>
        </w:tc>
        <w:tc>
          <w:tcPr>
            <w:tcW w:w="1110" w:type="dxa"/>
            <w:vAlign w:val="bottom"/>
          </w:tcPr>
          <w:p w14:paraId="5FA7C2B7" w14:textId="13453A01"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42,705</w:t>
            </w:r>
          </w:p>
        </w:tc>
      </w:tr>
      <w:tr w:rsidR="0077288C" w:rsidRPr="00A253B5" w14:paraId="032399B9" w14:textId="5AA038F0"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417FA313" w14:textId="3ABD246B" w:rsidR="001A0C0E" w:rsidRPr="00A253B5" w:rsidRDefault="001A0C0E" w:rsidP="00C51326">
            <w:pPr>
              <w:rPr>
                <w:rFonts w:ascii="Arial" w:hAnsi="Arial" w:cs="Arial"/>
                <w:color w:val="000000"/>
              </w:rPr>
            </w:pPr>
            <w:r w:rsidRPr="00A253B5">
              <w:rPr>
                <w:rFonts w:ascii="Arial" w:hAnsi="Arial" w:cs="Arial"/>
                <w:color w:val="000000"/>
              </w:rPr>
              <w:t xml:space="preserve">Other </w:t>
            </w:r>
            <w:r w:rsidR="006C6713">
              <w:rPr>
                <w:rFonts w:ascii="Arial" w:hAnsi="Arial" w:cs="Arial"/>
                <w:color w:val="000000"/>
              </w:rPr>
              <w:t>i</w:t>
            </w:r>
            <w:r w:rsidRPr="00A253B5">
              <w:rPr>
                <w:rFonts w:ascii="Arial" w:hAnsi="Arial" w:cs="Arial"/>
                <w:color w:val="000000"/>
              </w:rPr>
              <w:t>ncome</w:t>
            </w:r>
          </w:p>
        </w:tc>
        <w:tc>
          <w:tcPr>
            <w:tcW w:w="236" w:type="dxa"/>
            <w:tcBorders>
              <w:left w:val="nil"/>
              <w:bottom w:val="single" w:sz="4" w:space="0" w:color="auto"/>
            </w:tcBorders>
            <w:vAlign w:val="bottom"/>
          </w:tcPr>
          <w:p w14:paraId="08CB9BBA" w14:textId="61CEF2E1"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7" w:type="dxa"/>
            <w:tcBorders>
              <w:bottom w:val="single" w:sz="4" w:space="0" w:color="auto"/>
            </w:tcBorders>
            <w:vAlign w:val="bottom"/>
          </w:tcPr>
          <w:p w14:paraId="0621E13A" w14:textId="5B489C9F"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684" w:type="dxa"/>
            <w:tcBorders>
              <w:bottom w:val="single" w:sz="4" w:space="0" w:color="auto"/>
            </w:tcBorders>
            <w:vAlign w:val="bottom"/>
          </w:tcPr>
          <w:p w14:paraId="5CCA1974" w14:textId="0BAD5569"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251" w:type="dxa"/>
            <w:tcBorders>
              <w:bottom w:val="single" w:sz="4" w:space="0" w:color="auto"/>
            </w:tcBorders>
            <w:vAlign w:val="bottom"/>
          </w:tcPr>
          <w:p w14:paraId="503F577F" w14:textId="13B241DD"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192" w:type="dxa"/>
            <w:tcBorders>
              <w:bottom w:val="single" w:sz="4" w:space="0" w:color="auto"/>
            </w:tcBorders>
            <w:vAlign w:val="bottom"/>
          </w:tcPr>
          <w:p w14:paraId="290C939B" w14:textId="38956EE9"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577" w:type="dxa"/>
            <w:tcBorders>
              <w:bottom w:val="single" w:sz="4" w:space="0" w:color="auto"/>
            </w:tcBorders>
            <w:vAlign w:val="bottom"/>
          </w:tcPr>
          <w:p w14:paraId="62876D6F" w14:textId="57CCC040"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0" w:type="dxa"/>
            <w:tcBorders>
              <w:bottom w:val="single" w:sz="4" w:space="0" w:color="auto"/>
            </w:tcBorders>
            <w:vAlign w:val="bottom"/>
          </w:tcPr>
          <w:p w14:paraId="007E2A26" w14:textId="64F84EC2"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63" w:type="dxa"/>
            <w:tcBorders>
              <w:bottom w:val="single" w:sz="4" w:space="0" w:color="auto"/>
            </w:tcBorders>
            <w:vAlign w:val="bottom"/>
          </w:tcPr>
          <w:p w14:paraId="3C2CEAC0" w14:textId="78472B1D"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5,008</w:t>
            </w:r>
          </w:p>
        </w:tc>
        <w:tc>
          <w:tcPr>
            <w:tcW w:w="1110" w:type="dxa"/>
            <w:tcBorders>
              <w:bottom w:val="single" w:sz="4" w:space="0" w:color="auto"/>
            </w:tcBorders>
            <w:vAlign w:val="bottom"/>
          </w:tcPr>
          <w:p w14:paraId="4FB531B8" w14:textId="63879535" w:rsidR="001A0C0E" w:rsidRPr="00A253B5" w:rsidRDefault="00132947"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5,008</w:t>
            </w:r>
          </w:p>
        </w:tc>
      </w:tr>
      <w:tr w:rsidR="0077288C" w:rsidRPr="00A253B5" w14:paraId="41AB8351" w14:textId="101DD856"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07CCFE3E" w14:textId="710C5AD5" w:rsidR="001A0C0E" w:rsidRPr="00DA4881" w:rsidRDefault="001A0C0E" w:rsidP="00C51326">
            <w:pPr>
              <w:rPr>
                <w:rFonts w:ascii="Arial" w:hAnsi="Arial" w:cs="Arial"/>
                <w:b/>
                <w:bCs/>
                <w:color w:val="000000"/>
              </w:rPr>
            </w:pPr>
            <w:r w:rsidRPr="00DA4881">
              <w:rPr>
                <w:rFonts w:ascii="Arial" w:hAnsi="Arial" w:cs="Arial"/>
                <w:b/>
                <w:bCs/>
                <w:color w:val="000000"/>
              </w:rPr>
              <w:t xml:space="preserve">Total </w:t>
            </w:r>
            <w:r w:rsidR="00BC16BB">
              <w:rPr>
                <w:rFonts w:ascii="Arial" w:hAnsi="Arial" w:cs="Arial"/>
                <w:b/>
                <w:bCs/>
                <w:color w:val="000000"/>
              </w:rPr>
              <w:t>i</w:t>
            </w:r>
            <w:r w:rsidRPr="00DA4881">
              <w:rPr>
                <w:rFonts w:ascii="Arial" w:hAnsi="Arial" w:cs="Arial"/>
                <w:b/>
                <w:bCs/>
                <w:color w:val="000000"/>
              </w:rPr>
              <w:t>ncome</w:t>
            </w:r>
          </w:p>
        </w:tc>
        <w:tc>
          <w:tcPr>
            <w:tcW w:w="236" w:type="dxa"/>
            <w:tcBorders>
              <w:top w:val="single" w:sz="4" w:space="0" w:color="auto"/>
              <w:left w:val="nil"/>
              <w:bottom w:val="single" w:sz="4" w:space="0" w:color="auto"/>
            </w:tcBorders>
            <w:vAlign w:val="bottom"/>
          </w:tcPr>
          <w:p w14:paraId="2DAC3076" w14:textId="23C773D4"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337" w:type="dxa"/>
            <w:tcBorders>
              <w:top w:val="single" w:sz="4" w:space="0" w:color="auto"/>
              <w:bottom w:val="single" w:sz="4" w:space="0" w:color="auto"/>
            </w:tcBorders>
            <w:vAlign w:val="bottom"/>
          </w:tcPr>
          <w:p w14:paraId="41CBF496" w14:textId="35B349AF"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684" w:type="dxa"/>
            <w:tcBorders>
              <w:top w:val="single" w:sz="4" w:space="0" w:color="auto"/>
              <w:bottom w:val="single" w:sz="4" w:space="0" w:color="auto"/>
            </w:tcBorders>
            <w:vAlign w:val="bottom"/>
          </w:tcPr>
          <w:p w14:paraId="4872F08A" w14:textId="3A1E84DC"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251" w:type="dxa"/>
            <w:tcBorders>
              <w:top w:val="single" w:sz="4" w:space="0" w:color="auto"/>
              <w:bottom w:val="single" w:sz="4" w:space="0" w:color="auto"/>
            </w:tcBorders>
            <w:vAlign w:val="bottom"/>
          </w:tcPr>
          <w:p w14:paraId="7C82B3FF" w14:textId="3FDBADEF"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192" w:type="dxa"/>
            <w:tcBorders>
              <w:top w:val="single" w:sz="4" w:space="0" w:color="auto"/>
              <w:bottom w:val="single" w:sz="4" w:space="0" w:color="auto"/>
            </w:tcBorders>
            <w:vAlign w:val="bottom"/>
          </w:tcPr>
          <w:p w14:paraId="3D4043FC" w14:textId="69AC84A3"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577" w:type="dxa"/>
            <w:tcBorders>
              <w:top w:val="single" w:sz="4" w:space="0" w:color="auto"/>
              <w:bottom w:val="single" w:sz="4" w:space="0" w:color="auto"/>
            </w:tcBorders>
            <w:vAlign w:val="bottom"/>
          </w:tcPr>
          <w:p w14:paraId="657CE83F" w14:textId="1A6940C0"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330" w:type="dxa"/>
            <w:tcBorders>
              <w:top w:val="single" w:sz="4" w:space="0" w:color="auto"/>
              <w:bottom w:val="single" w:sz="4" w:space="0" w:color="auto"/>
            </w:tcBorders>
            <w:vAlign w:val="bottom"/>
          </w:tcPr>
          <w:p w14:paraId="03E6A097" w14:textId="52E5CFEE"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w:t>
            </w:r>
          </w:p>
        </w:tc>
        <w:tc>
          <w:tcPr>
            <w:tcW w:w="1363" w:type="dxa"/>
            <w:tcBorders>
              <w:top w:val="single" w:sz="4" w:space="0" w:color="auto"/>
              <w:bottom w:val="single" w:sz="4" w:space="0" w:color="auto"/>
            </w:tcBorders>
            <w:vAlign w:val="bottom"/>
          </w:tcPr>
          <w:p w14:paraId="35B3102D" w14:textId="0B72ADB7"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47,713</w:t>
            </w:r>
          </w:p>
        </w:tc>
        <w:tc>
          <w:tcPr>
            <w:tcW w:w="1110" w:type="dxa"/>
            <w:tcBorders>
              <w:top w:val="single" w:sz="4" w:space="0" w:color="auto"/>
              <w:bottom w:val="single" w:sz="4" w:space="0" w:color="auto"/>
            </w:tcBorders>
            <w:vAlign w:val="bottom"/>
          </w:tcPr>
          <w:p w14:paraId="64011516" w14:textId="376CE54F" w:rsidR="001A0C0E" w:rsidRPr="00DA4881"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47,713</w:t>
            </w:r>
          </w:p>
        </w:tc>
      </w:tr>
      <w:tr w:rsidR="00853F9D" w:rsidRPr="00A253B5" w14:paraId="3AC06666" w14:textId="77777777"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0B67FCD6" w14:textId="77777777" w:rsidR="00853F9D" w:rsidRPr="00A253B5" w:rsidRDefault="00853F9D" w:rsidP="00C51326">
            <w:pPr>
              <w:rPr>
                <w:rFonts w:ascii="Arial" w:hAnsi="Arial" w:cs="Arial"/>
                <w:color w:val="000000"/>
              </w:rPr>
            </w:pPr>
          </w:p>
        </w:tc>
        <w:tc>
          <w:tcPr>
            <w:tcW w:w="236" w:type="dxa"/>
            <w:tcBorders>
              <w:left w:val="nil"/>
            </w:tcBorders>
            <w:vAlign w:val="bottom"/>
          </w:tcPr>
          <w:p w14:paraId="2F5B5F4E"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37" w:type="dxa"/>
            <w:vAlign w:val="bottom"/>
          </w:tcPr>
          <w:p w14:paraId="5F640AB3"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684" w:type="dxa"/>
            <w:vAlign w:val="bottom"/>
          </w:tcPr>
          <w:p w14:paraId="1BFB6D4A"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251" w:type="dxa"/>
            <w:vAlign w:val="bottom"/>
          </w:tcPr>
          <w:p w14:paraId="179C77D1"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192" w:type="dxa"/>
            <w:vAlign w:val="bottom"/>
          </w:tcPr>
          <w:p w14:paraId="68AD4EC9"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77" w:type="dxa"/>
            <w:vAlign w:val="bottom"/>
          </w:tcPr>
          <w:p w14:paraId="5BB46842"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30" w:type="dxa"/>
            <w:vAlign w:val="bottom"/>
          </w:tcPr>
          <w:p w14:paraId="331093C1"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63" w:type="dxa"/>
            <w:vAlign w:val="bottom"/>
          </w:tcPr>
          <w:p w14:paraId="1E011C8C"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110" w:type="dxa"/>
            <w:vAlign w:val="bottom"/>
          </w:tcPr>
          <w:p w14:paraId="2BB0DAA3" w14:textId="77777777" w:rsidR="00853F9D" w:rsidRPr="00A253B5" w:rsidRDefault="00853F9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77288C" w:rsidRPr="00A253B5" w14:paraId="1AA2E5F7" w14:textId="21C5951E"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38D24C2A" w14:textId="7E730EFA" w:rsidR="001A0C0E" w:rsidRPr="00A253B5" w:rsidRDefault="001A0C0E" w:rsidP="00C51326">
            <w:pPr>
              <w:rPr>
                <w:rFonts w:ascii="Arial" w:hAnsi="Arial" w:cs="Arial"/>
                <w:color w:val="000000"/>
              </w:rPr>
            </w:pPr>
            <w:r w:rsidRPr="00A253B5">
              <w:rPr>
                <w:rFonts w:ascii="Arial" w:hAnsi="Arial" w:cs="Arial"/>
                <w:color w:val="000000"/>
              </w:rPr>
              <w:t xml:space="preserve">Staff </w:t>
            </w:r>
            <w:r w:rsidR="006C6713">
              <w:rPr>
                <w:rFonts w:ascii="Arial" w:hAnsi="Arial" w:cs="Arial"/>
                <w:color w:val="000000"/>
              </w:rPr>
              <w:t>c</w:t>
            </w:r>
            <w:r w:rsidRPr="00A253B5">
              <w:rPr>
                <w:rFonts w:ascii="Arial" w:hAnsi="Arial" w:cs="Arial"/>
                <w:color w:val="000000"/>
              </w:rPr>
              <w:t>osts</w:t>
            </w:r>
          </w:p>
        </w:tc>
        <w:tc>
          <w:tcPr>
            <w:tcW w:w="236" w:type="dxa"/>
            <w:tcBorders>
              <w:left w:val="nil"/>
            </w:tcBorders>
            <w:vAlign w:val="bottom"/>
          </w:tcPr>
          <w:p w14:paraId="5C9723EC" w14:textId="1B374948" w:rsidR="001A0C0E" w:rsidRPr="00A253B5"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22,814</w:t>
            </w:r>
          </w:p>
        </w:tc>
        <w:tc>
          <w:tcPr>
            <w:tcW w:w="1337" w:type="dxa"/>
            <w:vAlign w:val="bottom"/>
          </w:tcPr>
          <w:p w14:paraId="2D4A0E58" w14:textId="2B16C45A" w:rsidR="001A0C0E" w:rsidRPr="00A253B5"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3,570</w:t>
            </w:r>
          </w:p>
        </w:tc>
        <w:tc>
          <w:tcPr>
            <w:tcW w:w="1684" w:type="dxa"/>
            <w:vAlign w:val="bottom"/>
          </w:tcPr>
          <w:p w14:paraId="0D15183E" w14:textId="0D561518" w:rsidR="001A0C0E" w:rsidRPr="00A253B5"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1,441</w:t>
            </w:r>
          </w:p>
        </w:tc>
        <w:tc>
          <w:tcPr>
            <w:tcW w:w="1251" w:type="dxa"/>
            <w:vAlign w:val="bottom"/>
          </w:tcPr>
          <w:p w14:paraId="7D4FC6EE" w14:textId="2800E870" w:rsidR="001A0C0E" w:rsidRPr="00A253B5" w:rsidRDefault="002A7FF8"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2,539</w:t>
            </w:r>
          </w:p>
        </w:tc>
        <w:tc>
          <w:tcPr>
            <w:tcW w:w="1192" w:type="dxa"/>
            <w:vAlign w:val="bottom"/>
          </w:tcPr>
          <w:p w14:paraId="788F9271" w14:textId="6640D974"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1,306</w:t>
            </w:r>
          </w:p>
        </w:tc>
        <w:tc>
          <w:tcPr>
            <w:tcW w:w="1577" w:type="dxa"/>
            <w:vAlign w:val="bottom"/>
          </w:tcPr>
          <w:p w14:paraId="36F1EE2A" w14:textId="1AB825DD"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17,972</w:t>
            </w:r>
          </w:p>
        </w:tc>
        <w:tc>
          <w:tcPr>
            <w:tcW w:w="1330" w:type="dxa"/>
            <w:vAlign w:val="bottom"/>
          </w:tcPr>
          <w:p w14:paraId="7A4A977F" w14:textId="62E6DF61"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10,396</w:t>
            </w:r>
          </w:p>
        </w:tc>
        <w:tc>
          <w:tcPr>
            <w:tcW w:w="1363" w:type="dxa"/>
            <w:vAlign w:val="bottom"/>
          </w:tcPr>
          <w:p w14:paraId="216B5159" w14:textId="3AF068EB"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15,971</w:t>
            </w:r>
          </w:p>
        </w:tc>
        <w:tc>
          <w:tcPr>
            <w:tcW w:w="1110" w:type="dxa"/>
            <w:vAlign w:val="bottom"/>
          </w:tcPr>
          <w:p w14:paraId="33F652C7" w14:textId="78D58684"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76,009</w:t>
            </w:r>
          </w:p>
        </w:tc>
      </w:tr>
      <w:tr w:rsidR="0077288C" w:rsidRPr="00A253B5" w14:paraId="3C08A66C" w14:textId="68DD5ADA"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765CEDE6" w14:textId="2D25A8A5" w:rsidR="001A0C0E" w:rsidRPr="00A253B5" w:rsidRDefault="001A0C0E" w:rsidP="00C51326">
            <w:pPr>
              <w:rPr>
                <w:rFonts w:ascii="Arial" w:hAnsi="Arial" w:cs="Arial"/>
                <w:color w:val="000000"/>
              </w:rPr>
            </w:pPr>
            <w:r w:rsidRPr="00A253B5">
              <w:rPr>
                <w:rFonts w:ascii="Arial" w:hAnsi="Arial" w:cs="Arial"/>
                <w:color w:val="000000"/>
              </w:rPr>
              <w:t xml:space="preserve">Other </w:t>
            </w:r>
            <w:r w:rsidR="006C6713">
              <w:rPr>
                <w:rFonts w:ascii="Arial" w:hAnsi="Arial" w:cs="Arial"/>
                <w:color w:val="000000"/>
              </w:rPr>
              <w:t>o</w:t>
            </w:r>
            <w:r w:rsidRPr="00A253B5">
              <w:rPr>
                <w:rFonts w:ascii="Arial" w:hAnsi="Arial" w:cs="Arial"/>
                <w:color w:val="000000"/>
              </w:rPr>
              <w:t xml:space="preserve">perating </w:t>
            </w:r>
            <w:r w:rsidR="006C6713">
              <w:rPr>
                <w:rFonts w:ascii="Arial" w:hAnsi="Arial" w:cs="Arial"/>
                <w:color w:val="000000"/>
              </w:rPr>
              <w:t>c</w:t>
            </w:r>
            <w:r w:rsidRPr="00A253B5">
              <w:rPr>
                <w:rFonts w:ascii="Arial" w:hAnsi="Arial" w:cs="Arial"/>
                <w:color w:val="000000"/>
              </w:rPr>
              <w:t>osts</w:t>
            </w:r>
          </w:p>
        </w:tc>
        <w:tc>
          <w:tcPr>
            <w:tcW w:w="236" w:type="dxa"/>
            <w:tcBorders>
              <w:left w:val="nil"/>
            </w:tcBorders>
            <w:vAlign w:val="bottom"/>
          </w:tcPr>
          <w:p w14:paraId="61A86F53" w14:textId="28967869"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9,070</w:t>
            </w:r>
          </w:p>
        </w:tc>
        <w:tc>
          <w:tcPr>
            <w:tcW w:w="1337" w:type="dxa"/>
            <w:vAlign w:val="bottom"/>
          </w:tcPr>
          <w:p w14:paraId="15C3BBCA" w14:textId="57D3B996"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755</w:t>
            </w:r>
          </w:p>
        </w:tc>
        <w:tc>
          <w:tcPr>
            <w:tcW w:w="1684" w:type="dxa"/>
            <w:vAlign w:val="bottom"/>
          </w:tcPr>
          <w:p w14:paraId="1107F8CC" w14:textId="7085B204" w:rsidR="001A0C0E" w:rsidRPr="00A253B5" w:rsidRDefault="00B90E7D"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167</w:t>
            </w:r>
          </w:p>
        </w:tc>
        <w:tc>
          <w:tcPr>
            <w:tcW w:w="1251" w:type="dxa"/>
            <w:vAlign w:val="bottom"/>
          </w:tcPr>
          <w:p w14:paraId="79E0575D" w14:textId="729CE8CF"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5,112</w:t>
            </w:r>
          </w:p>
        </w:tc>
        <w:tc>
          <w:tcPr>
            <w:tcW w:w="1192" w:type="dxa"/>
            <w:vAlign w:val="bottom"/>
          </w:tcPr>
          <w:p w14:paraId="2E847FE6" w14:textId="6C95E2F1"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422</w:t>
            </w:r>
          </w:p>
        </w:tc>
        <w:tc>
          <w:tcPr>
            <w:tcW w:w="1577" w:type="dxa"/>
            <w:vAlign w:val="bottom"/>
          </w:tcPr>
          <w:p w14:paraId="2C2B70CC" w14:textId="018E2DF8"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687</w:t>
            </w:r>
          </w:p>
        </w:tc>
        <w:tc>
          <w:tcPr>
            <w:tcW w:w="1330" w:type="dxa"/>
            <w:vAlign w:val="bottom"/>
          </w:tcPr>
          <w:p w14:paraId="19931E93" w14:textId="7D9438BC"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4,160</w:t>
            </w:r>
          </w:p>
        </w:tc>
        <w:tc>
          <w:tcPr>
            <w:tcW w:w="1363" w:type="dxa"/>
            <w:vAlign w:val="bottom"/>
          </w:tcPr>
          <w:p w14:paraId="742F239D" w14:textId="2694F9A6"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5,219</w:t>
            </w:r>
          </w:p>
        </w:tc>
        <w:tc>
          <w:tcPr>
            <w:tcW w:w="1110" w:type="dxa"/>
            <w:vAlign w:val="bottom"/>
          </w:tcPr>
          <w:p w14:paraId="0EF34520" w14:textId="0260047B"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25,592</w:t>
            </w:r>
          </w:p>
        </w:tc>
      </w:tr>
      <w:tr w:rsidR="0077288C" w:rsidRPr="00A253B5" w14:paraId="3D402C11" w14:textId="58623CE5" w:rsidTr="00C51326">
        <w:trPr>
          <w:trHeight w:val="708"/>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7FBDC564" w14:textId="4CB9D8B9" w:rsidR="001A0C0E" w:rsidRPr="00A253B5" w:rsidRDefault="001A0C0E" w:rsidP="00C51326">
            <w:pPr>
              <w:rPr>
                <w:rFonts w:ascii="Arial" w:hAnsi="Arial" w:cs="Arial"/>
                <w:color w:val="000000"/>
              </w:rPr>
            </w:pPr>
            <w:r w:rsidRPr="00A253B5">
              <w:rPr>
                <w:rFonts w:ascii="Arial" w:hAnsi="Arial" w:cs="Arial"/>
                <w:color w:val="000000"/>
              </w:rPr>
              <w:t>Depreciation, sale</w:t>
            </w:r>
            <w:r w:rsidR="00391F20">
              <w:rPr>
                <w:rFonts w:ascii="Arial" w:hAnsi="Arial" w:cs="Arial"/>
                <w:color w:val="000000"/>
              </w:rPr>
              <w:t>,</w:t>
            </w:r>
            <w:r w:rsidRPr="00A253B5">
              <w:rPr>
                <w:rFonts w:ascii="Arial" w:hAnsi="Arial" w:cs="Arial"/>
                <w:color w:val="000000"/>
              </w:rPr>
              <w:t xml:space="preserve"> and impairment of assets</w:t>
            </w:r>
          </w:p>
        </w:tc>
        <w:tc>
          <w:tcPr>
            <w:tcW w:w="236" w:type="dxa"/>
            <w:tcBorders>
              <w:left w:val="nil"/>
              <w:bottom w:val="single" w:sz="4" w:space="0" w:color="auto"/>
            </w:tcBorders>
            <w:vAlign w:val="bottom"/>
          </w:tcPr>
          <w:p w14:paraId="7E3E1F7A" w14:textId="38989F3A"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7" w:type="dxa"/>
            <w:tcBorders>
              <w:bottom w:val="single" w:sz="4" w:space="0" w:color="auto"/>
            </w:tcBorders>
            <w:vAlign w:val="bottom"/>
          </w:tcPr>
          <w:p w14:paraId="304A7DD0" w14:textId="522144EB"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684" w:type="dxa"/>
            <w:tcBorders>
              <w:bottom w:val="single" w:sz="4" w:space="0" w:color="auto"/>
            </w:tcBorders>
            <w:vAlign w:val="bottom"/>
          </w:tcPr>
          <w:p w14:paraId="34C95D05" w14:textId="615DDBD6"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251" w:type="dxa"/>
            <w:tcBorders>
              <w:bottom w:val="single" w:sz="4" w:space="0" w:color="auto"/>
            </w:tcBorders>
            <w:vAlign w:val="bottom"/>
          </w:tcPr>
          <w:p w14:paraId="2C025518" w14:textId="68C7933B"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192" w:type="dxa"/>
            <w:tcBorders>
              <w:bottom w:val="single" w:sz="4" w:space="0" w:color="auto"/>
            </w:tcBorders>
            <w:vAlign w:val="bottom"/>
          </w:tcPr>
          <w:p w14:paraId="7087501C" w14:textId="4B682D41"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577" w:type="dxa"/>
            <w:tcBorders>
              <w:bottom w:val="single" w:sz="4" w:space="0" w:color="auto"/>
            </w:tcBorders>
            <w:vAlign w:val="bottom"/>
          </w:tcPr>
          <w:p w14:paraId="12192C93" w14:textId="769CE2E3"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30" w:type="dxa"/>
            <w:tcBorders>
              <w:bottom w:val="single" w:sz="4" w:space="0" w:color="auto"/>
            </w:tcBorders>
            <w:vAlign w:val="bottom"/>
          </w:tcPr>
          <w:p w14:paraId="6ACFB42E" w14:textId="7BB91B38" w:rsidR="001A0C0E" w:rsidRPr="00A253B5" w:rsidRDefault="00654B8B"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w:t>
            </w:r>
          </w:p>
        </w:tc>
        <w:tc>
          <w:tcPr>
            <w:tcW w:w="1363" w:type="dxa"/>
            <w:tcBorders>
              <w:bottom w:val="single" w:sz="4" w:space="0" w:color="auto"/>
            </w:tcBorders>
            <w:vAlign w:val="bottom"/>
          </w:tcPr>
          <w:p w14:paraId="6419760B" w14:textId="32BA656E" w:rsidR="001A0C0E" w:rsidRPr="00A253B5"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3,334</w:t>
            </w:r>
          </w:p>
        </w:tc>
        <w:tc>
          <w:tcPr>
            <w:tcW w:w="1110" w:type="dxa"/>
            <w:tcBorders>
              <w:bottom w:val="single" w:sz="4" w:space="0" w:color="auto"/>
            </w:tcBorders>
            <w:vAlign w:val="bottom"/>
          </w:tcPr>
          <w:p w14:paraId="4BC7056B" w14:textId="58C76FCF" w:rsidR="001A0C0E" w:rsidRPr="00A253B5"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3,334</w:t>
            </w:r>
          </w:p>
        </w:tc>
      </w:tr>
      <w:tr w:rsidR="00D87445" w:rsidRPr="00A253B5" w14:paraId="028306C4" w14:textId="36E275B0"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3DE4FD52" w14:textId="3378E40E" w:rsidR="001A0C0E" w:rsidRPr="00DA4881" w:rsidRDefault="001A0C0E" w:rsidP="00C51326">
            <w:pPr>
              <w:rPr>
                <w:rFonts w:ascii="Arial" w:hAnsi="Arial" w:cs="Arial"/>
                <w:b/>
                <w:bCs/>
                <w:color w:val="000000"/>
              </w:rPr>
            </w:pPr>
            <w:r w:rsidRPr="00DA4881">
              <w:rPr>
                <w:rFonts w:ascii="Arial" w:hAnsi="Arial" w:cs="Arial"/>
                <w:b/>
                <w:bCs/>
                <w:color w:val="000000"/>
              </w:rPr>
              <w:t xml:space="preserve">Total </w:t>
            </w:r>
            <w:r w:rsidR="00BC16BB">
              <w:rPr>
                <w:rFonts w:ascii="Arial" w:hAnsi="Arial" w:cs="Arial"/>
                <w:b/>
                <w:bCs/>
                <w:color w:val="000000"/>
              </w:rPr>
              <w:t>e</w:t>
            </w:r>
            <w:r w:rsidRPr="00DA4881">
              <w:rPr>
                <w:rFonts w:ascii="Arial" w:hAnsi="Arial" w:cs="Arial"/>
                <w:b/>
                <w:bCs/>
                <w:color w:val="000000"/>
              </w:rPr>
              <w:t>xpenditure</w:t>
            </w:r>
          </w:p>
        </w:tc>
        <w:tc>
          <w:tcPr>
            <w:tcW w:w="236" w:type="dxa"/>
            <w:tcBorders>
              <w:top w:val="single" w:sz="4" w:space="0" w:color="auto"/>
              <w:left w:val="nil"/>
              <w:bottom w:val="single" w:sz="4" w:space="0" w:color="auto"/>
            </w:tcBorders>
            <w:vAlign w:val="bottom"/>
          </w:tcPr>
          <w:p w14:paraId="19A7872E" w14:textId="0960CFBD"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31,884</w:t>
            </w:r>
          </w:p>
        </w:tc>
        <w:tc>
          <w:tcPr>
            <w:tcW w:w="1337" w:type="dxa"/>
            <w:tcBorders>
              <w:top w:val="single" w:sz="4" w:space="0" w:color="auto"/>
              <w:bottom w:val="single" w:sz="4" w:space="0" w:color="auto"/>
            </w:tcBorders>
            <w:vAlign w:val="bottom"/>
          </w:tcPr>
          <w:p w14:paraId="4AF9AA61" w14:textId="4980633E"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4,325</w:t>
            </w:r>
          </w:p>
        </w:tc>
        <w:tc>
          <w:tcPr>
            <w:tcW w:w="1684" w:type="dxa"/>
            <w:tcBorders>
              <w:top w:val="single" w:sz="4" w:space="0" w:color="auto"/>
              <w:bottom w:val="single" w:sz="4" w:space="0" w:color="auto"/>
            </w:tcBorders>
            <w:vAlign w:val="bottom"/>
          </w:tcPr>
          <w:p w14:paraId="670A2DB1" w14:textId="475D258E"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1,608</w:t>
            </w:r>
          </w:p>
        </w:tc>
        <w:tc>
          <w:tcPr>
            <w:tcW w:w="1251" w:type="dxa"/>
            <w:tcBorders>
              <w:top w:val="single" w:sz="4" w:space="0" w:color="auto"/>
              <w:bottom w:val="single" w:sz="4" w:space="0" w:color="auto"/>
            </w:tcBorders>
            <w:vAlign w:val="bottom"/>
          </w:tcPr>
          <w:p w14:paraId="0C87D312" w14:textId="61B52FAB"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7,651</w:t>
            </w:r>
          </w:p>
        </w:tc>
        <w:tc>
          <w:tcPr>
            <w:tcW w:w="1192" w:type="dxa"/>
            <w:tcBorders>
              <w:top w:val="single" w:sz="4" w:space="0" w:color="auto"/>
              <w:bottom w:val="single" w:sz="4" w:space="0" w:color="auto"/>
            </w:tcBorders>
            <w:vAlign w:val="bottom"/>
          </w:tcPr>
          <w:p w14:paraId="51B8FF01" w14:textId="3A84C4EB"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1,728</w:t>
            </w:r>
          </w:p>
        </w:tc>
        <w:tc>
          <w:tcPr>
            <w:tcW w:w="1577" w:type="dxa"/>
            <w:tcBorders>
              <w:top w:val="single" w:sz="4" w:space="0" w:color="auto"/>
              <w:bottom w:val="single" w:sz="4" w:space="0" w:color="auto"/>
            </w:tcBorders>
            <w:vAlign w:val="bottom"/>
          </w:tcPr>
          <w:p w14:paraId="411B9C4F" w14:textId="18FA8AF9"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18,659</w:t>
            </w:r>
          </w:p>
        </w:tc>
        <w:tc>
          <w:tcPr>
            <w:tcW w:w="1330" w:type="dxa"/>
            <w:tcBorders>
              <w:top w:val="single" w:sz="4" w:space="0" w:color="auto"/>
              <w:bottom w:val="single" w:sz="4" w:space="0" w:color="auto"/>
            </w:tcBorders>
            <w:vAlign w:val="bottom"/>
          </w:tcPr>
          <w:p w14:paraId="5B485F76" w14:textId="63099C29"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14,556</w:t>
            </w:r>
          </w:p>
        </w:tc>
        <w:tc>
          <w:tcPr>
            <w:tcW w:w="1363" w:type="dxa"/>
            <w:tcBorders>
              <w:top w:val="single" w:sz="4" w:space="0" w:color="auto"/>
              <w:bottom w:val="single" w:sz="4" w:space="0" w:color="auto"/>
            </w:tcBorders>
            <w:vAlign w:val="bottom"/>
          </w:tcPr>
          <w:p w14:paraId="4A577F40" w14:textId="632623BD" w:rsidR="001A0C0E" w:rsidRPr="00DA4881" w:rsidRDefault="00126369"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24,524</w:t>
            </w:r>
          </w:p>
        </w:tc>
        <w:tc>
          <w:tcPr>
            <w:tcW w:w="1110" w:type="dxa"/>
            <w:tcBorders>
              <w:top w:val="single" w:sz="4" w:space="0" w:color="auto"/>
              <w:bottom w:val="single" w:sz="4" w:space="0" w:color="auto"/>
            </w:tcBorders>
            <w:vAlign w:val="bottom"/>
          </w:tcPr>
          <w:p w14:paraId="28C9BB14" w14:textId="2E294283" w:rsidR="001A0C0E" w:rsidRPr="00DA4881"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Pr>
                <w:rFonts w:ascii="Arial" w:hAnsi="Arial" w:cs="Arial"/>
                <w:b/>
                <w:bCs/>
                <w:color w:val="000000"/>
              </w:rPr>
              <w:t>104,935</w:t>
            </w:r>
          </w:p>
        </w:tc>
      </w:tr>
      <w:tr w:rsidR="0077288C" w:rsidRPr="00A253B5" w14:paraId="76268938" w14:textId="0F3F9A4D"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658E0F17" w14:textId="77777777" w:rsidR="001A0C0E" w:rsidRPr="00A253B5" w:rsidRDefault="001A0C0E" w:rsidP="00C51326">
            <w:pPr>
              <w:rPr>
                <w:rFonts w:ascii="Arial" w:hAnsi="Arial" w:cs="Arial"/>
                <w:color w:val="000000"/>
              </w:rPr>
            </w:pPr>
          </w:p>
        </w:tc>
        <w:tc>
          <w:tcPr>
            <w:tcW w:w="236" w:type="dxa"/>
            <w:tcBorders>
              <w:top w:val="single" w:sz="4" w:space="0" w:color="auto"/>
              <w:left w:val="nil"/>
            </w:tcBorders>
            <w:vAlign w:val="bottom"/>
          </w:tcPr>
          <w:p w14:paraId="2B68C161"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37" w:type="dxa"/>
            <w:tcBorders>
              <w:top w:val="single" w:sz="4" w:space="0" w:color="auto"/>
            </w:tcBorders>
            <w:vAlign w:val="bottom"/>
          </w:tcPr>
          <w:p w14:paraId="6CCF6C5E"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684" w:type="dxa"/>
            <w:tcBorders>
              <w:top w:val="single" w:sz="4" w:space="0" w:color="auto"/>
            </w:tcBorders>
            <w:vAlign w:val="bottom"/>
          </w:tcPr>
          <w:p w14:paraId="6C7D52F3"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251" w:type="dxa"/>
            <w:tcBorders>
              <w:top w:val="single" w:sz="4" w:space="0" w:color="auto"/>
            </w:tcBorders>
            <w:vAlign w:val="bottom"/>
          </w:tcPr>
          <w:p w14:paraId="1EE41769"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192" w:type="dxa"/>
            <w:tcBorders>
              <w:top w:val="single" w:sz="4" w:space="0" w:color="auto"/>
            </w:tcBorders>
            <w:vAlign w:val="bottom"/>
          </w:tcPr>
          <w:p w14:paraId="2F62D69C"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77" w:type="dxa"/>
            <w:tcBorders>
              <w:top w:val="single" w:sz="4" w:space="0" w:color="auto"/>
            </w:tcBorders>
            <w:vAlign w:val="bottom"/>
          </w:tcPr>
          <w:p w14:paraId="7DCFF2BD"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30" w:type="dxa"/>
            <w:tcBorders>
              <w:top w:val="single" w:sz="4" w:space="0" w:color="auto"/>
            </w:tcBorders>
            <w:vAlign w:val="bottom"/>
          </w:tcPr>
          <w:p w14:paraId="2DA03539"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363" w:type="dxa"/>
            <w:tcBorders>
              <w:top w:val="single" w:sz="4" w:space="0" w:color="auto"/>
            </w:tcBorders>
            <w:vAlign w:val="bottom"/>
          </w:tcPr>
          <w:p w14:paraId="2AD95334"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110" w:type="dxa"/>
            <w:tcBorders>
              <w:top w:val="single" w:sz="4" w:space="0" w:color="auto"/>
            </w:tcBorders>
            <w:vAlign w:val="bottom"/>
          </w:tcPr>
          <w:p w14:paraId="160F39A4" w14:textId="77777777" w:rsidR="001A0C0E" w:rsidRPr="00A253B5" w:rsidRDefault="001A0C0E"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77288C" w:rsidRPr="00A253B5" w14:paraId="5DEAF609" w14:textId="61DE9C6C" w:rsidTr="00C51326">
        <w:trPr>
          <w:trHeight w:val="454"/>
        </w:trPr>
        <w:tc>
          <w:tcPr>
            <w:cnfStyle w:val="001000000000" w:firstRow="0" w:lastRow="0" w:firstColumn="1" w:lastColumn="0" w:oddVBand="0" w:evenVBand="0" w:oddHBand="0" w:evenHBand="0" w:firstRowFirstColumn="0" w:firstRowLastColumn="0" w:lastRowFirstColumn="0" w:lastRowLastColumn="0"/>
            <w:tcW w:w="3634" w:type="dxa"/>
            <w:tcBorders>
              <w:top w:val="nil"/>
              <w:bottom w:val="nil"/>
              <w:right w:val="nil"/>
            </w:tcBorders>
            <w:shd w:val="clear" w:color="auto" w:fill="EAF1DE"/>
            <w:vAlign w:val="bottom"/>
          </w:tcPr>
          <w:p w14:paraId="4DF6C336" w14:textId="6B735EAB" w:rsidR="001A0C0E" w:rsidRPr="00A253B5" w:rsidRDefault="008A4C4D" w:rsidP="00C51326">
            <w:pPr>
              <w:rPr>
                <w:rFonts w:ascii="Arial" w:hAnsi="Arial" w:cs="Arial"/>
                <w:color w:val="000000"/>
              </w:rPr>
            </w:pPr>
            <w:r w:rsidRPr="008A4C4D">
              <w:rPr>
                <w:rFonts w:ascii="Arial" w:hAnsi="Arial" w:cs="Arial"/>
                <w:b/>
                <w:bCs/>
                <w:color w:val="000000"/>
              </w:rPr>
              <w:t xml:space="preserve">Net </w:t>
            </w:r>
            <w:r w:rsidR="00BC16BB">
              <w:rPr>
                <w:rFonts w:ascii="Arial" w:hAnsi="Arial" w:cs="Arial"/>
                <w:b/>
                <w:bCs/>
                <w:color w:val="000000"/>
              </w:rPr>
              <w:t>e</w:t>
            </w:r>
            <w:r w:rsidRPr="008A4C4D">
              <w:rPr>
                <w:rFonts w:ascii="Arial" w:hAnsi="Arial" w:cs="Arial"/>
                <w:b/>
                <w:bCs/>
                <w:color w:val="000000"/>
              </w:rPr>
              <w:t>xpenditure</w:t>
            </w:r>
          </w:p>
        </w:tc>
        <w:tc>
          <w:tcPr>
            <w:tcW w:w="236" w:type="dxa"/>
            <w:tcBorders>
              <w:left w:val="nil"/>
            </w:tcBorders>
            <w:vAlign w:val="bottom"/>
          </w:tcPr>
          <w:p w14:paraId="7132CB48" w14:textId="28B3ACB7"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(31,884)</w:t>
            </w:r>
          </w:p>
        </w:tc>
        <w:tc>
          <w:tcPr>
            <w:tcW w:w="1337" w:type="dxa"/>
            <w:vAlign w:val="bottom"/>
          </w:tcPr>
          <w:p w14:paraId="44AD8862" w14:textId="3BA7B335"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(4,325)</w:t>
            </w:r>
          </w:p>
        </w:tc>
        <w:tc>
          <w:tcPr>
            <w:tcW w:w="1684" w:type="dxa"/>
            <w:vAlign w:val="bottom"/>
          </w:tcPr>
          <w:p w14:paraId="505601ED" w14:textId="24D2EB3B"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(1,608)</w:t>
            </w:r>
          </w:p>
        </w:tc>
        <w:tc>
          <w:tcPr>
            <w:tcW w:w="1251" w:type="dxa"/>
            <w:vAlign w:val="bottom"/>
          </w:tcPr>
          <w:p w14:paraId="0E94B146" w14:textId="3FBEF027"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(7,651)</w:t>
            </w:r>
          </w:p>
        </w:tc>
        <w:tc>
          <w:tcPr>
            <w:tcW w:w="1192" w:type="dxa"/>
            <w:vAlign w:val="bottom"/>
          </w:tcPr>
          <w:p w14:paraId="79618B8A" w14:textId="45BE5A42"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(1,728)</w:t>
            </w:r>
          </w:p>
        </w:tc>
        <w:tc>
          <w:tcPr>
            <w:tcW w:w="1577" w:type="dxa"/>
            <w:vAlign w:val="bottom"/>
          </w:tcPr>
          <w:p w14:paraId="2E33276B" w14:textId="2553EC40"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(18,659)</w:t>
            </w:r>
          </w:p>
        </w:tc>
        <w:tc>
          <w:tcPr>
            <w:tcW w:w="1330" w:type="dxa"/>
            <w:vAlign w:val="bottom"/>
          </w:tcPr>
          <w:p w14:paraId="7B7BF821" w14:textId="6E1960AA" w:rsidR="001A0C0E" w:rsidRPr="00D87445" w:rsidRDefault="00125291"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(14,556)</w:t>
            </w:r>
          </w:p>
        </w:tc>
        <w:tc>
          <w:tcPr>
            <w:tcW w:w="1363" w:type="dxa"/>
            <w:vAlign w:val="bottom"/>
          </w:tcPr>
          <w:p w14:paraId="6DFE77D6" w14:textId="6B95D6BD" w:rsidR="001A0C0E" w:rsidRPr="00D87445" w:rsidRDefault="00D87445"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23,189</w:t>
            </w:r>
          </w:p>
        </w:tc>
        <w:tc>
          <w:tcPr>
            <w:tcW w:w="1110" w:type="dxa"/>
            <w:vAlign w:val="bottom"/>
          </w:tcPr>
          <w:p w14:paraId="3423BAC5" w14:textId="179AC180" w:rsidR="001A0C0E" w:rsidRPr="00D87445" w:rsidRDefault="00D87445" w:rsidP="00C5132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D87445">
              <w:rPr>
                <w:rFonts w:ascii="Arial" w:hAnsi="Arial" w:cs="Arial"/>
                <w:b/>
                <w:bCs/>
                <w:color w:val="000000"/>
              </w:rPr>
              <w:t>(57,222)</w:t>
            </w:r>
          </w:p>
        </w:tc>
      </w:tr>
    </w:tbl>
    <w:p w14:paraId="1FA5602D" w14:textId="3291BCBE" w:rsidR="007F2E0A" w:rsidRPr="001214E9" w:rsidRDefault="007F2E0A" w:rsidP="001214E9">
      <w:pPr>
        <w:spacing w:line="360" w:lineRule="auto"/>
        <w:jc w:val="both"/>
        <w:rPr>
          <w:rFonts w:ascii="Arial" w:hAnsi="Arial" w:cs="Arial"/>
          <w:color w:val="000000"/>
        </w:rPr>
        <w:sectPr w:rsidR="007F2E0A" w:rsidRPr="001214E9" w:rsidSect="00CD50F7">
          <w:pgSz w:w="16838" w:h="11906" w:orient="landscape" w:code="9"/>
          <w:pgMar w:top="426" w:right="1418" w:bottom="851" w:left="709" w:header="709" w:footer="709" w:gutter="0"/>
          <w:cols w:space="708"/>
          <w:docGrid w:linePitch="360"/>
        </w:sectPr>
      </w:pPr>
    </w:p>
    <w:p w14:paraId="3F357F0E" w14:textId="360C13C6" w:rsidR="00FE69A3" w:rsidRPr="002C5D83" w:rsidRDefault="00AD2157" w:rsidP="002C5D83">
      <w:pPr>
        <w:spacing w:line="360" w:lineRule="auto"/>
        <w:ind w:left="-284" w:hanging="142"/>
        <w:contextualSpacing/>
        <w:rPr>
          <w:rFonts w:ascii="Arial" w:hAnsi="Arial" w:cs="Arial"/>
          <w:b/>
          <w:highlight w:val="magenta"/>
        </w:rPr>
      </w:pPr>
      <w:bookmarkStart w:id="52" w:name="Note19Tradingaccountsschemes"/>
      <w:r>
        <w:rPr>
          <w:rFonts w:ascii="Arial" w:hAnsi="Arial" w:cs="Arial"/>
          <w:b/>
        </w:rPr>
        <w:lastRenderedPageBreak/>
        <w:t>Note 19.</w:t>
      </w:r>
      <w:r w:rsidRPr="2E00C4AD">
        <w:rPr>
          <w:rFonts w:ascii="Arial" w:hAnsi="Arial" w:cs="Arial"/>
          <w:b/>
          <w:bCs/>
        </w:rPr>
        <w:t xml:space="preserve"> </w:t>
      </w:r>
      <w:r w:rsidR="00E26D69" w:rsidRPr="00B71E9C">
        <w:rPr>
          <w:rFonts w:ascii="Arial" w:hAnsi="Arial" w:cs="Arial"/>
          <w:b/>
        </w:rPr>
        <w:t xml:space="preserve">Trading </w:t>
      </w:r>
      <w:r w:rsidR="00AE58BD">
        <w:rPr>
          <w:rFonts w:ascii="Arial" w:hAnsi="Arial" w:cs="Arial"/>
          <w:b/>
        </w:rPr>
        <w:t>a</w:t>
      </w:r>
      <w:r w:rsidR="00E26D69" w:rsidRPr="00B71E9C">
        <w:rPr>
          <w:rFonts w:ascii="Arial" w:hAnsi="Arial" w:cs="Arial"/>
          <w:b/>
        </w:rPr>
        <w:t>ccounts</w:t>
      </w:r>
      <w:r w:rsidR="009C294D" w:rsidRPr="00646ACE">
        <w:rPr>
          <w:rFonts w:ascii="Arial" w:hAnsi="Arial" w:cs="Arial"/>
          <w:b/>
        </w:rPr>
        <w:t xml:space="preserve"> </w:t>
      </w:r>
      <w:r w:rsidR="000D519D" w:rsidRPr="00646ACE">
        <w:rPr>
          <w:rFonts w:ascii="Arial" w:hAnsi="Arial" w:cs="Arial"/>
          <w:b/>
        </w:rPr>
        <w:t>schemes year to 31 March 202</w:t>
      </w:r>
      <w:r w:rsidR="00B91172" w:rsidRPr="00646ACE">
        <w:rPr>
          <w:rFonts w:ascii="Arial" w:hAnsi="Arial" w:cs="Arial"/>
          <w:b/>
        </w:rPr>
        <w:t>2</w:t>
      </w:r>
    </w:p>
    <w:tbl>
      <w:tblPr>
        <w:tblW w:w="10772" w:type="dxa"/>
        <w:tblInd w:w="-426" w:type="dxa"/>
        <w:tblLook w:val="04A0" w:firstRow="1" w:lastRow="0" w:firstColumn="1" w:lastColumn="0" w:noHBand="0" w:noVBand="1"/>
      </w:tblPr>
      <w:tblGrid>
        <w:gridCol w:w="3403"/>
        <w:gridCol w:w="1417"/>
        <w:gridCol w:w="1417"/>
        <w:gridCol w:w="1701"/>
        <w:gridCol w:w="1417"/>
        <w:gridCol w:w="1417"/>
      </w:tblGrid>
      <w:tr w:rsidR="00863090" w:rsidRPr="00F015C0" w14:paraId="65A72E0C" w14:textId="77777777" w:rsidTr="00DA2CF3">
        <w:trPr>
          <w:trHeight w:val="397"/>
        </w:trPr>
        <w:tc>
          <w:tcPr>
            <w:tcW w:w="3403" w:type="dxa"/>
            <w:tcBorders>
              <w:top w:val="nil"/>
              <w:left w:val="nil"/>
              <w:bottom w:val="nil"/>
              <w:right w:val="nil"/>
            </w:tcBorders>
            <w:shd w:val="clear" w:color="auto" w:fill="EAF1DD" w:themeFill="accent3" w:themeFillTint="33"/>
            <w:noWrap/>
            <w:vAlign w:val="center"/>
            <w:hideMark/>
          </w:tcPr>
          <w:bookmarkEnd w:id="52"/>
          <w:p w14:paraId="0E6C1AF0" w14:textId="77777777" w:rsidR="002E4884" w:rsidRPr="00F015C0" w:rsidRDefault="002E4884" w:rsidP="000845C9">
            <w:pPr>
              <w:ind w:left="-241" w:firstLine="141"/>
              <w:rPr>
                <w:rFonts w:ascii="Arial" w:hAnsi="Arial" w:cs="Arial"/>
                <w:b/>
                <w:bCs/>
              </w:rPr>
            </w:pPr>
            <w:r w:rsidRPr="00F015C0">
              <w:rPr>
                <w:rFonts w:ascii="Arial" w:hAnsi="Arial" w:cs="Arial"/>
                <w:b/>
                <w:bCs/>
              </w:rPr>
              <w:t xml:space="preserve">Schemes </w:t>
            </w:r>
          </w:p>
        </w:tc>
        <w:tc>
          <w:tcPr>
            <w:tcW w:w="1417" w:type="dxa"/>
            <w:tcBorders>
              <w:top w:val="nil"/>
              <w:left w:val="nil"/>
              <w:bottom w:val="nil"/>
              <w:right w:val="nil"/>
            </w:tcBorders>
            <w:shd w:val="clear" w:color="auto" w:fill="EAF1DD" w:themeFill="accent3" w:themeFillTint="33"/>
            <w:noWrap/>
            <w:vAlign w:val="center"/>
            <w:hideMark/>
          </w:tcPr>
          <w:p w14:paraId="645211B9"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ERS</w:t>
            </w:r>
          </w:p>
        </w:tc>
        <w:tc>
          <w:tcPr>
            <w:tcW w:w="1417" w:type="dxa"/>
            <w:tcBorders>
              <w:top w:val="nil"/>
              <w:left w:val="nil"/>
              <w:bottom w:val="nil"/>
              <w:right w:val="nil"/>
            </w:tcBorders>
            <w:shd w:val="clear" w:color="auto" w:fill="EAF1DD" w:themeFill="accent3" w:themeFillTint="33"/>
            <w:noWrap/>
            <w:vAlign w:val="center"/>
            <w:hideMark/>
          </w:tcPr>
          <w:p w14:paraId="3B7ECA50"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PRW</w:t>
            </w:r>
          </w:p>
        </w:tc>
        <w:tc>
          <w:tcPr>
            <w:tcW w:w="1701" w:type="dxa"/>
            <w:tcBorders>
              <w:top w:val="nil"/>
              <w:left w:val="nil"/>
              <w:bottom w:val="nil"/>
              <w:right w:val="nil"/>
            </w:tcBorders>
            <w:shd w:val="clear" w:color="auto" w:fill="EAF1DD" w:themeFill="accent3" w:themeFillTint="33"/>
            <w:noWrap/>
            <w:vAlign w:val="center"/>
            <w:hideMark/>
          </w:tcPr>
          <w:p w14:paraId="396C4E00" w14:textId="22C898EB" w:rsidR="00EA52F9" w:rsidRDefault="002E4884" w:rsidP="000845C9">
            <w:pPr>
              <w:ind w:left="-241" w:firstLine="141"/>
              <w:jc w:val="center"/>
              <w:rPr>
                <w:rFonts w:ascii="Arial" w:hAnsi="Arial" w:cs="Arial"/>
                <w:b/>
                <w:bCs/>
              </w:rPr>
            </w:pPr>
            <w:r w:rsidRPr="00F015C0">
              <w:rPr>
                <w:rFonts w:ascii="Arial" w:hAnsi="Arial" w:cs="Arial"/>
                <w:b/>
                <w:bCs/>
              </w:rPr>
              <w:t>RSA</w:t>
            </w:r>
          </w:p>
          <w:p w14:paraId="0A242C51" w14:textId="077B5DC2" w:rsidR="002E4884" w:rsidRPr="00F015C0" w:rsidRDefault="002E4884" w:rsidP="000845C9">
            <w:pPr>
              <w:ind w:left="-241" w:firstLine="141"/>
              <w:jc w:val="center"/>
              <w:rPr>
                <w:rFonts w:ascii="Arial" w:hAnsi="Arial" w:cs="Arial"/>
                <w:b/>
                <w:bCs/>
              </w:rPr>
            </w:pPr>
            <w:r w:rsidRPr="00F015C0">
              <w:rPr>
                <w:rFonts w:ascii="Arial" w:hAnsi="Arial" w:cs="Arial"/>
                <w:b/>
                <w:bCs/>
              </w:rPr>
              <w:t>Band</w:t>
            </w:r>
            <w:r w:rsidR="00EA52F9">
              <w:rPr>
                <w:rFonts w:ascii="Arial" w:hAnsi="Arial" w:cs="Arial"/>
                <w:b/>
                <w:bCs/>
              </w:rPr>
              <w:t xml:space="preserve"> </w:t>
            </w:r>
            <w:r w:rsidRPr="00F015C0">
              <w:rPr>
                <w:rFonts w:ascii="Arial" w:hAnsi="Arial" w:cs="Arial"/>
                <w:b/>
                <w:bCs/>
              </w:rPr>
              <w:t>A</w:t>
            </w:r>
          </w:p>
        </w:tc>
        <w:tc>
          <w:tcPr>
            <w:tcW w:w="1417" w:type="dxa"/>
            <w:tcBorders>
              <w:top w:val="nil"/>
              <w:left w:val="nil"/>
              <w:bottom w:val="nil"/>
              <w:right w:val="nil"/>
            </w:tcBorders>
            <w:shd w:val="clear" w:color="auto" w:fill="EAF1DD" w:themeFill="accent3" w:themeFillTint="33"/>
            <w:noWrap/>
            <w:vAlign w:val="center"/>
            <w:hideMark/>
          </w:tcPr>
          <w:p w14:paraId="28C4DD51"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Other</w:t>
            </w:r>
          </w:p>
        </w:tc>
        <w:tc>
          <w:tcPr>
            <w:tcW w:w="1417" w:type="dxa"/>
            <w:tcBorders>
              <w:top w:val="nil"/>
              <w:left w:val="nil"/>
              <w:bottom w:val="nil"/>
              <w:right w:val="nil"/>
            </w:tcBorders>
            <w:shd w:val="clear" w:color="auto" w:fill="EAF1DD" w:themeFill="accent3" w:themeFillTint="33"/>
            <w:noWrap/>
            <w:vAlign w:val="center"/>
            <w:hideMark/>
          </w:tcPr>
          <w:p w14:paraId="236B479E"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Total</w:t>
            </w:r>
          </w:p>
        </w:tc>
      </w:tr>
      <w:tr w:rsidR="00863090" w:rsidRPr="00F015C0" w14:paraId="17F77D8E" w14:textId="77777777" w:rsidTr="00DA2CF3">
        <w:trPr>
          <w:trHeight w:val="397"/>
        </w:trPr>
        <w:tc>
          <w:tcPr>
            <w:tcW w:w="3403" w:type="dxa"/>
            <w:tcBorders>
              <w:top w:val="nil"/>
              <w:left w:val="nil"/>
              <w:bottom w:val="nil"/>
              <w:right w:val="nil"/>
            </w:tcBorders>
            <w:shd w:val="clear" w:color="auto" w:fill="EAF1DD" w:themeFill="accent3" w:themeFillTint="33"/>
            <w:noWrap/>
            <w:vAlign w:val="center"/>
            <w:hideMark/>
          </w:tcPr>
          <w:p w14:paraId="599E5E4C" w14:textId="3B429747" w:rsidR="002E4884" w:rsidRPr="00F015C0" w:rsidRDefault="002E4884" w:rsidP="000845C9">
            <w:pPr>
              <w:ind w:left="-241" w:firstLine="141"/>
              <w:rPr>
                <w:rFonts w:ascii="Arial" w:hAnsi="Arial" w:cs="Arial"/>
                <w:b/>
                <w:bCs/>
              </w:rPr>
            </w:pPr>
            <w:r w:rsidRPr="00F015C0">
              <w:rPr>
                <w:rFonts w:ascii="Arial" w:hAnsi="Arial" w:cs="Arial"/>
                <w:b/>
                <w:bCs/>
              </w:rPr>
              <w:t>Year to 31 March 202</w:t>
            </w:r>
            <w:r>
              <w:rPr>
                <w:rFonts w:ascii="Arial" w:hAnsi="Arial" w:cs="Arial"/>
                <w:b/>
                <w:bCs/>
              </w:rPr>
              <w:t>2</w:t>
            </w:r>
          </w:p>
        </w:tc>
        <w:tc>
          <w:tcPr>
            <w:tcW w:w="1417" w:type="dxa"/>
            <w:tcBorders>
              <w:top w:val="nil"/>
              <w:left w:val="nil"/>
              <w:bottom w:val="nil"/>
              <w:right w:val="nil"/>
            </w:tcBorders>
            <w:shd w:val="clear" w:color="auto" w:fill="EAF1DD" w:themeFill="accent3" w:themeFillTint="33"/>
            <w:vAlign w:val="center"/>
            <w:hideMark/>
          </w:tcPr>
          <w:p w14:paraId="2B945E94" w14:textId="77777777" w:rsidR="002E4884" w:rsidRPr="00F015C0" w:rsidRDefault="002E4884" w:rsidP="000845C9">
            <w:pPr>
              <w:ind w:left="-241" w:firstLine="141"/>
              <w:rPr>
                <w:rFonts w:ascii="Arial" w:hAnsi="Arial" w:cs="Arial"/>
              </w:rPr>
            </w:pPr>
          </w:p>
        </w:tc>
        <w:tc>
          <w:tcPr>
            <w:tcW w:w="1417" w:type="dxa"/>
            <w:tcBorders>
              <w:top w:val="nil"/>
              <w:left w:val="nil"/>
              <w:bottom w:val="nil"/>
              <w:right w:val="nil"/>
            </w:tcBorders>
            <w:shd w:val="clear" w:color="auto" w:fill="EAF1DD" w:themeFill="accent3" w:themeFillTint="33"/>
            <w:vAlign w:val="center"/>
            <w:hideMark/>
          </w:tcPr>
          <w:p w14:paraId="75FD2CDA" w14:textId="77777777" w:rsidR="002E4884" w:rsidRPr="00F015C0" w:rsidRDefault="002E4884" w:rsidP="000845C9">
            <w:pPr>
              <w:ind w:left="-241" w:firstLine="141"/>
              <w:rPr>
                <w:rFonts w:ascii="Arial" w:hAnsi="Arial" w:cs="Arial"/>
              </w:rPr>
            </w:pPr>
          </w:p>
        </w:tc>
        <w:tc>
          <w:tcPr>
            <w:tcW w:w="1701" w:type="dxa"/>
            <w:tcBorders>
              <w:top w:val="nil"/>
              <w:left w:val="nil"/>
              <w:bottom w:val="nil"/>
              <w:right w:val="nil"/>
            </w:tcBorders>
            <w:shd w:val="clear" w:color="auto" w:fill="EAF1DD" w:themeFill="accent3" w:themeFillTint="33"/>
            <w:vAlign w:val="center"/>
            <w:hideMark/>
          </w:tcPr>
          <w:p w14:paraId="0CAEA647" w14:textId="77777777" w:rsidR="002E4884" w:rsidRPr="00F015C0" w:rsidRDefault="002E4884" w:rsidP="000845C9">
            <w:pPr>
              <w:ind w:left="-241" w:firstLine="141"/>
              <w:rPr>
                <w:rFonts w:ascii="Arial" w:hAnsi="Arial" w:cs="Arial"/>
              </w:rPr>
            </w:pPr>
          </w:p>
        </w:tc>
        <w:tc>
          <w:tcPr>
            <w:tcW w:w="1417" w:type="dxa"/>
            <w:tcBorders>
              <w:top w:val="nil"/>
              <w:left w:val="nil"/>
              <w:bottom w:val="nil"/>
              <w:right w:val="nil"/>
            </w:tcBorders>
            <w:shd w:val="clear" w:color="auto" w:fill="EAF1DD" w:themeFill="accent3" w:themeFillTint="33"/>
            <w:vAlign w:val="center"/>
            <w:hideMark/>
          </w:tcPr>
          <w:p w14:paraId="232DA7AB" w14:textId="77777777" w:rsidR="002E4884" w:rsidRPr="00F015C0" w:rsidRDefault="002E4884" w:rsidP="000845C9">
            <w:pPr>
              <w:ind w:left="-241" w:firstLine="141"/>
              <w:rPr>
                <w:rFonts w:ascii="Arial" w:hAnsi="Arial" w:cs="Arial"/>
              </w:rPr>
            </w:pPr>
          </w:p>
        </w:tc>
        <w:tc>
          <w:tcPr>
            <w:tcW w:w="1417" w:type="dxa"/>
            <w:tcBorders>
              <w:top w:val="nil"/>
              <w:left w:val="nil"/>
              <w:bottom w:val="nil"/>
              <w:right w:val="nil"/>
            </w:tcBorders>
            <w:shd w:val="clear" w:color="auto" w:fill="EAF1DD" w:themeFill="accent3" w:themeFillTint="33"/>
            <w:vAlign w:val="center"/>
            <w:hideMark/>
          </w:tcPr>
          <w:p w14:paraId="2986159A" w14:textId="77777777" w:rsidR="002E4884" w:rsidRPr="00F015C0" w:rsidRDefault="002E4884" w:rsidP="000845C9">
            <w:pPr>
              <w:ind w:left="-241" w:firstLine="141"/>
              <w:rPr>
                <w:rFonts w:ascii="Arial" w:hAnsi="Arial" w:cs="Arial"/>
              </w:rPr>
            </w:pPr>
          </w:p>
        </w:tc>
      </w:tr>
      <w:tr w:rsidR="00863090" w:rsidRPr="00F015C0" w14:paraId="5BB98E94" w14:textId="77777777" w:rsidTr="00DA2CF3">
        <w:trPr>
          <w:trHeight w:val="397"/>
        </w:trPr>
        <w:tc>
          <w:tcPr>
            <w:tcW w:w="3403" w:type="dxa"/>
            <w:tcBorders>
              <w:top w:val="nil"/>
              <w:left w:val="nil"/>
              <w:bottom w:val="nil"/>
              <w:right w:val="nil"/>
            </w:tcBorders>
            <w:shd w:val="clear" w:color="auto" w:fill="EAF1DD" w:themeFill="accent3" w:themeFillTint="33"/>
            <w:noWrap/>
            <w:vAlign w:val="bottom"/>
            <w:hideMark/>
          </w:tcPr>
          <w:p w14:paraId="0C986471" w14:textId="77777777" w:rsidR="002E4884" w:rsidRPr="00E23CC2" w:rsidRDefault="002E4884" w:rsidP="000845C9">
            <w:pPr>
              <w:ind w:left="-241" w:firstLine="141"/>
              <w:rPr>
                <w:rFonts w:ascii="Arial" w:hAnsi="Arial" w:cs="Arial"/>
                <w:b/>
                <w:bCs/>
                <w:sz w:val="22"/>
                <w:szCs w:val="22"/>
              </w:rPr>
            </w:pPr>
          </w:p>
        </w:tc>
        <w:tc>
          <w:tcPr>
            <w:tcW w:w="1417" w:type="dxa"/>
            <w:tcBorders>
              <w:top w:val="nil"/>
              <w:left w:val="nil"/>
              <w:bottom w:val="nil"/>
              <w:right w:val="nil"/>
            </w:tcBorders>
            <w:shd w:val="clear" w:color="auto" w:fill="EAF1DD" w:themeFill="accent3" w:themeFillTint="33"/>
            <w:vAlign w:val="center"/>
            <w:hideMark/>
          </w:tcPr>
          <w:p w14:paraId="4D51EAD6"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£’000</w:t>
            </w:r>
          </w:p>
        </w:tc>
        <w:tc>
          <w:tcPr>
            <w:tcW w:w="1417" w:type="dxa"/>
            <w:tcBorders>
              <w:top w:val="nil"/>
              <w:left w:val="nil"/>
              <w:bottom w:val="nil"/>
              <w:right w:val="nil"/>
            </w:tcBorders>
            <w:shd w:val="clear" w:color="auto" w:fill="EAF1DD" w:themeFill="accent3" w:themeFillTint="33"/>
            <w:vAlign w:val="center"/>
            <w:hideMark/>
          </w:tcPr>
          <w:p w14:paraId="5AAAFEE3"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£’000</w:t>
            </w:r>
          </w:p>
        </w:tc>
        <w:tc>
          <w:tcPr>
            <w:tcW w:w="1701" w:type="dxa"/>
            <w:tcBorders>
              <w:top w:val="nil"/>
              <w:left w:val="nil"/>
              <w:bottom w:val="nil"/>
              <w:right w:val="nil"/>
            </w:tcBorders>
            <w:shd w:val="clear" w:color="auto" w:fill="EAF1DD" w:themeFill="accent3" w:themeFillTint="33"/>
            <w:vAlign w:val="center"/>
            <w:hideMark/>
          </w:tcPr>
          <w:p w14:paraId="6D0140ED"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£’000</w:t>
            </w:r>
          </w:p>
        </w:tc>
        <w:tc>
          <w:tcPr>
            <w:tcW w:w="1417" w:type="dxa"/>
            <w:tcBorders>
              <w:top w:val="nil"/>
              <w:left w:val="nil"/>
              <w:bottom w:val="nil"/>
              <w:right w:val="nil"/>
            </w:tcBorders>
            <w:shd w:val="clear" w:color="auto" w:fill="EAF1DD" w:themeFill="accent3" w:themeFillTint="33"/>
            <w:vAlign w:val="center"/>
            <w:hideMark/>
          </w:tcPr>
          <w:p w14:paraId="6424A49A"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£’000</w:t>
            </w:r>
          </w:p>
        </w:tc>
        <w:tc>
          <w:tcPr>
            <w:tcW w:w="1417" w:type="dxa"/>
            <w:tcBorders>
              <w:top w:val="nil"/>
              <w:left w:val="nil"/>
              <w:bottom w:val="nil"/>
              <w:right w:val="nil"/>
            </w:tcBorders>
            <w:shd w:val="clear" w:color="auto" w:fill="EAF1DD" w:themeFill="accent3" w:themeFillTint="33"/>
            <w:vAlign w:val="center"/>
            <w:hideMark/>
          </w:tcPr>
          <w:p w14:paraId="6CCBA659" w14:textId="77777777" w:rsidR="002E4884" w:rsidRPr="00F015C0" w:rsidRDefault="002E4884" w:rsidP="000845C9">
            <w:pPr>
              <w:ind w:left="-241" w:firstLine="141"/>
              <w:jc w:val="center"/>
              <w:rPr>
                <w:rFonts w:ascii="Arial" w:hAnsi="Arial" w:cs="Arial"/>
                <w:b/>
                <w:bCs/>
              </w:rPr>
            </w:pPr>
            <w:r w:rsidRPr="00F015C0">
              <w:rPr>
                <w:rFonts w:ascii="Arial" w:hAnsi="Arial" w:cs="Arial"/>
                <w:b/>
                <w:bCs/>
              </w:rPr>
              <w:t>£’000</w:t>
            </w:r>
          </w:p>
        </w:tc>
      </w:tr>
      <w:tr w:rsidR="00863090" w:rsidRPr="00F015C0" w14:paraId="79EB3838"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789FB37B" w14:textId="77777777" w:rsidR="002E4884" w:rsidRPr="00F015C0" w:rsidRDefault="002E4884" w:rsidP="000845C9">
            <w:pPr>
              <w:ind w:left="-241" w:firstLine="141"/>
              <w:rPr>
                <w:rFonts w:ascii="Arial" w:hAnsi="Arial" w:cs="Arial"/>
                <w:b/>
                <w:bCs/>
              </w:rPr>
            </w:pPr>
            <w:r w:rsidRPr="00F015C0">
              <w:rPr>
                <w:rFonts w:ascii="Arial" w:hAnsi="Arial" w:cs="Arial"/>
                <w:b/>
                <w:bCs/>
              </w:rPr>
              <w:t>Income</w:t>
            </w:r>
          </w:p>
        </w:tc>
        <w:tc>
          <w:tcPr>
            <w:tcW w:w="1417" w:type="dxa"/>
            <w:tcBorders>
              <w:top w:val="nil"/>
              <w:left w:val="nil"/>
              <w:bottom w:val="single" w:sz="8" w:space="0" w:color="auto"/>
              <w:right w:val="nil"/>
            </w:tcBorders>
            <w:noWrap/>
            <w:vAlign w:val="center"/>
          </w:tcPr>
          <w:p w14:paraId="21B56F38" w14:textId="221AB840" w:rsidR="002E4884" w:rsidRPr="00F015C0" w:rsidRDefault="00FA4EDC" w:rsidP="000845C9">
            <w:pPr>
              <w:ind w:left="-241" w:firstLine="141"/>
              <w:jc w:val="center"/>
              <w:rPr>
                <w:rFonts w:ascii="Arial" w:hAnsi="Arial" w:cs="Arial"/>
                <w:b/>
                <w:bCs/>
              </w:rPr>
            </w:pPr>
            <w:r>
              <w:rPr>
                <w:rFonts w:ascii="Arial" w:hAnsi="Arial" w:cs="Arial"/>
                <w:b/>
                <w:bCs/>
              </w:rPr>
              <w:t>39,514</w:t>
            </w:r>
          </w:p>
        </w:tc>
        <w:tc>
          <w:tcPr>
            <w:tcW w:w="1417" w:type="dxa"/>
            <w:tcBorders>
              <w:top w:val="nil"/>
              <w:left w:val="nil"/>
              <w:bottom w:val="single" w:sz="8" w:space="0" w:color="auto"/>
              <w:right w:val="nil"/>
            </w:tcBorders>
            <w:noWrap/>
            <w:vAlign w:val="center"/>
          </w:tcPr>
          <w:p w14:paraId="487882CC" w14:textId="776AC489" w:rsidR="002E4884" w:rsidRPr="00F015C0" w:rsidRDefault="00FA4EDC" w:rsidP="000845C9">
            <w:pPr>
              <w:ind w:left="-241" w:firstLine="141"/>
              <w:jc w:val="center"/>
              <w:rPr>
                <w:rFonts w:ascii="Arial" w:hAnsi="Arial" w:cs="Arial"/>
                <w:b/>
                <w:bCs/>
              </w:rPr>
            </w:pPr>
            <w:r>
              <w:rPr>
                <w:rFonts w:ascii="Arial" w:hAnsi="Arial" w:cs="Arial"/>
                <w:b/>
                <w:bCs/>
              </w:rPr>
              <w:t>1,337</w:t>
            </w:r>
          </w:p>
        </w:tc>
        <w:tc>
          <w:tcPr>
            <w:tcW w:w="1701" w:type="dxa"/>
            <w:tcBorders>
              <w:top w:val="nil"/>
              <w:left w:val="nil"/>
              <w:bottom w:val="single" w:sz="8" w:space="0" w:color="auto"/>
              <w:right w:val="nil"/>
            </w:tcBorders>
            <w:noWrap/>
            <w:vAlign w:val="center"/>
          </w:tcPr>
          <w:p w14:paraId="523EA293" w14:textId="082B0B38" w:rsidR="002E4884" w:rsidRPr="00F015C0" w:rsidRDefault="00FA4EDC" w:rsidP="000845C9">
            <w:pPr>
              <w:ind w:left="-241" w:firstLine="141"/>
              <w:jc w:val="center"/>
              <w:rPr>
                <w:rFonts w:ascii="Arial" w:hAnsi="Arial" w:cs="Arial"/>
                <w:b/>
                <w:bCs/>
              </w:rPr>
            </w:pPr>
            <w:r>
              <w:rPr>
                <w:rFonts w:ascii="Arial" w:hAnsi="Arial" w:cs="Arial"/>
                <w:b/>
                <w:bCs/>
              </w:rPr>
              <w:t>1,42</w:t>
            </w:r>
            <w:r w:rsidR="00C90692">
              <w:rPr>
                <w:rFonts w:ascii="Arial" w:hAnsi="Arial" w:cs="Arial"/>
                <w:b/>
                <w:bCs/>
              </w:rPr>
              <w:t>5</w:t>
            </w:r>
          </w:p>
        </w:tc>
        <w:tc>
          <w:tcPr>
            <w:tcW w:w="1417" w:type="dxa"/>
            <w:tcBorders>
              <w:top w:val="nil"/>
              <w:left w:val="nil"/>
              <w:bottom w:val="single" w:sz="8" w:space="0" w:color="auto"/>
              <w:right w:val="nil"/>
            </w:tcBorders>
            <w:noWrap/>
            <w:vAlign w:val="center"/>
          </w:tcPr>
          <w:p w14:paraId="47EFD2C5" w14:textId="659B0D7A" w:rsidR="002E4884" w:rsidRPr="00F015C0" w:rsidRDefault="00C90692" w:rsidP="000845C9">
            <w:pPr>
              <w:ind w:left="-241" w:firstLine="141"/>
              <w:jc w:val="center"/>
              <w:rPr>
                <w:rFonts w:ascii="Arial" w:hAnsi="Arial" w:cs="Arial"/>
                <w:b/>
                <w:bCs/>
              </w:rPr>
            </w:pPr>
            <w:r>
              <w:rPr>
                <w:rFonts w:ascii="Arial" w:hAnsi="Arial" w:cs="Arial"/>
                <w:b/>
                <w:bCs/>
              </w:rPr>
              <w:t>427</w:t>
            </w:r>
          </w:p>
        </w:tc>
        <w:tc>
          <w:tcPr>
            <w:tcW w:w="1417" w:type="dxa"/>
            <w:tcBorders>
              <w:top w:val="nil"/>
              <w:left w:val="nil"/>
              <w:bottom w:val="single" w:sz="8" w:space="0" w:color="auto"/>
              <w:right w:val="nil"/>
            </w:tcBorders>
            <w:noWrap/>
            <w:vAlign w:val="center"/>
          </w:tcPr>
          <w:p w14:paraId="5675A296" w14:textId="39DF7525" w:rsidR="002E4884" w:rsidRPr="00F015C0" w:rsidRDefault="00C90692" w:rsidP="000845C9">
            <w:pPr>
              <w:ind w:left="-241" w:firstLine="141"/>
              <w:jc w:val="center"/>
              <w:rPr>
                <w:rFonts w:ascii="Arial" w:hAnsi="Arial" w:cs="Arial"/>
                <w:b/>
                <w:bCs/>
              </w:rPr>
            </w:pPr>
            <w:r>
              <w:rPr>
                <w:rFonts w:ascii="Arial" w:hAnsi="Arial" w:cs="Arial"/>
                <w:b/>
                <w:bCs/>
              </w:rPr>
              <w:t>42,703</w:t>
            </w:r>
          </w:p>
        </w:tc>
      </w:tr>
      <w:tr w:rsidR="00C90E77" w:rsidRPr="00F015C0" w14:paraId="79E8E50A"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4FD8B37B" w14:textId="77777777" w:rsidR="002E4884" w:rsidRPr="006B1DD7" w:rsidRDefault="002E4884" w:rsidP="000845C9">
            <w:pPr>
              <w:ind w:left="-241" w:firstLine="141"/>
              <w:rPr>
                <w:rFonts w:ascii="Arial" w:hAnsi="Arial" w:cs="Arial"/>
                <w:b/>
                <w:bCs/>
              </w:rPr>
            </w:pPr>
            <w:r w:rsidRPr="006B1DD7">
              <w:rPr>
                <w:rFonts w:ascii="Arial" w:hAnsi="Arial" w:cs="Arial"/>
                <w:b/>
                <w:bCs/>
              </w:rPr>
              <w:t>Expenditure</w:t>
            </w:r>
          </w:p>
        </w:tc>
        <w:tc>
          <w:tcPr>
            <w:tcW w:w="1417" w:type="dxa"/>
            <w:tcBorders>
              <w:top w:val="nil"/>
              <w:left w:val="nil"/>
              <w:bottom w:val="nil"/>
              <w:right w:val="nil"/>
            </w:tcBorders>
            <w:noWrap/>
            <w:vAlign w:val="center"/>
          </w:tcPr>
          <w:p w14:paraId="476A4854" w14:textId="7DF624F5" w:rsidR="002E4884" w:rsidRPr="00F015C0" w:rsidRDefault="002E4884" w:rsidP="000845C9">
            <w:pPr>
              <w:ind w:left="-241" w:firstLine="141"/>
              <w:jc w:val="center"/>
              <w:rPr>
                <w:rFonts w:ascii="Arial" w:hAnsi="Arial" w:cs="Arial"/>
              </w:rPr>
            </w:pPr>
          </w:p>
        </w:tc>
        <w:tc>
          <w:tcPr>
            <w:tcW w:w="1417" w:type="dxa"/>
            <w:tcBorders>
              <w:top w:val="nil"/>
              <w:left w:val="nil"/>
              <w:bottom w:val="nil"/>
              <w:right w:val="nil"/>
            </w:tcBorders>
            <w:noWrap/>
            <w:vAlign w:val="center"/>
          </w:tcPr>
          <w:p w14:paraId="5365A5C4" w14:textId="1710E38C" w:rsidR="002E4884" w:rsidRPr="00F015C0" w:rsidRDefault="002E4884" w:rsidP="000845C9">
            <w:pPr>
              <w:ind w:left="-241" w:firstLine="141"/>
              <w:jc w:val="center"/>
              <w:rPr>
                <w:rFonts w:ascii="Arial" w:hAnsi="Arial" w:cs="Arial"/>
              </w:rPr>
            </w:pPr>
          </w:p>
        </w:tc>
        <w:tc>
          <w:tcPr>
            <w:tcW w:w="1701" w:type="dxa"/>
            <w:tcBorders>
              <w:top w:val="nil"/>
              <w:left w:val="nil"/>
              <w:bottom w:val="nil"/>
              <w:right w:val="nil"/>
            </w:tcBorders>
            <w:noWrap/>
            <w:vAlign w:val="center"/>
          </w:tcPr>
          <w:p w14:paraId="7D953594" w14:textId="587B8E59" w:rsidR="002E4884" w:rsidRPr="00F015C0" w:rsidRDefault="002E4884" w:rsidP="000845C9">
            <w:pPr>
              <w:ind w:left="-241" w:firstLine="141"/>
              <w:jc w:val="center"/>
              <w:rPr>
                <w:rFonts w:ascii="Arial" w:hAnsi="Arial" w:cs="Arial"/>
              </w:rPr>
            </w:pPr>
          </w:p>
        </w:tc>
        <w:tc>
          <w:tcPr>
            <w:tcW w:w="1417" w:type="dxa"/>
            <w:tcBorders>
              <w:top w:val="nil"/>
              <w:left w:val="nil"/>
              <w:bottom w:val="nil"/>
              <w:right w:val="nil"/>
            </w:tcBorders>
            <w:noWrap/>
            <w:vAlign w:val="center"/>
          </w:tcPr>
          <w:p w14:paraId="603565C0" w14:textId="7A1D7E19" w:rsidR="002E4884" w:rsidRPr="00F015C0" w:rsidRDefault="002E4884" w:rsidP="000845C9">
            <w:pPr>
              <w:ind w:left="-241" w:firstLine="141"/>
              <w:jc w:val="center"/>
              <w:rPr>
                <w:rFonts w:ascii="Arial" w:hAnsi="Arial" w:cs="Arial"/>
              </w:rPr>
            </w:pPr>
          </w:p>
        </w:tc>
        <w:tc>
          <w:tcPr>
            <w:tcW w:w="1417" w:type="dxa"/>
            <w:tcBorders>
              <w:top w:val="nil"/>
              <w:left w:val="nil"/>
              <w:bottom w:val="nil"/>
              <w:right w:val="nil"/>
            </w:tcBorders>
            <w:noWrap/>
            <w:vAlign w:val="center"/>
          </w:tcPr>
          <w:p w14:paraId="7B8D61AB" w14:textId="084C81D5" w:rsidR="002E4884" w:rsidRPr="00F015C0" w:rsidRDefault="002E4884" w:rsidP="000845C9">
            <w:pPr>
              <w:ind w:left="-241" w:firstLine="141"/>
              <w:jc w:val="center"/>
              <w:rPr>
                <w:rFonts w:ascii="Arial" w:hAnsi="Arial" w:cs="Arial"/>
              </w:rPr>
            </w:pPr>
          </w:p>
        </w:tc>
      </w:tr>
      <w:tr w:rsidR="00C90E77" w:rsidRPr="00F015C0" w14:paraId="23561FE1"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76A79DA7" w14:textId="77777777" w:rsidR="002E4884" w:rsidRPr="00F015C0" w:rsidRDefault="002E4884" w:rsidP="000845C9">
            <w:pPr>
              <w:ind w:left="-241" w:firstLine="141"/>
              <w:rPr>
                <w:rFonts w:ascii="Arial" w:hAnsi="Arial" w:cs="Arial"/>
              </w:rPr>
            </w:pPr>
            <w:r w:rsidRPr="00F015C0">
              <w:rPr>
                <w:rFonts w:ascii="Arial" w:hAnsi="Arial" w:cs="Arial"/>
              </w:rPr>
              <w:t>Staff costs</w:t>
            </w:r>
          </w:p>
        </w:tc>
        <w:tc>
          <w:tcPr>
            <w:tcW w:w="1417" w:type="dxa"/>
            <w:tcBorders>
              <w:top w:val="nil"/>
              <w:left w:val="nil"/>
              <w:bottom w:val="nil"/>
              <w:right w:val="nil"/>
            </w:tcBorders>
            <w:noWrap/>
            <w:vAlign w:val="center"/>
          </w:tcPr>
          <w:p w14:paraId="1757F499" w14:textId="0D261683" w:rsidR="002E4884" w:rsidRPr="00F015C0" w:rsidRDefault="00C90692" w:rsidP="000845C9">
            <w:pPr>
              <w:ind w:left="-241" w:firstLine="141"/>
              <w:jc w:val="center"/>
              <w:rPr>
                <w:rFonts w:ascii="Arial" w:hAnsi="Arial" w:cs="Arial"/>
              </w:rPr>
            </w:pPr>
            <w:r>
              <w:rPr>
                <w:rFonts w:ascii="Arial" w:hAnsi="Arial" w:cs="Arial"/>
              </w:rPr>
              <w:t>29,620</w:t>
            </w:r>
          </w:p>
        </w:tc>
        <w:tc>
          <w:tcPr>
            <w:tcW w:w="1417" w:type="dxa"/>
            <w:tcBorders>
              <w:top w:val="nil"/>
              <w:left w:val="nil"/>
              <w:bottom w:val="nil"/>
              <w:right w:val="nil"/>
            </w:tcBorders>
            <w:noWrap/>
            <w:vAlign w:val="center"/>
          </w:tcPr>
          <w:p w14:paraId="244F5ED6" w14:textId="0B1D7E75" w:rsidR="002E4884" w:rsidRPr="00F015C0" w:rsidRDefault="00C90692" w:rsidP="000845C9">
            <w:pPr>
              <w:ind w:left="-241" w:firstLine="141"/>
              <w:jc w:val="center"/>
              <w:rPr>
                <w:rFonts w:ascii="Arial" w:hAnsi="Arial" w:cs="Arial"/>
              </w:rPr>
            </w:pPr>
            <w:r>
              <w:rPr>
                <w:rFonts w:ascii="Arial" w:hAnsi="Arial" w:cs="Arial"/>
              </w:rPr>
              <w:t>682</w:t>
            </w:r>
          </w:p>
        </w:tc>
        <w:tc>
          <w:tcPr>
            <w:tcW w:w="1701" w:type="dxa"/>
            <w:tcBorders>
              <w:top w:val="nil"/>
              <w:left w:val="nil"/>
              <w:bottom w:val="nil"/>
              <w:right w:val="nil"/>
            </w:tcBorders>
            <w:noWrap/>
            <w:vAlign w:val="center"/>
          </w:tcPr>
          <w:p w14:paraId="13F5F5A3" w14:textId="095AFCC3" w:rsidR="002E4884" w:rsidRPr="00F015C0" w:rsidRDefault="00C90692" w:rsidP="000845C9">
            <w:pPr>
              <w:ind w:left="-241" w:firstLine="141"/>
              <w:jc w:val="center"/>
              <w:rPr>
                <w:rFonts w:ascii="Arial" w:hAnsi="Arial" w:cs="Arial"/>
              </w:rPr>
            </w:pPr>
            <w:r>
              <w:rPr>
                <w:rFonts w:ascii="Arial" w:hAnsi="Arial" w:cs="Arial"/>
              </w:rPr>
              <w:t>1,127</w:t>
            </w:r>
          </w:p>
        </w:tc>
        <w:tc>
          <w:tcPr>
            <w:tcW w:w="1417" w:type="dxa"/>
            <w:tcBorders>
              <w:top w:val="nil"/>
              <w:left w:val="nil"/>
              <w:bottom w:val="nil"/>
              <w:right w:val="nil"/>
            </w:tcBorders>
            <w:noWrap/>
            <w:vAlign w:val="center"/>
          </w:tcPr>
          <w:p w14:paraId="5DDD230A" w14:textId="7218D492" w:rsidR="002E4884" w:rsidRPr="00F015C0" w:rsidRDefault="00C90692" w:rsidP="000845C9">
            <w:pPr>
              <w:ind w:left="-241" w:firstLine="141"/>
              <w:jc w:val="center"/>
              <w:rPr>
                <w:rFonts w:ascii="Arial" w:hAnsi="Arial" w:cs="Arial"/>
              </w:rPr>
            </w:pPr>
            <w:r>
              <w:rPr>
                <w:rFonts w:ascii="Arial" w:hAnsi="Arial" w:cs="Arial"/>
              </w:rPr>
              <w:t>691</w:t>
            </w:r>
          </w:p>
        </w:tc>
        <w:tc>
          <w:tcPr>
            <w:tcW w:w="1417" w:type="dxa"/>
            <w:tcBorders>
              <w:top w:val="nil"/>
              <w:left w:val="nil"/>
              <w:bottom w:val="nil"/>
              <w:right w:val="nil"/>
            </w:tcBorders>
            <w:noWrap/>
            <w:vAlign w:val="center"/>
          </w:tcPr>
          <w:p w14:paraId="079612A6" w14:textId="6E10D247" w:rsidR="002E4884" w:rsidRPr="00F015C0" w:rsidRDefault="00C90692" w:rsidP="000845C9">
            <w:pPr>
              <w:ind w:left="-241" w:firstLine="141"/>
              <w:jc w:val="center"/>
              <w:rPr>
                <w:rFonts w:ascii="Arial" w:hAnsi="Arial" w:cs="Arial"/>
              </w:rPr>
            </w:pPr>
            <w:r>
              <w:rPr>
                <w:rFonts w:ascii="Arial" w:hAnsi="Arial" w:cs="Arial"/>
              </w:rPr>
              <w:t>32,120</w:t>
            </w:r>
          </w:p>
        </w:tc>
      </w:tr>
      <w:tr w:rsidR="00C90E77" w:rsidRPr="00F015C0" w14:paraId="74E840A8"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3A11CFB5" w14:textId="77777777" w:rsidR="002E4884" w:rsidRPr="00F015C0" w:rsidRDefault="002E4884" w:rsidP="000845C9">
            <w:pPr>
              <w:ind w:left="-241" w:firstLine="141"/>
              <w:rPr>
                <w:rFonts w:ascii="Arial" w:hAnsi="Arial" w:cs="Arial"/>
              </w:rPr>
            </w:pPr>
            <w:r w:rsidRPr="00F015C0">
              <w:rPr>
                <w:rFonts w:ascii="Arial" w:hAnsi="Arial" w:cs="Arial"/>
              </w:rPr>
              <w:t>Depreciation / cost of capital</w:t>
            </w:r>
          </w:p>
        </w:tc>
        <w:tc>
          <w:tcPr>
            <w:tcW w:w="1417" w:type="dxa"/>
            <w:tcBorders>
              <w:top w:val="nil"/>
              <w:left w:val="nil"/>
              <w:bottom w:val="nil"/>
              <w:right w:val="nil"/>
            </w:tcBorders>
            <w:noWrap/>
            <w:vAlign w:val="center"/>
          </w:tcPr>
          <w:p w14:paraId="585A2BD8" w14:textId="32B5E551" w:rsidR="002E4884" w:rsidRPr="00F015C0" w:rsidRDefault="00362701" w:rsidP="000845C9">
            <w:pPr>
              <w:ind w:left="-241" w:firstLine="141"/>
              <w:jc w:val="center"/>
              <w:rPr>
                <w:rFonts w:ascii="Arial" w:hAnsi="Arial" w:cs="Arial"/>
              </w:rPr>
            </w:pPr>
            <w:r>
              <w:rPr>
                <w:rFonts w:ascii="Arial" w:hAnsi="Arial" w:cs="Arial"/>
              </w:rPr>
              <w:t>2,548</w:t>
            </w:r>
          </w:p>
        </w:tc>
        <w:tc>
          <w:tcPr>
            <w:tcW w:w="1417" w:type="dxa"/>
            <w:tcBorders>
              <w:top w:val="nil"/>
              <w:left w:val="nil"/>
              <w:bottom w:val="nil"/>
              <w:right w:val="nil"/>
            </w:tcBorders>
            <w:noWrap/>
            <w:vAlign w:val="center"/>
          </w:tcPr>
          <w:p w14:paraId="1650D630" w14:textId="072B27D3" w:rsidR="002E4884" w:rsidRPr="00F015C0" w:rsidRDefault="00362701" w:rsidP="000845C9">
            <w:pPr>
              <w:ind w:left="-241" w:firstLine="141"/>
              <w:jc w:val="center"/>
              <w:rPr>
                <w:rFonts w:ascii="Arial" w:hAnsi="Arial" w:cs="Arial"/>
              </w:rPr>
            </w:pPr>
            <w:r>
              <w:rPr>
                <w:rFonts w:ascii="Arial" w:hAnsi="Arial" w:cs="Arial"/>
              </w:rPr>
              <w:t>0</w:t>
            </w:r>
          </w:p>
        </w:tc>
        <w:tc>
          <w:tcPr>
            <w:tcW w:w="1701" w:type="dxa"/>
            <w:tcBorders>
              <w:top w:val="nil"/>
              <w:left w:val="nil"/>
              <w:bottom w:val="nil"/>
              <w:right w:val="nil"/>
            </w:tcBorders>
            <w:noWrap/>
            <w:vAlign w:val="center"/>
          </w:tcPr>
          <w:p w14:paraId="3635A550" w14:textId="4AB05079" w:rsidR="002E4884" w:rsidRPr="00F015C0" w:rsidRDefault="00362701" w:rsidP="000845C9">
            <w:pPr>
              <w:ind w:left="-241" w:firstLine="141"/>
              <w:jc w:val="center"/>
              <w:rPr>
                <w:rFonts w:ascii="Arial" w:hAnsi="Arial" w:cs="Arial"/>
              </w:rPr>
            </w:pPr>
            <w:r>
              <w:rPr>
                <w:rFonts w:ascii="Arial" w:hAnsi="Arial" w:cs="Arial"/>
              </w:rPr>
              <w:t>0</w:t>
            </w:r>
          </w:p>
        </w:tc>
        <w:tc>
          <w:tcPr>
            <w:tcW w:w="1417" w:type="dxa"/>
            <w:tcBorders>
              <w:top w:val="nil"/>
              <w:left w:val="nil"/>
              <w:bottom w:val="nil"/>
              <w:right w:val="nil"/>
            </w:tcBorders>
            <w:noWrap/>
            <w:vAlign w:val="center"/>
          </w:tcPr>
          <w:p w14:paraId="4313B88B" w14:textId="4DB752B0" w:rsidR="002E4884" w:rsidRPr="00F015C0" w:rsidRDefault="00362701" w:rsidP="000845C9">
            <w:pPr>
              <w:ind w:left="-241" w:firstLine="141"/>
              <w:jc w:val="center"/>
              <w:rPr>
                <w:rFonts w:ascii="Arial" w:hAnsi="Arial" w:cs="Arial"/>
              </w:rPr>
            </w:pPr>
            <w:r>
              <w:rPr>
                <w:rFonts w:ascii="Arial" w:hAnsi="Arial" w:cs="Arial"/>
              </w:rPr>
              <w:t>0</w:t>
            </w:r>
          </w:p>
        </w:tc>
        <w:tc>
          <w:tcPr>
            <w:tcW w:w="1417" w:type="dxa"/>
            <w:tcBorders>
              <w:top w:val="nil"/>
              <w:left w:val="nil"/>
              <w:bottom w:val="nil"/>
              <w:right w:val="nil"/>
            </w:tcBorders>
            <w:noWrap/>
            <w:vAlign w:val="center"/>
          </w:tcPr>
          <w:p w14:paraId="669B7519" w14:textId="09CE1C88" w:rsidR="002E4884" w:rsidRPr="00F015C0" w:rsidRDefault="00362701" w:rsidP="000845C9">
            <w:pPr>
              <w:ind w:left="-241" w:firstLine="141"/>
              <w:jc w:val="center"/>
              <w:rPr>
                <w:rFonts w:ascii="Arial" w:hAnsi="Arial" w:cs="Arial"/>
              </w:rPr>
            </w:pPr>
            <w:r>
              <w:rPr>
                <w:rFonts w:ascii="Arial" w:hAnsi="Arial" w:cs="Arial"/>
              </w:rPr>
              <w:t>2,548</w:t>
            </w:r>
          </w:p>
        </w:tc>
      </w:tr>
      <w:tr w:rsidR="00C90E77" w:rsidRPr="00F015C0" w14:paraId="32089DEB"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0D05618C" w14:textId="77777777" w:rsidR="002E4884" w:rsidRPr="00F015C0" w:rsidRDefault="002E4884" w:rsidP="000845C9">
            <w:pPr>
              <w:ind w:left="-241" w:firstLine="141"/>
              <w:rPr>
                <w:rFonts w:ascii="Arial" w:hAnsi="Arial" w:cs="Arial"/>
              </w:rPr>
            </w:pPr>
            <w:r w:rsidRPr="00F015C0">
              <w:rPr>
                <w:rFonts w:ascii="Arial" w:hAnsi="Arial" w:cs="Arial"/>
              </w:rPr>
              <w:t>Bad debts</w:t>
            </w:r>
          </w:p>
        </w:tc>
        <w:tc>
          <w:tcPr>
            <w:tcW w:w="1417" w:type="dxa"/>
            <w:tcBorders>
              <w:top w:val="nil"/>
              <w:left w:val="nil"/>
              <w:bottom w:val="nil"/>
              <w:right w:val="nil"/>
            </w:tcBorders>
            <w:noWrap/>
            <w:vAlign w:val="center"/>
          </w:tcPr>
          <w:p w14:paraId="227BFCB8" w14:textId="339DEC7C" w:rsidR="002E4884" w:rsidRPr="00F015C0" w:rsidRDefault="006C2AFF" w:rsidP="000845C9">
            <w:pPr>
              <w:ind w:left="-241" w:firstLine="141"/>
              <w:jc w:val="center"/>
              <w:rPr>
                <w:rFonts w:ascii="Arial" w:hAnsi="Arial" w:cs="Arial"/>
              </w:rPr>
            </w:pPr>
            <w:r>
              <w:rPr>
                <w:rFonts w:ascii="Arial" w:hAnsi="Arial" w:cs="Arial"/>
              </w:rPr>
              <w:t>1,002</w:t>
            </w:r>
          </w:p>
        </w:tc>
        <w:tc>
          <w:tcPr>
            <w:tcW w:w="1417" w:type="dxa"/>
            <w:tcBorders>
              <w:top w:val="nil"/>
              <w:left w:val="nil"/>
              <w:bottom w:val="nil"/>
              <w:right w:val="nil"/>
            </w:tcBorders>
            <w:noWrap/>
            <w:vAlign w:val="center"/>
          </w:tcPr>
          <w:p w14:paraId="099AF5EA" w14:textId="75E63B78" w:rsidR="002E4884" w:rsidRPr="00F015C0" w:rsidRDefault="002F5CFF" w:rsidP="000845C9">
            <w:pPr>
              <w:ind w:left="-241" w:firstLine="141"/>
              <w:jc w:val="center"/>
              <w:rPr>
                <w:rFonts w:ascii="Arial" w:hAnsi="Arial" w:cs="Arial"/>
              </w:rPr>
            </w:pPr>
            <w:r>
              <w:rPr>
                <w:rFonts w:ascii="Arial" w:hAnsi="Arial" w:cs="Arial"/>
              </w:rPr>
              <w:t>0</w:t>
            </w:r>
          </w:p>
        </w:tc>
        <w:tc>
          <w:tcPr>
            <w:tcW w:w="1701" w:type="dxa"/>
            <w:tcBorders>
              <w:top w:val="nil"/>
              <w:left w:val="nil"/>
              <w:bottom w:val="nil"/>
              <w:right w:val="nil"/>
            </w:tcBorders>
            <w:noWrap/>
            <w:vAlign w:val="center"/>
          </w:tcPr>
          <w:p w14:paraId="18D8C809" w14:textId="690BFC5C" w:rsidR="002E4884" w:rsidRPr="00F015C0" w:rsidRDefault="002F5CFF" w:rsidP="000845C9">
            <w:pPr>
              <w:ind w:left="-241" w:firstLine="141"/>
              <w:jc w:val="center"/>
              <w:rPr>
                <w:rFonts w:ascii="Arial" w:hAnsi="Arial" w:cs="Arial"/>
              </w:rPr>
            </w:pPr>
            <w:r>
              <w:rPr>
                <w:rFonts w:ascii="Arial" w:hAnsi="Arial" w:cs="Arial"/>
              </w:rPr>
              <w:t>0</w:t>
            </w:r>
          </w:p>
        </w:tc>
        <w:tc>
          <w:tcPr>
            <w:tcW w:w="1417" w:type="dxa"/>
            <w:tcBorders>
              <w:top w:val="nil"/>
              <w:left w:val="nil"/>
              <w:bottom w:val="nil"/>
              <w:right w:val="nil"/>
            </w:tcBorders>
            <w:noWrap/>
            <w:vAlign w:val="center"/>
          </w:tcPr>
          <w:p w14:paraId="4F7EB352" w14:textId="567596AC" w:rsidR="002E4884" w:rsidRPr="00F015C0" w:rsidRDefault="002F5CFF" w:rsidP="000845C9">
            <w:pPr>
              <w:ind w:left="-241" w:firstLine="141"/>
              <w:jc w:val="center"/>
              <w:rPr>
                <w:rFonts w:ascii="Arial" w:hAnsi="Arial" w:cs="Arial"/>
              </w:rPr>
            </w:pPr>
            <w:r>
              <w:rPr>
                <w:rFonts w:ascii="Arial" w:hAnsi="Arial" w:cs="Arial"/>
              </w:rPr>
              <w:t>0</w:t>
            </w:r>
          </w:p>
        </w:tc>
        <w:tc>
          <w:tcPr>
            <w:tcW w:w="1417" w:type="dxa"/>
            <w:tcBorders>
              <w:top w:val="nil"/>
              <w:left w:val="nil"/>
              <w:bottom w:val="nil"/>
              <w:right w:val="nil"/>
            </w:tcBorders>
            <w:noWrap/>
            <w:vAlign w:val="center"/>
          </w:tcPr>
          <w:p w14:paraId="4AB23784" w14:textId="33620F68" w:rsidR="002E4884" w:rsidRPr="00F015C0" w:rsidRDefault="002F5CFF" w:rsidP="000845C9">
            <w:pPr>
              <w:ind w:left="-241" w:firstLine="141"/>
              <w:jc w:val="center"/>
              <w:rPr>
                <w:rFonts w:ascii="Arial" w:hAnsi="Arial" w:cs="Arial"/>
              </w:rPr>
            </w:pPr>
            <w:r>
              <w:rPr>
                <w:rFonts w:ascii="Arial" w:hAnsi="Arial" w:cs="Arial"/>
              </w:rPr>
              <w:t>1,002</w:t>
            </w:r>
          </w:p>
        </w:tc>
      </w:tr>
      <w:tr w:rsidR="00C90E77" w:rsidRPr="00F015C0" w14:paraId="47FFA4B0"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0F9F077B" w14:textId="77777777" w:rsidR="002E4884" w:rsidRPr="00F015C0" w:rsidRDefault="002E4884" w:rsidP="000845C9">
            <w:pPr>
              <w:ind w:left="-241" w:firstLine="141"/>
              <w:rPr>
                <w:rFonts w:ascii="Arial" w:hAnsi="Arial" w:cs="Arial"/>
              </w:rPr>
            </w:pPr>
            <w:r w:rsidRPr="00F015C0">
              <w:rPr>
                <w:rFonts w:ascii="Arial" w:hAnsi="Arial" w:cs="Arial"/>
              </w:rPr>
              <w:t>Other operating charges</w:t>
            </w:r>
          </w:p>
        </w:tc>
        <w:tc>
          <w:tcPr>
            <w:tcW w:w="1417" w:type="dxa"/>
            <w:tcBorders>
              <w:top w:val="nil"/>
              <w:left w:val="nil"/>
              <w:bottom w:val="nil"/>
              <w:right w:val="nil"/>
            </w:tcBorders>
            <w:noWrap/>
            <w:vAlign w:val="center"/>
          </w:tcPr>
          <w:p w14:paraId="62EEBB9E" w14:textId="4E73088F" w:rsidR="002E4884" w:rsidRPr="00F015C0" w:rsidRDefault="0045535A" w:rsidP="000845C9">
            <w:pPr>
              <w:ind w:left="-241" w:firstLine="141"/>
              <w:jc w:val="center"/>
              <w:rPr>
                <w:rFonts w:ascii="Arial" w:hAnsi="Arial" w:cs="Arial"/>
              </w:rPr>
            </w:pPr>
            <w:r>
              <w:rPr>
                <w:rFonts w:ascii="Arial" w:hAnsi="Arial" w:cs="Arial"/>
              </w:rPr>
              <w:t>6,445</w:t>
            </w:r>
          </w:p>
        </w:tc>
        <w:tc>
          <w:tcPr>
            <w:tcW w:w="1417" w:type="dxa"/>
            <w:tcBorders>
              <w:top w:val="nil"/>
              <w:left w:val="nil"/>
              <w:bottom w:val="nil"/>
              <w:right w:val="nil"/>
            </w:tcBorders>
            <w:noWrap/>
            <w:vAlign w:val="center"/>
          </w:tcPr>
          <w:p w14:paraId="7BA0969A" w14:textId="672C2C3F" w:rsidR="002E4884" w:rsidRPr="00F015C0" w:rsidRDefault="0045535A" w:rsidP="000845C9">
            <w:pPr>
              <w:ind w:left="-241" w:firstLine="141"/>
              <w:jc w:val="center"/>
              <w:rPr>
                <w:rFonts w:ascii="Arial" w:hAnsi="Arial" w:cs="Arial"/>
              </w:rPr>
            </w:pPr>
            <w:r>
              <w:rPr>
                <w:rFonts w:ascii="Arial" w:hAnsi="Arial" w:cs="Arial"/>
              </w:rPr>
              <w:t>349</w:t>
            </w:r>
          </w:p>
        </w:tc>
        <w:tc>
          <w:tcPr>
            <w:tcW w:w="1701" w:type="dxa"/>
            <w:tcBorders>
              <w:top w:val="nil"/>
              <w:left w:val="nil"/>
              <w:bottom w:val="nil"/>
              <w:right w:val="nil"/>
            </w:tcBorders>
            <w:noWrap/>
            <w:vAlign w:val="center"/>
          </w:tcPr>
          <w:p w14:paraId="5ABE9BF6" w14:textId="27CD880E" w:rsidR="002E4884" w:rsidRPr="00F015C0" w:rsidRDefault="005E58AC" w:rsidP="000845C9">
            <w:pPr>
              <w:ind w:left="-241" w:firstLine="141"/>
              <w:jc w:val="center"/>
              <w:rPr>
                <w:rFonts w:ascii="Arial" w:hAnsi="Arial" w:cs="Arial"/>
              </w:rPr>
            </w:pPr>
            <w:r>
              <w:rPr>
                <w:rFonts w:ascii="Arial" w:hAnsi="Arial" w:cs="Arial"/>
              </w:rPr>
              <w:t>759</w:t>
            </w:r>
          </w:p>
        </w:tc>
        <w:tc>
          <w:tcPr>
            <w:tcW w:w="1417" w:type="dxa"/>
            <w:tcBorders>
              <w:top w:val="nil"/>
              <w:left w:val="nil"/>
              <w:bottom w:val="nil"/>
              <w:right w:val="nil"/>
            </w:tcBorders>
            <w:noWrap/>
            <w:vAlign w:val="center"/>
          </w:tcPr>
          <w:p w14:paraId="5D721CAF" w14:textId="44114A97" w:rsidR="002E4884" w:rsidRPr="00F015C0" w:rsidRDefault="005E58AC" w:rsidP="000845C9">
            <w:pPr>
              <w:ind w:left="-241" w:firstLine="141"/>
              <w:jc w:val="center"/>
              <w:rPr>
                <w:rFonts w:ascii="Arial" w:hAnsi="Arial" w:cs="Arial"/>
              </w:rPr>
            </w:pPr>
            <w:r>
              <w:rPr>
                <w:rFonts w:ascii="Arial" w:hAnsi="Arial" w:cs="Arial"/>
              </w:rPr>
              <w:t>101</w:t>
            </w:r>
          </w:p>
        </w:tc>
        <w:tc>
          <w:tcPr>
            <w:tcW w:w="1417" w:type="dxa"/>
            <w:tcBorders>
              <w:top w:val="nil"/>
              <w:left w:val="nil"/>
              <w:bottom w:val="nil"/>
              <w:right w:val="nil"/>
            </w:tcBorders>
            <w:noWrap/>
            <w:vAlign w:val="center"/>
          </w:tcPr>
          <w:p w14:paraId="7DC34A20" w14:textId="0BDD3D6D" w:rsidR="002E4884" w:rsidRPr="00F015C0" w:rsidRDefault="005E58AC" w:rsidP="000845C9">
            <w:pPr>
              <w:ind w:left="-241" w:firstLine="141"/>
              <w:jc w:val="center"/>
              <w:rPr>
                <w:rFonts w:ascii="Arial" w:hAnsi="Arial" w:cs="Arial"/>
              </w:rPr>
            </w:pPr>
            <w:r>
              <w:rPr>
                <w:rFonts w:ascii="Arial" w:hAnsi="Arial" w:cs="Arial"/>
              </w:rPr>
              <w:t>7,654</w:t>
            </w:r>
          </w:p>
        </w:tc>
      </w:tr>
      <w:tr w:rsidR="00863090" w:rsidRPr="00F015C0" w14:paraId="3C2A3355"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355DBF8B" w14:textId="77777777" w:rsidR="002E4884" w:rsidRPr="00F015C0" w:rsidRDefault="002E4884" w:rsidP="000845C9">
            <w:pPr>
              <w:ind w:left="-241" w:firstLine="141"/>
              <w:rPr>
                <w:rFonts w:ascii="Arial" w:hAnsi="Arial" w:cs="Arial"/>
                <w:b/>
                <w:bCs/>
              </w:rPr>
            </w:pPr>
            <w:r w:rsidRPr="00F015C0">
              <w:rPr>
                <w:rFonts w:ascii="Arial" w:hAnsi="Arial" w:cs="Arial"/>
                <w:b/>
                <w:bCs/>
              </w:rPr>
              <w:t>Total expenditure</w:t>
            </w:r>
          </w:p>
        </w:tc>
        <w:tc>
          <w:tcPr>
            <w:tcW w:w="1417" w:type="dxa"/>
            <w:tcBorders>
              <w:top w:val="single" w:sz="8" w:space="0" w:color="auto"/>
              <w:left w:val="nil"/>
              <w:bottom w:val="single" w:sz="8" w:space="0" w:color="auto"/>
              <w:right w:val="nil"/>
            </w:tcBorders>
            <w:noWrap/>
            <w:vAlign w:val="center"/>
          </w:tcPr>
          <w:p w14:paraId="6889F589" w14:textId="482B3044" w:rsidR="002E4884" w:rsidRPr="00F015C0" w:rsidRDefault="00D84E40" w:rsidP="000845C9">
            <w:pPr>
              <w:ind w:left="-241" w:firstLine="141"/>
              <w:jc w:val="center"/>
              <w:rPr>
                <w:rFonts w:ascii="Arial" w:hAnsi="Arial" w:cs="Arial"/>
                <w:b/>
                <w:bCs/>
              </w:rPr>
            </w:pPr>
            <w:r>
              <w:rPr>
                <w:rFonts w:ascii="Arial" w:hAnsi="Arial" w:cs="Arial"/>
                <w:b/>
                <w:bCs/>
              </w:rPr>
              <w:t>39,615</w:t>
            </w:r>
          </w:p>
        </w:tc>
        <w:tc>
          <w:tcPr>
            <w:tcW w:w="1417" w:type="dxa"/>
            <w:tcBorders>
              <w:top w:val="single" w:sz="8" w:space="0" w:color="auto"/>
              <w:left w:val="nil"/>
              <w:bottom w:val="single" w:sz="8" w:space="0" w:color="auto"/>
              <w:right w:val="nil"/>
            </w:tcBorders>
            <w:noWrap/>
            <w:vAlign w:val="center"/>
          </w:tcPr>
          <w:p w14:paraId="0F9D71E6" w14:textId="27E6FDD4" w:rsidR="002E4884" w:rsidRPr="00F015C0" w:rsidRDefault="00D84E40" w:rsidP="000845C9">
            <w:pPr>
              <w:ind w:left="-241" w:firstLine="141"/>
              <w:jc w:val="center"/>
              <w:rPr>
                <w:rFonts w:ascii="Arial" w:hAnsi="Arial" w:cs="Arial"/>
                <w:b/>
                <w:bCs/>
              </w:rPr>
            </w:pPr>
            <w:r>
              <w:rPr>
                <w:rFonts w:ascii="Arial" w:hAnsi="Arial" w:cs="Arial"/>
                <w:b/>
                <w:bCs/>
              </w:rPr>
              <w:t>1,031</w:t>
            </w:r>
          </w:p>
        </w:tc>
        <w:tc>
          <w:tcPr>
            <w:tcW w:w="1701" w:type="dxa"/>
            <w:tcBorders>
              <w:top w:val="single" w:sz="8" w:space="0" w:color="auto"/>
              <w:left w:val="nil"/>
              <w:bottom w:val="single" w:sz="8" w:space="0" w:color="auto"/>
              <w:right w:val="nil"/>
            </w:tcBorders>
            <w:noWrap/>
            <w:vAlign w:val="center"/>
          </w:tcPr>
          <w:p w14:paraId="262731F7" w14:textId="7418E712" w:rsidR="002E4884" w:rsidRPr="00F015C0" w:rsidRDefault="00D84E40" w:rsidP="000845C9">
            <w:pPr>
              <w:ind w:left="-241" w:firstLine="141"/>
              <w:jc w:val="center"/>
              <w:rPr>
                <w:rFonts w:ascii="Arial" w:hAnsi="Arial" w:cs="Arial"/>
                <w:b/>
                <w:bCs/>
              </w:rPr>
            </w:pPr>
            <w:r>
              <w:rPr>
                <w:rFonts w:ascii="Arial" w:hAnsi="Arial" w:cs="Arial"/>
                <w:b/>
                <w:bCs/>
              </w:rPr>
              <w:t>1,886</w:t>
            </w:r>
          </w:p>
        </w:tc>
        <w:tc>
          <w:tcPr>
            <w:tcW w:w="1417" w:type="dxa"/>
            <w:tcBorders>
              <w:top w:val="single" w:sz="8" w:space="0" w:color="auto"/>
              <w:left w:val="nil"/>
              <w:bottom w:val="single" w:sz="8" w:space="0" w:color="auto"/>
              <w:right w:val="nil"/>
            </w:tcBorders>
            <w:noWrap/>
            <w:vAlign w:val="center"/>
          </w:tcPr>
          <w:p w14:paraId="48B4870E" w14:textId="05DC1108" w:rsidR="002E4884" w:rsidRPr="00F015C0" w:rsidRDefault="00D84E40" w:rsidP="000845C9">
            <w:pPr>
              <w:ind w:left="-241" w:firstLine="141"/>
              <w:jc w:val="center"/>
              <w:rPr>
                <w:rFonts w:ascii="Arial" w:hAnsi="Arial" w:cs="Arial"/>
                <w:b/>
                <w:bCs/>
              </w:rPr>
            </w:pPr>
            <w:r>
              <w:rPr>
                <w:rFonts w:ascii="Arial" w:hAnsi="Arial" w:cs="Arial"/>
                <w:b/>
                <w:bCs/>
              </w:rPr>
              <w:t>792</w:t>
            </w:r>
          </w:p>
        </w:tc>
        <w:tc>
          <w:tcPr>
            <w:tcW w:w="1417" w:type="dxa"/>
            <w:tcBorders>
              <w:top w:val="single" w:sz="8" w:space="0" w:color="auto"/>
              <w:left w:val="nil"/>
              <w:bottom w:val="single" w:sz="8" w:space="0" w:color="auto"/>
              <w:right w:val="nil"/>
            </w:tcBorders>
            <w:noWrap/>
            <w:vAlign w:val="center"/>
          </w:tcPr>
          <w:p w14:paraId="50ADF203" w14:textId="6EF35F3D" w:rsidR="002E4884" w:rsidRPr="00F015C0" w:rsidRDefault="00D84E40" w:rsidP="000845C9">
            <w:pPr>
              <w:ind w:left="-241" w:firstLine="141"/>
              <w:jc w:val="center"/>
              <w:rPr>
                <w:rFonts w:ascii="Arial" w:hAnsi="Arial" w:cs="Arial"/>
                <w:b/>
                <w:bCs/>
              </w:rPr>
            </w:pPr>
            <w:r>
              <w:rPr>
                <w:rFonts w:ascii="Arial" w:hAnsi="Arial" w:cs="Arial"/>
                <w:b/>
                <w:bCs/>
              </w:rPr>
              <w:t>43,324</w:t>
            </w:r>
          </w:p>
        </w:tc>
      </w:tr>
      <w:tr w:rsidR="00863090" w:rsidRPr="00F015C0" w14:paraId="5269B49F" w14:textId="77777777" w:rsidTr="00DA2CF3">
        <w:trPr>
          <w:trHeight w:val="454"/>
        </w:trPr>
        <w:tc>
          <w:tcPr>
            <w:tcW w:w="3403" w:type="dxa"/>
            <w:tcBorders>
              <w:top w:val="nil"/>
              <w:left w:val="nil"/>
              <w:bottom w:val="nil"/>
              <w:right w:val="nil"/>
            </w:tcBorders>
            <w:shd w:val="clear" w:color="auto" w:fill="EAF1DD" w:themeFill="accent3" w:themeFillTint="33"/>
            <w:noWrap/>
            <w:vAlign w:val="center"/>
            <w:hideMark/>
          </w:tcPr>
          <w:p w14:paraId="3A002057" w14:textId="77777777" w:rsidR="002E4884" w:rsidRPr="00F015C0" w:rsidRDefault="002E4884" w:rsidP="000845C9">
            <w:pPr>
              <w:ind w:left="-241" w:firstLine="141"/>
              <w:rPr>
                <w:rFonts w:ascii="Arial" w:hAnsi="Arial" w:cs="Arial"/>
                <w:b/>
                <w:bCs/>
              </w:rPr>
            </w:pPr>
            <w:r w:rsidRPr="00F015C0">
              <w:rPr>
                <w:rFonts w:ascii="Arial" w:hAnsi="Arial" w:cs="Arial"/>
                <w:b/>
                <w:bCs/>
              </w:rPr>
              <w:t>(Under)/Over recovery</w:t>
            </w:r>
          </w:p>
        </w:tc>
        <w:tc>
          <w:tcPr>
            <w:tcW w:w="1417" w:type="dxa"/>
            <w:tcBorders>
              <w:top w:val="nil"/>
              <w:left w:val="nil"/>
              <w:bottom w:val="double" w:sz="6" w:space="0" w:color="auto"/>
              <w:right w:val="nil"/>
            </w:tcBorders>
            <w:vAlign w:val="center"/>
          </w:tcPr>
          <w:p w14:paraId="31E588FE" w14:textId="00009E51" w:rsidR="002E4884" w:rsidRPr="00F015C0" w:rsidRDefault="003221B5" w:rsidP="000845C9">
            <w:pPr>
              <w:ind w:left="-241" w:firstLine="141"/>
              <w:jc w:val="center"/>
              <w:rPr>
                <w:rFonts w:ascii="Arial" w:hAnsi="Arial" w:cs="Arial"/>
                <w:b/>
                <w:bCs/>
              </w:rPr>
            </w:pPr>
            <w:r>
              <w:rPr>
                <w:rFonts w:ascii="Arial" w:hAnsi="Arial" w:cs="Arial"/>
                <w:b/>
                <w:bCs/>
              </w:rPr>
              <w:t>(101)</w:t>
            </w:r>
          </w:p>
        </w:tc>
        <w:tc>
          <w:tcPr>
            <w:tcW w:w="1417" w:type="dxa"/>
            <w:tcBorders>
              <w:top w:val="nil"/>
              <w:left w:val="nil"/>
              <w:bottom w:val="double" w:sz="6" w:space="0" w:color="auto"/>
              <w:right w:val="nil"/>
            </w:tcBorders>
            <w:vAlign w:val="center"/>
          </w:tcPr>
          <w:p w14:paraId="4DC53484" w14:textId="6262CD27" w:rsidR="002E4884" w:rsidRPr="00F015C0" w:rsidRDefault="003221B5" w:rsidP="000845C9">
            <w:pPr>
              <w:ind w:left="-241" w:firstLine="141"/>
              <w:jc w:val="center"/>
              <w:rPr>
                <w:rFonts w:ascii="Arial" w:hAnsi="Arial" w:cs="Arial"/>
                <w:b/>
                <w:bCs/>
              </w:rPr>
            </w:pPr>
            <w:r>
              <w:rPr>
                <w:rFonts w:ascii="Arial" w:hAnsi="Arial" w:cs="Arial"/>
                <w:b/>
                <w:bCs/>
              </w:rPr>
              <w:t>306</w:t>
            </w:r>
          </w:p>
        </w:tc>
        <w:tc>
          <w:tcPr>
            <w:tcW w:w="1701" w:type="dxa"/>
            <w:tcBorders>
              <w:top w:val="nil"/>
              <w:left w:val="nil"/>
              <w:bottom w:val="double" w:sz="6" w:space="0" w:color="auto"/>
              <w:right w:val="nil"/>
            </w:tcBorders>
            <w:vAlign w:val="center"/>
          </w:tcPr>
          <w:p w14:paraId="217C874B" w14:textId="48318FF7" w:rsidR="002E4884" w:rsidRPr="00F015C0" w:rsidRDefault="003221B5" w:rsidP="000845C9">
            <w:pPr>
              <w:ind w:left="-241" w:firstLine="141"/>
              <w:jc w:val="center"/>
              <w:rPr>
                <w:rFonts w:ascii="Arial" w:hAnsi="Arial" w:cs="Arial"/>
                <w:b/>
                <w:bCs/>
              </w:rPr>
            </w:pPr>
            <w:r>
              <w:rPr>
                <w:rFonts w:ascii="Arial" w:hAnsi="Arial" w:cs="Arial"/>
                <w:b/>
                <w:bCs/>
              </w:rPr>
              <w:t>(461)</w:t>
            </w:r>
          </w:p>
        </w:tc>
        <w:tc>
          <w:tcPr>
            <w:tcW w:w="1417" w:type="dxa"/>
            <w:tcBorders>
              <w:top w:val="nil"/>
              <w:left w:val="nil"/>
              <w:bottom w:val="double" w:sz="6" w:space="0" w:color="auto"/>
              <w:right w:val="nil"/>
            </w:tcBorders>
            <w:vAlign w:val="center"/>
          </w:tcPr>
          <w:p w14:paraId="415F0BD5" w14:textId="3C7500F9" w:rsidR="002E4884" w:rsidRPr="00F015C0" w:rsidRDefault="003221B5" w:rsidP="000845C9">
            <w:pPr>
              <w:ind w:left="-241" w:firstLine="141"/>
              <w:jc w:val="center"/>
              <w:rPr>
                <w:rFonts w:ascii="Arial" w:hAnsi="Arial" w:cs="Arial"/>
                <w:b/>
                <w:bCs/>
              </w:rPr>
            </w:pPr>
            <w:r w:rsidRPr="00711B75">
              <w:rPr>
                <w:rFonts w:ascii="Arial" w:hAnsi="Arial" w:cs="Arial"/>
                <w:b/>
                <w:bCs/>
              </w:rPr>
              <w:t>(36</w:t>
            </w:r>
            <w:r w:rsidR="00711B75" w:rsidRPr="00711B75">
              <w:rPr>
                <w:rFonts w:ascii="Arial" w:hAnsi="Arial" w:cs="Arial"/>
                <w:b/>
                <w:bCs/>
              </w:rPr>
              <w:t>5</w:t>
            </w:r>
            <w:r w:rsidRPr="00711B75">
              <w:rPr>
                <w:rFonts w:ascii="Arial" w:hAnsi="Arial" w:cs="Arial"/>
                <w:b/>
                <w:bCs/>
              </w:rPr>
              <w:t>)</w:t>
            </w:r>
          </w:p>
        </w:tc>
        <w:tc>
          <w:tcPr>
            <w:tcW w:w="1417" w:type="dxa"/>
            <w:tcBorders>
              <w:top w:val="nil"/>
              <w:left w:val="nil"/>
              <w:bottom w:val="double" w:sz="6" w:space="0" w:color="auto"/>
              <w:right w:val="nil"/>
            </w:tcBorders>
            <w:vAlign w:val="center"/>
          </w:tcPr>
          <w:p w14:paraId="7655BE12" w14:textId="6A37664F" w:rsidR="002E4884" w:rsidRPr="00F015C0" w:rsidRDefault="003221B5" w:rsidP="000845C9">
            <w:pPr>
              <w:ind w:left="-241" w:firstLine="141"/>
              <w:jc w:val="center"/>
              <w:rPr>
                <w:rFonts w:ascii="Arial" w:hAnsi="Arial" w:cs="Arial"/>
                <w:b/>
                <w:bCs/>
              </w:rPr>
            </w:pPr>
            <w:r>
              <w:rPr>
                <w:rFonts w:ascii="Arial" w:hAnsi="Arial" w:cs="Arial"/>
                <w:b/>
                <w:bCs/>
              </w:rPr>
              <w:t>(621)</w:t>
            </w:r>
          </w:p>
        </w:tc>
      </w:tr>
      <w:tr w:rsidR="00863090" w:rsidRPr="00F015C0" w14:paraId="6FFF98B8" w14:textId="77777777" w:rsidTr="00DA2CF3">
        <w:trPr>
          <w:trHeight w:val="454"/>
        </w:trPr>
        <w:tc>
          <w:tcPr>
            <w:tcW w:w="3403" w:type="dxa"/>
            <w:tcBorders>
              <w:top w:val="nil"/>
              <w:left w:val="nil"/>
              <w:bottom w:val="nil"/>
              <w:right w:val="nil"/>
            </w:tcBorders>
            <w:shd w:val="clear" w:color="auto" w:fill="EAF1DD" w:themeFill="accent3" w:themeFillTint="33"/>
            <w:noWrap/>
            <w:vAlign w:val="center"/>
          </w:tcPr>
          <w:p w14:paraId="3C4309CF" w14:textId="77777777" w:rsidR="002E4884" w:rsidRPr="00F015C0" w:rsidRDefault="002E4884" w:rsidP="000845C9">
            <w:pPr>
              <w:ind w:left="-241" w:firstLine="141"/>
              <w:rPr>
                <w:rFonts w:ascii="Arial" w:hAnsi="Arial" w:cs="Arial"/>
                <w:b/>
                <w:bCs/>
              </w:rPr>
            </w:pPr>
            <w:r w:rsidRPr="00F015C0">
              <w:rPr>
                <w:rFonts w:ascii="Arial" w:hAnsi="Arial" w:cs="Arial"/>
                <w:b/>
                <w:bCs/>
              </w:rPr>
              <w:t>% Cost recovery</w:t>
            </w:r>
          </w:p>
        </w:tc>
        <w:tc>
          <w:tcPr>
            <w:tcW w:w="1417" w:type="dxa"/>
            <w:tcBorders>
              <w:top w:val="double" w:sz="6" w:space="0" w:color="auto"/>
              <w:left w:val="nil"/>
              <w:bottom w:val="double" w:sz="6" w:space="0" w:color="auto"/>
              <w:right w:val="nil"/>
            </w:tcBorders>
            <w:noWrap/>
            <w:vAlign w:val="center"/>
          </w:tcPr>
          <w:p w14:paraId="72DC2010" w14:textId="5359A319" w:rsidR="002E4884" w:rsidRPr="00F015C0" w:rsidRDefault="003221B5" w:rsidP="000845C9">
            <w:pPr>
              <w:ind w:left="-241" w:firstLine="141"/>
              <w:jc w:val="center"/>
              <w:rPr>
                <w:rFonts w:ascii="Arial" w:hAnsi="Arial" w:cs="Arial"/>
                <w:b/>
              </w:rPr>
            </w:pPr>
            <w:r>
              <w:rPr>
                <w:rFonts w:ascii="Arial" w:hAnsi="Arial" w:cs="Arial"/>
                <w:b/>
              </w:rPr>
              <w:t>100%</w:t>
            </w:r>
          </w:p>
        </w:tc>
        <w:tc>
          <w:tcPr>
            <w:tcW w:w="1417" w:type="dxa"/>
            <w:tcBorders>
              <w:top w:val="double" w:sz="6" w:space="0" w:color="auto"/>
              <w:left w:val="nil"/>
              <w:bottom w:val="double" w:sz="6" w:space="0" w:color="auto"/>
              <w:right w:val="nil"/>
            </w:tcBorders>
            <w:noWrap/>
            <w:vAlign w:val="center"/>
          </w:tcPr>
          <w:p w14:paraId="01C70C2A" w14:textId="38C5A11C" w:rsidR="002E4884" w:rsidRPr="00F015C0" w:rsidRDefault="00646ACE" w:rsidP="000845C9">
            <w:pPr>
              <w:ind w:left="-241" w:firstLine="141"/>
              <w:jc w:val="center"/>
              <w:rPr>
                <w:rFonts w:ascii="Arial" w:hAnsi="Arial" w:cs="Arial"/>
                <w:b/>
              </w:rPr>
            </w:pPr>
            <w:r>
              <w:rPr>
                <w:rFonts w:ascii="Arial" w:hAnsi="Arial" w:cs="Arial"/>
                <w:b/>
              </w:rPr>
              <w:t>130%</w:t>
            </w:r>
          </w:p>
        </w:tc>
        <w:tc>
          <w:tcPr>
            <w:tcW w:w="1701" w:type="dxa"/>
            <w:tcBorders>
              <w:top w:val="double" w:sz="6" w:space="0" w:color="auto"/>
              <w:left w:val="nil"/>
              <w:bottom w:val="double" w:sz="6" w:space="0" w:color="auto"/>
              <w:right w:val="nil"/>
            </w:tcBorders>
            <w:noWrap/>
            <w:vAlign w:val="center"/>
          </w:tcPr>
          <w:p w14:paraId="4C2A4E98" w14:textId="11AFC79B" w:rsidR="002E4884" w:rsidRPr="00F015C0" w:rsidRDefault="00646ACE" w:rsidP="000845C9">
            <w:pPr>
              <w:ind w:left="-241" w:firstLine="141"/>
              <w:jc w:val="center"/>
              <w:rPr>
                <w:rFonts w:ascii="Arial" w:hAnsi="Arial" w:cs="Arial"/>
                <w:b/>
              </w:rPr>
            </w:pPr>
            <w:r>
              <w:rPr>
                <w:rFonts w:ascii="Arial" w:hAnsi="Arial" w:cs="Arial"/>
                <w:b/>
              </w:rPr>
              <w:t>76%</w:t>
            </w:r>
          </w:p>
        </w:tc>
        <w:tc>
          <w:tcPr>
            <w:tcW w:w="1417" w:type="dxa"/>
            <w:tcBorders>
              <w:top w:val="double" w:sz="6" w:space="0" w:color="auto"/>
              <w:left w:val="nil"/>
              <w:bottom w:val="double" w:sz="6" w:space="0" w:color="auto"/>
              <w:right w:val="nil"/>
            </w:tcBorders>
            <w:noWrap/>
            <w:vAlign w:val="center"/>
          </w:tcPr>
          <w:p w14:paraId="0E1604ED" w14:textId="63D481E3" w:rsidR="002E4884" w:rsidRPr="00F015C0" w:rsidRDefault="00646ACE" w:rsidP="000845C9">
            <w:pPr>
              <w:ind w:left="-241" w:firstLine="141"/>
              <w:jc w:val="center"/>
              <w:rPr>
                <w:rFonts w:ascii="Arial" w:hAnsi="Arial" w:cs="Arial"/>
                <w:b/>
              </w:rPr>
            </w:pPr>
            <w:r>
              <w:rPr>
                <w:rFonts w:ascii="Arial" w:hAnsi="Arial" w:cs="Arial"/>
                <w:b/>
              </w:rPr>
              <w:t>54%</w:t>
            </w:r>
          </w:p>
        </w:tc>
        <w:tc>
          <w:tcPr>
            <w:tcW w:w="1417" w:type="dxa"/>
            <w:tcBorders>
              <w:top w:val="double" w:sz="6" w:space="0" w:color="auto"/>
              <w:left w:val="nil"/>
              <w:bottom w:val="double" w:sz="6" w:space="0" w:color="auto"/>
              <w:right w:val="nil"/>
            </w:tcBorders>
            <w:noWrap/>
            <w:vAlign w:val="center"/>
          </w:tcPr>
          <w:p w14:paraId="7DC7AB32" w14:textId="1D4E5CE3" w:rsidR="002E4884" w:rsidRPr="00F015C0" w:rsidRDefault="00646ACE" w:rsidP="000845C9">
            <w:pPr>
              <w:ind w:left="-241" w:firstLine="141"/>
              <w:jc w:val="center"/>
              <w:rPr>
                <w:rFonts w:ascii="Arial" w:hAnsi="Arial" w:cs="Arial"/>
                <w:b/>
              </w:rPr>
            </w:pPr>
            <w:r>
              <w:rPr>
                <w:rFonts w:ascii="Arial" w:hAnsi="Arial" w:cs="Arial"/>
                <w:b/>
              </w:rPr>
              <w:t>99%</w:t>
            </w:r>
          </w:p>
        </w:tc>
      </w:tr>
    </w:tbl>
    <w:p w14:paraId="490EF84A" w14:textId="77777777" w:rsidR="00D9609D" w:rsidRDefault="00D9609D" w:rsidP="00BD1C2C">
      <w:pPr>
        <w:spacing w:line="360" w:lineRule="auto"/>
        <w:contextualSpacing/>
        <w:rPr>
          <w:rFonts w:ascii="Arial" w:hAnsi="Arial" w:cs="Arial"/>
          <w:color w:val="000000" w:themeColor="text1"/>
          <w:highlight w:val="magenta"/>
        </w:rPr>
      </w:pPr>
    </w:p>
    <w:p w14:paraId="1D3B0F64" w14:textId="540F7587" w:rsidR="00287470" w:rsidRPr="00750FB1" w:rsidRDefault="00287470" w:rsidP="00433D29">
      <w:pPr>
        <w:spacing w:line="360" w:lineRule="auto"/>
        <w:ind w:left="-426"/>
        <w:contextualSpacing/>
        <w:rPr>
          <w:rFonts w:ascii="Arial" w:hAnsi="Arial" w:cs="Arial"/>
          <w:b/>
          <w:bCs/>
          <w:color w:val="000000" w:themeColor="text1"/>
        </w:rPr>
      </w:pPr>
      <w:r w:rsidRPr="00750FB1">
        <w:rPr>
          <w:rFonts w:ascii="Arial" w:hAnsi="Arial" w:cs="Arial"/>
          <w:b/>
          <w:bCs/>
          <w:color w:val="000000" w:themeColor="text1"/>
        </w:rPr>
        <w:t>Other individual schemes each with fees of less than £1</w:t>
      </w:r>
      <w:r w:rsidR="00433D29" w:rsidRPr="00750FB1">
        <w:rPr>
          <w:rFonts w:ascii="Arial" w:hAnsi="Arial" w:cs="Arial"/>
          <w:b/>
          <w:bCs/>
          <w:color w:val="000000" w:themeColor="text1"/>
        </w:rPr>
        <w:t>m</w:t>
      </w:r>
    </w:p>
    <w:p w14:paraId="6951301B" w14:textId="6AB1013C" w:rsidR="007A026F" w:rsidRPr="00750FB1" w:rsidRDefault="00190246"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AVIA – Aviation</w:t>
      </w:r>
    </w:p>
    <w:p w14:paraId="16A32CB3" w14:textId="77AE538C" w:rsidR="00190246" w:rsidRPr="00750FB1" w:rsidRDefault="00190246"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COMAH – Control of Major Accident Hazards Regulations</w:t>
      </w:r>
    </w:p>
    <w:p w14:paraId="19203987" w14:textId="09FB8CBF" w:rsidR="00190246" w:rsidRPr="00750FB1" w:rsidRDefault="00190246"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CRC – Carbon Reduction Commitment</w:t>
      </w:r>
    </w:p>
    <w:p w14:paraId="1A007F91" w14:textId="3A0E5B6B" w:rsidR="00190246" w:rsidRPr="00750FB1" w:rsidRDefault="00190246"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ETS – EU Greenhouse Gas Emissions Trading</w:t>
      </w:r>
    </w:p>
    <w:p w14:paraId="37F992CC" w14:textId="6F14E13F" w:rsidR="00F20626" w:rsidRPr="00750FB1" w:rsidRDefault="00F20626"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RES – Reservoirs Charging Scheme</w:t>
      </w:r>
    </w:p>
    <w:p w14:paraId="6E8F1203" w14:textId="77777777" w:rsidR="00C70A2B" w:rsidRDefault="00C70A2B" w:rsidP="00433D29">
      <w:pPr>
        <w:spacing w:line="360" w:lineRule="auto"/>
        <w:ind w:left="-426"/>
        <w:contextualSpacing/>
        <w:rPr>
          <w:rFonts w:ascii="Arial" w:hAnsi="Arial" w:cs="Arial"/>
          <w:color w:val="000000" w:themeColor="text1"/>
        </w:rPr>
      </w:pPr>
    </w:p>
    <w:p w14:paraId="3F125D36" w14:textId="3B8C01C5" w:rsidR="007A026F" w:rsidRPr="00750FB1" w:rsidRDefault="007A026F" w:rsidP="00433D29">
      <w:pPr>
        <w:spacing w:line="360" w:lineRule="auto"/>
        <w:ind w:left="-426"/>
        <w:contextualSpacing/>
        <w:rPr>
          <w:rFonts w:ascii="Arial" w:hAnsi="Arial" w:cs="Arial"/>
          <w:b/>
          <w:bCs/>
          <w:color w:val="000000" w:themeColor="text1"/>
        </w:rPr>
      </w:pPr>
      <w:r w:rsidRPr="00750FB1">
        <w:rPr>
          <w:rFonts w:ascii="Arial" w:hAnsi="Arial" w:cs="Arial"/>
          <w:b/>
          <w:bCs/>
          <w:color w:val="000000" w:themeColor="text1"/>
        </w:rPr>
        <w:t>Scheme fees each over £1m</w:t>
      </w:r>
    </w:p>
    <w:p w14:paraId="0A9F2B3F" w14:textId="48FEF3B5" w:rsidR="00671F4E" w:rsidRPr="00750FB1" w:rsidRDefault="00671F4E"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ERS – Environmental Regulation (Scotland)</w:t>
      </w:r>
    </w:p>
    <w:p w14:paraId="3BC5F4D3" w14:textId="1873D480" w:rsidR="00671F4E" w:rsidRPr="00750FB1" w:rsidRDefault="00671F4E"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RSA – Radioactive Substances Act</w:t>
      </w:r>
    </w:p>
    <w:p w14:paraId="7B95BB20" w14:textId="13E53161" w:rsidR="00140A70" w:rsidRPr="00750FB1" w:rsidRDefault="00140A70" w:rsidP="00750FB1">
      <w:pPr>
        <w:numPr>
          <w:ilvl w:val="0"/>
          <w:numId w:val="28"/>
        </w:numPr>
        <w:overflowPunct w:val="0"/>
        <w:autoSpaceDE w:val="0"/>
        <w:autoSpaceDN w:val="0"/>
        <w:adjustRightInd w:val="0"/>
        <w:spacing w:line="360" w:lineRule="auto"/>
        <w:textAlignment w:val="baseline"/>
        <w:rPr>
          <w:rFonts w:ascii="Arial" w:hAnsi="Arial" w:cs="Arial"/>
        </w:rPr>
      </w:pPr>
      <w:r w:rsidRPr="00750FB1">
        <w:rPr>
          <w:rFonts w:ascii="Arial" w:hAnsi="Arial" w:cs="Arial"/>
        </w:rPr>
        <w:t>PRW – Producer Responsibility Waste Packaging</w:t>
      </w:r>
    </w:p>
    <w:p w14:paraId="0AC6CD53" w14:textId="77777777" w:rsidR="001F2910" w:rsidRDefault="001F2910" w:rsidP="001F2910">
      <w:pPr>
        <w:spacing w:line="360" w:lineRule="auto"/>
        <w:contextualSpacing/>
        <w:rPr>
          <w:rFonts w:ascii="Arial" w:hAnsi="Arial" w:cs="Arial"/>
        </w:rPr>
      </w:pPr>
    </w:p>
    <w:p w14:paraId="5FD6DC68" w14:textId="498864D8" w:rsidR="001F2910" w:rsidRPr="00750FB1" w:rsidRDefault="001F2910" w:rsidP="00750FB1">
      <w:pPr>
        <w:spacing w:line="360" w:lineRule="auto"/>
        <w:ind w:left="-426"/>
        <w:contextualSpacing/>
        <w:rPr>
          <w:rFonts w:ascii="Arial" w:hAnsi="Arial" w:cs="Arial"/>
        </w:rPr>
      </w:pPr>
      <w:r>
        <w:rPr>
          <w:rFonts w:ascii="Arial" w:hAnsi="Arial" w:cs="Arial"/>
        </w:rPr>
        <w:t xml:space="preserve">As a result of the cyber-attack in </w:t>
      </w:r>
      <w:r w:rsidR="000845C9">
        <w:rPr>
          <w:rFonts w:ascii="Arial" w:hAnsi="Arial" w:cs="Arial"/>
        </w:rPr>
        <w:t>2020/21</w:t>
      </w:r>
      <w:r>
        <w:rPr>
          <w:rFonts w:ascii="Arial" w:hAnsi="Arial" w:cs="Arial"/>
        </w:rPr>
        <w:t xml:space="preserve"> and the loss of core records</w:t>
      </w:r>
      <w:r w:rsidR="00DA4621">
        <w:rPr>
          <w:rFonts w:ascii="Arial" w:hAnsi="Arial" w:cs="Arial"/>
        </w:rPr>
        <w:t>,</w:t>
      </w:r>
      <w:r>
        <w:rPr>
          <w:rFonts w:ascii="Arial" w:hAnsi="Arial" w:cs="Arial"/>
        </w:rPr>
        <w:t xml:space="preserve"> SEPA could not provide trading accounts in </w:t>
      </w:r>
      <w:r w:rsidR="000845C9">
        <w:rPr>
          <w:rFonts w:ascii="Arial" w:hAnsi="Arial" w:cs="Arial"/>
        </w:rPr>
        <w:t>2020/21</w:t>
      </w:r>
      <w:r>
        <w:rPr>
          <w:rFonts w:ascii="Arial" w:hAnsi="Arial" w:cs="Arial"/>
        </w:rPr>
        <w:t>.</w:t>
      </w:r>
      <w:r w:rsidR="00750FB1">
        <w:rPr>
          <w:rFonts w:ascii="Arial" w:hAnsi="Arial" w:cs="Arial"/>
        </w:rPr>
        <w:br w:type="page"/>
      </w:r>
    </w:p>
    <w:p w14:paraId="0816E404" w14:textId="130448E4" w:rsidR="00E26D69" w:rsidRPr="001F2910" w:rsidRDefault="00684199" w:rsidP="000845C9">
      <w:pPr>
        <w:spacing w:line="360" w:lineRule="auto"/>
        <w:ind w:left="-426"/>
        <w:contextualSpacing/>
        <w:rPr>
          <w:rFonts w:ascii="Arial" w:hAnsi="Arial" w:cs="Arial"/>
          <w:b/>
        </w:rPr>
      </w:pPr>
      <w:bookmarkStart w:id="53" w:name="Note20GrantinAidfunding"/>
      <w:r>
        <w:rPr>
          <w:rFonts w:ascii="Arial" w:hAnsi="Arial" w:cs="Arial"/>
          <w:b/>
        </w:rPr>
        <w:lastRenderedPageBreak/>
        <w:t xml:space="preserve">Note 20. </w:t>
      </w:r>
      <w:r w:rsidR="00E26D69" w:rsidRPr="004A13AB">
        <w:rPr>
          <w:rFonts w:ascii="Arial" w:hAnsi="Arial" w:cs="Arial"/>
          <w:b/>
        </w:rPr>
        <w:t>Grant in Aid Funding</w:t>
      </w:r>
      <w:r w:rsidR="002156B7" w:rsidRPr="004A13AB">
        <w:rPr>
          <w:rFonts w:ascii="Arial" w:hAnsi="Arial" w:cs="Arial"/>
          <w:b/>
        </w:rPr>
        <w:t xml:space="preserve"> (</w:t>
      </w:r>
      <w:proofErr w:type="spellStart"/>
      <w:r w:rsidR="002156B7" w:rsidRPr="001F2910">
        <w:rPr>
          <w:rFonts w:ascii="Arial" w:hAnsi="Arial" w:cs="Arial"/>
          <w:b/>
        </w:rPr>
        <w:t>GiA</w:t>
      </w:r>
      <w:proofErr w:type="spellEnd"/>
      <w:r w:rsidR="002156B7" w:rsidRPr="001F2910">
        <w:rPr>
          <w:rFonts w:ascii="Arial" w:hAnsi="Arial" w:cs="Arial"/>
          <w:b/>
        </w:rPr>
        <w:t>)</w:t>
      </w:r>
    </w:p>
    <w:bookmarkEnd w:id="53"/>
    <w:tbl>
      <w:tblPr>
        <w:tblW w:w="10207" w:type="dxa"/>
        <w:tblInd w:w="-426" w:type="dxa"/>
        <w:tblLook w:val="0000" w:firstRow="0" w:lastRow="0" w:firstColumn="0" w:lastColumn="0" w:noHBand="0" w:noVBand="0"/>
      </w:tblPr>
      <w:tblGrid>
        <w:gridCol w:w="5825"/>
        <w:gridCol w:w="2114"/>
        <w:gridCol w:w="2268"/>
      </w:tblGrid>
      <w:tr w:rsidR="00C90E77" w:rsidRPr="00E26D69" w14:paraId="62D5A47D" w14:textId="77777777" w:rsidTr="00A74EAA">
        <w:trPr>
          <w:trHeight w:val="397"/>
        </w:trPr>
        <w:tc>
          <w:tcPr>
            <w:tcW w:w="5825" w:type="dxa"/>
            <w:tcBorders>
              <w:top w:val="nil"/>
              <w:left w:val="nil"/>
              <w:bottom w:val="nil"/>
              <w:right w:val="nil"/>
            </w:tcBorders>
            <w:vAlign w:val="bottom"/>
          </w:tcPr>
          <w:p w14:paraId="71361C95" w14:textId="77777777" w:rsidR="00E26D69" w:rsidRPr="00E26D69" w:rsidRDefault="00E26D69" w:rsidP="004D175B">
            <w:pPr>
              <w:rPr>
                <w:rFonts w:ascii="Arial" w:hAnsi="Arial" w:cs="Arial"/>
              </w:rPr>
            </w:pPr>
          </w:p>
        </w:tc>
        <w:tc>
          <w:tcPr>
            <w:tcW w:w="2114" w:type="dxa"/>
            <w:tcBorders>
              <w:top w:val="nil"/>
              <w:left w:val="nil"/>
              <w:bottom w:val="single" w:sz="4" w:space="0" w:color="auto"/>
              <w:right w:val="nil"/>
            </w:tcBorders>
            <w:shd w:val="clear" w:color="auto" w:fill="EAF1DD" w:themeFill="accent3" w:themeFillTint="33"/>
            <w:vAlign w:val="bottom"/>
          </w:tcPr>
          <w:p w14:paraId="227FD08F" w14:textId="77777777" w:rsidR="006F5969" w:rsidRDefault="00E26D69" w:rsidP="004D175B">
            <w:pPr>
              <w:jc w:val="right"/>
              <w:rPr>
                <w:rFonts w:ascii="Arial" w:hAnsi="Arial" w:cs="Arial"/>
                <w:b/>
                <w:bCs/>
              </w:rPr>
            </w:pPr>
            <w:r w:rsidRPr="00E26D69">
              <w:rPr>
                <w:rFonts w:ascii="Arial" w:hAnsi="Arial" w:cs="Arial"/>
                <w:b/>
                <w:bCs/>
              </w:rPr>
              <w:t>Year to</w:t>
            </w:r>
            <w:r w:rsidR="00525DC7">
              <w:rPr>
                <w:rFonts w:ascii="Arial" w:hAnsi="Arial" w:cs="Arial"/>
                <w:b/>
                <w:bCs/>
              </w:rPr>
              <w:t xml:space="preserve"> </w:t>
            </w:r>
          </w:p>
          <w:p w14:paraId="179A4BB0" w14:textId="21FC2615" w:rsidR="00E26D69" w:rsidRDefault="00525DC7" w:rsidP="004D175B">
            <w:pPr>
              <w:jc w:val="right"/>
              <w:rPr>
                <w:rFonts w:ascii="Arial" w:hAnsi="Arial" w:cs="Arial"/>
                <w:b/>
                <w:bCs/>
              </w:rPr>
            </w:pPr>
            <w:r>
              <w:rPr>
                <w:rFonts w:ascii="Arial" w:hAnsi="Arial" w:cs="Arial"/>
                <w:b/>
                <w:bCs/>
              </w:rPr>
              <w:t>31 March 202</w:t>
            </w:r>
            <w:r w:rsidR="002E4884">
              <w:rPr>
                <w:rFonts w:ascii="Arial" w:hAnsi="Arial" w:cs="Arial"/>
                <w:b/>
                <w:bCs/>
              </w:rPr>
              <w:t>2</w:t>
            </w:r>
          </w:p>
          <w:p w14:paraId="2B232400" w14:textId="77777777" w:rsidR="00B2272A" w:rsidRDefault="00B2272A" w:rsidP="004D175B">
            <w:pPr>
              <w:jc w:val="right"/>
              <w:rPr>
                <w:rFonts w:ascii="Arial" w:hAnsi="Arial" w:cs="Arial"/>
                <w:b/>
                <w:bCs/>
              </w:rPr>
            </w:pPr>
          </w:p>
          <w:p w14:paraId="43F363A2" w14:textId="28757811" w:rsidR="00B2272A" w:rsidRPr="00E26D69" w:rsidRDefault="00B2272A" w:rsidP="004D175B">
            <w:pPr>
              <w:jc w:val="right"/>
              <w:rPr>
                <w:rFonts w:ascii="Arial" w:hAnsi="Arial" w:cs="Arial"/>
                <w:b/>
                <w:bCs/>
              </w:rPr>
            </w:pPr>
            <w:r>
              <w:rPr>
                <w:rFonts w:ascii="Arial" w:hAnsi="Arial" w:cs="Arial"/>
                <w:b/>
                <w:bCs/>
              </w:rPr>
              <w:t>£’000</w:t>
            </w:r>
          </w:p>
        </w:tc>
        <w:tc>
          <w:tcPr>
            <w:tcW w:w="2268" w:type="dxa"/>
            <w:tcBorders>
              <w:top w:val="nil"/>
              <w:left w:val="nil"/>
              <w:bottom w:val="single" w:sz="4" w:space="0" w:color="auto"/>
              <w:right w:val="nil"/>
            </w:tcBorders>
            <w:vAlign w:val="bottom"/>
          </w:tcPr>
          <w:p w14:paraId="2AF46D07" w14:textId="77777777" w:rsidR="006F5969" w:rsidRDefault="00E26D69" w:rsidP="004D175B">
            <w:pPr>
              <w:jc w:val="right"/>
              <w:rPr>
                <w:rFonts w:ascii="Arial" w:hAnsi="Arial" w:cs="Arial"/>
                <w:b/>
                <w:bCs/>
              </w:rPr>
            </w:pPr>
            <w:r w:rsidRPr="00E26D69">
              <w:rPr>
                <w:rFonts w:ascii="Arial" w:hAnsi="Arial" w:cs="Arial"/>
                <w:b/>
                <w:bCs/>
              </w:rPr>
              <w:t>Year to</w:t>
            </w:r>
            <w:r w:rsidR="00B2272A">
              <w:rPr>
                <w:rFonts w:ascii="Arial" w:hAnsi="Arial" w:cs="Arial"/>
                <w:b/>
                <w:bCs/>
              </w:rPr>
              <w:t xml:space="preserve"> </w:t>
            </w:r>
          </w:p>
          <w:p w14:paraId="6F09F328" w14:textId="6D3C3F9D" w:rsidR="00E26D69" w:rsidRDefault="00B2272A" w:rsidP="004D175B">
            <w:pPr>
              <w:jc w:val="right"/>
              <w:rPr>
                <w:rFonts w:ascii="Arial" w:hAnsi="Arial" w:cs="Arial"/>
                <w:b/>
                <w:bCs/>
              </w:rPr>
            </w:pPr>
            <w:r>
              <w:rPr>
                <w:rFonts w:ascii="Arial" w:hAnsi="Arial" w:cs="Arial"/>
                <w:b/>
                <w:bCs/>
              </w:rPr>
              <w:t>31 March 20</w:t>
            </w:r>
            <w:r w:rsidR="008F29D7">
              <w:rPr>
                <w:rFonts w:ascii="Arial" w:hAnsi="Arial" w:cs="Arial"/>
                <w:b/>
                <w:bCs/>
              </w:rPr>
              <w:t>2</w:t>
            </w:r>
            <w:r w:rsidR="002E4884">
              <w:rPr>
                <w:rFonts w:ascii="Arial" w:hAnsi="Arial" w:cs="Arial"/>
                <w:b/>
                <w:bCs/>
              </w:rPr>
              <w:t>1</w:t>
            </w:r>
          </w:p>
          <w:p w14:paraId="13B8748D" w14:textId="77777777" w:rsidR="00B2272A" w:rsidRDefault="00B2272A" w:rsidP="004D175B">
            <w:pPr>
              <w:jc w:val="right"/>
              <w:rPr>
                <w:rFonts w:ascii="Arial" w:hAnsi="Arial" w:cs="Arial"/>
                <w:b/>
                <w:bCs/>
              </w:rPr>
            </w:pPr>
          </w:p>
          <w:p w14:paraId="6B422015" w14:textId="4D563B50" w:rsidR="00B2272A" w:rsidRPr="00E26D69" w:rsidRDefault="00B2272A" w:rsidP="004D175B">
            <w:pPr>
              <w:jc w:val="right"/>
              <w:rPr>
                <w:rFonts w:ascii="Arial" w:hAnsi="Arial" w:cs="Arial"/>
                <w:b/>
                <w:bCs/>
              </w:rPr>
            </w:pPr>
            <w:r>
              <w:rPr>
                <w:rFonts w:ascii="Arial" w:hAnsi="Arial" w:cs="Arial"/>
                <w:b/>
                <w:bCs/>
              </w:rPr>
              <w:t>£’000</w:t>
            </w:r>
          </w:p>
        </w:tc>
      </w:tr>
      <w:tr w:rsidR="00C90E77" w:rsidRPr="00E26D69" w14:paraId="2A99DB2E" w14:textId="77777777" w:rsidTr="00A74EAA">
        <w:trPr>
          <w:trHeight w:val="454"/>
        </w:trPr>
        <w:tc>
          <w:tcPr>
            <w:tcW w:w="5825" w:type="dxa"/>
            <w:tcBorders>
              <w:top w:val="nil"/>
              <w:left w:val="nil"/>
              <w:bottom w:val="nil"/>
              <w:right w:val="nil"/>
            </w:tcBorders>
            <w:vAlign w:val="bottom"/>
          </w:tcPr>
          <w:p w14:paraId="24FF3C88" w14:textId="77777777" w:rsidR="00E26D69" w:rsidRPr="0083596A" w:rsidRDefault="00E26D69" w:rsidP="00A41E18">
            <w:pPr>
              <w:ind w:left="-107"/>
              <w:rPr>
                <w:rFonts w:ascii="Arial" w:hAnsi="Arial" w:cs="Arial"/>
              </w:rPr>
            </w:pPr>
            <w:r w:rsidRPr="0083596A">
              <w:rPr>
                <w:rFonts w:ascii="Arial" w:hAnsi="Arial" w:cs="Arial"/>
              </w:rPr>
              <w:t xml:space="preserve">Cash </w:t>
            </w:r>
            <w:proofErr w:type="spellStart"/>
            <w:r w:rsidRPr="0083596A">
              <w:rPr>
                <w:rFonts w:ascii="Arial" w:hAnsi="Arial" w:cs="Arial"/>
              </w:rPr>
              <w:t>GiA</w:t>
            </w:r>
            <w:proofErr w:type="spellEnd"/>
            <w:r w:rsidRPr="0083596A">
              <w:rPr>
                <w:rFonts w:ascii="Arial" w:hAnsi="Arial" w:cs="Arial"/>
              </w:rPr>
              <w:t xml:space="preserve"> received to meet expenditure  </w:t>
            </w:r>
          </w:p>
        </w:tc>
        <w:tc>
          <w:tcPr>
            <w:tcW w:w="2114" w:type="dxa"/>
            <w:tcBorders>
              <w:top w:val="single" w:sz="4" w:space="0" w:color="auto"/>
              <w:left w:val="nil"/>
              <w:bottom w:val="double" w:sz="4" w:space="0" w:color="auto"/>
              <w:right w:val="nil"/>
            </w:tcBorders>
            <w:shd w:val="clear" w:color="auto" w:fill="EAF1DD" w:themeFill="accent3" w:themeFillTint="33"/>
            <w:vAlign w:val="bottom"/>
          </w:tcPr>
          <w:p w14:paraId="6EC206B8" w14:textId="4F8BD557" w:rsidR="00E26D69" w:rsidRPr="00E26D69" w:rsidRDefault="00025164" w:rsidP="004D175B">
            <w:pPr>
              <w:jc w:val="right"/>
              <w:rPr>
                <w:rFonts w:ascii="Arial" w:hAnsi="Arial" w:cs="Arial"/>
                <w:b/>
              </w:rPr>
            </w:pPr>
            <w:r>
              <w:rPr>
                <w:rFonts w:ascii="Arial" w:hAnsi="Arial" w:cs="Arial"/>
                <w:b/>
              </w:rPr>
              <w:t>41,815</w:t>
            </w:r>
          </w:p>
        </w:tc>
        <w:tc>
          <w:tcPr>
            <w:tcW w:w="2268" w:type="dxa"/>
            <w:tcBorders>
              <w:top w:val="single" w:sz="4" w:space="0" w:color="auto"/>
              <w:left w:val="nil"/>
              <w:bottom w:val="double" w:sz="4" w:space="0" w:color="auto"/>
              <w:right w:val="nil"/>
            </w:tcBorders>
            <w:vAlign w:val="bottom"/>
          </w:tcPr>
          <w:p w14:paraId="2488AE77" w14:textId="63FA0F0C" w:rsidR="00E26D69" w:rsidRPr="00E26D69" w:rsidRDefault="002E4884" w:rsidP="004D175B">
            <w:pPr>
              <w:jc w:val="right"/>
              <w:rPr>
                <w:rFonts w:ascii="Arial" w:hAnsi="Arial" w:cs="Arial"/>
                <w:b/>
              </w:rPr>
            </w:pPr>
            <w:r>
              <w:rPr>
                <w:rFonts w:ascii="Arial" w:hAnsi="Arial" w:cs="Arial"/>
                <w:b/>
              </w:rPr>
              <w:t>37,637</w:t>
            </w:r>
          </w:p>
        </w:tc>
      </w:tr>
    </w:tbl>
    <w:p w14:paraId="6B7A4648" w14:textId="77777777" w:rsidR="00E26D69" w:rsidRPr="00E26D69" w:rsidRDefault="00E26D69" w:rsidP="004D175B">
      <w:pPr>
        <w:spacing w:line="360" w:lineRule="auto"/>
        <w:rPr>
          <w:rFonts w:ascii="Arial" w:hAnsi="Arial" w:cs="Arial"/>
          <w:b/>
        </w:rPr>
      </w:pPr>
    </w:p>
    <w:p w14:paraId="49103FF0" w14:textId="577922BD" w:rsidR="00615C3D" w:rsidRPr="000F59BF" w:rsidRDefault="00E26D69" w:rsidP="002E4884">
      <w:pPr>
        <w:spacing w:line="360" w:lineRule="auto"/>
        <w:ind w:left="-426" w:right="-568"/>
        <w:rPr>
          <w:rFonts w:ascii="Arial" w:hAnsi="Arial" w:cs="Arial"/>
        </w:rPr>
      </w:pPr>
      <w:r w:rsidRPr="00E26D69">
        <w:rPr>
          <w:rFonts w:ascii="Arial" w:hAnsi="Arial" w:cs="Arial"/>
        </w:rPr>
        <w:t xml:space="preserve">The amount of </w:t>
      </w:r>
      <w:proofErr w:type="spellStart"/>
      <w:r w:rsidRPr="00E26D69">
        <w:rPr>
          <w:rFonts w:ascii="Arial" w:hAnsi="Arial" w:cs="Arial"/>
        </w:rPr>
        <w:t>GiA</w:t>
      </w:r>
      <w:proofErr w:type="spellEnd"/>
      <w:r w:rsidRPr="00E26D69">
        <w:rPr>
          <w:rFonts w:ascii="Arial" w:hAnsi="Arial" w:cs="Arial"/>
        </w:rPr>
        <w:t xml:space="preserve"> provided to SEPA is initially agreed by Ministers, as part of the Scottish budget process. This figure is then subject to adjustments as agreed with the sponsor division.</w:t>
      </w:r>
      <w:r w:rsidR="006E01A0">
        <w:rPr>
          <w:rFonts w:ascii="Arial" w:hAnsi="Arial" w:cs="Arial"/>
        </w:rPr>
        <w:t xml:space="preserve"> </w:t>
      </w:r>
      <w:r w:rsidRPr="00E26D69">
        <w:rPr>
          <w:rFonts w:ascii="Arial" w:hAnsi="Arial" w:cs="Arial"/>
        </w:rPr>
        <w:t xml:space="preserve">Government Financial Reporting Manual instructs that </w:t>
      </w:r>
      <w:proofErr w:type="spellStart"/>
      <w:r w:rsidRPr="00E26D69">
        <w:rPr>
          <w:rFonts w:ascii="Arial" w:hAnsi="Arial" w:cs="Arial"/>
        </w:rPr>
        <w:t>GiA</w:t>
      </w:r>
      <w:proofErr w:type="spellEnd"/>
      <w:r w:rsidRPr="00E26D69">
        <w:rPr>
          <w:rFonts w:ascii="Arial" w:hAnsi="Arial" w:cs="Arial"/>
        </w:rPr>
        <w:t xml:space="preserve"> goes directly to the Comprehensive Net Expenditure Reserve in the statement of financial position, as financing. </w:t>
      </w:r>
    </w:p>
    <w:p w14:paraId="58567D59" w14:textId="77777777" w:rsidR="00DC3271" w:rsidRDefault="00DC3271" w:rsidP="002E4884">
      <w:pPr>
        <w:pStyle w:val="Caption"/>
        <w:keepNext/>
        <w:spacing w:after="0" w:line="360" w:lineRule="auto"/>
        <w:rPr>
          <w:rFonts w:ascii="Arial" w:hAnsi="Arial" w:cs="Arial"/>
          <w:b w:val="0"/>
          <w:bCs w:val="0"/>
          <w:color w:val="000000" w:themeColor="text1"/>
          <w:sz w:val="24"/>
          <w:szCs w:val="24"/>
        </w:rPr>
      </w:pPr>
    </w:p>
    <w:p w14:paraId="5B8AE95E" w14:textId="77777777" w:rsidR="00D36063" w:rsidRPr="00D36063" w:rsidRDefault="00D36063" w:rsidP="00D36063"/>
    <w:p w14:paraId="0FEC100E" w14:textId="5B1F3C3B" w:rsidR="00276BBF" w:rsidRPr="000F59BF" w:rsidRDefault="00276BBF" w:rsidP="002E4884">
      <w:pPr>
        <w:pStyle w:val="Caption"/>
        <w:keepNext/>
        <w:spacing w:after="0" w:line="360" w:lineRule="auto"/>
        <w:ind w:left="-426"/>
        <w:rPr>
          <w:rFonts w:ascii="Arial" w:hAnsi="Arial" w:cs="Arial"/>
          <w:color w:val="000000" w:themeColor="text1"/>
          <w:sz w:val="24"/>
          <w:szCs w:val="24"/>
        </w:rPr>
      </w:pPr>
      <w:r w:rsidRPr="004A13AB">
        <w:rPr>
          <w:rFonts w:ascii="Arial" w:hAnsi="Arial" w:cs="Arial"/>
          <w:color w:val="000000" w:themeColor="text1"/>
          <w:sz w:val="24"/>
          <w:szCs w:val="24"/>
        </w:rPr>
        <w:t>Net expenditure</w:t>
      </w:r>
      <w:r w:rsidRPr="000F59BF">
        <w:rPr>
          <w:rFonts w:ascii="Arial" w:hAnsi="Arial" w:cs="Arial"/>
          <w:color w:val="000000" w:themeColor="text1"/>
          <w:sz w:val="24"/>
          <w:szCs w:val="24"/>
        </w:rPr>
        <w:t xml:space="preserve"> </w:t>
      </w:r>
    </w:p>
    <w:tbl>
      <w:tblPr>
        <w:tblW w:w="10206" w:type="dxa"/>
        <w:tblInd w:w="-426" w:type="dxa"/>
        <w:tblLook w:val="04A0" w:firstRow="1" w:lastRow="0" w:firstColumn="1" w:lastColumn="0" w:noHBand="0" w:noVBand="1"/>
      </w:tblPr>
      <w:tblGrid>
        <w:gridCol w:w="3828"/>
        <w:gridCol w:w="1985"/>
        <w:gridCol w:w="2126"/>
        <w:gridCol w:w="2267"/>
      </w:tblGrid>
      <w:tr w:rsidR="00863090" w:rsidRPr="00E26D69" w14:paraId="1BDCCA57" w14:textId="77777777" w:rsidTr="000E6A89">
        <w:trPr>
          <w:trHeight w:val="397"/>
        </w:trPr>
        <w:tc>
          <w:tcPr>
            <w:tcW w:w="3828" w:type="dxa"/>
            <w:tcBorders>
              <w:top w:val="nil"/>
              <w:left w:val="nil"/>
              <w:bottom w:val="nil"/>
              <w:right w:val="nil"/>
            </w:tcBorders>
            <w:noWrap/>
            <w:vAlign w:val="bottom"/>
            <w:hideMark/>
          </w:tcPr>
          <w:p w14:paraId="4376638E" w14:textId="77777777" w:rsidR="00E26D69" w:rsidRPr="00E26D69" w:rsidRDefault="00E26D69" w:rsidP="00BD1C2C">
            <w:pPr>
              <w:ind w:left="142"/>
              <w:rPr>
                <w:rFonts w:ascii="Arial" w:hAnsi="Arial" w:cs="Arial"/>
                <w:b/>
                <w:bCs/>
                <w:color w:val="000000"/>
              </w:rPr>
            </w:pPr>
          </w:p>
        </w:tc>
        <w:tc>
          <w:tcPr>
            <w:tcW w:w="1985" w:type="dxa"/>
            <w:tcBorders>
              <w:top w:val="nil"/>
              <w:left w:val="nil"/>
              <w:bottom w:val="nil"/>
              <w:right w:val="nil"/>
            </w:tcBorders>
            <w:noWrap/>
            <w:vAlign w:val="bottom"/>
            <w:hideMark/>
          </w:tcPr>
          <w:p w14:paraId="2FD628E9" w14:textId="77777777" w:rsidR="00E26D69" w:rsidRPr="00E26D69" w:rsidRDefault="00E26D69" w:rsidP="00BD1C2C">
            <w:pPr>
              <w:ind w:left="142"/>
              <w:rPr>
                <w:rFonts w:ascii="Arial" w:hAnsi="Arial" w:cs="Arial"/>
                <w:b/>
                <w:bCs/>
                <w:color w:val="000000"/>
              </w:rPr>
            </w:pPr>
          </w:p>
        </w:tc>
        <w:tc>
          <w:tcPr>
            <w:tcW w:w="2126" w:type="dxa"/>
            <w:tcBorders>
              <w:top w:val="nil"/>
              <w:left w:val="nil"/>
              <w:bottom w:val="nil"/>
              <w:right w:val="nil"/>
            </w:tcBorders>
            <w:shd w:val="clear" w:color="auto" w:fill="EAF1DD" w:themeFill="accent3" w:themeFillTint="33"/>
            <w:vAlign w:val="bottom"/>
            <w:hideMark/>
          </w:tcPr>
          <w:p w14:paraId="7C6F7BA0" w14:textId="77777777" w:rsidR="00E26D69" w:rsidRDefault="00E26D69" w:rsidP="00AE622D">
            <w:pPr>
              <w:ind w:left="142"/>
              <w:jc w:val="right"/>
              <w:rPr>
                <w:rFonts w:ascii="Arial" w:hAnsi="Arial" w:cs="Arial"/>
                <w:b/>
                <w:bCs/>
                <w:color w:val="000000"/>
              </w:rPr>
            </w:pPr>
            <w:r w:rsidRPr="00E26D69">
              <w:rPr>
                <w:rFonts w:ascii="Arial" w:hAnsi="Arial" w:cs="Arial"/>
                <w:b/>
                <w:bCs/>
                <w:color w:val="000000"/>
              </w:rPr>
              <w:t>Year to</w:t>
            </w:r>
          </w:p>
          <w:p w14:paraId="5F2A0971" w14:textId="498849B8" w:rsidR="00AF7F67" w:rsidRDefault="006F5969" w:rsidP="00AE622D">
            <w:pPr>
              <w:ind w:left="142"/>
              <w:jc w:val="right"/>
              <w:rPr>
                <w:rFonts w:ascii="Arial" w:hAnsi="Arial" w:cs="Arial"/>
                <w:b/>
                <w:bCs/>
                <w:color w:val="000000"/>
              </w:rPr>
            </w:pPr>
            <w:r>
              <w:rPr>
                <w:rFonts w:ascii="Arial" w:hAnsi="Arial" w:cs="Arial"/>
                <w:b/>
                <w:bCs/>
                <w:color w:val="000000"/>
              </w:rPr>
              <w:t>31 March 202</w:t>
            </w:r>
            <w:r w:rsidR="004236FB">
              <w:rPr>
                <w:rFonts w:ascii="Arial" w:hAnsi="Arial" w:cs="Arial"/>
                <w:b/>
                <w:bCs/>
                <w:color w:val="000000"/>
              </w:rPr>
              <w:t>2</w:t>
            </w:r>
          </w:p>
          <w:p w14:paraId="214BF78C" w14:textId="77777777" w:rsidR="000845C9" w:rsidRDefault="000845C9" w:rsidP="00AE622D">
            <w:pPr>
              <w:ind w:left="142"/>
              <w:jc w:val="right"/>
              <w:rPr>
                <w:rFonts w:ascii="Arial" w:hAnsi="Arial" w:cs="Arial"/>
                <w:b/>
                <w:bCs/>
                <w:color w:val="000000"/>
              </w:rPr>
            </w:pPr>
          </w:p>
          <w:p w14:paraId="45EC42D1" w14:textId="7D63EE79" w:rsidR="00AF7F67" w:rsidRPr="00E26D69" w:rsidRDefault="00AF7F67" w:rsidP="00AE622D">
            <w:pPr>
              <w:ind w:left="142"/>
              <w:jc w:val="right"/>
              <w:rPr>
                <w:rFonts w:ascii="Arial" w:hAnsi="Arial" w:cs="Arial"/>
                <w:b/>
                <w:bCs/>
                <w:color w:val="000000"/>
              </w:rPr>
            </w:pPr>
            <w:r>
              <w:rPr>
                <w:rFonts w:ascii="Arial" w:hAnsi="Arial" w:cs="Arial"/>
                <w:b/>
                <w:bCs/>
                <w:color w:val="000000"/>
              </w:rPr>
              <w:t>£’000</w:t>
            </w:r>
          </w:p>
        </w:tc>
        <w:tc>
          <w:tcPr>
            <w:tcW w:w="2267" w:type="dxa"/>
            <w:tcBorders>
              <w:top w:val="nil"/>
              <w:left w:val="nil"/>
              <w:bottom w:val="nil"/>
              <w:right w:val="nil"/>
            </w:tcBorders>
            <w:vAlign w:val="bottom"/>
            <w:hideMark/>
          </w:tcPr>
          <w:p w14:paraId="622C9C89" w14:textId="77777777" w:rsidR="00E26D69" w:rsidRDefault="00E26D69" w:rsidP="00AE622D">
            <w:pPr>
              <w:ind w:left="142"/>
              <w:jc w:val="right"/>
              <w:rPr>
                <w:rFonts w:ascii="Arial" w:hAnsi="Arial" w:cs="Arial"/>
                <w:b/>
                <w:bCs/>
                <w:color w:val="000000"/>
              </w:rPr>
            </w:pPr>
            <w:r w:rsidRPr="00E26D69">
              <w:rPr>
                <w:rFonts w:ascii="Arial" w:hAnsi="Arial" w:cs="Arial"/>
                <w:b/>
                <w:bCs/>
                <w:color w:val="000000"/>
              </w:rPr>
              <w:t>Year to</w:t>
            </w:r>
          </w:p>
          <w:p w14:paraId="15FA92EC" w14:textId="5B09083B" w:rsidR="00AF7F67" w:rsidRDefault="00AF7F67" w:rsidP="00AE622D">
            <w:pPr>
              <w:ind w:left="142"/>
              <w:jc w:val="right"/>
              <w:rPr>
                <w:rFonts w:ascii="Arial" w:hAnsi="Arial" w:cs="Arial"/>
                <w:b/>
                <w:bCs/>
                <w:color w:val="000000"/>
              </w:rPr>
            </w:pPr>
            <w:r>
              <w:rPr>
                <w:rFonts w:ascii="Arial" w:hAnsi="Arial" w:cs="Arial"/>
                <w:b/>
                <w:bCs/>
                <w:color w:val="000000"/>
              </w:rPr>
              <w:t>31 March 20</w:t>
            </w:r>
            <w:r w:rsidR="00FC7466">
              <w:rPr>
                <w:rFonts w:ascii="Arial" w:hAnsi="Arial" w:cs="Arial"/>
                <w:b/>
                <w:bCs/>
                <w:color w:val="000000"/>
              </w:rPr>
              <w:t>2</w:t>
            </w:r>
            <w:r w:rsidR="004236FB">
              <w:rPr>
                <w:rFonts w:ascii="Arial" w:hAnsi="Arial" w:cs="Arial"/>
                <w:b/>
                <w:bCs/>
                <w:color w:val="000000"/>
              </w:rPr>
              <w:t>1</w:t>
            </w:r>
          </w:p>
          <w:p w14:paraId="7D48CA73" w14:textId="77777777" w:rsidR="000845C9" w:rsidRDefault="000845C9" w:rsidP="00AE622D">
            <w:pPr>
              <w:ind w:left="142"/>
              <w:jc w:val="right"/>
              <w:rPr>
                <w:rFonts w:ascii="Arial" w:hAnsi="Arial" w:cs="Arial"/>
                <w:b/>
                <w:bCs/>
                <w:color w:val="000000"/>
              </w:rPr>
            </w:pPr>
          </w:p>
          <w:p w14:paraId="13CC3368" w14:textId="7FA7C04C" w:rsidR="00AF7F67" w:rsidRPr="00E26D69" w:rsidRDefault="00AF7F67" w:rsidP="00AE622D">
            <w:pPr>
              <w:ind w:left="142"/>
              <w:jc w:val="right"/>
              <w:rPr>
                <w:rFonts w:ascii="Arial" w:hAnsi="Arial" w:cs="Arial"/>
                <w:b/>
                <w:bCs/>
                <w:color w:val="000000"/>
              </w:rPr>
            </w:pPr>
            <w:r>
              <w:rPr>
                <w:rFonts w:ascii="Arial" w:hAnsi="Arial" w:cs="Arial"/>
                <w:b/>
                <w:bCs/>
                <w:color w:val="000000"/>
              </w:rPr>
              <w:t>£’000</w:t>
            </w:r>
          </w:p>
        </w:tc>
      </w:tr>
      <w:tr w:rsidR="00863090" w:rsidRPr="00E26D69" w14:paraId="636BEEBC" w14:textId="77777777" w:rsidTr="000E6A89">
        <w:trPr>
          <w:trHeight w:val="454"/>
        </w:trPr>
        <w:tc>
          <w:tcPr>
            <w:tcW w:w="3828" w:type="dxa"/>
            <w:tcBorders>
              <w:top w:val="nil"/>
              <w:left w:val="nil"/>
              <w:bottom w:val="nil"/>
              <w:right w:val="nil"/>
            </w:tcBorders>
            <w:noWrap/>
            <w:vAlign w:val="bottom"/>
            <w:hideMark/>
          </w:tcPr>
          <w:p w14:paraId="5A1B8C36" w14:textId="77777777" w:rsidR="007C2041" w:rsidRPr="004D175B" w:rsidRDefault="007C2041" w:rsidP="007C2041">
            <w:pPr>
              <w:ind w:left="-107"/>
              <w:rPr>
                <w:rFonts w:ascii="Arial" w:hAnsi="Arial" w:cs="Arial"/>
              </w:rPr>
            </w:pPr>
            <w:r w:rsidRPr="004D175B">
              <w:rPr>
                <w:rFonts w:ascii="Arial" w:hAnsi="Arial" w:cs="Arial"/>
              </w:rPr>
              <w:t>Budgeted cash allocation</w:t>
            </w:r>
          </w:p>
        </w:tc>
        <w:tc>
          <w:tcPr>
            <w:tcW w:w="1985" w:type="dxa"/>
            <w:tcBorders>
              <w:top w:val="nil"/>
              <w:left w:val="nil"/>
              <w:bottom w:val="nil"/>
              <w:right w:val="nil"/>
            </w:tcBorders>
            <w:noWrap/>
            <w:vAlign w:val="bottom"/>
            <w:hideMark/>
          </w:tcPr>
          <w:p w14:paraId="6DDED073" w14:textId="77777777" w:rsidR="007C2041" w:rsidRPr="00E26D69" w:rsidRDefault="007C2041" w:rsidP="008C4E13">
            <w:pPr>
              <w:ind w:left="57"/>
              <w:rPr>
                <w:rFonts w:ascii="Arial" w:hAnsi="Arial" w:cs="Arial"/>
              </w:rPr>
            </w:pPr>
            <w:r w:rsidRPr="00E26D69">
              <w:rPr>
                <w:rFonts w:ascii="Arial" w:hAnsi="Arial" w:cs="Arial"/>
              </w:rPr>
              <w:t>Capital</w:t>
            </w:r>
          </w:p>
        </w:tc>
        <w:tc>
          <w:tcPr>
            <w:tcW w:w="2126" w:type="dxa"/>
            <w:tcBorders>
              <w:top w:val="nil"/>
              <w:left w:val="nil"/>
              <w:bottom w:val="nil"/>
              <w:right w:val="nil"/>
            </w:tcBorders>
            <w:shd w:val="clear" w:color="auto" w:fill="EAF1DD" w:themeFill="accent3" w:themeFillTint="33"/>
            <w:noWrap/>
            <w:vAlign w:val="bottom"/>
          </w:tcPr>
          <w:p w14:paraId="17EFCE01" w14:textId="6C6E7F10" w:rsidR="007C2041" w:rsidRPr="00E26D69" w:rsidRDefault="00705232" w:rsidP="007C2041">
            <w:pPr>
              <w:ind w:left="142"/>
              <w:jc w:val="right"/>
              <w:rPr>
                <w:rFonts w:ascii="Arial" w:hAnsi="Arial" w:cs="Arial"/>
                <w:color w:val="000000"/>
              </w:rPr>
            </w:pPr>
            <w:r>
              <w:rPr>
                <w:rFonts w:ascii="Arial" w:hAnsi="Arial" w:cs="Arial"/>
                <w:color w:val="000000"/>
              </w:rPr>
              <w:t>6,200</w:t>
            </w:r>
          </w:p>
        </w:tc>
        <w:tc>
          <w:tcPr>
            <w:tcW w:w="2267" w:type="dxa"/>
            <w:tcBorders>
              <w:top w:val="nil"/>
              <w:left w:val="nil"/>
              <w:bottom w:val="nil"/>
              <w:right w:val="nil"/>
            </w:tcBorders>
            <w:noWrap/>
            <w:vAlign w:val="bottom"/>
            <w:hideMark/>
          </w:tcPr>
          <w:p w14:paraId="65BECA83" w14:textId="35AFA0D3" w:rsidR="007C2041" w:rsidRPr="00E26D69" w:rsidRDefault="007C2041" w:rsidP="007C2041">
            <w:pPr>
              <w:ind w:left="142"/>
              <w:jc w:val="right"/>
              <w:rPr>
                <w:rFonts w:ascii="Arial" w:hAnsi="Arial" w:cs="Arial"/>
                <w:color w:val="000000"/>
              </w:rPr>
            </w:pPr>
            <w:r>
              <w:rPr>
                <w:rFonts w:ascii="Arial" w:hAnsi="Arial" w:cs="Arial"/>
                <w:color w:val="000000"/>
              </w:rPr>
              <w:t>2,200</w:t>
            </w:r>
          </w:p>
        </w:tc>
      </w:tr>
      <w:tr w:rsidR="00C90E77" w:rsidRPr="00E26D69" w14:paraId="61DF1B3A" w14:textId="77777777" w:rsidTr="000E6A89">
        <w:trPr>
          <w:trHeight w:val="454"/>
        </w:trPr>
        <w:tc>
          <w:tcPr>
            <w:tcW w:w="3828" w:type="dxa"/>
            <w:tcBorders>
              <w:top w:val="nil"/>
              <w:left w:val="nil"/>
              <w:bottom w:val="nil"/>
              <w:right w:val="nil"/>
            </w:tcBorders>
            <w:noWrap/>
            <w:vAlign w:val="bottom"/>
            <w:hideMark/>
          </w:tcPr>
          <w:p w14:paraId="3EB298C2" w14:textId="5C55654C" w:rsidR="007C2041" w:rsidRPr="004D175B" w:rsidRDefault="007C2041" w:rsidP="007C2041">
            <w:pPr>
              <w:ind w:left="-107"/>
              <w:rPr>
                <w:rFonts w:ascii="Arial" w:hAnsi="Arial" w:cs="Arial"/>
              </w:rPr>
            </w:pPr>
            <w:r w:rsidRPr="004D175B">
              <w:rPr>
                <w:rFonts w:ascii="Arial" w:hAnsi="Arial" w:cs="Arial"/>
              </w:rPr>
              <w:t>Budgeted cash allocation</w:t>
            </w:r>
          </w:p>
        </w:tc>
        <w:tc>
          <w:tcPr>
            <w:tcW w:w="1985" w:type="dxa"/>
            <w:tcBorders>
              <w:top w:val="nil"/>
              <w:left w:val="nil"/>
              <w:bottom w:val="nil"/>
              <w:right w:val="nil"/>
            </w:tcBorders>
            <w:noWrap/>
            <w:vAlign w:val="bottom"/>
            <w:hideMark/>
          </w:tcPr>
          <w:p w14:paraId="649B2AFB" w14:textId="77777777" w:rsidR="007C2041" w:rsidRPr="00E26D69" w:rsidRDefault="007C2041" w:rsidP="008C4E13">
            <w:pPr>
              <w:ind w:left="57"/>
              <w:rPr>
                <w:rFonts w:ascii="Arial" w:hAnsi="Arial" w:cs="Arial"/>
              </w:rPr>
            </w:pPr>
            <w:r w:rsidRPr="00E26D69">
              <w:rPr>
                <w:rFonts w:ascii="Arial" w:hAnsi="Arial" w:cs="Arial"/>
              </w:rPr>
              <w:t>Operating costs</w:t>
            </w:r>
          </w:p>
        </w:tc>
        <w:tc>
          <w:tcPr>
            <w:tcW w:w="2126" w:type="dxa"/>
            <w:tcBorders>
              <w:top w:val="nil"/>
              <w:left w:val="nil"/>
              <w:bottom w:val="single" w:sz="4" w:space="0" w:color="auto"/>
              <w:right w:val="nil"/>
            </w:tcBorders>
            <w:shd w:val="clear" w:color="auto" w:fill="EAF1DD" w:themeFill="accent3" w:themeFillTint="33"/>
            <w:noWrap/>
            <w:vAlign w:val="bottom"/>
          </w:tcPr>
          <w:p w14:paraId="2FCCDD97" w14:textId="39169B05" w:rsidR="007C2041" w:rsidRPr="00E26D69" w:rsidRDefault="00124DCB" w:rsidP="007C2041">
            <w:pPr>
              <w:ind w:left="142"/>
              <w:jc w:val="right"/>
              <w:rPr>
                <w:rFonts w:ascii="Arial" w:hAnsi="Arial" w:cs="Arial"/>
                <w:color w:val="000000"/>
              </w:rPr>
            </w:pPr>
            <w:r>
              <w:rPr>
                <w:rFonts w:ascii="Arial" w:hAnsi="Arial" w:cs="Arial"/>
                <w:color w:val="000000"/>
              </w:rPr>
              <w:t>37,815</w:t>
            </w:r>
          </w:p>
        </w:tc>
        <w:tc>
          <w:tcPr>
            <w:tcW w:w="2267" w:type="dxa"/>
            <w:tcBorders>
              <w:top w:val="nil"/>
              <w:left w:val="nil"/>
              <w:bottom w:val="single" w:sz="4" w:space="0" w:color="auto"/>
              <w:right w:val="nil"/>
            </w:tcBorders>
            <w:noWrap/>
            <w:vAlign w:val="bottom"/>
            <w:hideMark/>
          </w:tcPr>
          <w:p w14:paraId="615DADBD" w14:textId="4CA009BD" w:rsidR="007C2041" w:rsidRPr="00E26D69" w:rsidRDefault="007C2041" w:rsidP="007C2041">
            <w:pPr>
              <w:ind w:left="142"/>
              <w:jc w:val="right"/>
              <w:rPr>
                <w:rFonts w:ascii="Arial" w:hAnsi="Arial" w:cs="Arial"/>
                <w:color w:val="000000"/>
              </w:rPr>
            </w:pPr>
            <w:r>
              <w:rPr>
                <w:rFonts w:ascii="Arial" w:hAnsi="Arial" w:cs="Arial"/>
                <w:color w:val="000000"/>
              </w:rPr>
              <w:t>33,423</w:t>
            </w:r>
          </w:p>
        </w:tc>
      </w:tr>
      <w:tr w:rsidR="00167866" w:rsidRPr="00E26D69" w14:paraId="34D24535" w14:textId="77777777" w:rsidTr="000E6A89">
        <w:trPr>
          <w:trHeight w:val="454"/>
        </w:trPr>
        <w:tc>
          <w:tcPr>
            <w:tcW w:w="5813" w:type="dxa"/>
            <w:gridSpan w:val="2"/>
            <w:tcBorders>
              <w:top w:val="nil"/>
              <w:left w:val="nil"/>
              <w:bottom w:val="nil"/>
              <w:right w:val="nil"/>
            </w:tcBorders>
            <w:noWrap/>
            <w:vAlign w:val="bottom"/>
            <w:hideMark/>
          </w:tcPr>
          <w:p w14:paraId="47246BAB" w14:textId="77777777" w:rsidR="007C2041" w:rsidRPr="00E26D69" w:rsidRDefault="007C2041" w:rsidP="007C2041">
            <w:pPr>
              <w:ind w:left="-107"/>
              <w:rPr>
                <w:rFonts w:ascii="Arial" w:hAnsi="Arial" w:cs="Arial"/>
              </w:rPr>
            </w:pPr>
            <w:r w:rsidRPr="00E26D69">
              <w:rPr>
                <w:rFonts w:ascii="Arial" w:hAnsi="Arial" w:cs="Arial"/>
              </w:rPr>
              <w:t>Total cash that could be drawn down in year</w:t>
            </w:r>
          </w:p>
        </w:tc>
        <w:tc>
          <w:tcPr>
            <w:tcW w:w="2126" w:type="dxa"/>
            <w:tcBorders>
              <w:top w:val="nil"/>
              <w:left w:val="nil"/>
              <w:bottom w:val="nil"/>
              <w:right w:val="nil"/>
            </w:tcBorders>
            <w:shd w:val="clear" w:color="auto" w:fill="EAF1DD" w:themeFill="accent3" w:themeFillTint="33"/>
            <w:noWrap/>
            <w:vAlign w:val="bottom"/>
          </w:tcPr>
          <w:p w14:paraId="5B4352AA" w14:textId="28D2CB91" w:rsidR="007C2041" w:rsidRPr="00E26D69" w:rsidRDefault="00124DCB" w:rsidP="007C2041">
            <w:pPr>
              <w:ind w:left="142"/>
              <w:jc w:val="right"/>
              <w:rPr>
                <w:rFonts w:ascii="Arial" w:hAnsi="Arial" w:cs="Arial"/>
                <w:color w:val="000000"/>
              </w:rPr>
            </w:pPr>
            <w:r>
              <w:rPr>
                <w:rFonts w:ascii="Arial" w:hAnsi="Arial" w:cs="Arial"/>
                <w:color w:val="000000"/>
              </w:rPr>
              <w:t>44,015</w:t>
            </w:r>
          </w:p>
        </w:tc>
        <w:tc>
          <w:tcPr>
            <w:tcW w:w="2267" w:type="dxa"/>
            <w:tcBorders>
              <w:top w:val="nil"/>
              <w:left w:val="nil"/>
              <w:bottom w:val="nil"/>
              <w:right w:val="nil"/>
            </w:tcBorders>
            <w:noWrap/>
            <w:vAlign w:val="bottom"/>
            <w:hideMark/>
          </w:tcPr>
          <w:p w14:paraId="40C731E7" w14:textId="62669AA1" w:rsidR="007C2041" w:rsidRPr="00E26D69" w:rsidRDefault="007C2041" w:rsidP="007C2041">
            <w:pPr>
              <w:ind w:left="142"/>
              <w:jc w:val="right"/>
              <w:rPr>
                <w:rFonts w:ascii="Arial" w:hAnsi="Arial" w:cs="Arial"/>
                <w:color w:val="000000"/>
              </w:rPr>
            </w:pPr>
            <w:r>
              <w:rPr>
                <w:rFonts w:ascii="Arial" w:hAnsi="Arial" w:cs="Arial"/>
                <w:color w:val="000000"/>
              </w:rPr>
              <w:t>35,623</w:t>
            </w:r>
          </w:p>
        </w:tc>
      </w:tr>
      <w:tr w:rsidR="00863090" w:rsidRPr="00E26D69" w14:paraId="62381E57" w14:textId="77777777" w:rsidTr="000E6A89">
        <w:trPr>
          <w:trHeight w:val="454"/>
        </w:trPr>
        <w:tc>
          <w:tcPr>
            <w:tcW w:w="3828" w:type="dxa"/>
            <w:tcBorders>
              <w:top w:val="nil"/>
              <w:left w:val="nil"/>
              <w:bottom w:val="nil"/>
              <w:right w:val="nil"/>
            </w:tcBorders>
            <w:noWrap/>
            <w:vAlign w:val="bottom"/>
            <w:hideMark/>
          </w:tcPr>
          <w:p w14:paraId="01B5D760" w14:textId="77777777" w:rsidR="007C2041" w:rsidRPr="00E26D69" w:rsidRDefault="007C2041" w:rsidP="007C2041">
            <w:pPr>
              <w:ind w:left="-107"/>
              <w:rPr>
                <w:rFonts w:ascii="Arial" w:hAnsi="Arial" w:cs="Arial"/>
              </w:rPr>
            </w:pPr>
            <w:r w:rsidRPr="00E26D69">
              <w:rPr>
                <w:rFonts w:ascii="Arial" w:hAnsi="Arial" w:cs="Arial"/>
              </w:rPr>
              <w:t>Cash drawn down in year</w:t>
            </w:r>
          </w:p>
        </w:tc>
        <w:tc>
          <w:tcPr>
            <w:tcW w:w="1985" w:type="dxa"/>
            <w:tcBorders>
              <w:top w:val="nil"/>
              <w:left w:val="nil"/>
              <w:bottom w:val="nil"/>
              <w:right w:val="nil"/>
            </w:tcBorders>
            <w:noWrap/>
            <w:vAlign w:val="bottom"/>
            <w:hideMark/>
          </w:tcPr>
          <w:p w14:paraId="38143E8A" w14:textId="77777777" w:rsidR="007C2041" w:rsidRPr="00E26D69" w:rsidRDefault="007C2041" w:rsidP="007C2041">
            <w:pPr>
              <w:ind w:left="142"/>
              <w:rPr>
                <w:rFonts w:ascii="Arial" w:hAnsi="Arial" w:cs="Arial"/>
              </w:rPr>
            </w:pPr>
          </w:p>
        </w:tc>
        <w:tc>
          <w:tcPr>
            <w:tcW w:w="2126" w:type="dxa"/>
            <w:tcBorders>
              <w:top w:val="nil"/>
              <w:left w:val="nil"/>
              <w:bottom w:val="nil"/>
              <w:right w:val="nil"/>
            </w:tcBorders>
            <w:shd w:val="clear" w:color="auto" w:fill="EAF1DD" w:themeFill="accent3" w:themeFillTint="33"/>
            <w:noWrap/>
            <w:vAlign w:val="bottom"/>
          </w:tcPr>
          <w:p w14:paraId="7BB0049B" w14:textId="4490D131" w:rsidR="007C2041" w:rsidRPr="00E26D69" w:rsidRDefault="00BC7011" w:rsidP="007C2041">
            <w:pPr>
              <w:ind w:left="142"/>
              <w:jc w:val="right"/>
              <w:rPr>
                <w:rFonts w:ascii="Arial" w:hAnsi="Arial" w:cs="Arial"/>
                <w:color w:val="000000"/>
              </w:rPr>
            </w:pPr>
            <w:r>
              <w:rPr>
                <w:rFonts w:ascii="Arial" w:hAnsi="Arial" w:cs="Arial"/>
                <w:color w:val="000000"/>
              </w:rPr>
              <w:t>(41,815)</w:t>
            </w:r>
          </w:p>
        </w:tc>
        <w:tc>
          <w:tcPr>
            <w:tcW w:w="2267" w:type="dxa"/>
            <w:tcBorders>
              <w:top w:val="nil"/>
              <w:left w:val="nil"/>
              <w:bottom w:val="nil"/>
              <w:right w:val="nil"/>
            </w:tcBorders>
            <w:noWrap/>
            <w:vAlign w:val="bottom"/>
            <w:hideMark/>
          </w:tcPr>
          <w:p w14:paraId="2AADA24D" w14:textId="70280B00" w:rsidR="007C2041" w:rsidRPr="00E26D69" w:rsidRDefault="007C2041" w:rsidP="007C2041">
            <w:pPr>
              <w:ind w:left="142"/>
              <w:jc w:val="right"/>
              <w:rPr>
                <w:rFonts w:ascii="Arial" w:hAnsi="Arial" w:cs="Arial"/>
                <w:color w:val="000000"/>
              </w:rPr>
            </w:pPr>
            <w:r w:rsidRPr="00E26D69">
              <w:rPr>
                <w:rFonts w:ascii="Arial" w:hAnsi="Arial" w:cs="Arial"/>
                <w:color w:val="000000"/>
              </w:rPr>
              <w:t>(</w:t>
            </w:r>
            <w:r>
              <w:rPr>
                <w:rFonts w:ascii="Arial" w:hAnsi="Arial" w:cs="Arial"/>
                <w:color w:val="000000"/>
              </w:rPr>
              <w:t>37,637</w:t>
            </w:r>
            <w:r w:rsidRPr="00E26D69">
              <w:rPr>
                <w:rFonts w:ascii="Arial" w:hAnsi="Arial" w:cs="Arial"/>
                <w:color w:val="000000"/>
              </w:rPr>
              <w:t>)</w:t>
            </w:r>
          </w:p>
        </w:tc>
      </w:tr>
      <w:tr w:rsidR="00C90E77" w:rsidRPr="00E26D69" w14:paraId="333C1E89" w14:textId="77777777" w:rsidTr="000E6A89">
        <w:trPr>
          <w:trHeight w:val="454"/>
        </w:trPr>
        <w:tc>
          <w:tcPr>
            <w:tcW w:w="5813" w:type="dxa"/>
            <w:gridSpan w:val="2"/>
            <w:tcBorders>
              <w:top w:val="nil"/>
              <w:left w:val="nil"/>
              <w:bottom w:val="nil"/>
              <w:right w:val="nil"/>
            </w:tcBorders>
            <w:noWrap/>
            <w:vAlign w:val="bottom"/>
            <w:hideMark/>
          </w:tcPr>
          <w:p w14:paraId="1DF0DC8E" w14:textId="77777777" w:rsidR="007C2041" w:rsidRPr="00E26D69" w:rsidRDefault="007C2041" w:rsidP="007C2041">
            <w:pPr>
              <w:ind w:left="-107"/>
              <w:rPr>
                <w:rFonts w:ascii="Arial" w:hAnsi="Arial" w:cs="Arial"/>
              </w:rPr>
            </w:pPr>
            <w:r w:rsidRPr="00E26D69">
              <w:rPr>
                <w:rFonts w:ascii="Arial" w:hAnsi="Arial" w:cs="Arial"/>
              </w:rPr>
              <w:t>Cash remaining with Scottish Government</w:t>
            </w:r>
          </w:p>
        </w:tc>
        <w:tc>
          <w:tcPr>
            <w:tcW w:w="2126" w:type="dxa"/>
            <w:tcBorders>
              <w:top w:val="single" w:sz="4" w:space="0" w:color="auto"/>
              <w:left w:val="nil"/>
              <w:bottom w:val="double" w:sz="6" w:space="0" w:color="auto"/>
              <w:right w:val="nil"/>
            </w:tcBorders>
            <w:shd w:val="clear" w:color="auto" w:fill="EAF1DD" w:themeFill="accent3" w:themeFillTint="33"/>
            <w:noWrap/>
            <w:vAlign w:val="bottom"/>
          </w:tcPr>
          <w:p w14:paraId="3C49EB1C" w14:textId="782AA539" w:rsidR="007C2041" w:rsidRPr="00E26D69" w:rsidRDefault="009B65D7" w:rsidP="007C2041">
            <w:pPr>
              <w:ind w:left="142"/>
              <w:jc w:val="right"/>
              <w:rPr>
                <w:rFonts w:ascii="Arial" w:hAnsi="Arial" w:cs="Arial"/>
                <w:b/>
                <w:color w:val="000000"/>
              </w:rPr>
            </w:pPr>
            <w:r>
              <w:rPr>
                <w:rFonts w:ascii="Arial" w:hAnsi="Arial" w:cs="Arial"/>
                <w:b/>
                <w:color w:val="000000"/>
              </w:rPr>
              <w:t>2,200</w:t>
            </w:r>
          </w:p>
        </w:tc>
        <w:tc>
          <w:tcPr>
            <w:tcW w:w="2267" w:type="dxa"/>
            <w:tcBorders>
              <w:top w:val="single" w:sz="4" w:space="0" w:color="auto"/>
              <w:left w:val="nil"/>
              <w:bottom w:val="double" w:sz="6" w:space="0" w:color="auto"/>
              <w:right w:val="nil"/>
            </w:tcBorders>
            <w:noWrap/>
            <w:vAlign w:val="bottom"/>
            <w:hideMark/>
          </w:tcPr>
          <w:p w14:paraId="7ACD5B7F" w14:textId="70B3F134" w:rsidR="007C2041" w:rsidRPr="00E26D69" w:rsidRDefault="007C2041" w:rsidP="007C2041">
            <w:pPr>
              <w:ind w:left="142"/>
              <w:jc w:val="right"/>
              <w:rPr>
                <w:rFonts w:ascii="Arial" w:hAnsi="Arial" w:cs="Arial"/>
                <w:b/>
                <w:color w:val="000000"/>
              </w:rPr>
            </w:pPr>
            <w:r>
              <w:rPr>
                <w:rFonts w:ascii="Arial" w:hAnsi="Arial" w:cs="Arial"/>
                <w:b/>
                <w:color w:val="000000"/>
              </w:rPr>
              <w:t>(2,014)</w:t>
            </w:r>
          </w:p>
        </w:tc>
      </w:tr>
    </w:tbl>
    <w:p w14:paraId="0A6D5452" w14:textId="1F487222" w:rsidR="00F36512" w:rsidRDefault="00F36512" w:rsidP="004D175B">
      <w:pPr>
        <w:contextualSpacing/>
        <w:rPr>
          <w:rFonts w:ascii="Arial" w:hAnsi="Arial" w:cs="Arial"/>
          <w:b/>
          <w:color w:val="000000"/>
        </w:rPr>
      </w:pPr>
    </w:p>
    <w:p w14:paraId="7C0DFC87" w14:textId="77777777" w:rsidR="00C572BB" w:rsidRDefault="00C572BB" w:rsidP="004D175B">
      <w:pPr>
        <w:contextualSpacing/>
        <w:rPr>
          <w:rFonts w:ascii="Arial" w:hAnsi="Arial" w:cs="Arial"/>
          <w:b/>
          <w:color w:val="000000"/>
        </w:rPr>
      </w:pPr>
    </w:p>
    <w:p w14:paraId="394F3980" w14:textId="13D9173F" w:rsidR="00F36512" w:rsidRPr="004D175B" w:rsidRDefault="00F36512" w:rsidP="00DC3271">
      <w:pPr>
        <w:spacing w:line="360" w:lineRule="auto"/>
        <w:ind w:left="-426" w:right="-568"/>
        <w:rPr>
          <w:rFonts w:ascii="Arial" w:hAnsi="Arial" w:cs="Arial"/>
        </w:rPr>
      </w:pPr>
      <w:r w:rsidRPr="004D175B">
        <w:rPr>
          <w:rFonts w:ascii="Arial" w:hAnsi="Arial" w:cs="Arial"/>
        </w:rPr>
        <w:t xml:space="preserve">The </w:t>
      </w:r>
      <w:r w:rsidR="0006497C" w:rsidRPr="004D175B">
        <w:rPr>
          <w:rFonts w:ascii="Arial" w:hAnsi="Arial" w:cs="Arial"/>
        </w:rPr>
        <w:t>non</w:t>
      </w:r>
      <w:r w:rsidR="00B3744E">
        <w:rPr>
          <w:rFonts w:ascii="Arial" w:hAnsi="Arial" w:cs="Arial"/>
        </w:rPr>
        <w:t>-</w:t>
      </w:r>
      <w:r w:rsidR="0006497C" w:rsidRPr="004D175B">
        <w:rPr>
          <w:rFonts w:ascii="Arial" w:hAnsi="Arial" w:cs="Arial"/>
        </w:rPr>
        <w:t xml:space="preserve">cash resource allocated to operating costs was mistakenly </w:t>
      </w:r>
      <w:r w:rsidR="004D175B">
        <w:rPr>
          <w:rFonts w:ascii="Arial" w:hAnsi="Arial" w:cs="Arial"/>
        </w:rPr>
        <w:t>drawn down in cash</w:t>
      </w:r>
      <w:r w:rsidR="00BF2AF5" w:rsidRPr="004D175B">
        <w:rPr>
          <w:rFonts w:ascii="Arial" w:hAnsi="Arial" w:cs="Arial"/>
        </w:rPr>
        <w:t xml:space="preserve"> and is included in cash at bank at 31 </w:t>
      </w:r>
      <w:r w:rsidR="004D175B" w:rsidRPr="004D175B">
        <w:rPr>
          <w:rFonts w:ascii="Arial" w:hAnsi="Arial" w:cs="Arial"/>
        </w:rPr>
        <w:t>M</w:t>
      </w:r>
      <w:r w:rsidR="00BF2AF5" w:rsidRPr="004D175B">
        <w:rPr>
          <w:rFonts w:ascii="Arial" w:hAnsi="Arial" w:cs="Arial"/>
        </w:rPr>
        <w:t xml:space="preserve">arch </w:t>
      </w:r>
      <w:r w:rsidR="00BF2AF5" w:rsidRPr="00004F0F">
        <w:rPr>
          <w:rFonts w:ascii="Arial" w:hAnsi="Arial" w:cs="Arial"/>
        </w:rPr>
        <w:t>2021</w:t>
      </w:r>
      <w:r w:rsidR="004D175B" w:rsidRPr="00004F0F">
        <w:rPr>
          <w:rFonts w:ascii="Arial" w:hAnsi="Arial" w:cs="Arial"/>
        </w:rPr>
        <w:t xml:space="preserve"> (</w:t>
      </w:r>
      <w:hyperlink w:anchor="Note10cashandcashequivalents" w:history="1">
        <w:r w:rsidR="00091765" w:rsidRPr="00DA4621">
          <w:rPr>
            <w:rStyle w:val="Hyperlink"/>
            <w:rFonts w:ascii="Arial" w:hAnsi="Arial" w:cs="Arial"/>
          </w:rPr>
          <w:t>n</w:t>
        </w:r>
        <w:r w:rsidR="004D175B" w:rsidRPr="00DA4621">
          <w:rPr>
            <w:rStyle w:val="Hyperlink"/>
            <w:rFonts w:ascii="Arial" w:hAnsi="Arial" w:cs="Arial"/>
          </w:rPr>
          <w:t xml:space="preserve">ote </w:t>
        </w:r>
        <w:r w:rsidR="00091765" w:rsidRPr="00DA4621">
          <w:rPr>
            <w:rStyle w:val="Hyperlink"/>
            <w:rFonts w:ascii="Arial" w:hAnsi="Arial" w:cs="Arial"/>
          </w:rPr>
          <w:t>10</w:t>
        </w:r>
      </w:hyperlink>
      <w:r w:rsidR="004D175B" w:rsidRPr="00004F0F">
        <w:rPr>
          <w:rFonts w:ascii="Arial" w:hAnsi="Arial" w:cs="Arial"/>
        </w:rPr>
        <w:t>)</w:t>
      </w:r>
      <w:r w:rsidR="00BF2AF5" w:rsidRPr="00004F0F">
        <w:rPr>
          <w:rFonts w:ascii="Arial" w:hAnsi="Arial" w:cs="Arial"/>
        </w:rPr>
        <w:t>.</w:t>
      </w:r>
      <w:r w:rsidR="00BF2AF5" w:rsidRPr="004D175B">
        <w:rPr>
          <w:rFonts w:ascii="Arial" w:hAnsi="Arial" w:cs="Arial"/>
        </w:rPr>
        <w:t xml:space="preserve"> It </w:t>
      </w:r>
      <w:r w:rsidR="003735D5">
        <w:rPr>
          <w:rFonts w:ascii="Arial" w:hAnsi="Arial" w:cs="Arial"/>
        </w:rPr>
        <w:t>was</w:t>
      </w:r>
      <w:r w:rsidR="00BF2AF5" w:rsidRPr="004D175B">
        <w:rPr>
          <w:rFonts w:ascii="Arial" w:hAnsi="Arial" w:cs="Arial"/>
        </w:rPr>
        <w:t xml:space="preserve"> agreed with </w:t>
      </w:r>
      <w:r w:rsidR="006C5952">
        <w:rPr>
          <w:rFonts w:ascii="Arial" w:hAnsi="Arial" w:cs="Arial"/>
        </w:rPr>
        <w:t>Scottish Government</w:t>
      </w:r>
      <w:r w:rsidR="00BF2AF5" w:rsidRPr="004D175B">
        <w:rPr>
          <w:rFonts w:ascii="Arial" w:hAnsi="Arial" w:cs="Arial"/>
        </w:rPr>
        <w:t xml:space="preserve"> that this w</w:t>
      </w:r>
      <w:r w:rsidR="0049087B">
        <w:rPr>
          <w:rFonts w:ascii="Arial" w:hAnsi="Arial" w:cs="Arial"/>
        </w:rPr>
        <w:t>ould</w:t>
      </w:r>
      <w:r w:rsidR="00BF2AF5" w:rsidRPr="004D175B">
        <w:rPr>
          <w:rFonts w:ascii="Arial" w:hAnsi="Arial" w:cs="Arial"/>
        </w:rPr>
        <w:t xml:space="preserve"> be offset against the cash draw down allocated for 2021/22.</w:t>
      </w:r>
    </w:p>
    <w:p w14:paraId="590C38D6" w14:textId="37EB2DF0" w:rsidR="00B63008" w:rsidRPr="004D175B" w:rsidRDefault="004236FB" w:rsidP="004D175B">
      <w:pPr>
        <w:contextualSpacing/>
        <w:rPr>
          <w:rFonts w:ascii="Arial" w:hAnsi="Arial" w:cs="Arial"/>
        </w:rPr>
      </w:pPr>
      <w:r>
        <w:rPr>
          <w:rFonts w:ascii="Arial" w:hAnsi="Arial" w:cs="Arial"/>
        </w:rPr>
        <w:br w:type="page"/>
      </w:r>
    </w:p>
    <w:p w14:paraId="315511BA" w14:textId="103702A1" w:rsidR="00276BBF" w:rsidRPr="00372D7F" w:rsidRDefault="00684199" w:rsidP="000845C9">
      <w:pPr>
        <w:spacing w:line="360" w:lineRule="auto"/>
        <w:ind w:left="-426"/>
        <w:contextualSpacing/>
        <w:rPr>
          <w:rFonts w:ascii="Arial" w:hAnsi="Arial" w:cs="Arial"/>
          <w:b/>
        </w:rPr>
      </w:pPr>
      <w:bookmarkStart w:id="54" w:name="Note21Operatingresourcereconciliation"/>
      <w:r>
        <w:rPr>
          <w:rFonts w:ascii="Arial" w:hAnsi="Arial" w:cs="Arial"/>
          <w:b/>
        </w:rPr>
        <w:lastRenderedPageBreak/>
        <w:t xml:space="preserve">Note 21. </w:t>
      </w:r>
      <w:r w:rsidR="0061750C" w:rsidRPr="00372D7F">
        <w:rPr>
          <w:rFonts w:ascii="Arial" w:hAnsi="Arial" w:cs="Arial"/>
          <w:b/>
        </w:rPr>
        <w:t xml:space="preserve">Operating </w:t>
      </w:r>
      <w:r w:rsidR="00E25C08" w:rsidRPr="00372D7F">
        <w:rPr>
          <w:rFonts w:ascii="Arial" w:hAnsi="Arial" w:cs="Arial"/>
          <w:b/>
        </w:rPr>
        <w:t>r</w:t>
      </w:r>
      <w:r w:rsidR="0061750C" w:rsidRPr="00372D7F">
        <w:rPr>
          <w:rFonts w:ascii="Arial" w:hAnsi="Arial" w:cs="Arial"/>
          <w:b/>
        </w:rPr>
        <w:t xml:space="preserve">esource </w:t>
      </w:r>
      <w:r w:rsidR="00E25C08" w:rsidRPr="00372D7F">
        <w:rPr>
          <w:rFonts w:ascii="Arial" w:hAnsi="Arial" w:cs="Arial"/>
          <w:b/>
        </w:rPr>
        <w:t>r</w:t>
      </w:r>
      <w:r w:rsidR="0061750C" w:rsidRPr="00372D7F">
        <w:rPr>
          <w:rFonts w:ascii="Arial" w:hAnsi="Arial" w:cs="Arial"/>
          <w:b/>
        </w:rPr>
        <w:t>econciliation</w:t>
      </w:r>
    </w:p>
    <w:bookmarkEnd w:id="54"/>
    <w:tbl>
      <w:tblPr>
        <w:tblpPr w:leftFromText="180" w:rightFromText="180" w:vertAnchor="text" w:horzAnchor="margin" w:tblpX="-426" w:tblpY="162"/>
        <w:tblW w:w="10065" w:type="dxa"/>
        <w:tblLook w:val="04A0" w:firstRow="1" w:lastRow="0" w:firstColumn="1" w:lastColumn="0" w:noHBand="0" w:noVBand="1"/>
      </w:tblPr>
      <w:tblGrid>
        <w:gridCol w:w="4820"/>
        <w:gridCol w:w="1134"/>
        <w:gridCol w:w="2126"/>
        <w:gridCol w:w="1985"/>
      </w:tblGrid>
      <w:tr w:rsidR="00E26D69" w:rsidRPr="00E26D69" w14:paraId="64095179" w14:textId="77777777" w:rsidTr="00DA2CF3">
        <w:trPr>
          <w:trHeight w:val="397"/>
        </w:trPr>
        <w:tc>
          <w:tcPr>
            <w:tcW w:w="4820" w:type="dxa"/>
            <w:tcBorders>
              <w:top w:val="nil"/>
              <w:left w:val="nil"/>
              <w:bottom w:val="nil"/>
              <w:right w:val="nil"/>
            </w:tcBorders>
            <w:noWrap/>
            <w:vAlign w:val="center"/>
            <w:hideMark/>
          </w:tcPr>
          <w:p w14:paraId="6491B08E" w14:textId="6E5715AC" w:rsidR="00E26D69" w:rsidRPr="007F7DE4" w:rsidRDefault="00E26D69" w:rsidP="000845C9">
            <w:pPr>
              <w:ind w:left="-107"/>
              <w:rPr>
                <w:rFonts w:ascii="Arial" w:hAnsi="Arial" w:cs="Arial"/>
              </w:rPr>
            </w:pPr>
          </w:p>
        </w:tc>
        <w:tc>
          <w:tcPr>
            <w:tcW w:w="1134" w:type="dxa"/>
            <w:tcBorders>
              <w:top w:val="nil"/>
              <w:left w:val="nil"/>
              <w:bottom w:val="nil"/>
              <w:right w:val="nil"/>
            </w:tcBorders>
            <w:noWrap/>
            <w:vAlign w:val="bottom"/>
            <w:hideMark/>
          </w:tcPr>
          <w:p w14:paraId="442F25A8" w14:textId="77777777" w:rsidR="00E26D69" w:rsidRPr="00E26D69" w:rsidRDefault="00E26D69" w:rsidP="000845C9">
            <w:pPr>
              <w:jc w:val="center"/>
              <w:rPr>
                <w:rFonts w:ascii="Arial" w:hAnsi="Arial" w:cs="Arial"/>
                <w:b/>
                <w:bCs/>
                <w:color w:val="000000"/>
              </w:rPr>
            </w:pPr>
            <w:r w:rsidRPr="00E26D69">
              <w:rPr>
                <w:rFonts w:ascii="Arial" w:hAnsi="Arial" w:cs="Arial"/>
                <w:b/>
                <w:bCs/>
                <w:color w:val="000000"/>
              </w:rPr>
              <w:t>Note</w:t>
            </w:r>
          </w:p>
        </w:tc>
        <w:tc>
          <w:tcPr>
            <w:tcW w:w="2126" w:type="dxa"/>
            <w:tcBorders>
              <w:top w:val="nil"/>
              <w:left w:val="nil"/>
              <w:bottom w:val="nil"/>
              <w:right w:val="nil"/>
            </w:tcBorders>
            <w:shd w:val="clear" w:color="auto" w:fill="EAF1DD" w:themeFill="accent3" w:themeFillTint="33"/>
            <w:vAlign w:val="bottom"/>
            <w:hideMark/>
          </w:tcPr>
          <w:p w14:paraId="3F5AFA27" w14:textId="77777777" w:rsidR="00987082" w:rsidRDefault="00E26D69" w:rsidP="000845C9">
            <w:pPr>
              <w:jc w:val="right"/>
              <w:rPr>
                <w:rFonts w:ascii="Arial" w:hAnsi="Arial" w:cs="Arial"/>
                <w:b/>
                <w:bCs/>
                <w:color w:val="000000"/>
              </w:rPr>
            </w:pPr>
            <w:r w:rsidRPr="00E26D69">
              <w:rPr>
                <w:rFonts w:ascii="Arial" w:hAnsi="Arial" w:cs="Arial"/>
                <w:b/>
                <w:bCs/>
                <w:color w:val="000000"/>
              </w:rPr>
              <w:t xml:space="preserve">Year to </w:t>
            </w:r>
          </w:p>
          <w:p w14:paraId="20C7AD90" w14:textId="02C27BDD" w:rsidR="00987082" w:rsidRDefault="00E26D69" w:rsidP="000845C9">
            <w:pPr>
              <w:jc w:val="right"/>
              <w:rPr>
                <w:rFonts w:ascii="Arial" w:hAnsi="Arial" w:cs="Arial"/>
                <w:b/>
                <w:bCs/>
                <w:color w:val="000000"/>
              </w:rPr>
            </w:pPr>
            <w:r w:rsidRPr="00E26D69">
              <w:rPr>
                <w:rFonts w:ascii="Arial" w:hAnsi="Arial" w:cs="Arial"/>
                <w:b/>
                <w:bCs/>
                <w:color w:val="000000"/>
              </w:rPr>
              <w:t>31 March 202</w:t>
            </w:r>
            <w:r w:rsidR="008D50DD">
              <w:rPr>
                <w:rFonts w:ascii="Arial" w:hAnsi="Arial" w:cs="Arial"/>
                <w:b/>
                <w:bCs/>
                <w:color w:val="000000"/>
              </w:rPr>
              <w:t>2</w:t>
            </w:r>
          </w:p>
          <w:p w14:paraId="212437B5" w14:textId="77777777" w:rsidR="000845C9" w:rsidRDefault="000845C9" w:rsidP="000845C9">
            <w:pPr>
              <w:jc w:val="right"/>
              <w:rPr>
                <w:rFonts w:ascii="Arial" w:hAnsi="Arial" w:cs="Arial"/>
                <w:b/>
                <w:bCs/>
                <w:color w:val="000000"/>
              </w:rPr>
            </w:pPr>
          </w:p>
          <w:p w14:paraId="5FC4715A" w14:textId="4EE2F67F" w:rsidR="00987082" w:rsidRPr="00E26D69" w:rsidRDefault="00987082" w:rsidP="000845C9">
            <w:pPr>
              <w:jc w:val="right"/>
              <w:rPr>
                <w:rFonts w:ascii="Arial" w:hAnsi="Arial" w:cs="Arial"/>
                <w:b/>
                <w:bCs/>
                <w:color w:val="000000"/>
              </w:rPr>
            </w:pPr>
            <w:r>
              <w:rPr>
                <w:rFonts w:ascii="Arial" w:hAnsi="Arial" w:cs="Arial"/>
                <w:b/>
                <w:bCs/>
                <w:color w:val="000000"/>
              </w:rPr>
              <w:t>£’000</w:t>
            </w:r>
          </w:p>
        </w:tc>
        <w:tc>
          <w:tcPr>
            <w:tcW w:w="1985" w:type="dxa"/>
            <w:tcBorders>
              <w:top w:val="nil"/>
              <w:left w:val="nil"/>
              <w:bottom w:val="nil"/>
              <w:right w:val="nil"/>
            </w:tcBorders>
            <w:vAlign w:val="bottom"/>
            <w:hideMark/>
          </w:tcPr>
          <w:p w14:paraId="67C10BD8" w14:textId="77777777" w:rsidR="00987082" w:rsidRDefault="00E26D69" w:rsidP="000845C9">
            <w:pPr>
              <w:jc w:val="right"/>
              <w:rPr>
                <w:rFonts w:ascii="Arial" w:hAnsi="Arial" w:cs="Arial"/>
                <w:b/>
                <w:bCs/>
                <w:color w:val="000000"/>
              </w:rPr>
            </w:pPr>
            <w:r w:rsidRPr="00E26D69">
              <w:rPr>
                <w:rFonts w:ascii="Arial" w:hAnsi="Arial" w:cs="Arial"/>
                <w:b/>
                <w:bCs/>
                <w:color w:val="000000"/>
              </w:rPr>
              <w:t xml:space="preserve">Year to </w:t>
            </w:r>
          </w:p>
          <w:p w14:paraId="03B418AF" w14:textId="5EA4B4F3" w:rsidR="00987082" w:rsidRDefault="00E26D69" w:rsidP="000845C9">
            <w:pPr>
              <w:jc w:val="right"/>
              <w:rPr>
                <w:rFonts w:ascii="Arial" w:hAnsi="Arial" w:cs="Arial"/>
                <w:b/>
                <w:bCs/>
                <w:color w:val="000000"/>
              </w:rPr>
            </w:pPr>
            <w:r w:rsidRPr="00E26D69">
              <w:rPr>
                <w:rFonts w:ascii="Arial" w:hAnsi="Arial" w:cs="Arial"/>
                <w:b/>
                <w:bCs/>
                <w:color w:val="000000"/>
              </w:rPr>
              <w:t>31 March 20</w:t>
            </w:r>
            <w:r w:rsidR="009C14EA">
              <w:rPr>
                <w:rFonts w:ascii="Arial" w:hAnsi="Arial" w:cs="Arial"/>
                <w:b/>
                <w:bCs/>
                <w:color w:val="000000"/>
              </w:rPr>
              <w:t>2</w:t>
            </w:r>
            <w:r w:rsidR="008D50DD">
              <w:rPr>
                <w:rFonts w:ascii="Arial" w:hAnsi="Arial" w:cs="Arial"/>
                <w:b/>
                <w:bCs/>
                <w:color w:val="000000"/>
              </w:rPr>
              <w:t>1</w:t>
            </w:r>
          </w:p>
          <w:p w14:paraId="2ED7E8DD" w14:textId="77777777" w:rsidR="000845C9" w:rsidRDefault="000845C9" w:rsidP="000845C9">
            <w:pPr>
              <w:jc w:val="right"/>
              <w:rPr>
                <w:rFonts w:ascii="Arial" w:hAnsi="Arial" w:cs="Arial"/>
                <w:b/>
                <w:bCs/>
                <w:color w:val="000000"/>
              </w:rPr>
            </w:pPr>
          </w:p>
          <w:p w14:paraId="0E3D62F0" w14:textId="27674820" w:rsidR="00987082" w:rsidRPr="00E26D69" w:rsidRDefault="00987082" w:rsidP="000845C9">
            <w:pPr>
              <w:jc w:val="right"/>
              <w:rPr>
                <w:rFonts w:ascii="Arial" w:hAnsi="Arial" w:cs="Arial"/>
                <w:b/>
                <w:bCs/>
                <w:color w:val="000000"/>
              </w:rPr>
            </w:pPr>
            <w:r>
              <w:rPr>
                <w:rFonts w:ascii="Arial" w:hAnsi="Arial" w:cs="Arial"/>
                <w:b/>
                <w:bCs/>
                <w:color w:val="000000"/>
              </w:rPr>
              <w:t>£’000</w:t>
            </w:r>
          </w:p>
        </w:tc>
      </w:tr>
      <w:tr w:rsidR="004236FB" w:rsidRPr="00E26D69" w14:paraId="293B570C" w14:textId="77777777" w:rsidTr="00DA2CF3">
        <w:trPr>
          <w:trHeight w:val="624"/>
        </w:trPr>
        <w:tc>
          <w:tcPr>
            <w:tcW w:w="4820" w:type="dxa"/>
            <w:tcBorders>
              <w:top w:val="nil"/>
              <w:left w:val="nil"/>
              <w:bottom w:val="nil"/>
              <w:right w:val="nil"/>
            </w:tcBorders>
            <w:noWrap/>
            <w:vAlign w:val="bottom"/>
            <w:hideMark/>
          </w:tcPr>
          <w:p w14:paraId="41F9A126" w14:textId="77777777" w:rsidR="004236FB" w:rsidRPr="007F7DE4" w:rsidRDefault="004236FB" w:rsidP="000845C9">
            <w:pPr>
              <w:ind w:left="-107"/>
              <w:rPr>
                <w:rFonts w:ascii="Arial" w:hAnsi="Arial" w:cs="Arial"/>
              </w:rPr>
            </w:pPr>
            <w:r w:rsidRPr="007F7DE4">
              <w:rPr>
                <w:rFonts w:ascii="Arial" w:hAnsi="Arial" w:cs="Arial"/>
              </w:rPr>
              <w:t>Net Operating Expenditure, Statement of Comprehensive Net Expenditure</w:t>
            </w:r>
          </w:p>
        </w:tc>
        <w:tc>
          <w:tcPr>
            <w:tcW w:w="1134" w:type="dxa"/>
            <w:tcBorders>
              <w:top w:val="nil"/>
              <w:left w:val="nil"/>
              <w:bottom w:val="nil"/>
              <w:right w:val="nil"/>
            </w:tcBorders>
            <w:noWrap/>
            <w:vAlign w:val="bottom"/>
            <w:hideMark/>
          </w:tcPr>
          <w:p w14:paraId="20A8177B" w14:textId="77777777" w:rsidR="004236FB" w:rsidRPr="00E26D69" w:rsidRDefault="004236FB" w:rsidP="000845C9">
            <w:pPr>
              <w:jc w:val="center"/>
              <w:rPr>
                <w:rFonts w:ascii="Arial" w:hAnsi="Arial" w:cs="Arial"/>
                <w:color w:val="000000"/>
              </w:rPr>
            </w:pPr>
          </w:p>
        </w:tc>
        <w:tc>
          <w:tcPr>
            <w:tcW w:w="2126" w:type="dxa"/>
            <w:tcBorders>
              <w:top w:val="nil"/>
              <w:left w:val="nil"/>
              <w:bottom w:val="nil"/>
              <w:right w:val="nil"/>
            </w:tcBorders>
            <w:shd w:val="clear" w:color="auto" w:fill="EAF1DD" w:themeFill="accent3" w:themeFillTint="33"/>
            <w:noWrap/>
            <w:vAlign w:val="bottom"/>
          </w:tcPr>
          <w:p w14:paraId="6B999A01" w14:textId="0E3FDCAF" w:rsidR="004236FB" w:rsidRPr="00E26D69" w:rsidRDefault="008B5CB3" w:rsidP="000845C9">
            <w:pPr>
              <w:jc w:val="right"/>
              <w:rPr>
                <w:rFonts w:ascii="Arial" w:hAnsi="Arial" w:cs="Arial"/>
                <w:color w:val="000000"/>
              </w:rPr>
            </w:pPr>
            <w:r>
              <w:rPr>
                <w:rFonts w:ascii="Arial" w:hAnsi="Arial" w:cs="Arial"/>
                <w:color w:val="000000"/>
              </w:rPr>
              <w:t>(53,27</w:t>
            </w:r>
            <w:r w:rsidR="00900DB5">
              <w:rPr>
                <w:rFonts w:ascii="Arial" w:hAnsi="Arial" w:cs="Arial"/>
                <w:color w:val="000000"/>
              </w:rPr>
              <w:t>4</w:t>
            </w:r>
            <w:r>
              <w:rPr>
                <w:rFonts w:ascii="Arial" w:hAnsi="Arial" w:cs="Arial"/>
                <w:color w:val="000000"/>
              </w:rPr>
              <w:t>)</w:t>
            </w:r>
          </w:p>
        </w:tc>
        <w:tc>
          <w:tcPr>
            <w:tcW w:w="1985" w:type="dxa"/>
            <w:tcBorders>
              <w:top w:val="nil"/>
              <w:left w:val="nil"/>
              <w:bottom w:val="nil"/>
              <w:right w:val="nil"/>
            </w:tcBorders>
            <w:noWrap/>
            <w:vAlign w:val="bottom"/>
            <w:hideMark/>
          </w:tcPr>
          <w:p w14:paraId="7EB60DC6" w14:textId="072662BC" w:rsidR="004236FB" w:rsidRPr="00E26D69" w:rsidRDefault="004236FB" w:rsidP="000845C9">
            <w:pPr>
              <w:jc w:val="right"/>
              <w:rPr>
                <w:rFonts w:ascii="Arial" w:hAnsi="Arial" w:cs="Arial"/>
                <w:color w:val="000000"/>
              </w:rPr>
            </w:pPr>
            <w:r>
              <w:rPr>
                <w:rFonts w:ascii="Arial" w:hAnsi="Arial" w:cs="Arial"/>
                <w:color w:val="000000"/>
              </w:rPr>
              <w:t>(45,646)</w:t>
            </w:r>
          </w:p>
        </w:tc>
      </w:tr>
      <w:tr w:rsidR="004236FB" w:rsidRPr="00E26D69" w14:paraId="62414270" w14:textId="77777777" w:rsidTr="00DA2CF3">
        <w:trPr>
          <w:trHeight w:val="454"/>
        </w:trPr>
        <w:tc>
          <w:tcPr>
            <w:tcW w:w="4820" w:type="dxa"/>
            <w:tcBorders>
              <w:top w:val="nil"/>
              <w:left w:val="nil"/>
              <w:bottom w:val="nil"/>
              <w:right w:val="nil"/>
            </w:tcBorders>
            <w:noWrap/>
            <w:vAlign w:val="bottom"/>
            <w:hideMark/>
          </w:tcPr>
          <w:p w14:paraId="64873369" w14:textId="77777777" w:rsidR="004236FB" w:rsidRPr="007F7DE4" w:rsidRDefault="004236FB" w:rsidP="000845C9">
            <w:pPr>
              <w:ind w:left="-107"/>
              <w:rPr>
                <w:rFonts w:ascii="Arial" w:hAnsi="Arial" w:cs="Arial"/>
              </w:rPr>
            </w:pPr>
            <w:r w:rsidRPr="007F7DE4">
              <w:rPr>
                <w:rFonts w:ascii="Arial" w:hAnsi="Arial" w:cs="Arial"/>
              </w:rPr>
              <w:t xml:space="preserve">Add back pensions adjustments </w:t>
            </w:r>
          </w:p>
        </w:tc>
        <w:tc>
          <w:tcPr>
            <w:tcW w:w="1134" w:type="dxa"/>
            <w:tcBorders>
              <w:top w:val="nil"/>
              <w:left w:val="nil"/>
              <w:bottom w:val="nil"/>
              <w:right w:val="nil"/>
            </w:tcBorders>
            <w:noWrap/>
            <w:vAlign w:val="bottom"/>
            <w:hideMark/>
          </w:tcPr>
          <w:p w14:paraId="31CC2AFF" w14:textId="27DF13AB" w:rsidR="004236FB" w:rsidRPr="00004F0F" w:rsidRDefault="004236FB" w:rsidP="000845C9">
            <w:pPr>
              <w:jc w:val="center"/>
              <w:rPr>
                <w:rFonts w:ascii="Arial" w:hAnsi="Arial" w:cs="Arial"/>
                <w:color w:val="000000"/>
              </w:rPr>
            </w:pPr>
            <w:hyperlink w:anchor="Note4inforegardingemployeesandBoard" w:history="1">
              <w:r w:rsidRPr="00DA4621">
                <w:rPr>
                  <w:rStyle w:val="Hyperlink"/>
                  <w:rFonts w:ascii="Arial" w:hAnsi="Arial" w:cs="Arial"/>
                </w:rPr>
                <w:t>4</w:t>
              </w:r>
            </w:hyperlink>
          </w:p>
        </w:tc>
        <w:tc>
          <w:tcPr>
            <w:tcW w:w="2126" w:type="dxa"/>
            <w:tcBorders>
              <w:top w:val="nil"/>
              <w:left w:val="nil"/>
              <w:bottom w:val="nil"/>
              <w:right w:val="nil"/>
            </w:tcBorders>
            <w:shd w:val="clear" w:color="auto" w:fill="EAF1DD" w:themeFill="accent3" w:themeFillTint="33"/>
            <w:noWrap/>
            <w:vAlign w:val="bottom"/>
          </w:tcPr>
          <w:p w14:paraId="009A490A" w14:textId="705FCCB9" w:rsidR="004236FB" w:rsidRPr="00E26D69" w:rsidRDefault="008B5CB3" w:rsidP="000845C9">
            <w:pPr>
              <w:jc w:val="right"/>
              <w:rPr>
                <w:rFonts w:ascii="Arial" w:hAnsi="Arial" w:cs="Arial"/>
                <w:color w:val="000000"/>
              </w:rPr>
            </w:pPr>
            <w:r>
              <w:rPr>
                <w:rFonts w:ascii="Arial" w:hAnsi="Arial" w:cs="Arial"/>
                <w:color w:val="000000"/>
              </w:rPr>
              <w:t>16,023</w:t>
            </w:r>
          </w:p>
        </w:tc>
        <w:tc>
          <w:tcPr>
            <w:tcW w:w="1985" w:type="dxa"/>
            <w:tcBorders>
              <w:top w:val="nil"/>
              <w:left w:val="nil"/>
              <w:bottom w:val="nil"/>
              <w:right w:val="nil"/>
            </w:tcBorders>
            <w:noWrap/>
            <w:vAlign w:val="bottom"/>
            <w:hideMark/>
          </w:tcPr>
          <w:p w14:paraId="39F0B44A" w14:textId="1C8BE7BE" w:rsidR="004236FB" w:rsidRPr="00E26D69" w:rsidRDefault="004236FB" w:rsidP="000845C9">
            <w:pPr>
              <w:jc w:val="right"/>
              <w:rPr>
                <w:rFonts w:ascii="Arial" w:hAnsi="Arial" w:cs="Arial"/>
                <w:color w:val="000000"/>
              </w:rPr>
            </w:pPr>
            <w:r>
              <w:rPr>
                <w:rFonts w:ascii="Arial" w:hAnsi="Arial" w:cs="Arial"/>
                <w:color w:val="000000"/>
              </w:rPr>
              <w:t>6,651</w:t>
            </w:r>
          </w:p>
        </w:tc>
      </w:tr>
      <w:tr w:rsidR="004236FB" w:rsidRPr="00E26D69" w14:paraId="2E05E636" w14:textId="77777777" w:rsidTr="00DA2CF3">
        <w:trPr>
          <w:trHeight w:val="454"/>
        </w:trPr>
        <w:tc>
          <w:tcPr>
            <w:tcW w:w="4820" w:type="dxa"/>
            <w:tcBorders>
              <w:top w:val="nil"/>
              <w:left w:val="nil"/>
              <w:bottom w:val="nil"/>
              <w:right w:val="nil"/>
            </w:tcBorders>
            <w:noWrap/>
            <w:vAlign w:val="bottom"/>
            <w:hideMark/>
          </w:tcPr>
          <w:p w14:paraId="7C9EB9E5" w14:textId="77777777" w:rsidR="004236FB" w:rsidRPr="007F7DE4" w:rsidRDefault="004236FB" w:rsidP="000845C9">
            <w:pPr>
              <w:ind w:left="-107"/>
              <w:rPr>
                <w:rFonts w:ascii="Arial" w:hAnsi="Arial" w:cs="Arial"/>
              </w:rPr>
            </w:pPr>
            <w:r w:rsidRPr="007F7DE4">
              <w:rPr>
                <w:rFonts w:ascii="Arial" w:hAnsi="Arial" w:cs="Arial"/>
              </w:rPr>
              <w:t>Add back life assurance</w:t>
            </w:r>
          </w:p>
        </w:tc>
        <w:tc>
          <w:tcPr>
            <w:tcW w:w="1134" w:type="dxa"/>
            <w:tcBorders>
              <w:top w:val="nil"/>
              <w:left w:val="nil"/>
              <w:bottom w:val="nil"/>
              <w:right w:val="nil"/>
            </w:tcBorders>
            <w:noWrap/>
            <w:vAlign w:val="bottom"/>
            <w:hideMark/>
          </w:tcPr>
          <w:p w14:paraId="704E8604" w14:textId="54C6FC92" w:rsidR="004236FB" w:rsidRPr="00004F0F" w:rsidRDefault="004236FB" w:rsidP="000845C9">
            <w:pPr>
              <w:jc w:val="center"/>
              <w:rPr>
                <w:rFonts w:ascii="Arial" w:hAnsi="Arial" w:cs="Arial"/>
                <w:color w:val="000000"/>
              </w:rPr>
            </w:pPr>
            <w:hyperlink w:anchor="Note4inforegardingemployeesandBoard" w:history="1">
              <w:r w:rsidRPr="00DA4621">
                <w:rPr>
                  <w:rStyle w:val="Hyperlink"/>
                  <w:rFonts w:ascii="Arial" w:hAnsi="Arial" w:cs="Arial"/>
                </w:rPr>
                <w:t>4</w:t>
              </w:r>
            </w:hyperlink>
          </w:p>
        </w:tc>
        <w:tc>
          <w:tcPr>
            <w:tcW w:w="2126" w:type="dxa"/>
            <w:tcBorders>
              <w:top w:val="nil"/>
              <w:left w:val="nil"/>
              <w:bottom w:val="nil"/>
              <w:right w:val="nil"/>
            </w:tcBorders>
            <w:shd w:val="clear" w:color="auto" w:fill="EAF1DD" w:themeFill="accent3" w:themeFillTint="33"/>
            <w:noWrap/>
            <w:vAlign w:val="bottom"/>
          </w:tcPr>
          <w:p w14:paraId="0F78432A" w14:textId="2D5F03C0" w:rsidR="004236FB" w:rsidRPr="00E26D69" w:rsidRDefault="008B5CB3" w:rsidP="000845C9">
            <w:pPr>
              <w:jc w:val="right"/>
              <w:rPr>
                <w:rFonts w:ascii="Arial" w:hAnsi="Arial" w:cs="Arial"/>
                <w:color w:val="000000"/>
              </w:rPr>
            </w:pPr>
            <w:r>
              <w:rPr>
                <w:rFonts w:ascii="Arial" w:hAnsi="Arial" w:cs="Arial"/>
                <w:color w:val="000000"/>
              </w:rPr>
              <w:t>82</w:t>
            </w:r>
          </w:p>
        </w:tc>
        <w:tc>
          <w:tcPr>
            <w:tcW w:w="1985" w:type="dxa"/>
            <w:tcBorders>
              <w:top w:val="nil"/>
              <w:left w:val="nil"/>
              <w:bottom w:val="nil"/>
              <w:right w:val="nil"/>
            </w:tcBorders>
            <w:noWrap/>
            <w:vAlign w:val="bottom"/>
            <w:hideMark/>
          </w:tcPr>
          <w:p w14:paraId="13B5518A" w14:textId="21CC9D80" w:rsidR="004236FB" w:rsidRPr="00E26D69" w:rsidRDefault="004236FB" w:rsidP="000845C9">
            <w:pPr>
              <w:jc w:val="right"/>
              <w:rPr>
                <w:rFonts w:ascii="Arial" w:hAnsi="Arial" w:cs="Arial"/>
                <w:color w:val="000000"/>
              </w:rPr>
            </w:pPr>
            <w:r>
              <w:rPr>
                <w:rFonts w:ascii="Arial" w:hAnsi="Arial" w:cs="Arial"/>
                <w:color w:val="000000"/>
              </w:rPr>
              <w:t>(19)</w:t>
            </w:r>
          </w:p>
        </w:tc>
      </w:tr>
      <w:tr w:rsidR="004236FB" w:rsidRPr="00E26D69" w14:paraId="5C531F1B" w14:textId="77777777" w:rsidTr="00DA2CF3">
        <w:trPr>
          <w:trHeight w:val="454"/>
        </w:trPr>
        <w:tc>
          <w:tcPr>
            <w:tcW w:w="4820" w:type="dxa"/>
            <w:tcBorders>
              <w:top w:val="nil"/>
              <w:left w:val="nil"/>
              <w:bottom w:val="nil"/>
              <w:right w:val="nil"/>
            </w:tcBorders>
            <w:noWrap/>
            <w:vAlign w:val="bottom"/>
            <w:hideMark/>
          </w:tcPr>
          <w:p w14:paraId="335D7F9B" w14:textId="77777777" w:rsidR="004236FB" w:rsidRPr="007F7DE4" w:rsidRDefault="004236FB" w:rsidP="000845C9">
            <w:pPr>
              <w:ind w:left="-107"/>
              <w:rPr>
                <w:rFonts w:ascii="Arial" w:hAnsi="Arial" w:cs="Arial"/>
              </w:rPr>
            </w:pPr>
            <w:r w:rsidRPr="007F7DE4">
              <w:rPr>
                <w:rFonts w:ascii="Arial" w:hAnsi="Arial" w:cs="Arial"/>
              </w:rPr>
              <w:t>Add back unfunded pensions</w:t>
            </w:r>
          </w:p>
        </w:tc>
        <w:tc>
          <w:tcPr>
            <w:tcW w:w="1134" w:type="dxa"/>
            <w:tcBorders>
              <w:top w:val="nil"/>
              <w:left w:val="nil"/>
              <w:bottom w:val="nil"/>
              <w:right w:val="nil"/>
            </w:tcBorders>
            <w:noWrap/>
            <w:vAlign w:val="bottom"/>
            <w:hideMark/>
          </w:tcPr>
          <w:p w14:paraId="24F53CEB" w14:textId="70D229C5" w:rsidR="004236FB" w:rsidRPr="00004F0F" w:rsidRDefault="004236FB" w:rsidP="000845C9">
            <w:pPr>
              <w:jc w:val="center"/>
              <w:rPr>
                <w:rFonts w:ascii="Arial" w:hAnsi="Arial" w:cs="Arial"/>
                <w:color w:val="000000"/>
              </w:rPr>
            </w:pPr>
            <w:hyperlink w:anchor="Note4inforegardingemployeesandBoard" w:history="1">
              <w:r w:rsidRPr="00DA4621">
                <w:rPr>
                  <w:rStyle w:val="Hyperlink"/>
                  <w:rFonts w:ascii="Arial" w:hAnsi="Arial" w:cs="Arial"/>
                </w:rPr>
                <w:t>4</w:t>
              </w:r>
            </w:hyperlink>
          </w:p>
        </w:tc>
        <w:tc>
          <w:tcPr>
            <w:tcW w:w="2126" w:type="dxa"/>
            <w:tcBorders>
              <w:top w:val="nil"/>
              <w:left w:val="nil"/>
              <w:bottom w:val="nil"/>
              <w:right w:val="nil"/>
            </w:tcBorders>
            <w:shd w:val="clear" w:color="auto" w:fill="EAF1DD" w:themeFill="accent3" w:themeFillTint="33"/>
            <w:noWrap/>
            <w:vAlign w:val="bottom"/>
          </w:tcPr>
          <w:p w14:paraId="6F2ED484" w14:textId="28DD6E55" w:rsidR="004236FB" w:rsidRPr="00E26D69" w:rsidRDefault="008B5CB3" w:rsidP="000845C9">
            <w:pPr>
              <w:jc w:val="right"/>
              <w:rPr>
                <w:rFonts w:ascii="Arial" w:hAnsi="Arial" w:cs="Arial"/>
                <w:color w:val="000000"/>
              </w:rPr>
            </w:pPr>
            <w:r>
              <w:rPr>
                <w:rFonts w:ascii="Arial" w:hAnsi="Arial" w:cs="Arial"/>
                <w:color w:val="000000"/>
              </w:rPr>
              <w:t>22</w:t>
            </w:r>
          </w:p>
        </w:tc>
        <w:tc>
          <w:tcPr>
            <w:tcW w:w="1985" w:type="dxa"/>
            <w:tcBorders>
              <w:top w:val="nil"/>
              <w:left w:val="nil"/>
              <w:bottom w:val="nil"/>
              <w:right w:val="nil"/>
            </w:tcBorders>
            <w:noWrap/>
            <w:vAlign w:val="bottom"/>
            <w:hideMark/>
          </w:tcPr>
          <w:p w14:paraId="729BC14A" w14:textId="730A0D73" w:rsidR="004236FB" w:rsidRPr="00E26D69" w:rsidRDefault="004236FB" w:rsidP="000845C9">
            <w:pPr>
              <w:jc w:val="right"/>
              <w:rPr>
                <w:rFonts w:ascii="Arial" w:hAnsi="Arial" w:cs="Arial"/>
                <w:color w:val="000000"/>
              </w:rPr>
            </w:pPr>
            <w:r>
              <w:rPr>
                <w:rFonts w:ascii="Arial" w:hAnsi="Arial" w:cs="Arial"/>
                <w:color w:val="000000"/>
              </w:rPr>
              <w:t>193</w:t>
            </w:r>
          </w:p>
        </w:tc>
      </w:tr>
      <w:tr w:rsidR="004236FB" w:rsidRPr="00E26D69" w14:paraId="20EEB2AB" w14:textId="77777777" w:rsidTr="00DA2CF3">
        <w:trPr>
          <w:trHeight w:val="454"/>
        </w:trPr>
        <w:tc>
          <w:tcPr>
            <w:tcW w:w="4820" w:type="dxa"/>
            <w:tcBorders>
              <w:top w:val="nil"/>
              <w:left w:val="nil"/>
              <w:bottom w:val="nil"/>
              <w:right w:val="nil"/>
            </w:tcBorders>
            <w:noWrap/>
            <w:vAlign w:val="bottom"/>
            <w:hideMark/>
          </w:tcPr>
          <w:p w14:paraId="7BDD25F2" w14:textId="77777777" w:rsidR="004236FB" w:rsidRPr="007F7DE4" w:rsidRDefault="004236FB" w:rsidP="000845C9">
            <w:pPr>
              <w:ind w:left="-107"/>
              <w:rPr>
                <w:rFonts w:ascii="Arial" w:hAnsi="Arial" w:cs="Arial"/>
              </w:rPr>
            </w:pPr>
            <w:r w:rsidRPr="007F7DE4">
              <w:rPr>
                <w:rFonts w:ascii="Arial" w:hAnsi="Arial" w:cs="Arial"/>
              </w:rPr>
              <w:t>Add back depreciation and impairments</w:t>
            </w:r>
          </w:p>
        </w:tc>
        <w:tc>
          <w:tcPr>
            <w:tcW w:w="1134" w:type="dxa"/>
            <w:tcBorders>
              <w:top w:val="nil"/>
              <w:left w:val="nil"/>
              <w:bottom w:val="nil"/>
              <w:right w:val="nil"/>
            </w:tcBorders>
            <w:noWrap/>
            <w:vAlign w:val="bottom"/>
            <w:hideMark/>
          </w:tcPr>
          <w:p w14:paraId="6E05BEA1" w14:textId="2C41EDDB" w:rsidR="004236FB" w:rsidRPr="00004F0F" w:rsidRDefault="004236FB" w:rsidP="000845C9">
            <w:pPr>
              <w:jc w:val="center"/>
              <w:rPr>
                <w:rFonts w:ascii="Arial" w:hAnsi="Arial" w:cs="Arial"/>
                <w:color w:val="000000"/>
              </w:rPr>
            </w:pPr>
            <w:hyperlink w:anchor="Note9noncurrentassets" w:history="1">
              <w:r w:rsidRPr="00DA4621">
                <w:rPr>
                  <w:rStyle w:val="Hyperlink"/>
                  <w:rFonts w:ascii="Arial" w:hAnsi="Arial" w:cs="Arial"/>
                </w:rPr>
                <w:t>9</w:t>
              </w:r>
            </w:hyperlink>
          </w:p>
        </w:tc>
        <w:tc>
          <w:tcPr>
            <w:tcW w:w="2126" w:type="dxa"/>
            <w:tcBorders>
              <w:top w:val="nil"/>
              <w:left w:val="nil"/>
              <w:bottom w:val="nil"/>
              <w:right w:val="nil"/>
            </w:tcBorders>
            <w:shd w:val="clear" w:color="auto" w:fill="EAF1DD" w:themeFill="accent3" w:themeFillTint="33"/>
            <w:noWrap/>
            <w:vAlign w:val="bottom"/>
          </w:tcPr>
          <w:p w14:paraId="6D6F214B" w14:textId="372F9239" w:rsidR="004236FB" w:rsidRPr="00E26D69" w:rsidRDefault="008B5CB3" w:rsidP="000845C9">
            <w:pPr>
              <w:jc w:val="right"/>
              <w:rPr>
                <w:rFonts w:ascii="Arial" w:hAnsi="Arial" w:cs="Arial"/>
                <w:color w:val="000000"/>
              </w:rPr>
            </w:pPr>
            <w:r>
              <w:rPr>
                <w:rFonts w:ascii="Arial" w:hAnsi="Arial" w:cs="Arial"/>
                <w:color w:val="000000"/>
              </w:rPr>
              <w:t>3,33</w:t>
            </w:r>
            <w:r w:rsidR="00DD4499">
              <w:rPr>
                <w:rFonts w:ascii="Arial" w:hAnsi="Arial" w:cs="Arial"/>
                <w:color w:val="000000"/>
              </w:rPr>
              <w:t>4</w:t>
            </w:r>
          </w:p>
        </w:tc>
        <w:tc>
          <w:tcPr>
            <w:tcW w:w="1985" w:type="dxa"/>
            <w:tcBorders>
              <w:top w:val="nil"/>
              <w:left w:val="nil"/>
              <w:bottom w:val="nil"/>
              <w:right w:val="nil"/>
            </w:tcBorders>
            <w:noWrap/>
            <w:vAlign w:val="bottom"/>
            <w:hideMark/>
          </w:tcPr>
          <w:p w14:paraId="5B5D2F5C" w14:textId="5F510243" w:rsidR="004236FB" w:rsidRPr="00E26D69" w:rsidRDefault="004236FB" w:rsidP="000845C9">
            <w:pPr>
              <w:jc w:val="right"/>
              <w:rPr>
                <w:rFonts w:ascii="Arial" w:hAnsi="Arial" w:cs="Arial"/>
                <w:color w:val="000000"/>
              </w:rPr>
            </w:pPr>
            <w:r>
              <w:rPr>
                <w:rFonts w:ascii="Arial" w:hAnsi="Arial" w:cs="Arial"/>
                <w:color w:val="000000"/>
              </w:rPr>
              <w:t>3,502</w:t>
            </w:r>
          </w:p>
        </w:tc>
      </w:tr>
      <w:tr w:rsidR="004236FB" w:rsidRPr="00E26D69" w14:paraId="7BB8E4AD" w14:textId="77777777" w:rsidTr="00DA2CF3">
        <w:trPr>
          <w:trHeight w:val="454"/>
        </w:trPr>
        <w:tc>
          <w:tcPr>
            <w:tcW w:w="4820" w:type="dxa"/>
            <w:tcBorders>
              <w:top w:val="nil"/>
              <w:left w:val="nil"/>
              <w:bottom w:val="nil"/>
              <w:right w:val="nil"/>
            </w:tcBorders>
            <w:noWrap/>
            <w:vAlign w:val="bottom"/>
            <w:hideMark/>
          </w:tcPr>
          <w:p w14:paraId="00490039" w14:textId="77777777" w:rsidR="004236FB" w:rsidRPr="007F7DE4" w:rsidRDefault="004236FB" w:rsidP="000845C9">
            <w:pPr>
              <w:ind w:left="-107"/>
              <w:rPr>
                <w:rFonts w:ascii="Arial" w:hAnsi="Arial" w:cs="Arial"/>
              </w:rPr>
            </w:pPr>
            <w:r w:rsidRPr="007F7DE4">
              <w:rPr>
                <w:rFonts w:ascii="Arial" w:hAnsi="Arial" w:cs="Arial"/>
              </w:rPr>
              <w:t>Less cash paid out on unfunded pensions</w:t>
            </w:r>
          </w:p>
        </w:tc>
        <w:tc>
          <w:tcPr>
            <w:tcW w:w="1134" w:type="dxa"/>
            <w:tcBorders>
              <w:top w:val="nil"/>
              <w:left w:val="nil"/>
              <w:bottom w:val="nil"/>
              <w:right w:val="nil"/>
            </w:tcBorders>
            <w:noWrap/>
            <w:vAlign w:val="bottom"/>
            <w:hideMark/>
          </w:tcPr>
          <w:p w14:paraId="0B9A43BB" w14:textId="62379C54" w:rsidR="004236FB" w:rsidRPr="00004F0F" w:rsidRDefault="004236FB" w:rsidP="000845C9">
            <w:pPr>
              <w:jc w:val="center"/>
              <w:rPr>
                <w:rFonts w:ascii="Arial" w:hAnsi="Arial" w:cs="Arial"/>
                <w:color w:val="000000"/>
              </w:rPr>
            </w:pPr>
            <w:hyperlink w:anchor="Note13Provisionforliabilitiesandcharges" w:history="1">
              <w:r w:rsidRPr="00DA4621">
                <w:rPr>
                  <w:rStyle w:val="Hyperlink"/>
                  <w:rFonts w:ascii="Arial" w:hAnsi="Arial" w:cs="Arial"/>
                </w:rPr>
                <w:t>13</w:t>
              </w:r>
            </w:hyperlink>
          </w:p>
        </w:tc>
        <w:tc>
          <w:tcPr>
            <w:tcW w:w="2126" w:type="dxa"/>
            <w:tcBorders>
              <w:top w:val="nil"/>
              <w:left w:val="nil"/>
              <w:bottom w:val="nil"/>
              <w:right w:val="nil"/>
            </w:tcBorders>
            <w:shd w:val="clear" w:color="auto" w:fill="EAF1DD" w:themeFill="accent3" w:themeFillTint="33"/>
            <w:noWrap/>
            <w:vAlign w:val="bottom"/>
          </w:tcPr>
          <w:p w14:paraId="3825192E" w14:textId="398612AC" w:rsidR="004236FB" w:rsidRPr="00E26D69" w:rsidRDefault="008B5CB3" w:rsidP="000845C9">
            <w:pPr>
              <w:jc w:val="right"/>
              <w:rPr>
                <w:rFonts w:ascii="Arial" w:hAnsi="Arial" w:cs="Arial"/>
                <w:color w:val="000000"/>
              </w:rPr>
            </w:pPr>
            <w:r>
              <w:rPr>
                <w:rFonts w:ascii="Arial" w:hAnsi="Arial" w:cs="Arial"/>
                <w:color w:val="000000"/>
              </w:rPr>
              <w:t>(14</w:t>
            </w:r>
            <w:r w:rsidR="00900DB5">
              <w:rPr>
                <w:rFonts w:ascii="Arial" w:hAnsi="Arial" w:cs="Arial"/>
                <w:color w:val="000000"/>
              </w:rPr>
              <w:t>1</w:t>
            </w:r>
            <w:r>
              <w:rPr>
                <w:rFonts w:ascii="Arial" w:hAnsi="Arial" w:cs="Arial"/>
                <w:color w:val="000000"/>
              </w:rPr>
              <w:t>)</w:t>
            </w:r>
          </w:p>
        </w:tc>
        <w:tc>
          <w:tcPr>
            <w:tcW w:w="1985" w:type="dxa"/>
            <w:tcBorders>
              <w:top w:val="nil"/>
              <w:left w:val="nil"/>
              <w:bottom w:val="nil"/>
              <w:right w:val="nil"/>
            </w:tcBorders>
            <w:noWrap/>
            <w:vAlign w:val="bottom"/>
            <w:hideMark/>
          </w:tcPr>
          <w:p w14:paraId="0243BD11" w14:textId="7E1CDC2D" w:rsidR="004236FB" w:rsidRPr="00E26D69" w:rsidRDefault="004236FB" w:rsidP="000845C9">
            <w:pPr>
              <w:jc w:val="right"/>
              <w:rPr>
                <w:rFonts w:ascii="Arial" w:hAnsi="Arial" w:cs="Arial"/>
                <w:color w:val="000000"/>
              </w:rPr>
            </w:pPr>
            <w:r>
              <w:rPr>
                <w:rFonts w:ascii="Arial" w:hAnsi="Arial" w:cs="Arial"/>
                <w:color w:val="000000"/>
              </w:rPr>
              <w:t>(143)</w:t>
            </w:r>
          </w:p>
        </w:tc>
      </w:tr>
      <w:tr w:rsidR="004236FB" w:rsidRPr="00E26D69" w14:paraId="2086C536" w14:textId="77777777" w:rsidTr="00DA2CF3">
        <w:trPr>
          <w:trHeight w:val="454"/>
        </w:trPr>
        <w:tc>
          <w:tcPr>
            <w:tcW w:w="4820" w:type="dxa"/>
            <w:tcBorders>
              <w:top w:val="nil"/>
              <w:left w:val="nil"/>
              <w:bottom w:val="nil"/>
              <w:right w:val="nil"/>
            </w:tcBorders>
            <w:noWrap/>
            <w:vAlign w:val="bottom"/>
            <w:hideMark/>
          </w:tcPr>
          <w:p w14:paraId="7F29C731" w14:textId="77777777" w:rsidR="004236FB" w:rsidRPr="007F7DE4" w:rsidRDefault="004236FB" w:rsidP="000845C9">
            <w:pPr>
              <w:ind w:left="-107"/>
              <w:rPr>
                <w:rFonts w:ascii="Arial" w:hAnsi="Arial" w:cs="Arial"/>
              </w:rPr>
            </w:pPr>
            <w:r w:rsidRPr="007F7DE4">
              <w:rPr>
                <w:rFonts w:ascii="Arial" w:hAnsi="Arial" w:cs="Arial"/>
              </w:rPr>
              <w:t>Less cash paid out on life assurance</w:t>
            </w:r>
          </w:p>
        </w:tc>
        <w:tc>
          <w:tcPr>
            <w:tcW w:w="1134" w:type="dxa"/>
            <w:tcBorders>
              <w:top w:val="nil"/>
              <w:left w:val="nil"/>
              <w:bottom w:val="nil"/>
              <w:right w:val="nil"/>
            </w:tcBorders>
            <w:noWrap/>
            <w:vAlign w:val="bottom"/>
            <w:hideMark/>
          </w:tcPr>
          <w:p w14:paraId="00CBADCC" w14:textId="223A2963" w:rsidR="004236FB" w:rsidRPr="00004F0F" w:rsidRDefault="004236FB" w:rsidP="000845C9">
            <w:pPr>
              <w:jc w:val="center"/>
              <w:rPr>
                <w:rFonts w:ascii="Arial" w:hAnsi="Arial" w:cs="Arial"/>
                <w:color w:val="000000"/>
              </w:rPr>
            </w:pPr>
            <w:hyperlink w:anchor="Note13Provisionforliabilitiesandcharges" w:history="1">
              <w:r w:rsidRPr="00DA4621">
                <w:rPr>
                  <w:rStyle w:val="Hyperlink"/>
                  <w:rFonts w:ascii="Arial" w:hAnsi="Arial" w:cs="Arial"/>
                </w:rPr>
                <w:t>13</w:t>
              </w:r>
            </w:hyperlink>
          </w:p>
        </w:tc>
        <w:tc>
          <w:tcPr>
            <w:tcW w:w="2126" w:type="dxa"/>
            <w:tcBorders>
              <w:top w:val="nil"/>
              <w:left w:val="nil"/>
              <w:bottom w:val="nil"/>
              <w:right w:val="nil"/>
            </w:tcBorders>
            <w:shd w:val="clear" w:color="auto" w:fill="EAF1DD" w:themeFill="accent3" w:themeFillTint="33"/>
            <w:noWrap/>
            <w:vAlign w:val="bottom"/>
          </w:tcPr>
          <w:p w14:paraId="20D71C7D" w14:textId="625E24A1" w:rsidR="004236FB" w:rsidRPr="00E26D69" w:rsidRDefault="008B5CB3" w:rsidP="000845C9">
            <w:pPr>
              <w:jc w:val="right"/>
              <w:rPr>
                <w:rFonts w:ascii="Arial" w:hAnsi="Arial" w:cs="Arial"/>
                <w:color w:val="000000"/>
              </w:rPr>
            </w:pPr>
            <w:r>
              <w:rPr>
                <w:rFonts w:ascii="Arial" w:hAnsi="Arial" w:cs="Arial"/>
                <w:color w:val="000000"/>
              </w:rPr>
              <w:t>(83)</w:t>
            </w:r>
          </w:p>
        </w:tc>
        <w:tc>
          <w:tcPr>
            <w:tcW w:w="1985" w:type="dxa"/>
            <w:tcBorders>
              <w:top w:val="nil"/>
              <w:left w:val="nil"/>
              <w:bottom w:val="nil"/>
              <w:right w:val="nil"/>
            </w:tcBorders>
            <w:noWrap/>
            <w:vAlign w:val="bottom"/>
            <w:hideMark/>
          </w:tcPr>
          <w:p w14:paraId="776CB5C9" w14:textId="57F84523" w:rsidR="004236FB" w:rsidRPr="00E26D69" w:rsidRDefault="004236FB" w:rsidP="000845C9">
            <w:pPr>
              <w:jc w:val="right"/>
              <w:rPr>
                <w:rFonts w:ascii="Arial" w:hAnsi="Arial" w:cs="Arial"/>
                <w:color w:val="000000"/>
              </w:rPr>
            </w:pPr>
            <w:r>
              <w:rPr>
                <w:rFonts w:ascii="Arial" w:hAnsi="Arial" w:cs="Arial"/>
                <w:color w:val="000000"/>
              </w:rPr>
              <w:t>(49)</w:t>
            </w:r>
          </w:p>
        </w:tc>
      </w:tr>
      <w:tr w:rsidR="004236FB" w:rsidRPr="00E26D69" w14:paraId="7C91710D" w14:textId="77777777" w:rsidTr="00DA2CF3">
        <w:trPr>
          <w:trHeight w:val="454"/>
        </w:trPr>
        <w:tc>
          <w:tcPr>
            <w:tcW w:w="4820" w:type="dxa"/>
            <w:tcBorders>
              <w:top w:val="nil"/>
              <w:left w:val="nil"/>
              <w:bottom w:val="nil"/>
              <w:right w:val="nil"/>
            </w:tcBorders>
            <w:noWrap/>
            <w:vAlign w:val="bottom"/>
            <w:hideMark/>
          </w:tcPr>
          <w:p w14:paraId="6D487B1C" w14:textId="77777777" w:rsidR="004236FB" w:rsidRPr="007F7DE4" w:rsidRDefault="004236FB" w:rsidP="000845C9">
            <w:pPr>
              <w:ind w:left="-107"/>
              <w:rPr>
                <w:rFonts w:ascii="Arial" w:hAnsi="Arial" w:cs="Arial"/>
              </w:rPr>
            </w:pPr>
            <w:r w:rsidRPr="007F7DE4">
              <w:rPr>
                <w:rFonts w:ascii="Arial" w:hAnsi="Arial" w:cs="Arial"/>
              </w:rPr>
              <w:t>Add interest received</w:t>
            </w:r>
          </w:p>
        </w:tc>
        <w:tc>
          <w:tcPr>
            <w:tcW w:w="1134" w:type="dxa"/>
            <w:tcBorders>
              <w:top w:val="nil"/>
              <w:left w:val="nil"/>
              <w:bottom w:val="nil"/>
              <w:right w:val="nil"/>
            </w:tcBorders>
            <w:noWrap/>
            <w:vAlign w:val="bottom"/>
            <w:hideMark/>
          </w:tcPr>
          <w:p w14:paraId="10A7E0DA" w14:textId="0D10A7FA" w:rsidR="004236FB" w:rsidRPr="00004F0F" w:rsidRDefault="004236FB" w:rsidP="000845C9">
            <w:pPr>
              <w:jc w:val="center"/>
              <w:rPr>
                <w:rFonts w:ascii="Arial" w:hAnsi="Arial" w:cs="Arial"/>
                <w:color w:val="000000"/>
              </w:rPr>
            </w:pPr>
            <w:hyperlink w:anchor="Note6interestreceivableandsimilarincome" w:history="1">
              <w:r w:rsidRPr="00DA4621">
                <w:rPr>
                  <w:rStyle w:val="Hyperlink"/>
                  <w:rFonts w:ascii="Arial" w:hAnsi="Arial" w:cs="Arial"/>
                </w:rPr>
                <w:t>6</w:t>
              </w:r>
            </w:hyperlink>
          </w:p>
        </w:tc>
        <w:tc>
          <w:tcPr>
            <w:tcW w:w="2126" w:type="dxa"/>
            <w:tcBorders>
              <w:top w:val="nil"/>
              <w:left w:val="nil"/>
              <w:bottom w:val="single" w:sz="4" w:space="0" w:color="auto"/>
              <w:right w:val="nil"/>
            </w:tcBorders>
            <w:shd w:val="clear" w:color="auto" w:fill="EAF1DD" w:themeFill="accent3" w:themeFillTint="33"/>
            <w:noWrap/>
            <w:vAlign w:val="bottom"/>
          </w:tcPr>
          <w:p w14:paraId="1369D275" w14:textId="50B02B2D" w:rsidR="004236FB" w:rsidRPr="00E26D69" w:rsidRDefault="008B5CB3" w:rsidP="000845C9">
            <w:pPr>
              <w:jc w:val="right"/>
              <w:rPr>
                <w:rFonts w:ascii="Arial" w:hAnsi="Arial" w:cs="Arial"/>
                <w:color w:val="000000"/>
              </w:rPr>
            </w:pPr>
            <w:r>
              <w:rPr>
                <w:rFonts w:ascii="Arial" w:hAnsi="Arial" w:cs="Arial"/>
                <w:color w:val="000000"/>
              </w:rPr>
              <w:t>1</w:t>
            </w:r>
          </w:p>
        </w:tc>
        <w:tc>
          <w:tcPr>
            <w:tcW w:w="1985" w:type="dxa"/>
            <w:tcBorders>
              <w:top w:val="nil"/>
              <w:left w:val="nil"/>
              <w:bottom w:val="single" w:sz="4" w:space="0" w:color="auto"/>
              <w:right w:val="nil"/>
            </w:tcBorders>
            <w:noWrap/>
            <w:vAlign w:val="bottom"/>
            <w:hideMark/>
          </w:tcPr>
          <w:p w14:paraId="5DBB7C03" w14:textId="78F01513" w:rsidR="004236FB" w:rsidRPr="00E26D69" w:rsidRDefault="004236FB" w:rsidP="000845C9">
            <w:pPr>
              <w:jc w:val="right"/>
              <w:rPr>
                <w:rFonts w:ascii="Arial" w:hAnsi="Arial" w:cs="Arial"/>
                <w:color w:val="000000"/>
              </w:rPr>
            </w:pPr>
            <w:r>
              <w:rPr>
                <w:rFonts w:ascii="Arial" w:hAnsi="Arial" w:cs="Arial"/>
                <w:color w:val="000000"/>
              </w:rPr>
              <w:t>3</w:t>
            </w:r>
          </w:p>
        </w:tc>
      </w:tr>
      <w:tr w:rsidR="004236FB" w:rsidRPr="00E26D69" w14:paraId="4BE4A341" w14:textId="77777777" w:rsidTr="00DA2CF3">
        <w:trPr>
          <w:trHeight w:val="624"/>
        </w:trPr>
        <w:tc>
          <w:tcPr>
            <w:tcW w:w="4820" w:type="dxa"/>
            <w:tcBorders>
              <w:top w:val="nil"/>
              <w:left w:val="nil"/>
              <w:bottom w:val="nil"/>
              <w:right w:val="nil"/>
            </w:tcBorders>
            <w:noWrap/>
            <w:vAlign w:val="bottom"/>
            <w:hideMark/>
          </w:tcPr>
          <w:p w14:paraId="72AB0A7D" w14:textId="77777777" w:rsidR="004236FB" w:rsidRPr="00E26D69" w:rsidRDefault="004236FB" w:rsidP="000845C9">
            <w:pPr>
              <w:ind w:left="-107"/>
              <w:rPr>
                <w:rFonts w:ascii="Arial" w:hAnsi="Arial" w:cs="Arial"/>
                <w:b/>
                <w:bCs/>
                <w:color w:val="000000"/>
              </w:rPr>
            </w:pPr>
            <w:r w:rsidRPr="007F7DE4">
              <w:rPr>
                <w:rFonts w:ascii="Arial" w:hAnsi="Arial" w:cs="Arial"/>
                <w:b/>
              </w:rPr>
              <w:t>Section 2.3 Parliamentary accountability expenditure outturn</w:t>
            </w:r>
          </w:p>
        </w:tc>
        <w:tc>
          <w:tcPr>
            <w:tcW w:w="1134" w:type="dxa"/>
            <w:tcBorders>
              <w:top w:val="nil"/>
              <w:left w:val="nil"/>
              <w:bottom w:val="nil"/>
              <w:right w:val="nil"/>
            </w:tcBorders>
            <w:noWrap/>
            <w:vAlign w:val="bottom"/>
            <w:hideMark/>
          </w:tcPr>
          <w:p w14:paraId="26BE4689" w14:textId="77777777" w:rsidR="004236FB" w:rsidRPr="00E26D69" w:rsidRDefault="004236FB" w:rsidP="000845C9">
            <w:pPr>
              <w:jc w:val="center"/>
              <w:rPr>
                <w:rFonts w:ascii="Arial" w:hAnsi="Arial" w:cs="Arial"/>
                <w:b/>
                <w:bCs/>
                <w:color w:val="000000"/>
              </w:rPr>
            </w:pPr>
          </w:p>
        </w:tc>
        <w:tc>
          <w:tcPr>
            <w:tcW w:w="2126" w:type="dxa"/>
            <w:tcBorders>
              <w:top w:val="single" w:sz="4" w:space="0" w:color="auto"/>
              <w:left w:val="nil"/>
              <w:bottom w:val="double" w:sz="4" w:space="0" w:color="auto"/>
              <w:right w:val="nil"/>
            </w:tcBorders>
            <w:shd w:val="clear" w:color="auto" w:fill="EAF1DD" w:themeFill="accent3" w:themeFillTint="33"/>
            <w:noWrap/>
            <w:vAlign w:val="bottom"/>
          </w:tcPr>
          <w:p w14:paraId="6CA4C99D" w14:textId="464584F8" w:rsidR="004236FB" w:rsidRPr="00E26D69" w:rsidRDefault="008B5CB3" w:rsidP="000845C9">
            <w:pPr>
              <w:jc w:val="right"/>
              <w:rPr>
                <w:rFonts w:ascii="Arial" w:hAnsi="Arial" w:cs="Arial"/>
                <w:b/>
                <w:bCs/>
                <w:color w:val="000000"/>
              </w:rPr>
            </w:pPr>
            <w:r>
              <w:rPr>
                <w:rFonts w:ascii="Arial" w:hAnsi="Arial" w:cs="Arial"/>
                <w:b/>
                <w:bCs/>
                <w:color w:val="000000"/>
              </w:rPr>
              <w:t>(34</w:t>
            </w:r>
            <w:r w:rsidR="00771E60">
              <w:rPr>
                <w:rFonts w:ascii="Arial" w:hAnsi="Arial" w:cs="Arial"/>
                <w:b/>
                <w:bCs/>
                <w:color w:val="000000"/>
              </w:rPr>
              <w:t>,03</w:t>
            </w:r>
            <w:r w:rsidR="005273C3">
              <w:rPr>
                <w:rFonts w:ascii="Arial" w:hAnsi="Arial" w:cs="Arial"/>
                <w:b/>
                <w:bCs/>
                <w:color w:val="000000"/>
              </w:rPr>
              <w:t>6</w:t>
            </w:r>
            <w:r w:rsidR="00771E60">
              <w:rPr>
                <w:rFonts w:ascii="Arial" w:hAnsi="Arial" w:cs="Arial"/>
                <w:b/>
                <w:bCs/>
                <w:color w:val="000000"/>
              </w:rPr>
              <w:t>)</w:t>
            </w:r>
          </w:p>
        </w:tc>
        <w:tc>
          <w:tcPr>
            <w:tcW w:w="1985" w:type="dxa"/>
            <w:tcBorders>
              <w:top w:val="single" w:sz="4" w:space="0" w:color="auto"/>
              <w:left w:val="nil"/>
              <w:bottom w:val="double" w:sz="4" w:space="0" w:color="auto"/>
              <w:right w:val="nil"/>
            </w:tcBorders>
            <w:noWrap/>
            <w:vAlign w:val="bottom"/>
            <w:hideMark/>
          </w:tcPr>
          <w:p w14:paraId="08D76FB2" w14:textId="255E39C6" w:rsidR="004236FB" w:rsidRPr="00E26D69" w:rsidRDefault="004236FB" w:rsidP="000845C9">
            <w:pPr>
              <w:jc w:val="right"/>
              <w:rPr>
                <w:rFonts w:ascii="Arial" w:hAnsi="Arial" w:cs="Arial"/>
                <w:b/>
                <w:bCs/>
                <w:color w:val="000000"/>
              </w:rPr>
            </w:pPr>
            <w:r>
              <w:rPr>
                <w:rFonts w:ascii="Arial" w:hAnsi="Arial" w:cs="Arial"/>
                <w:b/>
                <w:bCs/>
                <w:color w:val="000000"/>
              </w:rPr>
              <w:t>(35,508)</w:t>
            </w:r>
          </w:p>
        </w:tc>
      </w:tr>
      <w:tr w:rsidR="004236FB" w:rsidRPr="00E26D69" w14:paraId="37269356" w14:textId="77777777" w:rsidTr="00DA2CF3">
        <w:trPr>
          <w:trHeight w:val="454"/>
        </w:trPr>
        <w:tc>
          <w:tcPr>
            <w:tcW w:w="4820" w:type="dxa"/>
            <w:tcBorders>
              <w:top w:val="nil"/>
              <w:left w:val="nil"/>
              <w:bottom w:val="nil"/>
              <w:right w:val="nil"/>
            </w:tcBorders>
            <w:noWrap/>
            <w:vAlign w:val="bottom"/>
          </w:tcPr>
          <w:p w14:paraId="4FCD9E1C" w14:textId="530A997C" w:rsidR="004236FB" w:rsidRPr="00FB2CED" w:rsidRDefault="004236FB" w:rsidP="000845C9">
            <w:pPr>
              <w:ind w:left="-107"/>
              <w:rPr>
                <w:rFonts w:ascii="Arial" w:hAnsi="Arial" w:cs="Arial"/>
              </w:rPr>
            </w:pPr>
          </w:p>
        </w:tc>
        <w:tc>
          <w:tcPr>
            <w:tcW w:w="1134" w:type="dxa"/>
            <w:tcBorders>
              <w:top w:val="nil"/>
              <w:left w:val="nil"/>
              <w:bottom w:val="nil"/>
              <w:right w:val="nil"/>
            </w:tcBorders>
            <w:noWrap/>
            <w:vAlign w:val="bottom"/>
          </w:tcPr>
          <w:p w14:paraId="1E37741C" w14:textId="77777777" w:rsidR="004236FB" w:rsidRPr="00E26D69" w:rsidRDefault="004236FB" w:rsidP="000845C9">
            <w:pPr>
              <w:jc w:val="center"/>
              <w:rPr>
                <w:rFonts w:ascii="Arial" w:hAnsi="Arial" w:cs="Arial"/>
                <w:b/>
                <w:bCs/>
                <w:color w:val="000000"/>
              </w:rPr>
            </w:pPr>
          </w:p>
        </w:tc>
        <w:tc>
          <w:tcPr>
            <w:tcW w:w="2126" w:type="dxa"/>
            <w:tcBorders>
              <w:top w:val="double" w:sz="4" w:space="0" w:color="auto"/>
              <w:left w:val="nil"/>
              <w:right w:val="nil"/>
            </w:tcBorders>
            <w:shd w:val="clear" w:color="auto" w:fill="EAF1DD" w:themeFill="accent3" w:themeFillTint="33"/>
            <w:noWrap/>
            <w:vAlign w:val="bottom"/>
          </w:tcPr>
          <w:p w14:paraId="506E2B24" w14:textId="77777777" w:rsidR="004236FB" w:rsidRDefault="004236FB" w:rsidP="000845C9">
            <w:pPr>
              <w:jc w:val="right"/>
              <w:rPr>
                <w:rFonts w:ascii="Arial" w:hAnsi="Arial" w:cs="Arial"/>
                <w:b/>
                <w:bCs/>
                <w:color w:val="000000"/>
              </w:rPr>
            </w:pPr>
          </w:p>
        </w:tc>
        <w:tc>
          <w:tcPr>
            <w:tcW w:w="1985" w:type="dxa"/>
            <w:tcBorders>
              <w:top w:val="double" w:sz="4" w:space="0" w:color="auto"/>
              <w:left w:val="nil"/>
              <w:right w:val="nil"/>
            </w:tcBorders>
            <w:noWrap/>
            <w:vAlign w:val="bottom"/>
          </w:tcPr>
          <w:p w14:paraId="2D79DD2B" w14:textId="77777777" w:rsidR="004236FB" w:rsidRPr="00E26D69" w:rsidRDefault="004236FB" w:rsidP="000845C9">
            <w:pPr>
              <w:jc w:val="right"/>
              <w:rPr>
                <w:rFonts w:ascii="Arial" w:hAnsi="Arial" w:cs="Arial"/>
                <w:b/>
                <w:bCs/>
                <w:color w:val="000000"/>
              </w:rPr>
            </w:pPr>
          </w:p>
        </w:tc>
      </w:tr>
      <w:tr w:rsidR="004236FB" w:rsidRPr="00E26D69" w14:paraId="33ECE5B7" w14:textId="77777777" w:rsidTr="00DA2CF3">
        <w:trPr>
          <w:trHeight w:val="454"/>
        </w:trPr>
        <w:tc>
          <w:tcPr>
            <w:tcW w:w="4820" w:type="dxa"/>
            <w:tcBorders>
              <w:top w:val="nil"/>
              <w:left w:val="nil"/>
              <w:bottom w:val="nil"/>
              <w:right w:val="nil"/>
            </w:tcBorders>
            <w:noWrap/>
            <w:vAlign w:val="bottom"/>
          </w:tcPr>
          <w:p w14:paraId="6A7E88EF" w14:textId="0464E727" w:rsidR="004236FB" w:rsidRPr="00FB2CED" w:rsidRDefault="004236FB" w:rsidP="000845C9">
            <w:pPr>
              <w:ind w:left="-107"/>
              <w:rPr>
                <w:rFonts w:ascii="Arial" w:hAnsi="Arial" w:cs="Arial"/>
              </w:rPr>
            </w:pPr>
            <w:r w:rsidRPr="00FB2CED">
              <w:rPr>
                <w:rFonts w:ascii="Arial" w:hAnsi="Arial" w:cs="Arial"/>
              </w:rPr>
              <w:t>Ope</w:t>
            </w:r>
            <w:r>
              <w:rPr>
                <w:rFonts w:ascii="Arial" w:hAnsi="Arial" w:cs="Arial"/>
              </w:rPr>
              <w:t>rating Cash DEL</w:t>
            </w:r>
          </w:p>
        </w:tc>
        <w:tc>
          <w:tcPr>
            <w:tcW w:w="1134" w:type="dxa"/>
            <w:tcBorders>
              <w:top w:val="nil"/>
              <w:left w:val="nil"/>
              <w:bottom w:val="nil"/>
              <w:right w:val="nil"/>
            </w:tcBorders>
            <w:noWrap/>
            <w:vAlign w:val="bottom"/>
          </w:tcPr>
          <w:p w14:paraId="13581D4E" w14:textId="77777777" w:rsidR="004236FB" w:rsidRPr="00E26D69" w:rsidRDefault="004236FB" w:rsidP="000845C9">
            <w:pPr>
              <w:jc w:val="center"/>
              <w:rPr>
                <w:rFonts w:ascii="Arial" w:hAnsi="Arial" w:cs="Arial"/>
                <w:b/>
                <w:bCs/>
                <w:color w:val="000000"/>
              </w:rPr>
            </w:pPr>
          </w:p>
        </w:tc>
        <w:tc>
          <w:tcPr>
            <w:tcW w:w="2126" w:type="dxa"/>
            <w:tcBorders>
              <w:left w:val="nil"/>
              <w:right w:val="nil"/>
            </w:tcBorders>
            <w:shd w:val="clear" w:color="auto" w:fill="EAF1DD" w:themeFill="accent3" w:themeFillTint="33"/>
            <w:noWrap/>
            <w:vAlign w:val="bottom"/>
          </w:tcPr>
          <w:p w14:paraId="36690311" w14:textId="3198C912" w:rsidR="004236FB" w:rsidRDefault="00771E60" w:rsidP="000845C9">
            <w:pPr>
              <w:jc w:val="right"/>
              <w:rPr>
                <w:rFonts w:ascii="Arial" w:hAnsi="Arial" w:cs="Arial"/>
                <w:b/>
                <w:bCs/>
                <w:color w:val="000000"/>
              </w:rPr>
            </w:pPr>
            <w:r>
              <w:rPr>
                <w:rFonts w:ascii="Arial" w:hAnsi="Arial" w:cs="Arial"/>
                <w:b/>
                <w:bCs/>
                <w:color w:val="000000"/>
              </w:rPr>
              <w:t>34,03</w:t>
            </w:r>
            <w:r w:rsidR="00342A19">
              <w:rPr>
                <w:rFonts w:ascii="Arial" w:hAnsi="Arial" w:cs="Arial"/>
                <w:b/>
                <w:bCs/>
                <w:color w:val="000000"/>
              </w:rPr>
              <w:t>6</w:t>
            </w:r>
          </w:p>
        </w:tc>
        <w:tc>
          <w:tcPr>
            <w:tcW w:w="1985" w:type="dxa"/>
            <w:tcBorders>
              <w:left w:val="nil"/>
              <w:right w:val="nil"/>
            </w:tcBorders>
            <w:noWrap/>
            <w:vAlign w:val="bottom"/>
          </w:tcPr>
          <w:p w14:paraId="75A772D2" w14:textId="2ADB18D4" w:rsidR="004236FB" w:rsidRPr="00E26D69" w:rsidRDefault="004236FB" w:rsidP="000845C9">
            <w:pPr>
              <w:jc w:val="right"/>
              <w:rPr>
                <w:rFonts w:ascii="Arial" w:hAnsi="Arial" w:cs="Arial"/>
                <w:b/>
                <w:bCs/>
                <w:color w:val="000000"/>
              </w:rPr>
            </w:pPr>
            <w:r>
              <w:rPr>
                <w:rFonts w:ascii="Arial" w:hAnsi="Arial" w:cs="Arial"/>
                <w:b/>
                <w:bCs/>
                <w:color w:val="000000"/>
              </w:rPr>
              <w:t>34,227</w:t>
            </w:r>
          </w:p>
        </w:tc>
      </w:tr>
      <w:tr w:rsidR="004236FB" w:rsidRPr="00E26D69" w14:paraId="5CDCDA62" w14:textId="77777777" w:rsidTr="00DA2CF3">
        <w:trPr>
          <w:trHeight w:val="454"/>
        </w:trPr>
        <w:tc>
          <w:tcPr>
            <w:tcW w:w="4820" w:type="dxa"/>
            <w:tcBorders>
              <w:top w:val="nil"/>
              <w:left w:val="nil"/>
              <w:bottom w:val="nil"/>
              <w:right w:val="nil"/>
            </w:tcBorders>
            <w:noWrap/>
            <w:vAlign w:val="bottom"/>
          </w:tcPr>
          <w:p w14:paraId="0C13F751" w14:textId="07592641" w:rsidR="004236FB" w:rsidRPr="00FB2CED" w:rsidRDefault="004236FB" w:rsidP="000845C9">
            <w:pPr>
              <w:ind w:left="-107"/>
              <w:rPr>
                <w:rFonts w:ascii="Arial" w:hAnsi="Arial" w:cs="Arial"/>
              </w:rPr>
            </w:pPr>
            <w:r>
              <w:rPr>
                <w:rFonts w:ascii="Arial" w:hAnsi="Arial" w:cs="Arial"/>
              </w:rPr>
              <w:t>Operating non-cash DEL staff benefit</w:t>
            </w:r>
          </w:p>
        </w:tc>
        <w:tc>
          <w:tcPr>
            <w:tcW w:w="1134" w:type="dxa"/>
            <w:tcBorders>
              <w:top w:val="nil"/>
              <w:left w:val="nil"/>
              <w:bottom w:val="nil"/>
              <w:right w:val="nil"/>
            </w:tcBorders>
            <w:noWrap/>
            <w:vAlign w:val="bottom"/>
          </w:tcPr>
          <w:p w14:paraId="75039CC3" w14:textId="77777777" w:rsidR="004236FB" w:rsidRPr="00E26D69" w:rsidRDefault="004236FB" w:rsidP="000845C9">
            <w:pPr>
              <w:jc w:val="center"/>
              <w:rPr>
                <w:rFonts w:ascii="Arial" w:hAnsi="Arial" w:cs="Arial"/>
                <w:b/>
                <w:bCs/>
                <w:color w:val="000000"/>
              </w:rPr>
            </w:pPr>
          </w:p>
        </w:tc>
        <w:tc>
          <w:tcPr>
            <w:tcW w:w="2126" w:type="dxa"/>
            <w:tcBorders>
              <w:left w:val="nil"/>
              <w:bottom w:val="single" w:sz="4" w:space="0" w:color="auto"/>
              <w:right w:val="nil"/>
            </w:tcBorders>
            <w:shd w:val="clear" w:color="auto" w:fill="EAF1DD" w:themeFill="accent3" w:themeFillTint="33"/>
            <w:noWrap/>
            <w:vAlign w:val="bottom"/>
          </w:tcPr>
          <w:p w14:paraId="26A1E9D7" w14:textId="6DF6FC45" w:rsidR="004236FB" w:rsidRDefault="004236FB" w:rsidP="000845C9">
            <w:pPr>
              <w:jc w:val="right"/>
              <w:rPr>
                <w:rFonts w:ascii="Arial" w:hAnsi="Arial" w:cs="Arial"/>
                <w:b/>
                <w:bCs/>
                <w:color w:val="000000"/>
              </w:rPr>
            </w:pPr>
          </w:p>
        </w:tc>
        <w:tc>
          <w:tcPr>
            <w:tcW w:w="1985" w:type="dxa"/>
            <w:tcBorders>
              <w:left w:val="nil"/>
              <w:bottom w:val="single" w:sz="4" w:space="0" w:color="auto"/>
              <w:right w:val="nil"/>
            </w:tcBorders>
            <w:noWrap/>
            <w:vAlign w:val="bottom"/>
          </w:tcPr>
          <w:p w14:paraId="2C94A078" w14:textId="325443D3" w:rsidR="004236FB" w:rsidRPr="00E26D69" w:rsidRDefault="004236FB" w:rsidP="000845C9">
            <w:pPr>
              <w:jc w:val="right"/>
              <w:rPr>
                <w:rFonts w:ascii="Arial" w:hAnsi="Arial" w:cs="Arial"/>
                <w:b/>
                <w:bCs/>
                <w:color w:val="000000"/>
              </w:rPr>
            </w:pPr>
            <w:r>
              <w:rPr>
                <w:rFonts w:ascii="Arial" w:hAnsi="Arial" w:cs="Arial"/>
                <w:b/>
                <w:bCs/>
                <w:color w:val="000000"/>
              </w:rPr>
              <w:t>1,281</w:t>
            </w:r>
          </w:p>
        </w:tc>
      </w:tr>
      <w:tr w:rsidR="004236FB" w:rsidRPr="00E26D69" w14:paraId="5E71E5DF" w14:textId="77777777" w:rsidTr="00DA2CF3">
        <w:trPr>
          <w:trHeight w:val="454"/>
        </w:trPr>
        <w:tc>
          <w:tcPr>
            <w:tcW w:w="4820" w:type="dxa"/>
            <w:tcBorders>
              <w:top w:val="nil"/>
              <w:left w:val="nil"/>
              <w:bottom w:val="nil"/>
              <w:right w:val="nil"/>
            </w:tcBorders>
            <w:noWrap/>
            <w:vAlign w:val="bottom"/>
          </w:tcPr>
          <w:p w14:paraId="1DE8CC6B" w14:textId="73B1E7C6" w:rsidR="004236FB" w:rsidRPr="00690D79" w:rsidRDefault="004236FB" w:rsidP="000845C9">
            <w:pPr>
              <w:ind w:left="-107"/>
              <w:rPr>
                <w:rFonts w:ascii="Arial" w:hAnsi="Arial" w:cs="Arial"/>
                <w:b/>
                <w:bCs/>
              </w:rPr>
            </w:pPr>
            <w:r w:rsidRPr="00690D79">
              <w:rPr>
                <w:rFonts w:ascii="Arial" w:hAnsi="Arial" w:cs="Arial"/>
                <w:b/>
                <w:bCs/>
              </w:rPr>
              <w:t>Total</w:t>
            </w:r>
          </w:p>
        </w:tc>
        <w:tc>
          <w:tcPr>
            <w:tcW w:w="1134" w:type="dxa"/>
            <w:tcBorders>
              <w:top w:val="nil"/>
              <w:left w:val="nil"/>
              <w:bottom w:val="nil"/>
              <w:right w:val="nil"/>
            </w:tcBorders>
            <w:noWrap/>
            <w:vAlign w:val="bottom"/>
          </w:tcPr>
          <w:p w14:paraId="06F6E16B" w14:textId="77777777" w:rsidR="004236FB" w:rsidRPr="00E26D69" w:rsidRDefault="004236FB" w:rsidP="000845C9">
            <w:pPr>
              <w:jc w:val="center"/>
              <w:rPr>
                <w:rFonts w:ascii="Arial" w:hAnsi="Arial" w:cs="Arial"/>
                <w:b/>
                <w:bCs/>
                <w:color w:val="000000"/>
              </w:rPr>
            </w:pPr>
          </w:p>
        </w:tc>
        <w:tc>
          <w:tcPr>
            <w:tcW w:w="2126" w:type="dxa"/>
            <w:tcBorders>
              <w:top w:val="single" w:sz="4" w:space="0" w:color="auto"/>
              <w:left w:val="nil"/>
              <w:bottom w:val="double" w:sz="4" w:space="0" w:color="auto"/>
              <w:right w:val="nil"/>
            </w:tcBorders>
            <w:shd w:val="clear" w:color="auto" w:fill="EAF1DD" w:themeFill="accent3" w:themeFillTint="33"/>
            <w:noWrap/>
            <w:vAlign w:val="bottom"/>
          </w:tcPr>
          <w:p w14:paraId="4832705B" w14:textId="4EC34FF5" w:rsidR="004236FB" w:rsidRDefault="00771E60" w:rsidP="000845C9">
            <w:pPr>
              <w:jc w:val="right"/>
              <w:rPr>
                <w:rFonts w:ascii="Arial" w:hAnsi="Arial" w:cs="Arial"/>
                <w:b/>
                <w:bCs/>
                <w:color w:val="000000"/>
              </w:rPr>
            </w:pPr>
            <w:r>
              <w:rPr>
                <w:rFonts w:ascii="Arial" w:hAnsi="Arial" w:cs="Arial"/>
                <w:b/>
                <w:bCs/>
                <w:color w:val="000000"/>
              </w:rPr>
              <w:t>34,03</w:t>
            </w:r>
            <w:r w:rsidR="002D6B29">
              <w:rPr>
                <w:rFonts w:ascii="Arial" w:hAnsi="Arial" w:cs="Arial"/>
                <w:b/>
                <w:bCs/>
                <w:color w:val="000000"/>
              </w:rPr>
              <w:t>6</w:t>
            </w:r>
          </w:p>
        </w:tc>
        <w:tc>
          <w:tcPr>
            <w:tcW w:w="1985" w:type="dxa"/>
            <w:tcBorders>
              <w:top w:val="single" w:sz="4" w:space="0" w:color="auto"/>
              <w:left w:val="nil"/>
              <w:bottom w:val="double" w:sz="4" w:space="0" w:color="auto"/>
              <w:right w:val="nil"/>
            </w:tcBorders>
            <w:noWrap/>
            <w:vAlign w:val="bottom"/>
          </w:tcPr>
          <w:p w14:paraId="520D2C86" w14:textId="65BAC214" w:rsidR="004236FB" w:rsidRPr="00E26D69" w:rsidRDefault="004236FB" w:rsidP="000845C9">
            <w:pPr>
              <w:jc w:val="right"/>
              <w:rPr>
                <w:rFonts w:ascii="Arial" w:hAnsi="Arial" w:cs="Arial"/>
                <w:b/>
                <w:bCs/>
                <w:color w:val="000000"/>
              </w:rPr>
            </w:pPr>
            <w:r>
              <w:rPr>
                <w:rFonts w:ascii="Arial" w:hAnsi="Arial" w:cs="Arial"/>
                <w:b/>
                <w:bCs/>
                <w:color w:val="000000"/>
              </w:rPr>
              <w:t>35,508</w:t>
            </w:r>
          </w:p>
        </w:tc>
      </w:tr>
    </w:tbl>
    <w:p w14:paraId="5D9F3CC7" w14:textId="4705603F" w:rsidR="00797CEA" w:rsidRDefault="00797CEA" w:rsidP="004236FB">
      <w:pPr>
        <w:spacing w:line="360" w:lineRule="auto"/>
        <w:ind w:left="680"/>
        <w:contextualSpacing/>
        <w:rPr>
          <w:rFonts w:ascii="Arial" w:hAnsi="Arial" w:cs="Arial"/>
          <w:b/>
        </w:rPr>
      </w:pPr>
      <w:r>
        <w:rPr>
          <w:rFonts w:ascii="Arial" w:hAnsi="Arial" w:cs="Arial"/>
          <w:b/>
        </w:rPr>
        <w:br w:type="page"/>
      </w:r>
    </w:p>
    <w:p w14:paraId="4B069D43" w14:textId="4C710F79" w:rsidR="00E26D69" w:rsidRPr="00372D7F" w:rsidRDefault="00684199" w:rsidP="000845C9">
      <w:pPr>
        <w:spacing w:line="360" w:lineRule="auto"/>
        <w:ind w:left="-426"/>
        <w:contextualSpacing/>
        <w:rPr>
          <w:rFonts w:ascii="Arial" w:hAnsi="Arial" w:cs="Arial"/>
          <w:b/>
        </w:rPr>
      </w:pPr>
      <w:bookmarkStart w:id="55" w:name="Note22AME"/>
      <w:r>
        <w:rPr>
          <w:rFonts w:ascii="Arial" w:hAnsi="Arial" w:cs="Arial"/>
          <w:b/>
        </w:rPr>
        <w:lastRenderedPageBreak/>
        <w:t xml:space="preserve">Note 22. </w:t>
      </w:r>
      <w:r w:rsidR="00E73C88" w:rsidRPr="00372D7F">
        <w:rPr>
          <w:rFonts w:ascii="Arial" w:hAnsi="Arial" w:cs="Arial"/>
          <w:b/>
        </w:rPr>
        <w:t>Annually Managed Expenditure (AME)</w:t>
      </w:r>
      <w:r w:rsidR="001050BA" w:rsidRPr="00372D7F">
        <w:rPr>
          <w:rFonts w:ascii="Arial" w:hAnsi="Arial" w:cs="Arial"/>
          <w:b/>
        </w:rPr>
        <w:t xml:space="preserve"> </w:t>
      </w:r>
      <w:r w:rsidR="00C90814" w:rsidRPr="00372D7F">
        <w:rPr>
          <w:rFonts w:ascii="Arial" w:hAnsi="Arial" w:cs="Arial"/>
          <w:b/>
        </w:rPr>
        <w:t>at</w:t>
      </w:r>
      <w:r w:rsidR="001050BA" w:rsidRPr="00372D7F">
        <w:rPr>
          <w:rFonts w:ascii="Arial" w:hAnsi="Arial" w:cs="Arial"/>
          <w:b/>
        </w:rPr>
        <w:t xml:space="preserve"> 31 March 202</w:t>
      </w:r>
      <w:r w:rsidR="008D50DD" w:rsidRPr="00372D7F">
        <w:rPr>
          <w:rFonts w:ascii="Arial" w:hAnsi="Arial" w:cs="Arial"/>
          <w:b/>
        </w:rPr>
        <w:t>2</w:t>
      </w:r>
    </w:p>
    <w:bookmarkEnd w:id="55"/>
    <w:tbl>
      <w:tblPr>
        <w:tblW w:w="10916" w:type="dxa"/>
        <w:tblInd w:w="-426" w:type="dxa"/>
        <w:tblLook w:val="04A0" w:firstRow="1" w:lastRow="0" w:firstColumn="1" w:lastColumn="0" w:noHBand="0" w:noVBand="1"/>
      </w:tblPr>
      <w:tblGrid>
        <w:gridCol w:w="5104"/>
        <w:gridCol w:w="992"/>
        <w:gridCol w:w="1843"/>
        <w:gridCol w:w="1701"/>
        <w:gridCol w:w="1276"/>
      </w:tblGrid>
      <w:tr w:rsidR="00863090" w:rsidRPr="00232A87" w14:paraId="1775BE2B" w14:textId="77777777" w:rsidTr="00DA2CF3">
        <w:trPr>
          <w:trHeight w:val="397"/>
        </w:trPr>
        <w:tc>
          <w:tcPr>
            <w:tcW w:w="5104" w:type="dxa"/>
            <w:tcBorders>
              <w:top w:val="nil"/>
              <w:left w:val="nil"/>
              <w:bottom w:val="nil"/>
              <w:right w:val="nil"/>
            </w:tcBorders>
            <w:noWrap/>
            <w:vAlign w:val="center"/>
            <w:hideMark/>
          </w:tcPr>
          <w:p w14:paraId="7A8E2839" w14:textId="6D02D0E8" w:rsidR="00B677C4" w:rsidRPr="00B677C4" w:rsidRDefault="00B677C4" w:rsidP="00E84B0A">
            <w:pPr>
              <w:rPr>
                <w:rFonts w:ascii="Arial" w:hAnsi="Arial" w:cs="Arial"/>
                <w:b/>
                <w:bCs/>
                <w:color w:val="000000"/>
              </w:rPr>
            </w:pPr>
          </w:p>
        </w:tc>
        <w:tc>
          <w:tcPr>
            <w:tcW w:w="992" w:type="dxa"/>
            <w:tcBorders>
              <w:top w:val="nil"/>
              <w:left w:val="nil"/>
              <w:bottom w:val="nil"/>
              <w:right w:val="nil"/>
            </w:tcBorders>
            <w:noWrap/>
            <w:vAlign w:val="bottom"/>
            <w:hideMark/>
          </w:tcPr>
          <w:p w14:paraId="3AAA189B" w14:textId="77777777" w:rsidR="00B677C4" w:rsidRPr="00232A87" w:rsidRDefault="00B677C4" w:rsidP="005E286A">
            <w:pPr>
              <w:jc w:val="center"/>
              <w:rPr>
                <w:rFonts w:ascii="Arial" w:hAnsi="Arial" w:cs="Arial"/>
                <w:b/>
                <w:bCs/>
                <w:color w:val="000000"/>
              </w:rPr>
            </w:pPr>
          </w:p>
        </w:tc>
        <w:tc>
          <w:tcPr>
            <w:tcW w:w="1843" w:type="dxa"/>
            <w:tcBorders>
              <w:top w:val="nil"/>
              <w:left w:val="nil"/>
              <w:bottom w:val="nil"/>
              <w:right w:val="nil"/>
            </w:tcBorders>
            <w:shd w:val="clear" w:color="auto" w:fill="EAF1DD" w:themeFill="accent3" w:themeFillTint="33"/>
            <w:vAlign w:val="bottom"/>
            <w:hideMark/>
          </w:tcPr>
          <w:p w14:paraId="387E3044" w14:textId="77777777" w:rsidR="00777C41" w:rsidRDefault="00B677C4" w:rsidP="005E286A">
            <w:pPr>
              <w:jc w:val="right"/>
              <w:rPr>
                <w:rFonts w:ascii="Arial" w:hAnsi="Arial" w:cs="Arial"/>
                <w:b/>
                <w:bCs/>
                <w:color w:val="000000"/>
              </w:rPr>
            </w:pPr>
            <w:r w:rsidRPr="00232A87">
              <w:rPr>
                <w:rFonts w:ascii="Arial" w:hAnsi="Arial" w:cs="Arial"/>
                <w:b/>
                <w:bCs/>
                <w:color w:val="000000"/>
              </w:rPr>
              <w:t xml:space="preserve">Year to </w:t>
            </w:r>
          </w:p>
          <w:p w14:paraId="2A7EBC90" w14:textId="517F6020" w:rsidR="00B677C4" w:rsidRPr="00232A87" w:rsidRDefault="00B677C4" w:rsidP="005E286A">
            <w:pPr>
              <w:jc w:val="right"/>
              <w:rPr>
                <w:rFonts w:ascii="Arial" w:hAnsi="Arial" w:cs="Arial"/>
                <w:b/>
                <w:bCs/>
                <w:color w:val="000000"/>
              </w:rPr>
            </w:pPr>
            <w:r w:rsidRPr="00232A87">
              <w:rPr>
                <w:rFonts w:ascii="Arial" w:hAnsi="Arial" w:cs="Arial"/>
                <w:b/>
                <w:bCs/>
                <w:color w:val="000000"/>
              </w:rPr>
              <w:t>31 March 202</w:t>
            </w:r>
            <w:r w:rsidR="007743EF">
              <w:rPr>
                <w:rFonts w:ascii="Arial" w:hAnsi="Arial" w:cs="Arial"/>
                <w:b/>
                <w:bCs/>
                <w:color w:val="000000"/>
              </w:rPr>
              <w:t>2</w:t>
            </w:r>
          </w:p>
        </w:tc>
        <w:tc>
          <w:tcPr>
            <w:tcW w:w="1701" w:type="dxa"/>
            <w:tcBorders>
              <w:top w:val="nil"/>
              <w:left w:val="nil"/>
              <w:bottom w:val="nil"/>
              <w:right w:val="nil"/>
            </w:tcBorders>
            <w:shd w:val="clear" w:color="auto" w:fill="EAF1DD" w:themeFill="accent3" w:themeFillTint="33"/>
            <w:vAlign w:val="bottom"/>
            <w:hideMark/>
          </w:tcPr>
          <w:p w14:paraId="3B3864C4" w14:textId="77777777" w:rsidR="00777C41" w:rsidRDefault="00B677C4" w:rsidP="005E286A">
            <w:pPr>
              <w:jc w:val="right"/>
              <w:rPr>
                <w:rFonts w:ascii="Arial" w:hAnsi="Arial" w:cs="Arial"/>
                <w:b/>
                <w:bCs/>
                <w:color w:val="000000"/>
              </w:rPr>
            </w:pPr>
            <w:r w:rsidRPr="00232A87">
              <w:rPr>
                <w:rFonts w:ascii="Arial" w:hAnsi="Arial" w:cs="Arial"/>
                <w:b/>
                <w:bCs/>
                <w:color w:val="000000"/>
              </w:rPr>
              <w:t xml:space="preserve">Year to </w:t>
            </w:r>
          </w:p>
          <w:p w14:paraId="5B14BA60" w14:textId="37F3205E" w:rsidR="00B677C4" w:rsidRPr="00232A87" w:rsidRDefault="00B677C4" w:rsidP="005E286A">
            <w:pPr>
              <w:jc w:val="right"/>
              <w:rPr>
                <w:rFonts w:ascii="Arial" w:hAnsi="Arial" w:cs="Arial"/>
                <w:b/>
                <w:bCs/>
                <w:color w:val="000000"/>
              </w:rPr>
            </w:pPr>
            <w:r w:rsidRPr="00232A87">
              <w:rPr>
                <w:rFonts w:ascii="Arial" w:hAnsi="Arial" w:cs="Arial"/>
                <w:b/>
                <w:bCs/>
                <w:color w:val="000000"/>
              </w:rPr>
              <w:t>31 March 202</w:t>
            </w:r>
            <w:r w:rsidR="007743EF">
              <w:rPr>
                <w:rFonts w:ascii="Arial" w:hAnsi="Arial" w:cs="Arial"/>
                <w:b/>
                <w:bCs/>
                <w:color w:val="000000"/>
              </w:rPr>
              <w:t>2</w:t>
            </w:r>
          </w:p>
        </w:tc>
        <w:tc>
          <w:tcPr>
            <w:tcW w:w="1276" w:type="dxa"/>
            <w:tcBorders>
              <w:top w:val="nil"/>
              <w:left w:val="nil"/>
              <w:bottom w:val="nil"/>
              <w:right w:val="nil"/>
            </w:tcBorders>
            <w:shd w:val="clear" w:color="auto" w:fill="EAF1DD" w:themeFill="accent3" w:themeFillTint="33"/>
            <w:noWrap/>
            <w:vAlign w:val="bottom"/>
            <w:hideMark/>
          </w:tcPr>
          <w:p w14:paraId="453EDB74" w14:textId="77777777" w:rsidR="00B677C4" w:rsidRPr="00232A87" w:rsidRDefault="00B677C4" w:rsidP="005E286A">
            <w:pPr>
              <w:jc w:val="right"/>
              <w:rPr>
                <w:rFonts w:ascii="Arial" w:hAnsi="Arial" w:cs="Arial"/>
                <w:color w:val="000000"/>
              </w:rPr>
            </w:pPr>
          </w:p>
        </w:tc>
      </w:tr>
      <w:tr w:rsidR="00C60582" w:rsidRPr="00232A87" w14:paraId="6CCA7058" w14:textId="77777777" w:rsidTr="00DA2CF3">
        <w:trPr>
          <w:trHeight w:val="454"/>
        </w:trPr>
        <w:tc>
          <w:tcPr>
            <w:tcW w:w="5104" w:type="dxa"/>
            <w:tcBorders>
              <w:top w:val="nil"/>
              <w:left w:val="nil"/>
              <w:bottom w:val="nil"/>
              <w:right w:val="nil"/>
            </w:tcBorders>
            <w:noWrap/>
            <w:vAlign w:val="bottom"/>
            <w:hideMark/>
          </w:tcPr>
          <w:p w14:paraId="1B0D46F9" w14:textId="77777777" w:rsidR="00B677C4" w:rsidRPr="00232A87" w:rsidRDefault="00B677C4" w:rsidP="00E84B0A">
            <w:pPr>
              <w:jc w:val="right"/>
              <w:rPr>
                <w:rFonts w:ascii="Arial" w:hAnsi="Arial" w:cs="Arial"/>
                <w:color w:val="000000"/>
              </w:rPr>
            </w:pPr>
          </w:p>
        </w:tc>
        <w:tc>
          <w:tcPr>
            <w:tcW w:w="992" w:type="dxa"/>
            <w:tcBorders>
              <w:top w:val="nil"/>
              <w:left w:val="nil"/>
              <w:bottom w:val="nil"/>
              <w:right w:val="nil"/>
            </w:tcBorders>
            <w:noWrap/>
            <w:vAlign w:val="bottom"/>
            <w:hideMark/>
          </w:tcPr>
          <w:p w14:paraId="67687FA4" w14:textId="77777777" w:rsidR="00B677C4" w:rsidRPr="00232A87" w:rsidRDefault="00B677C4" w:rsidP="005E286A">
            <w:pPr>
              <w:jc w:val="center"/>
              <w:rPr>
                <w:rFonts w:ascii="Arial" w:hAnsi="Arial" w:cs="Arial"/>
                <w:b/>
                <w:bCs/>
                <w:color w:val="000000"/>
              </w:rPr>
            </w:pPr>
            <w:r w:rsidRPr="00232A87">
              <w:rPr>
                <w:rFonts w:ascii="Arial" w:hAnsi="Arial" w:cs="Arial"/>
                <w:b/>
                <w:bCs/>
                <w:color w:val="000000"/>
              </w:rPr>
              <w:t>Note</w:t>
            </w:r>
          </w:p>
        </w:tc>
        <w:tc>
          <w:tcPr>
            <w:tcW w:w="1843" w:type="dxa"/>
            <w:tcBorders>
              <w:top w:val="nil"/>
              <w:left w:val="nil"/>
              <w:bottom w:val="nil"/>
              <w:right w:val="nil"/>
            </w:tcBorders>
            <w:shd w:val="clear" w:color="auto" w:fill="EAF1DD" w:themeFill="accent3" w:themeFillTint="33"/>
            <w:noWrap/>
            <w:vAlign w:val="bottom"/>
            <w:hideMark/>
          </w:tcPr>
          <w:p w14:paraId="2EF5B7D5"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Budget</w:t>
            </w:r>
          </w:p>
        </w:tc>
        <w:tc>
          <w:tcPr>
            <w:tcW w:w="1701" w:type="dxa"/>
            <w:tcBorders>
              <w:top w:val="nil"/>
              <w:left w:val="nil"/>
              <w:bottom w:val="nil"/>
              <w:right w:val="nil"/>
            </w:tcBorders>
            <w:shd w:val="clear" w:color="auto" w:fill="EAF1DD" w:themeFill="accent3" w:themeFillTint="33"/>
            <w:noWrap/>
            <w:vAlign w:val="bottom"/>
            <w:hideMark/>
          </w:tcPr>
          <w:p w14:paraId="239A2685"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Actual</w:t>
            </w:r>
          </w:p>
        </w:tc>
        <w:tc>
          <w:tcPr>
            <w:tcW w:w="1276" w:type="dxa"/>
            <w:tcBorders>
              <w:top w:val="nil"/>
              <w:left w:val="nil"/>
              <w:bottom w:val="nil"/>
              <w:right w:val="nil"/>
            </w:tcBorders>
            <w:shd w:val="clear" w:color="auto" w:fill="EAF1DD" w:themeFill="accent3" w:themeFillTint="33"/>
            <w:noWrap/>
            <w:vAlign w:val="bottom"/>
            <w:hideMark/>
          </w:tcPr>
          <w:p w14:paraId="6BC4825F"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Variance</w:t>
            </w:r>
          </w:p>
        </w:tc>
      </w:tr>
      <w:tr w:rsidR="00C60582" w:rsidRPr="00232A87" w14:paraId="06A9E02D" w14:textId="77777777" w:rsidTr="00DA2CF3">
        <w:trPr>
          <w:trHeight w:val="454"/>
        </w:trPr>
        <w:tc>
          <w:tcPr>
            <w:tcW w:w="5104" w:type="dxa"/>
            <w:tcBorders>
              <w:top w:val="nil"/>
              <w:left w:val="nil"/>
              <w:bottom w:val="nil"/>
              <w:right w:val="nil"/>
            </w:tcBorders>
            <w:noWrap/>
            <w:vAlign w:val="bottom"/>
            <w:hideMark/>
          </w:tcPr>
          <w:p w14:paraId="2D44C74C" w14:textId="77777777" w:rsidR="00B677C4" w:rsidRPr="00232A87" w:rsidRDefault="00B677C4" w:rsidP="00E84B0A">
            <w:pPr>
              <w:jc w:val="right"/>
              <w:rPr>
                <w:rFonts w:ascii="Arial" w:hAnsi="Arial" w:cs="Arial"/>
                <w:b/>
                <w:bCs/>
                <w:color w:val="000000"/>
              </w:rPr>
            </w:pPr>
          </w:p>
        </w:tc>
        <w:tc>
          <w:tcPr>
            <w:tcW w:w="992" w:type="dxa"/>
            <w:tcBorders>
              <w:top w:val="nil"/>
              <w:left w:val="nil"/>
              <w:bottom w:val="nil"/>
              <w:right w:val="nil"/>
            </w:tcBorders>
            <w:noWrap/>
            <w:vAlign w:val="bottom"/>
            <w:hideMark/>
          </w:tcPr>
          <w:p w14:paraId="429E74AB" w14:textId="77777777" w:rsidR="00B677C4" w:rsidRPr="00232A87" w:rsidRDefault="00B677C4" w:rsidP="005E286A">
            <w:pPr>
              <w:jc w:val="center"/>
              <w:rPr>
                <w:rFonts w:ascii="Arial" w:hAnsi="Arial" w:cs="Arial"/>
              </w:rPr>
            </w:pPr>
          </w:p>
        </w:tc>
        <w:tc>
          <w:tcPr>
            <w:tcW w:w="1843" w:type="dxa"/>
            <w:tcBorders>
              <w:top w:val="nil"/>
              <w:left w:val="nil"/>
              <w:bottom w:val="nil"/>
              <w:right w:val="nil"/>
            </w:tcBorders>
            <w:shd w:val="clear" w:color="auto" w:fill="EAF1DD" w:themeFill="accent3" w:themeFillTint="33"/>
            <w:noWrap/>
            <w:vAlign w:val="bottom"/>
            <w:hideMark/>
          </w:tcPr>
          <w:p w14:paraId="53EE9797"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 xml:space="preserve">   £'000</w:t>
            </w:r>
          </w:p>
        </w:tc>
        <w:tc>
          <w:tcPr>
            <w:tcW w:w="1701" w:type="dxa"/>
            <w:tcBorders>
              <w:top w:val="nil"/>
              <w:left w:val="nil"/>
              <w:bottom w:val="nil"/>
              <w:right w:val="nil"/>
            </w:tcBorders>
            <w:shd w:val="clear" w:color="auto" w:fill="EAF1DD" w:themeFill="accent3" w:themeFillTint="33"/>
            <w:noWrap/>
            <w:vAlign w:val="bottom"/>
            <w:hideMark/>
          </w:tcPr>
          <w:p w14:paraId="033A6309"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 xml:space="preserve">   £'000</w:t>
            </w:r>
          </w:p>
        </w:tc>
        <w:tc>
          <w:tcPr>
            <w:tcW w:w="1276" w:type="dxa"/>
            <w:tcBorders>
              <w:top w:val="nil"/>
              <w:left w:val="nil"/>
              <w:bottom w:val="nil"/>
              <w:right w:val="nil"/>
            </w:tcBorders>
            <w:shd w:val="clear" w:color="auto" w:fill="EAF1DD" w:themeFill="accent3" w:themeFillTint="33"/>
            <w:noWrap/>
            <w:vAlign w:val="bottom"/>
            <w:hideMark/>
          </w:tcPr>
          <w:p w14:paraId="71F60850" w14:textId="77777777" w:rsidR="00B677C4" w:rsidRPr="00232A87" w:rsidRDefault="00B677C4" w:rsidP="005E286A">
            <w:pPr>
              <w:jc w:val="right"/>
              <w:rPr>
                <w:rFonts w:ascii="Arial" w:hAnsi="Arial" w:cs="Arial"/>
                <w:b/>
                <w:bCs/>
                <w:color w:val="000000"/>
              </w:rPr>
            </w:pPr>
            <w:r w:rsidRPr="00232A87">
              <w:rPr>
                <w:rFonts w:ascii="Arial" w:hAnsi="Arial" w:cs="Arial"/>
                <w:b/>
                <w:bCs/>
                <w:color w:val="000000"/>
              </w:rPr>
              <w:t xml:space="preserve">   £'000</w:t>
            </w:r>
          </w:p>
        </w:tc>
      </w:tr>
      <w:tr w:rsidR="00C60582" w:rsidRPr="00232A87" w14:paraId="4A24DDA9" w14:textId="77777777" w:rsidTr="003C55A9">
        <w:trPr>
          <w:trHeight w:val="425"/>
        </w:trPr>
        <w:tc>
          <w:tcPr>
            <w:tcW w:w="5104" w:type="dxa"/>
            <w:tcBorders>
              <w:top w:val="nil"/>
              <w:left w:val="nil"/>
              <w:bottom w:val="nil"/>
              <w:right w:val="nil"/>
            </w:tcBorders>
            <w:noWrap/>
            <w:vAlign w:val="bottom"/>
            <w:hideMark/>
          </w:tcPr>
          <w:p w14:paraId="3E09D32C" w14:textId="77777777" w:rsidR="00B677C4" w:rsidRPr="00232A87" w:rsidRDefault="00B677C4" w:rsidP="000845C9">
            <w:pPr>
              <w:ind w:left="-107"/>
              <w:rPr>
                <w:rFonts w:ascii="Arial" w:hAnsi="Arial" w:cs="Arial"/>
                <w:color w:val="000000"/>
              </w:rPr>
            </w:pPr>
            <w:r w:rsidRPr="00232A87">
              <w:rPr>
                <w:rFonts w:ascii="Arial" w:hAnsi="Arial" w:cs="Arial"/>
                <w:color w:val="000000"/>
              </w:rPr>
              <w:t>IAS 19 pension charge</w:t>
            </w:r>
          </w:p>
        </w:tc>
        <w:tc>
          <w:tcPr>
            <w:tcW w:w="992" w:type="dxa"/>
            <w:tcBorders>
              <w:top w:val="nil"/>
              <w:left w:val="nil"/>
              <w:bottom w:val="nil"/>
              <w:right w:val="nil"/>
            </w:tcBorders>
            <w:noWrap/>
            <w:vAlign w:val="bottom"/>
            <w:hideMark/>
          </w:tcPr>
          <w:p w14:paraId="19F71B00" w14:textId="63A5C4F7" w:rsidR="00B677C4" w:rsidRPr="00004F0F" w:rsidRDefault="00B677C4" w:rsidP="005E286A">
            <w:pPr>
              <w:jc w:val="center"/>
              <w:rPr>
                <w:rFonts w:ascii="Arial" w:hAnsi="Arial" w:cs="Arial"/>
                <w:color w:val="000000"/>
              </w:rPr>
            </w:pPr>
            <w:r w:rsidRPr="00004F0F">
              <w:rPr>
                <w:rFonts w:ascii="Arial" w:hAnsi="Arial" w:cs="Arial"/>
                <w:color w:val="000000"/>
              </w:rPr>
              <w:t>4</w:t>
            </w:r>
            <w:r w:rsidR="000D6D71" w:rsidRPr="00004F0F">
              <w:rPr>
                <w:rFonts w:ascii="Arial" w:hAnsi="Arial" w:cs="Arial"/>
                <w:color w:val="000000"/>
              </w:rPr>
              <w:t xml:space="preserve">  </w:t>
            </w:r>
          </w:p>
        </w:tc>
        <w:tc>
          <w:tcPr>
            <w:tcW w:w="1843" w:type="dxa"/>
            <w:tcBorders>
              <w:top w:val="nil"/>
              <w:left w:val="nil"/>
              <w:bottom w:val="nil"/>
              <w:right w:val="nil"/>
            </w:tcBorders>
            <w:shd w:val="clear" w:color="auto" w:fill="EAF1DD" w:themeFill="accent3" w:themeFillTint="33"/>
            <w:noWrap/>
            <w:vAlign w:val="bottom"/>
          </w:tcPr>
          <w:p w14:paraId="37D38493" w14:textId="1B295885" w:rsidR="00B677C4" w:rsidRPr="00232A87" w:rsidRDefault="00F96592" w:rsidP="005E286A">
            <w:pPr>
              <w:jc w:val="right"/>
              <w:rPr>
                <w:rFonts w:ascii="Arial" w:hAnsi="Arial" w:cs="Arial"/>
                <w:color w:val="000000"/>
              </w:rPr>
            </w:pPr>
            <w:r>
              <w:rPr>
                <w:rFonts w:ascii="Arial" w:hAnsi="Arial" w:cs="Arial"/>
                <w:color w:val="000000"/>
              </w:rPr>
              <w:t>7,000</w:t>
            </w:r>
          </w:p>
        </w:tc>
        <w:tc>
          <w:tcPr>
            <w:tcW w:w="1701" w:type="dxa"/>
            <w:tcBorders>
              <w:top w:val="nil"/>
              <w:left w:val="nil"/>
              <w:bottom w:val="nil"/>
              <w:right w:val="nil"/>
            </w:tcBorders>
            <w:shd w:val="clear" w:color="auto" w:fill="EAF1DD" w:themeFill="accent3" w:themeFillTint="33"/>
            <w:noWrap/>
            <w:vAlign w:val="bottom"/>
          </w:tcPr>
          <w:p w14:paraId="4891D05F" w14:textId="1735F80B" w:rsidR="00B677C4" w:rsidRPr="00232A87" w:rsidRDefault="00003611" w:rsidP="005E286A">
            <w:pPr>
              <w:jc w:val="right"/>
              <w:rPr>
                <w:rFonts w:ascii="Arial" w:hAnsi="Arial" w:cs="Arial"/>
                <w:color w:val="000000"/>
              </w:rPr>
            </w:pPr>
            <w:r>
              <w:rPr>
                <w:rFonts w:ascii="Arial" w:hAnsi="Arial" w:cs="Arial"/>
                <w:color w:val="000000"/>
              </w:rPr>
              <w:t>16,</w:t>
            </w:r>
            <w:r w:rsidR="00B0559D">
              <w:rPr>
                <w:rFonts w:ascii="Arial" w:hAnsi="Arial" w:cs="Arial"/>
                <w:color w:val="000000"/>
              </w:rPr>
              <w:t>023</w:t>
            </w:r>
          </w:p>
        </w:tc>
        <w:tc>
          <w:tcPr>
            <w:tcW w:w="1276" w:type="dxa"/>
            <w:tcBorders>
              <w:top w:val="nil"/>
              <w:left w:val="nil"/>
              <w:bottom w:val="nil"/>
              <w:right w:val="nil"/>
            </w:tcBorders>
            <w:shd w:val="clear" w:color="auto" w:fill="EAF1DD" w:themeFill="accent3" w:themeFillTint="33"/>
            <w:noWrap/>
            <w:vAlign w:val="bottom"/>
          </w:tcPr>
          <w:p w14:paraId="1CF3A59B" w14:textId="5ECA90ED" w:rsidR="00B677C4" w:rsidRPr="00232A87" w:rsidRDefault="00B34C72" w:rsidP="005E286A">
            <w:pPr>
              <w:jc w:val="right"/>
              <w:rPr>
                <w:rFonts w:ascii="Arial" w:hAnsi="Arial" w:cs="Arial"/>
                <w:color w:val="000000"/>
              </w:rPr>
            </w:pPr>
            <w:r>
              <w:rPr>
                <w:rFonts w:ascii="Arial" w:hAnsi="Arial" w:cs="Arial"/>
                <w:color w:val="000000"/>
              </w:rPr>
              <w:t>(9,023)</w:t>
            </w:r>
          </w:p>
        </w:tc>
      </w:tr>
      <w:tr w:rsidR="00C60582" w:rsidRPr="00232A87" w14:paraId="00EF2153" w14:textId="77777777" w:rsidTr="003C55A9">
        <w:trPr>
          <w:trHeight w:val="425"/>
        </w:trPr>
        <w:tc>
          <w:tcPr>
            <w:tcW w:w="5104" w:type="dxa"/>
            <w:tcBorders>
              <w:top w:val="nil"/>
              <w:left w:val="nil"/>
              <w:bottom w:val="nil"/>
              <w:right w:val="nil"/>
            </w:tcBorders>
            <w:noWrap/>
            <w:vAlign w:val="bottom"/>
            <w:hideMark/>
          </w:tcPr>
          <w:p w14:paraId="035878A3" w14:textId="77777777" w:rsidR="00B677C4" w:rsidRPr="00232A87" w:rsidRDefault="00B677C4" w:rsidP="000845C9">
            <w:pPr>
              <w:ind w:left="-107"/>
              <w:rPr>
                <w:rFonts w:ascii="Arial" w:hAnsi="Arial" w:cs="Arial"/>
                <w:color w:val="000000"/>
              </w:rPr>
            </w:pPr>
            <w:r w:rsidRPr="00232A87">
              <w:rPr>
                <w:rFonts w:ascii="Arial" w:hAnsi="Arial" w:cs="Arial"/>
                <w:color w:val="000000"/>
              </w:rPr>
              <w:t>Unfunded pension charge</w:t>
            </w:r>
          </w:p>
        </w:tc>
        <w:tc>
          <w:tcPr>
            <w:tcW w:w="992" w:type="dxa"/>
            <w:tcBorders>
              <w:top w:val="nil"/>
              <w:left w:val="nil"/>
              <w:bottom w:val="nil"/>
              <w:right w:val="nil"/>
            </w:tcBorders>
            <w:noWrap/>
            <w:vAlign w:val="bottom"/>
            <w:hideMark/>
          </w:tcPr>
          <w:p w14:paraId="7418A954" w14:textId="77777777" w:rsidR="00B677C4" w:rsidRPr="00004F0F" w:rsidRDefault="00B677C4" w:rsidP="005E286A">
            <w:pPr>
              <w:jc w:val="center"/>
              <w:rPr>
                <w:rFonts w:ascii="Arial" w:hAnsi="Arial" w:cs="Arial"/>
                <w:color w:val="000000"/>
              </w:rPr>
            </w:pPr>
            <w:r w:rsidRPr="00004F0F">
              <w:rPr>
                <w:rFonts w:ascii="Arial" w:hAnsi="Arial" w:cs="Arial"/>
                <w:color w:val="000000"/>
              </w:rPr>
              <w:t>4</w:t>
            </w:r>
          </w:p>
        </w:tc>
        <w:tc>
          <w:tcPr>
            <w:tcW w:w="1843" w:type="dxa"/>
            <w:tcBorders>
              <w:top w:val="nil"/>
              <w:left w:val="nil"/>
              <w:bottom w:val="nil"/>
              <w:right w:val="nil"/>
            </w:tcBorders>
            <w:shd w:val="clear" w:color="auto" w:fill="EAF1DD" w:themeFill="accent3" w:themeFillTint="33"/>
            <w:noWrap/>
            <w:vAlign w:val="bottom"/>
          </w:tcPr>
          <w:p w14:paraId="7124EA7B" w14:textId="0A541046" w:rsidR="00B677C4" w:rsidRPr="00232A87" w:rsidRDefault="00F96592" w:rsidP="005E286A">
            <w:pPr>
              <w:jc w:val="right"/>
              <w:rPr>
                <w:rFonts w:ascii="Arial" w:hAnsi="Arial" w:cs="Arial"/>
                <w:color w:val="000000"/>
              </w:rPr>
            </w:pPr>
            <w:r>
              <w:rPr>
                <w:rFonts w:ascii="Arial" w:hAnsi="Arial" w:cs="Arial"/>
                <w:color w:val="000000"/>
              </w:rPr>
              <w:t>200</w:t>
            </w:r>
          </w:p>
        </w:tc>
        <w:tc>
          <w:tcPr>
            <w:tcW w:w="1701" w:type="dxa"/>
            <w:tcBorders>
              <w:top w:val="nil"/>
              <w:left w:val="nil"/>
              <w:bottom w:val="nil"/>
              <w:right w:val="nil"/>
            </w:tcBorders>
            <w:shd w:val="clear" w:color="auto" w:fill="EAF1DD" w:themeFill="accent3" w:themeFillTint="33"/>
            <w:noWrap/>
            <w:vAlign w:val="bottom"/>
          </w:tcPr>
          <w:p w14:paraId="30447156" w14:textId="1A0A9692" w:rsidR="00B677C4" w:rsidRPr="00232A87" w:rsidRDefault="00003611" w:rsidP="005E286A">
            <w:pPr>
              <w:jc w:val="right"/>
              <w:rPr>
                <w:rFonts w:ascii="Arial" w:hAnsi="Arial" w:cs="Arial"/>
                <w:color w:val="000000"/>
              </w:rPr>
            </w:pPr>
            <w:r>
              <w:rPr>
                <w:rFonts w:ascii="Arial" w:hAnsi="Arial" w:cs="Arial"/>
                <w:color w:val="000000"/>
              </w:rPr>
              <w:t>22</w:t>
            </w:r>
          </w:p>
        </w:tc>
        <w:tc>
          <w:tcPr>
            <w:tcW w:w="1276" w:type="dxa"/>
            <w:tcBorders>
              <w:top w:val="nil"/>
              <w:left w:val="nil"/>
              <w:bottom w:val="nil"/>
              <w:right w:val="nil"/>
            </w:tcBorders>
            <w:shd w:val="clear" w:color="auto" w:fill="EAF1DD" w:themeFill="accent3" w:themeFillTint="33"/>
            <w:noWrap/>
            <w:vAlign w:val="bottom"/>
          </w:tcPr>
          <w:p w14:paraId="4CBCC56F" w14:textId="021CA7DF" w:rsidR="00B677C4" w:rsidRPr="00232A87" w:rsidRDefault="00B34C72" w:rsidP="005E286A">
            <w:pPr>
              <w:jc w:val="right"/>
              <w:rPr>
                <w:rFonts w:ascii="Arial" w:hAnsi="Arial" w:cs="Arial"/>
                <w:color w:val="000000"/>
              </w:rPr>
            </w:pPr>
            <w:r>
              <w:rPr>
                <w:rFonts w:ascii="Arial" w:hAnsi="Arial" w:cs="Arial"/>
                <w:color w:val="000000"/>
              </w:rPr>
              <w:t>178</w:t>
            </w:r>
          </w:p>
        </w:tc>
      </w:tr>
      <w:tr w:rsidR="00C60582" w:rsidRPr="00232A87" w14:paraId="1D659A20" w14:textId="77777777" w:rsidTr="003C55A9">
        <w:trPr>
          <w:trHeight w:val="425"/>
        </w:trPr>
        <w:tc>
          <w:tcPr>
            <w:tcW w:w="5104" w:type="dxa"/>
            <w:tcBorders>
              <w:top w:val="nil"/>
              <w:left w:val="nil"/>
              <w:bottom w:val="nil"/>
              <w:right w:val="nil"/>
            </w:tcBorders>
            <w:noWrap/>
            <w:vAlign w:val="bottom"/>
            <w:hideMark/>
          </w:tcPr>
          <w:p w14:paraId="70DE1323" w14:textId="77777777" w:rsidR="00B677C4" w:rsidRPr="00232A87" w:rsidRDefault="00B677C4" w:rsidP="000845C9">
            <w:pPr>
              <w:ind w:left="-107"/>
              <w:rPr>
                <w:rFonts w:ascii="Arial" w:hAnsi="Arial" w:cs="Arial"/>
                <w:color w:val="000000"/>
              </w:rPr>
            </w:pPr>
            <w:r w:rsidRPr="00232A87">
              <w:rPr>
                <w:rFonts w:ascii="Arial" w:hAnsi="Arial" w:cs="Arial"/>
                <w:color w:val="000000"/>
              </w:rPr>
              <w:t xml:space="preserve">Interest payable IAS 19 assets &amp; liabilities </w:t>
            </w:r>
          </w:p>
        </w:tc>
        <w:tc>
          <w:tcPr>
            <w:tcW w:w="992" w:type="dxa"/>
            <w:tcBorders>
              <w:top w:val="nil"/>
              <w:left w:val="nil"/>
              <w:bottom w:val="nil"/>
              <w:right w:val="nil"/>
            </w:tcBorders>
            <w:noWrap/>
            <w:vAlign w:val="bottom"/>
            <w:hideMark/>
          </w:tcPr>
          <w:p w14:paraId="12912971" w14:textId="77777777" w:rsidR="00B677C4" w:rsidRPr="00004F0F" w:rsidRDefault="00B677C4" w:rsidP="005E286A">
            <w:pPr>
              <w:jc w:val="center"/>
              <w:rPr>
                <w:rFonts w:ascii="Arial" w:hAnsi="Arial" w:cs="Arial"/>
                <w:color w:val="000000"/>
              </w:rPr>
            </w:pPr>
            <w:r w:rsidRPr="00004F0F">
              <w:rPr>
                <w:rFonts w:ascii="Arial" w:hAnsi="Arial" w:cs="Arial"/>
                <w:color w:val="000000"/>
              </w:rPr>
              <w:t>7</w:t>
            </w:r>
          </w:p>
        </w:tc>
        <w:tc>
          <w:tcPr>
            <w:tcW w:w="1843" w:type="dxa"/>
            <w:tcBorders>
              <w:top w:val="nil"/>
              <w:left w:val="nil"/>
              <w:bottom w:val="nil"/>
              <w:right w:val="nil"/>
            </w:tcBorders>
            <w:shd w:val="clear" w:color="auto" w:fill="EAF1DD" w:themeFill="accent3" w:themeFillTint="33"/>
            <w:noWrap/>
            <w:vAlign w:val="bottom"/>
          </w:tcPr>
          <w:p w14:paraId="65EF9F80" w14:textId="7237F15D" w:rsidR="00B677C4" w:rsidRPr="00232A87" w:rsidRDefault="00086E82" w:rsidP="005E286A">
            <w:pPr>
              <w:jc w:val="right"/>
              <w:rPr>
                <w:rFonts w:ascii="Arial" w:hAnsi="Arial" w:cs="Arial"/>
                <w:color w:val="000000"/>
              </w:rPr>
            </w:pPr>
            <w:r>
              <w:rPr>
                <w:rFonts w:ascii="Arial" w:hAnsi="Arial" w:cs="Arial"/>
                <w:color w:val="000000"/>
              </w:rPr>
              <w:t>2,800</w:t>
            </w:r>
          </w:p>
        </w:tc>
        <w:tc>
          <w:tcPr>
            <w:tcW w:w="1701" w:type="dxa"/>
            <w:tcBorders>
              <w:top w:val="nil"/>
              <w:left w:val="nil"/>
              <w:bottom w:val="nil"/>
              <w:right w:val="nil"/>
            </w:tcBorders>
            <w:shd w:val="clear" w:color="auto" w:fill="EAF1DD" w:themeFill="accent3" w:themeFillTint="33"/>
            <w:noWrap/>
            <w:vAlign w:val="bottom"/>
          </w:tcPr>
          <w:p w14:paraId="34C6EE55" w14:textId="1EF5549C" w:rsidR="00B677C4" w:rsidRPr="00232A87" w:rsidRDefault="00003611" w:rsidP="005E286A">
            <w:pPr>
              <w:jc w:val="right"/>
              <w:rPr>
                <w:rFonts w:ascii="Arial" w:hAnsi="Arial" w:cs="Arial"/>
                <w:color w:val="000000"/>
              </w:rPr>
            </w:pPr>
            <w:r>
              <w:rPr>
                <w:rFonts w:ascii="Arial" w:hAnsi="Arial" w:cs="Arial"/>
                <w:color w:val="000000"/>
              </w:rPr>
              <w:t>3,949</w:t>
            </w:r>
          </w:p>
        </w:tc>
        <w:tc>
          <w:tcPr>
            <w:tcW w:w="1276" w:type="dxa"/>
            <w:tcBorders>
              <w:top w:val="nil"/>
              <w:left w:val="nil"/>
              <w:bottom w:val="nil"/>
              <w:right w:val="nil"/>
            </w:tcBorders>
            <w:shd w:val="clear" w:color="auto" w:fill="EAF1DD" w:themeFill="accent3" w:themeFillTint="33"/>
            <w:noWrap/>
            <w:vAlign w:val="bottom"/>
          </w:tcPr>
          <w:p w14:paraId="4EB1FDE2" w14:textId="04F8C195" w:rsidR="00B677C4" w:rsidRPr="00232A87" w:rsidRDefault="0004109B" w:rsidP="005E286A">
            <w:pPr>
              <w:jc w:val="right"/>
              <w:rPr>
                <w:rFonts w:ascii="Arial" w:hAnsi="Arial" w:cs="Arial"/>
                <w:color w:val="000000"/>
              </w:rPr>
            </w:pPr>
            <w:r>
              <w:rPr>
                <w:rFonts w:ascii="Arial" w:hAnsi="Arial" w:cs="Arial"/>
                <w:color w:val="000000"/>
              </w:rPr>
              <w:t>(1,149)</w:t>
            </w:r>
          </w:p>
        </w:tc>
      </w:tr>
      <w:tr w:rsidR="00C60582" w:rsidRPr="00232A87" w14:paraId="315A81C1" w14:textId="77777777" w:rsidTr="003C55A9">
        <w:trPr>
          <w:trHeight w:val="425"/>
        </w:trPr>
        <w:tc>
          <w:tcPr>
            <w:tcW w:w="5104" w:type="dxa"/>
            <w:tcBorders>
              <w:top w:val="nil"/>
              <w:left w:val="nil"/>
              <w:bottom w:val="nil"/>
              <w:right w:val="nil"/>
            </w:tcBorders>
            <w:noWrap/>
            <w:vAlign w:val="bottom"/>
          </w:tcPr>
          <w:p w14:paraId="6EA135EB" w14:textId="76D0352D" w:rsidR="00AA3331" w:rsidRPr="00232A87" w:rsidRDefault="00466A1B" w:rsidP="000845C9">
            <w:pPr>
              <w:ind w:left="-107"/>
              <w:rPr>
                <w:rFonts w:ascii="Arial" w:hAnsi="Arial" w:cs="Arial"/>
                <w:color w:val="000000"/>
              </w:rPr>
            </w:pPr>
            <w:r>
              <w:rPr>
                <w:rFonts w:ascii="Arial" w:hAnsi="Arial" w:cs="Arial"/>
                <w:color w:val="000000"/>
              </w:rPr>
              <w:t>Life assurance</w:t>
            </w:r>
            <w:r w:rsidR="00AA3331">
              <w:rPr>
                <w:rFonts w:ascii="Arial" w:hAnsi="Arial" w:cs="Arial"/>
                <w:color w:val="000000"/>
              </w:rPr>
              <w:t xml:space="preserve"> charge</w:t>
            </w:r>
          </w:p>
        </w:tc>
        <w:tc>
          <w:tcPr>
            <w:tcW w:w="992" w:type="dxa"/>
            <w:tcBorders>
              <w:top w:val="nil"/>
              <w:left w:val="nil"/>
              <w:bottom w:val="nil"/>
              <w:right w:val="nil"/>
            </w:tcBorders>
            <w:noWrap/>
            <w:vAlign w:val="bottom"/>
          </w:tcPr>
          <w:p w14:paraId="399E7042" w14:textId="1F20137B" w:rsidR="00AA3331" w:rsidRPr="00004F0F" w:rsidRDefault="00AD4E04" w:rsidP="005E286A">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shd w:val="clear" w:color="auto" w:fill="EAF1DD" w:themeFill="accent3" w:themeFillTint="33"/>
            <w:noWrap/>
            <w:vAlign w:val="bottom"/>
          </w:tcPr>
          <w:p w14:paraId="0E455F6F" w14:textId="65DC1D04" w:rsidR="00AA3331" w:rsidRDefault="00846F28" w:rsidP="005E286A">
            <w:pPr>
              <w:jc w:val="right"/>
              <w:rPr>
                <w:rFonts w:ascii="Arial" w:hAnsi="Arial" w:cs="Arial"/>
                <w:color w:val="000000"/>
              </w:rPr>
            </w:pPr>
            <w:r>
              <w:rPr>
                <w:rFonts w:ascii="Arial" w:hAnsi="Arial" w:cs="Arial"/>
                <w:color w:val="000000"/>
              </w:rPr>
              <w:t>80</w:t>
            </w:r>
          </w:p>
        </w:tc>
        <w:tc>
          <w:tcPr>
            <w:tcW w:w="1701" w:type="dxa"/>
            <w:tcBorders>
              <w:top w:val="nil"/>
              <w:left w:val="nil"/>
              <w:bottom w:val="nil"/>
              <w:right w:val="nil"/>
            </w:tcBorders>
            <w:shd w:val="clear" w:color="auto" w:fill="EAF1DD" w:themeFill="accent3" w:themeFillTint="33"/>
            <w:noWrap/>
            <w:vAlign w:val="bottom"/>
          </w:tcPr>
          <w:p w14:paraId="166AD56E" w14:textId="6BA63D07" w:rsidR="00AA3331" w:rsidRDefault="00003611" w:rsidP="005E286A">
            <w:pPr>
              <w:jc w:val="right"/>
              <w:rPr>
                <w:rFonts w:ascii="Arial" w:hAnsi="Arial" w:cs="Arial"/>
                <w:color w:val="000000"/>
              </w:rPr>
            </w:pPr>
            <w:r>
              <w:rPr>
                <w:rFonts w:ascii="Arial" w:hAnsi="Arial" w:cs="Arial"/>
                <w:color w:val="000000"/>
              </w:rPr>
              <w:t>82</w:t>
            </w:r>
          </w:p>
        </w:tc>
        <w:tc>
          <w:tcPr>
            <w:tcW w:w="1276" w:type="dxa"/>
            <w:tcBorders>
              <w:top w:val="nil"/>
              <w:left w:val="nil"/>
              <w:bottom w:val="nil"/>
              <w:right w:val="nil"/>
            </w:tcBorders>
            <w:shd w:val="clear" w:color="auto" w:fill="EAF1DD" w:themeFill="accent3" w:themeFillTint="33"/>
            <w:noWrap/>
            <w:vAlign w:val="bottom"/>
          </w:tcPr>
          <w:p w14:paraId="1B8AA7F7" w14:textId="62699327" w:rsidR="00AA3331" w:rsidRDefault="0004109B" w:rsidP="005E286A">
            <w:pPr>
              <w:jc w:val="right"/>
              <w:rPr>
                <w:rFonts w:ascii="Arial" w:hAnsi="Arial" w:cs="Arial"/>
                <w:color w:val="000000"/>
              </w:rPr>
            </w:pPr>
            <w:r>
              <w:rPr>
                <w:rFonts w:ascii="Arial" w:hAnsi="Arial" w:cs="Arial"/>
                <w:color w:val="000000"/>
              </w:rPr>
              <w:t>(2)</w:t>
            </w:r>
          </w:p>
        </w:tc>
      </w:tr>
      <w:tr w:rsidR="00C60582" w:rsidRPr="00232A87" w14:paraId="065841BB" w14:textId="77777777" w:rsidTr="003C55A9">
        <w:trPr>
          <w:trHeight w:val="425"/>
        </w:trPr>
        <w:tc>
          <w:tcPr>
            <w:tcW w:w="5104" w:type="dxa"/>
            <w:tcBorders>
              <w:top w:val="nil"/>
              <w:left w:val="nil"/>
              <w:bottom w:val="nil"/>
              <w:right w:val="nil"/>
            </w:tcBorders>
            <w:noWrap/>
            <w:vAlign w:val="bottom"/>
          </w:tcPr>
          <w:p w14:paraId="5DD67AFD" w14:textId="2E78B102" w:rsidR="003E1845" w:rsidRPr="00232A87" w:rsidRDefault="003E1845" w:rsidP="000845C9">
            <w:pPr>
              <w:ind w:left="-107"/>
              <w:rPr>
                <w:rFonts w:ascii="Arial" w:hAnsi="Arial" w:cs="Arial"/>
                <w:color w:val="000000"/>
              </w:rPr>
            </w:pPr>
            <w:r w:rsidRPr="00232A87">
              <w:rPr>
                <w:rFonts w:ascii="Arial" w:hAnsi="Arial" w:cs="Arial"/>
                <w:color w:val="000000"/>
              </w:rPr>
              <w:t>Less cash paid out on unfunded pensions</w:t>
            </w:r>
          </w:p>
        </w:tc>
        <w:tc>
          <w:tcPr>
            <w:tcW w:w="992" w:type="dxa"/>
            <w:tcBorders>
              <w:top w:val="nil"/>
              <w:left w:val="nil"/>
              <w:bottom w:val="nil"/>
              <w:right w:val="nil"/>
            </w:tcBorders>
            <w:noWrap/>
            <w:vAlign w:val="bottom"/>
          </w:tcPr>
          <w:p w14:paraId="0839330D" w14:textId="0756C65D" w:rsidR="003E1845" w:rsidRPr="00004F0F" w:rsidRDefault="003E1845" w:rsidP="003A6C0F">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shd w:val="clear" w:color="auto" w:fill="EAF1DD" w:themeFill="accent3" w:themeFillTint="33"/>
            <w:noWrap/>
            <w:vAlign w:val="bottom"/>
          </w:tcPr>
          <w:p w14:paraId="156825DC" w14:textId="7400B79F" w:rsidR="003E1845" w:rsidRPr="00232A87" w:rsidRDefault="003E1845" w:rsidP="003A6C0F">
            <w:pPr>
              <w:jc w:val="right"/>
              <w:rPr>
                <w:rFonts w:ascii="Arial" w:hAnsi="Arial" w:cs="Arial"/>
                <w:color w:val="000000"/>
              </w:rPr>
            </w:pPr>
            <w:r>
              <w:rPr>
                <w:rFonts w:ascii="Arial" w:hAnsi="Arial" w:cs="Arial"/>
                <w:color w:val="000000"/>
              </w:rPr>
              <w:t>(145)</w:t>
            </w:r>
          </w:p>
        </w:tc>
        <w:tc>
          <w:tcPr>
            <w:tcW w:w="1701" w:type="dxa"/>
            <w:tcBorders>
              <w:top w:val="nil"/>
              <w:left w:val="nil"/>
              <w:bottom w:val="nil"/>
              <w:right w:val="nil"/>
            </w:tcBorders>
            <w:shd w:val="clear" w:color="auto" w:fill="EAF1DD" w:themeFill="accent3" w:themeFillTint="33"/>
            <w:noWrap/>
            <w:vAlign w:val="bottom"/>
          </w:tcPr>
          <w:p w14:paraId="57811BDF" w14:textId="2C1126B9" w:rsidR="003E1845" w:rsidRPr="00232A87" w:rsidRDefault="00003611" w:rsidP="003A6C0F">
            <w:pPr>
              <w:jc w:val="right"/>
              <w:rPr>
                <w:rFonts w:ascii="Arial" w:hAnsi="Arial" w:cs="Arial"/>
                <w:color w:val="000000"/>
              </w:rPr>
            </w:pPr>
            <w:r>
              <w:rPr>
                <w:rFonts w:ascii="Arial" w:hAnsi="Arial" w:cs="Arial"/>
                <w:color w:val="000000"/>
              </w:rPr>
              <w:t>(14</w:t>
            </w:r>
            <w:r w:rsidR="00E7033D">
              <w:rPr>
                <w:rFonts w:ascii="Arial" w:hAnsi="Arial" w:cs="Arial"/>
                <w:color w:val="000000"/>
              </w:rPr>
              <w:t>1</w:t>
            </w:r>
            <w:r>
              <w:rPr>
                <w:rFonts w:ascii="Arial" w:hAnsi="Arial" w:cs="Arial"/>
                <w:color w:val="000000"/>
              </w:rPr>
              <w:t>)</w:t>
            </w:r>
          </w:p>
        </w:tc>
        <w:tc>
          <w:tcPr>
            <w:tcW w:w="1276" w:type="dxa"/>
            <w:tcBorders>
              <w:top w:val="nil"/>
              <w:left w:val="nil"/>
              <w:bottom w:val="nil"/>
              <w:right w:val="nil"/>
            </w:tcBorders>
            <w:shd w:val="clear" w:color="auto" w:fill="EAF1DD" w:themeFill="accent3" w:themeFillTint="33"/>
            <w:noWrap/>
            <w:vAlign w:val="bottom"/>
          </w:tcPr>
          <w:p w14:paraId="0F1727A3" w14:textId="549DA60F" w:rsidR="003E1845" w:rsidRPr="00232A87" w:rsidRDefault="00216758" w:rsidP="003A6C0F">
            <w:pPr>
              <w:jc w:val="right"/>
              <w:rPr>
                <w:rFonts w:ascii="Arial" w:hAnsi="Arial" w:cs="Arial"/>
                <w:color w:val="000000"/>
              </w:rPr>
            </w:pPr>
            <w:r>
              <w:rPr>
                <w:rFonts w:ascii="Arial" w:hAnsi="Arial" w:cs="Arial"/>
                <w:color w:val="000000"/>
              </w:rPr>
              <w:t>(</w:t>
            </w:r>
            <w:r w:rsidR="00C475E6">
              <w:rPr>
                <w:rFonts w:ascii="Arial" w:hAnsi="Arial" w:cs="Arial"/>
                <w:color w:val="000000"/>
              </w:rPr>
              <w:t>4</w:t>
            </w:r>
            <w:r>
              <w:rPr>
                <w:rFonts w:ascii="Arial" w:hAnsi="Arial" w:cs="Arial"/>
                <w:color w:val="000000"/>
              </w:rPr>
              <w:t>)</w:t>
            </w:r>
          </w:p>
        </w:tc>
      </w:tr>
      <w:tr w:rsidR="00C60582" w:rsidRPr="00232A87" w14:paraId="3390646C" w14:textId="77777777" w:rsidTr="003C55A9">
        <w:trPr>
          <w:trHeight w:val="425"/>
        </w:trPr>
        <w:tc>
          <w:tcPr>
            <w:tcW w:w="5104" w:type="dxa"/>
            <w:tcBorders>
              <w:top w:val="nil"/>
              <w:left w:val="nil"/>
              <w:bottom w:val="nil"/>
              <w:right w:val="nil"/>
            </w:tcBorders>
            <w:noWrap/>
            <w:vAlign w:val="bottom"/>
            <w:hideMark/>
          </w:tcPr>
          <w:p w14:paraId="02DE482D" w14:textId="6F2B7B13" w:rsidR="003E1845" w:rsidRPr="00232A87" w:rsidRDefault="003E1845" w:rsidP="000845C9">
            <w:pPr>
              <w:ind w:left="-107"/>
              <w:rPr>
                <w:rFonts w:ascii="Arial" w:hAnsi="Arial" w:cs="Arial"/>
                <w:color w:val="000000"/>
              </w:rPr>
            </w:pPr>
            <w:r>
              <w:rPr>
                <w:rFonts w:ascii="Arial" w:hAnsi="Arial" w:cs="Arial"/>
                <w:color w:val="000000"/>
              </w:rPr>
              <w:t xml:space="preserve">Less cash paid out </w:t>
            </w:r>
            <w:r w:rsidR="00994D46">
              <w:rPr>
                <w:rFonts w:ascii="Arial" w:hAnsi="Arial" w:cs="Arial"/>
                <w:color w:val="000000"/>
              </w:rPr>
              <w:t>for life assurance</w:t>
            </w:r>
          </w:p>
        </w:tc>
        <w:tc>
          <w:tcPr>
            <w:tcW w:w="992" w:type="dxa"/>
            <w:tcBorders>
              <w:top w:val="nil"/>
              <w:left w:val="nil"/>
              <w:bottom w:val="nil"/>
              <w:right w:val="nil"/>
            </w:tcBorders>
            <w:noWrap/>
            <w:vAlign w:val="bottom"/>
            <w:hideMark/>
          </w:tcPr>
          <w:p w14:paraId="2483A464" w14:textId="20AA1B9B" w:rsidR="003E1845" w:rsidRPr="00004F0F" w:rsidRDefault="003E1845" w:rsidP="003A6C0F">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shd w:val="clear" w:color="auto" w:fill="EAF1DD" w:themeFill="accent3" w:themeFillTint="33"/>
            <w:noWrap/>
            <w:vAlign w:val="bottom"/>
          </w:tcPr>
          <w:p w14:paraId="69465317" w14:textId="30BB5077" w:rsidR="003E1845" w:rsidRPr="00232A87" w:rsidRDefault="003E1845" w:rsidP="003A6C0F">
            <w:pPr>
              <w:jc w:val="right"/>
              <w:rPr>
                <w:rFonts w:ascii="Arial" w:hAnsi="Arial" w:cs="Arial"/>
                <w:color w:val="000000"/>
              </w:rPr>
            </w:pPr>
            <w:r>
              <w:rPr>
                <w:rFonts w:ascii="Arial" w:hAnsi="Arial" w:cs="Arial"/>
                <w:color w:val="000000"/>
              </w:rPr>
              <w:t>(50)</w:t>
            </w:r>
          </w:p>
        </w:tc>
        <w:tc>
          <w:tcPr>
            <w:tcW w:w="1701" w:type="dxa"/>
            <w:tcBorders>
              <w:top w:val="nil"/>
              <w:left w:val="nil"/>
              <w:bottom w:val="nil"/>
              <w:right w:val="nil"/>
            </w:tcBorders>
            <w:shd w:val="clear" w:color="auto" w:fill="EAF1DD" w:themeFill="accent3" w:themeFillTint="33"/>
            <w:noWrap/>
            <w:vAlign w:val="bottom"/>
          </w:tcPr>
          <w:p w14:paraId="49EE8421" w14:textId="70B8F6DB" w:rsidR="003E1845" w:rsidRPr="00232A87" w:rsidRDefault="00003611" w:rsidP="003A6C0F">
            <w:pPr>
              <w:jc w:val="right"/>
              <w:rPr>
                <w:rFonts w:ascii="Arial" w:hAnsi="Arial" w:cs="Arial"/>
                <w:color w:val="000000"/>
              </w:rPr>
            </w:pPr>
            <w:r>
              <w:rPr>
                <w:rFonts w:ascii="Arial" w:hAnsi="Arial" w:cs="Arial"/>
                <w:color w:val="000000"/>
              </w:rPr>
              <w:t>(</w:t>
            </w:r>
            <w:r w:rsidR="00C7551A">
              <w:rPr>
                <w:rFonts w:ascii="Arial" w:hAnsi="Arial" w:cs="Arial"/>
                <w:color w:val="000000"/>
              </w:rPr>
              <w:t>8</w:t>
            </w:r>
            <w:r w:rsidR="009A4409">
              <w:rPr>
                <w:rFonts w:ascii="Arial" w:hAnsi="Arial" w:cs="Arial"/>
                <w:color w:val="000000"/>
              </w:rPr>
              <w:t>3</w:t>
            </w:r>
            <w:r w:rsidR="00C7551A">
              <w:rPr>
                <w:rFonts w:ascii="Arial" w:hAnsi="Arial" w:cs="Arial"/>
                <w:color w:val="000000"/>
              </w:rPr>
              <w:t>)</w:t>
            </w:r>
          </w:p>
        </w:tc>
        <w:tc>
          <w:tcPr>
            <w:tcW w:w="1276" w:type="dxa"/>
            <w:tcBorders>
              <w:top w:val="nil"/>
              <w:left w:val="nil"/>
              <w:bottom w:val="nil"/>
              <w:right w:val="nil"/>
            </w:tcBorders>
            <w:shd w:val="clear" w:color="auto" w:fill="EAF1DD" w:themeFill="accent3" w:themeFillTint="33"/>
            <w:noWrap/>
            <w:vAlign w:val="bottom"/>
          </w:tcPr>
          <w:p w14:paraId="5E4FB99B" w14:textId="138DC560" w:rsidR="003E1845" w:rsidRPr="00232A87" w:rsidRDefault="009A4409" w:rsidP="003A6C0F">
            <w:pPr>
              <w:jc w:val="right"/>
              <w:rPr>
                <w:rFonts w:ascii="Arial" w:hAnsi="Arial" w:cs="Arial"/>
                <w:color w:val="000000"/>
              </w:rPr>
            </w:pPr>
            <w:r>
              <w:rPr>
                <w:rFonts w:ascii="Arial" w:hAnsi="Arial" w:cs="Arial"/>
                <w:color w:val="000000"/>
              </w:rPr>
              <w:t>33</w:t>
            </w:r>
          </w:p>
        </w:tc>
      </w:tr>
      <w:tr w:rsidR="00C60582" w:rsidRPr="00232A87" w14:paraId="1D56B4AA" w14:textId="77777777" w:rsidTr="00DA2CF3">
        <w:trPr>
          <w:trHeight w:val="800"/>
        </w:trPr>
        <w:tc>
          <w:tcPr>
            <w:tcW w:w="5104" w:type="dxa"/>
            <w:tcBorders>
              <w:top w:val="nil"/>
              <w:left w:val="nil"/>
              <w:bottom w:val="nil"/>
              <w:right w:val="nil"/>
            </w:tcBorders>
            <w:noWrap/>
            <w:vAlign w:val="bottom"/>
          </w:tcPr>
          <w:p w14:paraId="7547BC3A" w14:textId="3C0118DF" w:rsidR="003E1845" w:rsidRPr="00232A87" w:rsidRDefault="003E1845" w:rsidP="000845C9">
            <w:pPr>
              <w:ind w:left="-107"/>
              <w:rPr>
                <w:rFonts w:ascii="Arial" w:hAnsi="Arial" w:cs="Arial"/>
                <w:color w:val="000000"/>
              </w:rPr>
            </w:pPr>
            <w:r>
              <w:rPr>
                <w:rFonts w:ascii="Arial" w:hAnsi="Arial" w:cs="Arial"/>
                <w:color w:val="000000"/>
              </w:rPr>
              <w:t>Movement in leased property decommissioning provision</w:t>
            </w:r>
          </w:p>
        </w:tc>
        <w:tc>
          <w:tcPr>
            <w:tcW w:w="992" w:type="dxa"/>
            <w:tcBorders>
              <w:top w:val="nil"/>
              <w:left w:val="nil"/>
              <w:bottom w:val="nil"/>
              <w:right w:val="nil"/>
            </w:tcBorders>
            <w:noWrap/>
            <w:vAlign w:val="bottom"/>
          </w:tcPr>
          <w:p w14:paraId="5C0CF48B" w14:textId="4E5F3266" w:rsidR="003E1845" w:rsidRPr="00004F0F" w:rsidRDefault="00816AEA" w:rsidP="003A6C0F">
            <w:pPr>
              <w:jc w:val="center"/>
              <w:rPr>
                <w:rFonts w:ascii="Arial" w:hAnsi="Arial" w:cs="Arial"/>
                <w:color w:val="000000"/>
              </w:rPr>
            </w:pPr>
            <w:r>
              <w:rPr>
                <w:rFonts w:ascii="Arial" w:hAnsi="Arial" w:cs="Arial"/>
                <w:color w:val="000000"/>
              </w:rPr>
              <w:t>9</w:t>
            </w:r>
          </w:p>
        </w:tc>
        <w:tc>
          <w:tcPr>
            <w:tcW w:w="1843" w:type="dxa"/>
            <w:tcBorders>
              <w:top w:val="nil"/>
              <w:left w:val="nil"/>
              <w:bottom w:val="nil"/>
              <w:right w:val="nil"/>
            </w:tcBorders>
            <w:shd w:val="clear" w:color="auto" w:fill="EAF1DD" w:themeFill="accent3" w:themeFillTint="33"/>
            <w:noWrap/>
            <w:vAlign w:val="bottom"/>
          </w:tcPr>
          <w:p w14:paraId="780E5747" w14:textId="55386192" w:rsidR="003E1845" w:rsidRDefault="00093A69" w:rsidP="003A6C0F">
            <w:pPr>
              <w:jc w:val="right"/>
              <w:rPr>
                <w:rFonts w:ascii="Arial" w:hAnsi="Arial" w:cs="Arial"/>
                <w:color w:val="000000"/>
              </w:rPr>
            </w:pPr>
            <w:r>
              <w:rPr>
                <w:rFonts w:ascii="Arial" w:hAnsi="Arial" w:cs="Arial"/>
                <w:color w:val="000000"/>
              </w:rPr>
              <w:t>200</w:t>
            </w:r>
          </w:p>
        </w:tc>
        <w:tc>
          <w:tcPr>
            <w:tcW w:w="1701" w:type="dxa"/>
            <w:tcBorders>
              <w:top w:val="nil"/>
              <w:left w:val="nil"/>
              <w:bottom w:val="nil"/>
              <w:right w:val="nil"/>
            </w:tcBorders>
            <w:shd w:val="clear" w:color="auto" w:fill="EAF1DD" w:themeFill="accent3" w:themeFillTint="33"/>
            <w:noWrap/>
            <w:vAlign w:val="bottom"/>
          </w:tcPr>
          <w:p w14:paraId="59373661" w14:textId="500E6AE5" w:rsidR="003E1845" w:rsidRDefault="00C7551A" w:rsidP="003A6C0F">
            <w:pPr>
              <w:jc w:val="right"/>
              <w:rPr>
                <w:rFonts w:ascii="Arial" w:hAnsi="Arial" w:cs="Arial"/>
                <w:color w:val="000000"/>
              </w:rPr>
            </w:pPr>
            <w:r>
              <w:rPr>
                <w:rFonts w:ascii="Arial" w:hAnsi="Arial" w:cs="Arial"/>
                <w:color w:val="000000"/>
              </w:rPr>
              <w:t>647</w:t>
            </w:r>
          </w:p>
        </w:tc>
        <w:tc>
          <w:tcPr>
            <w:tcW w:w="1276" w:type="dxa"/>
            <w:tcBorders>
              <w:top w:val="nil"/>
              <w:left w:val="nil"/>
              <w:bottom w:val="nil"/>
              <w:right w:val="nil"/>
            </w:tcBorders>
            <w:shd w:val="clear" w:color="auto" w:fill="EAF1DD" w:themeFill="accent3" w:themeFillTint="33"/>
            <w:noWrap/>
            <w:vAlign w:val="bottom"/>
          </w:tcPr>
          <w:p w14:paraId="362DFD2F" w14:textId="5CA59357" w:rsidR="003E1845" w:rsidRPr="00232A87" w:rsidRDefault="009A4409" w:rsidP="003A6C0F">
            <w:pPr>
              <w:jc w:val="right"/>
              <w:rPr>
                <w:rFonts w:ascii="Arial" w:hAnsi="Arial" w:cs="Arial"/>
                <w:color w:val="000000"/>
              </w:rPr>
            </w:pPr>
            <w:r>
              <w:rPr>
                <w:rFonts w:ascii="Arial" w:hAnsi="Arial" w:cs="Arial"/>
                <w:color w:val="000000"/>
              </w:rPr>
              <w:t>(447)</w:t>
            </w:r>
          </w:p>
        </w:tc>
      </w:tr>
      <w:tr w:rsidR="00856510" w:rsidRPr="00232A87" w14:paraId="3A984554" w14:textId="77777777" w:rsidTr="003C55A9">
        <w:trPr>
          <w:trHeight w:val="425"/>
        </w:trPr>
        <w:tc>
          <w:tcPr>
            <w:tcW w:w="5104" w:type="dxa"/>
            <w:tcBorders>
              <w:top w:val="nil"/>
              <w:left w:val="nil"/>
              <w:bottom w:val="nil"/>
              <w:right w:val="nil"/>
            </w:tcBorders>
            <w:noWrap/>
            <w:vAlign w:val="bottom"/>
            <w:hideMark/>
          </w:tcPr>
          <w:p w14:paraId="45695967" w14:textId="7B77B498" w:rsidR="003E1845" w:rsidRPr="00232A87" w:rsidRDefault="003E1845" w:rsidP="000845C9">
            <w:pPr>
              <w:ind w:left="-107"/>
              <w:rPr>
                <w:rFonts w:ascii="Arial" w:hAnsi="Arial" w:cs="Arial"/>
                <w:color w:val="000000"/>
              </w:rPr>
            </w:pPr>
            <w:r w:rsidRPr="00232A87">
              <w:rPr>
                <w:rFonts w:ascii="Arial" w:hAnsi="Arial" w:cs="Arial"/>
                <w:color w:val="000000"/>
              </w:rPr>
              <w:t>Movement in market value of fixed assets</w:t>
            </w:r>
          </w:p>
        </w:tc>
        <w:tc>
          <w:tcPr>
            <w:tcW w:w="992" w:type="dxa"/>
            <w:tcBorders>
              <w:top w:val="nil"/>
              <w:left w:val="nil"/>
              <w:bottom w:val="nil"/>
              <w:right w:val="nil"/>
            </w:tcBorders>
            <w:noWrap/>
            <w:vAlign w:val="bottom"/>
            <w:hideMark/>
          </w:tcPr>
          <w:p w14:paraId="759799E9" w14:textId="351D5716" w:rsidR="003E1845" w:rsidRPr="00004F0F" w:rsidRDefault="00816AEA" w:rsidP="003A6C0F">
            <w:pPr>
              <w:jc w:val="center"/>
              <w:rPr>
                <w:rFonts w:ascii="Arial" w:hAnsi="Arial" w:cs="Arial"/>
                <w:color w:val="000000"/>
              </w:rPr>
            </w:pPr>
            <w:r>
              <w:rPr>
                <w:rFonts w:ascii="Arial" w:hAnsi="Arial" w:cs="Arial"/>
                <w:color w:val="000000"/>
              </w:rPr>
              <w:t>9</w:t>
            </w:r>
          </w:p>
        </w:tc>
        <w:tc>
          <w:tcPr>
            <w:tcW w:w="1843" w:type="dxa"/>
            <w:tcBorders>
              <w:top w:val="nil"/>
              <w:left w:val="nil"/>
              <w:bottom w:val="single" w:sz="4" w:space="0" w:color="auto"/>
              <w:right w:val="nil"/>
            </w:tcBorders>
            <w:shd w:val="clear" w:color="auto" w:fill="EAF1DD" w:themeFill="accent3" w:themeFillTint="33"/>
            <w:noWrap/>
            <w:vAlign w:val="bottom"/>
          </w:tcPr>
          <w:p w14:paraId="53F86326" w14:textId="78C39A9D" w:rsidR="003E1845" w:rsidRPr="00232A87" w:rsidRDefault="00093A69" w:rsidP="003A6C0F">
            <w:pPr>
              <w:jc w:val="right"/>
              <w:rPr>
                <w:rFonts w:ascii="Arial" w:hAnsi="Arial" w:cs="Arial"/>
                <w:color w:val="000000"/>
              </w:rPr>
            </w:pPr>
            <w:r>
              <w:rPr>
                <w:rFonts w:ascii="Arial" w:hAnsi="Arial" w:cs="Arial"/>
                <w:color w:val="000000"/>
              </w:rPr>
              <w:t>300</w:t>
            </w:r>
          </w:p>
        </w:tc>
        <w:tc>
          <w:tcPr>
            <w:tcW w:w="1701" w:type="dxa"/>
            <w:tcBorders>
              <w:top w:val="nil"/>
              <w:left w:val="nil"/>
              <w:bottom w:val="single" w:sz="4" w:space="0" w:color="auto"/>
              <w:right w:val="nil"/>
            </w:tcBorders>
            <w:shd w:val="clear" w:color="auto" w:fill="EAF1DD" w:themeFill="accent3" w:themeFillTint="33"/>
            <w:noWrap/>
            <w:vAlign w:val="bottom"/>
          </w:tcPr>
          <w:p w14:paraId="7B008B08" w14:textId="4BA8158F" w:rsidR="003E1845" w:rsidRPr="00232A87" w:rsidRDefault="00C33822" w:rsidP="003A6C0F">
            <w:pPr>
              <w:jc w:val="right"/>
              <w:rPr>
                <w:rFonts w:ascii="Arial" w:hAnsi="Arial" w:cs="Arial"/>
                <w:color w:val="000000"/>
              </w:rPr>
            </w:pPr>
            <w:r>
              <w:rPr>
                <w:rFonts w:ascii="Arial" w:hAnsi="Arial" w:cs="Arial"/>
                <w:color w:val="000000"/>
              </w:rPr>
              <w:t>(</w:t>
            </w:r>
            <w:r w:rsidR="00C7551A">
              <w:rPr>
                <w:rFonts w:ascii="Arial" w:hAnsi="Arial" w:cs="Arial"/>
                <w:color w:val="000000"/>
              </w:rPr>
              <w:t>28</w:t>
            </w:r>
            <w:r w:rsidR="000E1226">
              <w:rPr>
                <w:rFonts w:ascii="Arial" w:hAnsi="Arial" w:cs="Arial"/>
                <w:color w:val="000000"/>
              </w:rPr>
              <w:t>3</w:t>
            </w:r>
            <w:r>
              <w:rPr>
                <w:rFonts w:ascii="Arial" w:hAnsi="Arial" w:cs="Arial"/>
                <w:color w:val="000000"/>
              </w:rPr>
              <w:t>)</w:t>
            </w:r>
          </w:p>
        </w:tc>
        <w:tc>
          <w:tcPr>
            <w:tcW w:w="1276" w:type="dxa"/>
            <w:tcBorders>
              <w:top w:val="nil"/>
              <w:left w:val="nil"/>
              <w:bottom w:val="single" w:sz="4" w:space="0" w:color="auto"/>
              <w:right w:val="nil"/>
            </w:tcBorders>
            <w:shd w:val="clear" w:color="auto" w:fill="EAF1DD" w:themeFill="accent3" w:themeFillTint="33"/>
            <w:noWrap/>
            <w:vAlign w:val="bottom"/>
          </w:tcPr>
          <w:p w14:paraId="5EE2B721" w14:textId="1D021059" w:rsidR="003E1845" w:rsidRPr="00232A87" w:rsidRDefault="007756BE" w:rsidP="003A6C0F">
            <w:pPr>
              <w:jc w:val="right"/>
              <w:rPr>
                <w:rFonts w:ascii="Arial" w:hAnsi="Arial" w:cs="Arial"/>
                <w:color w:val="000000"/>
              </w:rPr>
            </w:pPr>
            <w:r>
              <w:rPr>
                <w:rFonts w:ascii="Arial" w:hAnsi="Arial" w:cs="Arial"/>
                <w:color w:val="000000"/>
              </w:rPr>
              <w:t>58</w:t>
            </w:r>
            <w:r w:rsidR="00DE0AE8">
              <w:rPr>
                <w:rFonts w:ascii="Arial" w:hAnsi="Arial" w:cs="Arial"/>
                <w:color w:val="000000"/>
              </w:rPr>
              <w:t>3</w:t>
            </w:r>
          </w:p>
        </w:tc>
      </w:tr>
      <w:tr w:rsidR="00167866" w:rsidRPr="00232A87" w14:paraId="400F8B87" w14:textId="77777777" w:rsidTr="00DA2CF3">
        <w:trPr>
          <w:trHeight w:val="680"/>
        </w:trPr>
        <w:tc>
          <w:tcPr>
            <w:tcW w:w="5104" w:type="dxa"/>
            <w:tcBorders>
              <w:top w:val="nil"/>
              <w:left w:val="nil"/>
              <w:bottom w:val="nil"/>
              <w:right w:val="nil"/>
            </w:tcBorders>
            <w:noWrap/>
            <w:vAlign w:val="bottom"/>
            <w:hideMark/>
          </w:tcPr>
          <w:p w14:paraId="7EA88745" w14:textId="6045057C" w:rsidR="003E1845" w:rsidRPr="00232A87" w:rsidRDefault="003E1845" w:rsidP="000845C9">
            <w:pPr>
              <w:ind w:left="-107"/>
              <w:rPr>
                <w:rFonts w:ascii="Arial" w:hAnsi="Arial" w:cs="Arial"/>
                <w:color w:val="000000"/>
              </w:rPr>
            </w:pPr>
            <w:r w:rsidRPr="00232A87">
              <w:rPr>
                <w:rFonts w:ascii="Arial" w:hAnsi="Arial" w:cs="Arial"/>
                <w:b/>
                <w:bCs/>
                <w:color w:val="000000"/>
              </w:rPr>
              <w:t>Section 2.3 Parliamentary accountability expenditure outturn</w:t>
            </w:r>
          </w:p>
        </w:tc>
        <w:tc>
          <w:tcPr>
            <w:tcW w:w="992" w:type="dxa"/>
            <w:tcBorders>
              <w:top w:val="nil"/>
              <w:left w:val="nil"/>
              <w:bottom w:val="nil"/>
              <w:right w:val="nil"/>
            </w:tcBorders>
            <w:noWrap/>
            <w:vAlign w:val="bottom"/>
            <w:hideMark/>
          </w:tcPr>
          <w:p w14:paraId="225A6784" w14:textId="5A8DCB63" w:rsidR="003E1845" w:rsidRPr="0004284D" w:rsidRDefault="003E1845" w:rsidP="003A6C0F">
            <w:pPr>
              <w:jc w:val="center"/>
              <w:rPr>
                <w:rFonts w:ascii="Arial" w:hAnsi="Arial" w:cs="Arial"/>
                <w:color w:val="000000"/>
                <w:highlight w:val="magenta"/>
              </w:rPr>
            </w:pPr>
          </w:p>
        </w:tc>
        <w:tc>
          <w:tcPr>
            <w:tcW w:w="1843" w:type="dxa"/>
            <w:tcBorders>
              <w:top w:val="single" w:sz="4" w:space="0" w:color="auto"/>
              <w:left w:val="nil"/>
              <w:bottom w:val="double" w:sz="4" w:space="0" w:color="auto"/>
              <w:right w:val="nil"/>
            </w:tcBorders>
            <w:shd w:val="clear" w:color="auto" w:fill="EAF1DD" w:themeFill="accent3" w:themeFillTint="33"/>
            <w:noWrap/>
            <w:vAlign w:val="bottom"/>
          </w:tcPr>
          <w:p w14:paraId="0141F9C4" w14:textId="17747D17" w:rsidR="003E1845" w:rsidRPr="005D7408" w:rsidRDefault="00093A69" w:rsidP="003A6C0F">
            <w:pPr>
              <w:jc w:val="right"/>
              <w:rPr>
                <w:rFonts w:ascii="Arial" w:hAnsi="Arial" w:cs="Arial"/>
                <w:b/>
                <w:bCs/>
                <w:color w:val="000000"/>
              </w:rPr>
            </w:pPr>
            <w:r w:rsidRPr="005D7408">
              <w:rPr>
                <w:rFonts w:ascii="Arial" w:hAnsi="Arial" w:cs="Arial"/>
                <w:b/>
                <w:bCs/>
                <w:color w:val="000000"/>
              </w:rPr>
              <w:t>10,385</w:t>
            </w:r>
          </w:p>
        </w:tc>
        <w:tc>
          <w:tcPr>
            <w:tcW w:w="1701" w:type="dxa"/>
            <w:tcBorders>
              <w:top w:val="single" w:sz="4" w:space="0" w:color="auto"/>
              <w:left w:val="nil"/>
              <w:bottom w:val="double" w:sz="4" w:space="0" w:color="auto"/>
              <w:right w:val="nil"/>
            </w:tcBorders>
            <w:shd w:val="clear" w:color="auto" w:fill="EAF1DD" w:themeFill="accent3" w:themeFillTint="33"/>
            <w:noWrap/>
            <w:vAlign w:val="bottom"/>
          </w:tcPr>
          <w:p w14:paraId="5B177A44" w14:textId="681E123E" w:rsidR="003E1845" w:rsidRPr="005D7408" w:rsidRDefault="00C7551A" w:rsidP="003A6C0F">
            <w:pPr>
              <w:jc w:val="right"/>
              <w:rPr>
                <w:rFonts w:ascii="Arial" w:hAnsi="Arial" w:cs="Arial"/>
                <w:b/>
                <w:bCs/>
                <w:color w:val="000000"/>
              </w:rPr>
            </w:pPr>
            <w:r w:rsidRPr="005D7408">
              <w:rPr>
                <w:rFonts w:ascii="Arial" w:hAnsi="Arial" w:cs="Arial"/>
                <w:b/>
                <w:bCs/>
                <w:color w:val="000000"/>
              </w:rPr>
              <w:t>20,</w:t>
            </w:r>
            <w:r w:rsidR="00E3052E">
              <w:rPr>
                <w:rFonts w:ascii="Arial" w:hAnsi="Arial" w:cs="Arial"/>
                <w:b/>
                <w:bCs/>
                <w:color w:val="000000"/>
              </w:rPr>
              <w:t>21</w:t>
            </w:r>
            <w:r w:rsidR="00DE0AE8">
              <w:rPr>
                <w:rFonts w:ascii="Arial" w:hAnsi="Arial" w:cs="Arial"/>
                <w:b/>
                <w:bCs/>
                <w:color w:val="000000"/>
              </w:rPr>
              <w:t>6</w:t>
            </w:r>
          </w:p>
        </w:tc>
        <w:tc>
          <w:tcPr>
            <w:tcW w:w="1276" w:type="dxa"/>
            <w:tcBorders>
              <w:top w:val="single" w:sz="4" w:space="0" w:color="auto"/>
              <w:left w:val="nil"/>
              <w:bottom w:val="double" w:sz="4" w:space="0" w:color="auto"/>
              <w:right w:val="nil"/>
            </w:tcBorders>
            <w:shd w:val="clear" w:color="auto" w:fill="EAF1DD" w:themeFill="accent3" w:themeFillTint="33"/>
            <w:noWrap/>
            <w:vAlign w:val="bottom"/>
          </w:tcPr>
          <w:p w14:paraId="2EBA6709" w14:textId="0DDB8692" w:rsidR="003E1845" w:rsidRPr="005D7408" w:rsidRDefault="00AD21B7" w:rsidP="003A6C0F">
            <w:pPr>
              <w:jc w:val="right"/>
              <w:rPr>
                <w:rFonts w:ascii="Arial" w:hAnsi="Arial" w:cs="Arial"/>
                <w:b/>
                <w:bCs/>
                <w:color w:val="000000"/>
              </w:rPr>
            </w:pPr>
            <w:r w:rsidRPr="005D7408">
              <w:rPr>
                <w:rFonts w:ascii="Arial" w:hAnsi="Arial" w:cs="Arial"/>
                <w:b/>
                <w:bCs/>
                <w:color w:val="000000"/>
              </w:rPr>
              <w:t>(</w:t>
            </w:r>
            <w:r w:rsidR="007756BE">
              <w:rPr>
                <w:rFonts w:ascii="Arial" w:hAnsi="Arial" w:cs="Arial"/>
                <w:b/>
                <w:bCs/>
                <w:color w:val="000000"/>
              </w:rPr>
              <w:t>9</w:t>
            </w:r>
            <w:r w:rsidRPr="005D7408">
              <w:rPr>
                <w:rFonts w:ascii="Arial" w:hAnsi="Arial" w:cs="Arial"/>
                <w:b/>
                <w:bCs/>
                <w:color w:val="000000"/>
              </w:rPr>
              <w:t>,</w:t>
            </w:r>
            <w:r w:rsidR="007756BE">
              <w:rPr>
                <w:rFonts w:ascii="Arial" w:hAnsi="Arial" w:cs="Arial"/>
                <w:b/>
                <w:bCs/>
                <w:color w:val="000000"/>
              </w:rPr>
              <w:t>83</w:t>
            </w:r>
            <w:r w:rsidR="00DE0AE8">
              <w:rPr>
                <w:rFonts w:ascii="Arial" w:hAnsi="Arial" w:cs="Arial"/>
                <w:b/>
                <w:bCs/>
                <w:color w:val="000000"/>
              </w:rPr>
              <w:t>1</w:t>
            </w:r>
            <w:r w:rsidR="007756BE">
              <w:rPr>
                <w:rFonts w:ascii="Arial" w:hAnsi="Arial" w:cs="Arial"/>
                <w:b/>
                <w:bCs/>
                <w:color w:val="000000"/>
              </w:rPr>
              <w:t>)</w:t>
            </w:r>
          </w:p>
        </w:tc>
      </w:tr>
    </w:tbl>
    <w:p w14:paraId="607E3F85" w14:textId="77777777" w:rsidR="003D4809" w:rsidRDefault="003D4809" w:rsidP="00E95F2B">
      <w:pPr>
        <w:spacing w:line="360" w:lineRule="auto"/>
        <w:contextualSpacing/>
        <w:rPr>
          <w:rFonts w:ascii="Arial" w:hAnsi="Arial" w:cs="Arial"/>
          <w:b/>
          <w:color w:val="000000"/>
        </w:rPr>
      </w:pPr>
    </w:p>
    <w:p w14:paraId="280C657A" w14:textId="479CFEB1" w:rsidR="00565715" w:rsidRDefault="00565715" w:rsidP="000845C9">
      <w:pPr>
        <w:spacing w:line="360" w:lineRule="auto"/>
        <w:ind w:left="-426"/>
        <w:contextualSpacing/>
        <w:rPr>
          <w:rFonts w:ascii="Arial" w:hAnsi="Arial" w:cs="Arial"/>
          <w:b/>
        </w:rPr>
      </w:pPr>
      <w:r w:rsidRPr="00615C3D">
        <w:rPr>
          <w:rFonts w:ascii="Arial" w:hAnsi="Arial" w:cs="Arial"/>
          <w:b/>
        </w:rPr>
        <w:t>Annually Managed Expenditure (AME)</w:t>
      </w:r>
      <w:r>
        <w:rPr>
          <w:rFonts w:ascii="Arial" w:hAnsi="Arial" w:cs="Arial"/>
          <w:b/>
        </w:rPr>
        <w:t xml:space="preserve"> </w:t>
      </w:r>
      <w:r w:rsidR="00C90814">
        <w:rPr>
          <w:rFonts w:ascii="Arial" w:hAnsi="Arial" w:cs="Arial"/>
          <w:b/>
        </w:rPr>
        <w:t>at</w:t>
      </w:r>
      <w:r>
        <w:rPr>
          <w:rFonts w:ascii="Arial" w:hAnsi="Arial" w:cs="Arial"/>
          <w:b/>
        </w:rPr>
        <w:t xml:space="preserve"> 31 March 202</w:t>
      </w:r>
      <w:r w:rsidR="001E510D">
        <w:rPr>
          <w:rFonts w:ascii="Arial" w:hAnsi="Arial" w:cs="Arial"/>
          <w:b/>
        </w:rPr>
        <w:t>1</w:t>
      </w:r>
    </w:p>
    <w:tbl>
      <w:tblPr>
        <w:tblW w:w="10916" w:type="dxa"/>
        <w:tblInd w:w="-426" w:type="dxa"/>
        <w:tblLook w:val="04A0" w:firstRow="1" w:lastRow="0" w:firstColumn="1" w:lastColumn="0" w:noHBand="0" w:noVBand="1"/>
      </w:tblPr>
      <w:tblGrid>
        <w:gridCol w:w="5104"/>
        <w:gridCol w:w="992"/>
        <w:gridCol w:w="1843"/>
        <w:gridCol w:w="1701"/>
        <w:gridCol w:w="1276"/>
      </w:tblGrid>
      <w:tr w:rsidR="00CC1DB4" w:rsidRPr="00232A87" w14:paraId="50B2CF31" w14:textId="77777777" w:rsidTr="007743EF">
        <w:trPr>
          <w:trHeight w:val="397"/>
        </w:trPr>
        <w:tc>
          <w:tcPr>
            <w:tcW w:w="5104" w:type="dxa"/>
            <w:tcBorders>
              <w:top w:val="nil"/>
              <w:left w:val="nil"/>
              <w:bottom w:val="nil"/>
              <w:right w:val="nil"/>
            </w:tcBorders>
            <w:noWrap/>
            <w:vAlign w:val="center"/>
            <w:hideMark/>
          </w:tcPr>
          <w:p w14:paraId="30DDB53A" w14:textId="77777777" w:rsidR="00CC1DB4" w:rsidRPr="00B677C4" w:rsidRDefault="00CC1DB4" w:rsidP="00CF1904">
            <w:pPr>
              <w:rPr>
                <w:rFonts w:ascii="Arial" w:hAnsi="Arial" w:cs="Arial"/>
                <w:b/>
                <w:bCs/>
                <w:color w:val="000000"/>
              </w:rPr>
            </w:pPr>
          </w:p>
        </w:tc>
        <w:tc>
          <w:tcPr>
            <w:tcW w:w="992" w:type="dxa"/>
            <w:tcBorders>
              <w:top w:val="nil"/>
              <w:left w:val="nil"/>
              <w:bottom w:val="nil"/>
              <w:right w:val="nil"/>
            </w:tcBorders>
            <w:noWrap/>
            <w:vAlign w:val="bottom"/>
            <w:hideMark/>
          </w:tcPr>
          <w:p w14:paraId="447E471D" w14:textId="77777777" w:rsidR="00CC1DB4" w:rsidRPr="00232A87" w:rsidRDefault="00CC1DB4" w:rsidP="00CF1904">
            <w:pPr>
              <w:jc w:val="center"/>
              <w:rPr>
                <w:rFonts w:ascii="Arial" w:hAnsi="Arial" w:cs="Arial"/>
                <w:b/>
                <w:bCs/>
                <w:color w:val="000000"/>
              </w:rPr>
            </w:pPr>
          </w:p>
        </w:tc>
        <w:tc>
          <w:tcPr>
            <w:tcW w:w="1843" w:type="dxa"/>
            <w:tcBorders>
              <w:top w:val="nil"/>
              <w:left w:val="nil"/>
              <w:bottom w:val="nil"/>
              <w:right w:val="nil"/>
            </w:tcBorders>
            <w:vAlign w:val="bottom"/>
            <w:hideMark/>
          </w:tcPr>
          <w:p w14:paraId="3B7B0398" w14:textId="77777777" w:rsidR="00CC1DB4" w:rsidRDefault="00CC1DB4" w:rsidP="00CF1904">
            <w:pPr>
              <w:jc w:val="right"/>
              <w:rPr>
                <w:rFonts w:ascii="Arial" w:hAnsi="Arial" w:cs="Arial"/>
                <w:b/>
                <w:bCs/>
                <w:color w:val="000000"/>
              </w:rPr>
            </w:pPr>
            <w:r w:rsidRPr="00232A87">
              <w:rPr>
                <w:rFonts w:ascii="Arial" w:hAnsi="Arial" w:cs="Arial"/>
                <w:b/>
                <w:bCs/>
                <w:color w:val="000000"/>
              </w:rPr>
              <w:t xml:space="preserve">Year to </w:t>
            </w:r>
          </w:p>
          <w:p w14:paraId="7945B2CF"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31 March 202</w:t>
            </w:r>
            <w:r>
              <w:rPr>
                <w:rFonts w:ascii="Arial" w:hAnsi="Arial" w:cs="Arial"/>
                <w:b/>
                <w:bCs/>
                <w:color w:val="000000"/>
              </w:rPr>
              <w:t>1</w:t>
            </w:r>
          </w:p>
        </w:tc>
        <w:tc>
          <w:tcPr>
            <w:tcW w:w="1701" w:type="dxa"/>
            <w:tcBorders>
              <w:top w:val="nil"/>
              <w:left w:val="nil"/>
              <w:bottom w:val="nil"/>
              <w:right w:val="nil"/>
            </w:tcBorders>
            <w:vAlign w:val="bottom"/>
            <w:hideMark/>
          </w:tcPr>
          <w:p w14:paraId="01E9B22E" w14:textId="77777777" w:rsidR="00CC1DB4" w:rsidRDefault="00CC1DB4" w:rsidP="00CF1904">
            <w:pPr>
              <w:jc w:val="right"/>
              <w:rPr>
                <w:rFonts w:ascii="Arial" w:hAnsi="Arial" w:cs="Arial"/>
                <w:b/>
                <w:bCs/>
                <w:color w:val="000000"/>
              </w:rPr>
            </w:pPr>
            <w:r w:rsidRPr="00232A87">
              <w:rPr>
                <w:rFonts w:ascii="Arial" w:hAnsi="Arial" w:cs="Arial"/>
                <w:b/>
                <w:bCs/>
                <w:color w:val="000000"/>
              </w:rPr>
              <w:t xml:space="preserve">Year to </w:t>
            </w:r>
          </w:p>
          <w:p w14:paraId="7D652F4D"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31 March 202</w:t>
            </w:r>
            <w:r>
              <w:rPr>
                <w:rFonts w:ascii="Arial" w:hAnsi="Arial" w:cs="Arial"/>
                <w:b/>
                <w:bCs/>
                <w:color w:val="000000"/>
              </w:rPr>
              <w:t>1</w:t>
            </w:r>
          </w:p>
        </w:tc>
        <w:tc>
          <w:tcPr>
            <w:tcW w:w="1276" w:type="dxa"/>
            <w:tcBorders>
              <w:top w:val="nil"/>
              <w:left w:val="nil"/>
              <w:bottom w:val="nil"/>
              <w:right w:val="nil"/>
            </w:tcBorders>
            <w:noWrap/>
            <w:vAlign w:val="bottom"/>
            <w:hideMark/>
          </w:tcPr>
          <w:p w14:paraId="2DD49DB4" w14:textId="77777777" w:rsidR="00CC1DB4" w:rsidRPr="00232A87" w:rsidRDefault="00CC1DB4" w:rsidP="00CF1904">
            <w:pPr>
              <w:jc w:val="right"/>
              <w:rPr>
                <w:rFonts w:ascii="Arial" w:hAnsi="Arial" w:cs="Arial"/>
                <w:color w:val="000000"/>
              </w:rPr>
            </w:pPr>
          </w:p>
        </w:tc>
      </w:tr>
      <w:tr w:rsidR="00CC1DB4" w:rsidRPr="00232A87" w14:paraId="2A132F56" w14:textId="77777777" w:rsidTr="000845C9">
        <w:trPr>
          <w:trHeight w:val="454"/>
        </w:trPr>
        <w:tc>
          <w:tcPr>
            <w:tcW w:w="5104" w:type="dxa"/>
            <w:tcBorders>
              <w:top w:val="nil"/>
              <w:left w:val="nil"/>
              <w:bottom w:val="nil"/>
              <w:right w:val="nil"/>
            </w:tcBorders>
            <w:noWrap/>
            <w:vAlign w:val="bottom"/>
            <w:hideMark/>
          </w:tcPr>
          <w:p w14:paraId="76C36B9B" w14:textId="77777777" w:rsidR="00CC1DB4" w:rsidRPr="00232A87" w:rsidRDefault="00CC1DB4" w:rsidP="00CF1904">
            <w:pPr>
              <w:jc w:val="right"/>
              <w:rPr>
                <w:rFonts w:ascii="Arial" w:hAnsi="Arial" w:cs="Arial"/>
                <w:color w:val="000000"/>
              </w:rPr>
            </w:pPr>
          </w:p>
        </w:tc>
        <w:tc>
          <w:tcPr>
            <w:tcW w:w="992" w:type="dxa"/>
            <w:tcBorders>
              <w:top w:val="nil"/>
              <w:left w:val="nil"/>
              <w:bottom w:val="nil"/>
              <w:right w:val="nil"/>
            </w:tcBorders>
            <w:noWrap/>
            <w:vAlign w:val="bottom"/>
            <w:hideMark/>
          </w:tcPr>
          <w:p w14:paraId="42040D39" w14:textId="77777777" w:rsidR="00CC1DB4" w:rsidRPr="00232A87" w:rsidRDefault="00CC1DB4" w:rsidP="00CF1904">
            <w:pPr>
              <w:jc w:val="center"/>
              <w:rPr>
                <w:rFonts w:ascii="Arial" w:hAnsi="Arial" w:cs="Arial"/>
                <w:b/>
                <w:bCs/>
                <w:color w:val="000000"/>
              </w:rPr>
            </w:pPr>
            <w:r w:rsidRPr="00232A87">
              <w:rPr>
                <w:rFonts w:ascii="Arial" w:hAnsi="Arial" w:cs="Arial"/>
                <w:b/>
                <w:bCs/>
                <w:color w:val="000000"/>
              </w:rPr>
              <w:t>Note</w:t>
            </w:r>
          </w:p>
        </w:tc>
        <w:tc>
          <w:tcPr>
            <w:tcW w:w="1843" w:type="dxa"/>
            <w:tcBorders>
              <w:top w:val="nil"/>
              <w:left w:val="nil"/>
              <w:bottom w:val="nil"/>
              <w:right w:val="nil"/>
            </w:tcBorders>
            <w:noWrap/>
            <w:vAlign w:val="bottom"/>
            <w:hideMark/>
          </w:tcPr>
          <w:p w14:paraId="307C1D8C"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Budget</w:t>
            </w:r>
          </w:p>
        </w:tc>
        <w:tc>
          <w:tcPr>
            <w:tcW w:w="1701" w:type="dxa"/>
            <w:tcBorders>
              <w:top w:val="nil"/>
              <w:left w:val="nil"/>
              <w:bottom w:val="nil"/>
              <w:right w:val="nil"/>
            </w:tcBorders>
            <w:noWrap/>
            <w:vAlign w:val="bottom"/>
            <w:hideMark/>
          </w:tcPr>
          <w:p w14:paraId="24865589"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Actual</w:t>
            </w:r>
          </w:p>
        </w:tc>
        <w:tc>
          <w:tcPr>
            <w:tcW w:w="1276" w:type="dxa"/>
            <w:tcBorders>
              <w:top w:val="nil"/>
              <w:left w:val="nil"/>
              <w:bottom w:val="nil"/>
              <w:right w:val="nil"/>
            </w:tcBorders>
            <w:noWrap/>
            <w:vAlign w:val="bottom"/>
            <w:hideMark/>
          </w:tcPr>
          <w:p w14:paraId="508C1BCC"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Variance</w:t>
            </w:r>
          </w:p>
        </w:tc>
      </w:tr>
      <w:tr w:rsidR="00CC1DB4" w:rsidRPr="00232A87" w14:paraId="2647E209" w14:textId="77777777" w:rsidTr="00EE159B">
        <w:trPr>
          <w:trHeight w:val="425"/>
        </w:trPr>
        <w:tc>
          <w:tcPr>
            <w:tcW w:w="5104" w:type="dxa"/>
            <w:tcBorders>
              <w:top w:val="nil"/>
              <w:left w:val="nil"/>
              <w:bottom w:val="nil"/>
              <w:right w:val="nil"/>
            </w:tcBorders>
            <w:noWrap/>
            <w:vAlign w:val="bottom"/>
            <w:hideMark/>
          </w:tcPr>
          <w:p w14:paraId="3D0BC1FF" w14:textId="77777777" w:rsidR="00CC1DB4" w:rsidRPr="00232A87" w:rsidRDefault="00CC1DB4" w:rsidP="00CF1904">
            <w:pPr>
              <w:jc w:val="right"/>
              <w:rPr>
                <w:rFonts w:ascii="Arial" w:hAnsi="Arial" w:cs="Arial"/>
                <w:b/>
                <w:bCs/>
                <w:color w:val="000000"/>
              </w:rPr>
            </w:pPr>
          </w:p>
        </w:tc>
        <w:tc>
          <w:tcPr>
            <w:tcW w:w="992" w:type="dxa"/>
            <w:tcBorders>
              <w:top w:val="nil"/>
              <w:left w:val="nil"/>
              <w:bottom w:val="nil"/>
              <w:right w:val="nil"/>
            </w:tcBorders>
            <w:noWrap/>
            <w:vAlign w:val="bottom"/>
            <w:hideMark/>
          </w:tcPr>
          <w:p w14:paraId="071E1F9E" w14:textId="77777777" w:rsidR="00CC1DB4" w:rsidRPr="00232A87" w:rsidRDefault="00CC1DB4" w:rsidP="00CF1904">
            <w:pPr>
              <w:jc w:val="center"/>
              <w:rPr>
                <w:rFonts w:ascii="Arial" w:hAnsi="Arial" w:cs="Arial"/>
              </w:rPr>
            </w:pPr>
          </w:p>
        </w:tc>
        <w:tc>
          <w:tcPr>
            <w:tcW w:w="1843" w:type="dxa"/>
            <w:tcBorders>
              <w:top w:val="nil"/>
              <w:left w:val="nil"/>
              <w:bottom w:val="nil"/>
              <w:right w:val="nil"/>
            </w:tcBorders>
            <w:noWrap/>
            <w:vAlign w:val="bottom"/>
            <w:hideMark/>
          </w:tcPr>
          <w:p w14:paraId="29AFAAEB"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 xml:space="preserve">   £'000</w:t>
            </w:r>
          </w:p>
        </w:tc>
        <w:tc>
          <w:tcPr>
            <w:tcW w:w="1701" w:type="dxa"/>
            <w:tcBorders>
              <w:top w:val="nil"/>
              <w:left w:val="nil"/>
              <w:bottom w:val="nil"/>
              <w:right w:val="nil"/>
            </w:tcBorders>
            <w:noWrap/>
            <w:vAlign w:val="bottom"/>
            <w:hideMark/>
          </w:tcPr>
          <w:p w14:paraId="533CCDE4"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 xml:space="preserve">   £'000</w:t>
            </w:r>
          </w:p>
        </w:tc>
        <w:tc>
          <w:tcPr>
            <w:tcW w:w="1276" w:type="dxa"/>
            <w:tcBorders>
              <w:top w:val="nil"/>
              <w:left w:val="nil"/>
              <w:bottom w:val="nil"/>
              <w:right w:val="nil"/>
            </w:tcBorders>
            <w:noWrap/>
            <w:vAlign w:val="bottom"/>
            <w:hideMark/>
          </w:tcPr>
          <w:p w14:paraId="5EB37978" w14:textId="77777777" w:rsidR="00CC1DB4" w:rsidRPr="00232A87" w:rsidRDefault="00CC1DB4" w:rsidP="00CF1904">
            <w:pPr>
              <w:jc w:val="right"/>
              <w:rPr>
                <w:rFonts w:ascii="Arial" w:hAnsi="Arial" w:cs="Arial"/>
                <w:b/>
                <w:bCs/>
                <w:color w:val="000000"/>
              </w:rPr>
            </w:pPr>
            <w:r w:rsidRPr="00232A87">
              <w:rPr>
                <w:rFonts w:ascii="Arial" w:hAnsi="Arial" w:cs="Arial"/>
                <w:b/>
                <w:bCs/>
                <w:color w:val="000000"/>
              </w:rPr>
              <w:t xml:space="preserve">   £'000</w:t>
            </w:r>
          </w:p>
        </w:tc>
      </w:tr>
      <w:tr w:rsidR="00CC1DB4" w:rsidRPr="00232A87" w14:paraId="4F836DBD" w14:textId="77777777" w:rsidTr="00EE159B">
        <w:trPr>
          <w:trHeight w:val="425"/>
        </w:trPr>
        <w:tc>
          <w:tcPr>
            <w:tcW w:w="5104" w:type="dxa"/>
            <w:tcBorders>
              <w:top w:val="nil"/>
              <w:left w:val="nil"/>
              <w:bottom w:val="nil"/>
              <w:right w:val="nil"/>
            </w:tcBorders>
            <w:noWrap/>
            <w:vAlign w:val="bottom"/>
            <w:hideMark/>
          </w:tcPr>
          <w:p w14:paraId="2EB74D43" w14:textId="77777777" w:rsidR="00CC1DB4" w:rsidRPr="00232A87" w:rsidRDefault="00CC1DB4" w:rsidP="000845C9">
            <w:pPr>
              <w:ind w:left="-107"/>
              <w:rPr>
                <w:rFonts w:ascii="Arial" w:hAnsi="Arial" w:cs="Arial"/>
                <w:color w:val="000000"/>
              </w:rPr>
            </w:pPr>
            <w:r w:rsidRPr="00232A87">
              <w:rPr>
                <w:rFonts w:ascii="Arial" w:hAnsi="Arial" w:cs="Arial"/>
                <w:color w:val="000000"/>
              </w:rPr>
              <w:t>IAS 19 pension charge</w:t>
            </w:r>
          </w:p>
        </w:tc>
        <w:tc>
          <w:tcPr>
            <w:tcW w:w="992" w:type="dxa"/>
            <w:tcBorders>
              <w:top w:val="nil"/>
              <w:left w:val="nil"/>
              <w:bottom w:val="nil"/>
              <w:right w:val="nil"/>
            </w:tcBorders>
            <w:noWrap/>
            <w:vAlign w:val="bottom"/>
            <w:hideMark/>
          </w:tcPr>
          <w:p w14:paraId="491BBC96" w14:textId="77777777" w:rsidR="00CC1DB4" w:rsidRPr="00004F0F" w:rsidRDefault="00CC1DB4" w:rsidP="00CF1904">
            <w:pPr>
              <w:jc w:val="center"/>
              <w:rPr>
                <w:rFonts w:ascii="Arial" w:hAnsi="Arial" w:cs="Arial"/>
                <w:color w:val="000000"/>
              </w:rPr>
            </w:pPr>
            <w:r w:rsidRPr="00004F0F">
              <w:rPr>
                <w:rFonts w:ascii="Arial" w:hAnsi="Arial" w:cs="Arial"/>
                <w:color w:val="000000"/>
              </w:rPr>
              <w:t xml:space="preserve">4  </w:t>
            </w:r>
          </w:p>
        </w:tc>
        <w:tc>
          <w:tcPr>
            <w:tcW w:w="1843" w:type="dxa"/>
            <w:tcBorders>
              <w:top w:val="nil"/>
              <w:left w:val="nil"/>
              <w:bottom w:val="nil"/>
              <w:right w:val="nil"/>
            </w:tcBorders>
            <w:noWrap/>
            <w:vAlign w:val="bottom"/>
          </w:tcPr>
          <w:p w14:paraId="481E97A4" w14:textId="77777777" w:rsidR="00CC1DB4" w:rsidRPr="00232A87" w:rsidRDefault="00CC1DB4" w:rsidP="00CF1904">
            <w:pPr>
              <w:jc w:val="right"/>
              <w:rPr>
                <w:rFonts w:ascii="Arial" w:hAnsi="Arial" w:cs="Arial"/>
                <w:color w:val="000000"/>
              </w:rPr>
            </w:pPr>
            <w:r>
              <w:rPr>
                <w:rFonts w:ascii="Arial" w:hAnsi="Arial" w:cs="Arial"/>
                <w:color w:val="000000"/>
              </w:rPr>
              <w:t>6,369</w:t>
            </w:r>
          </w:p>
        </w:tc>
        <w:tc>
          <w:tcPr>
            <w:tcW w:w="1701" w:type="dxa"/>
            <w:tcBorders>
              <w:top w:val="nil"/>
              <w:left w:val="nil"/>
              <w:bottom w:val="nil"/>
              <w:right w:val="nil"/>
            </w:tcBorders>
            <w:noWrap/>
            <w:vAlign w:val="bottom"/>
          </w:tcPr>
          <w:p w14:paraId="58AC3D8D" w14:textId="77777777" w:rsidR="00CC1DB4" w:rsidRPr="00232A87" w:rsidRDefault="00CC1DB4" w:rsidP="00CF1904">
            <w:pPr>
              <w:jc w:val="right"/>
              <w:rPr>
                <w:rFonts w:ascii="Arial" w:hAnsi="Arial" w:cs="Arial"/>
                <w:color w:val="000000"/>
              </w:rPr>
            </w:pPr>
            <w:r>
              <w:rPr>
                <w:rFonts w:ascii="Arial" w:hAnsi="Arial" w:cs="Arial"/>
                <w:color w:val="000000"/>
              </w:rPr>
              <w:t>6,651</w:t>
            </w:r>
          </w:p>
        </w:tc>
        <w:tc>
          <w:tcPr>
            <w:tcW w:w="1276" w:type="dxa"/>
            <w:tcBorders>
              <w:top w:val="nil"/>
              <w:left w:val="nil"/>
              <w:bottom w:val="nil"/>
              <w:right w:val="nil"/>
            </w:tcBorders>
            <w:noWrap/>
            <w:vAlign w:val="bottom"/>
          </w:tcPr>
          <w:p w14:paraId="62C2354B" w14:textId="77777777" w:rsidR="00CC1DB4" w:rsidRPr="00232A87" w:rsidRDefault="00CC1DB4" w:rsidP="00CF1904">
            <w:pPr>
              <w:jc w:val="right"/>
              <w:rPr>
                <w:rFonts w:ascii="Arial" w:hAnsi="Arial" w:cs="Arial"/>
                <w:color w:val="000000"/>
              </w:rPr>
            </w:pPr>
            <w:r>
              <w:rPr>
                <w:rFonts w:ascii="Arial" w:hAnsi="Arial" w:cs="Arial"/>
                <w:color w:val="000000"/>
              </w:rPr>
              <w:t>(282)</w:t>
            </w:r>
          </w:p>
        </w:tc>
      </w:tr>
      <w:tr w:rsidR="00CC1DB4" w:rsidRPr="00232A87" w14:paraId="4B22B735" w14:textId="77777777" w:rsidTr="00EE159B">
        <w:trPr>
          <w:trHeight w:val="425"/>
        </w:trPr>
        <w:tc>
          <w:tcPr>
            <w:tcW w:w="5104" w:type="dxa"/>
            <w:tcBorders>
              <w:top w:val="nil"/>
              <w:left w:val="nil"/>
              <w:bottom w:val="nil"/>
              <w:right w:val="nil"/>
            </w:tcBorders>
            <w:noWrap/>
            <w:vAlign w:val="bottom"/>
            <w:hideMark/>
          </w:tcPr>
          <w:p w14:paraId="0015D04B" w14:textId="77777777" w:rsidR="00CC1DB4" w:rsidRPr="00232A87" w:rsidRDefault="00CC1DB4" w:rsidP="000845C9">
            <w:pPr>
              <w:ind w:left="-107"/>
              <w:rPr>
                <w:rFonts w:ascii="Arial" w:hAnsi="Arial" w:cs="Arial"/>
                <w:color w:val="000000"/>
              </w:rPr>
            </w:pPr>
            <w:r w:rsidRPr="00232A87">
              <w:rPr>
                <w:rFonts w:ascii="Arial" w:hAnsi="Arial" w:cs="Arial"/>
                <w:color w:val="000000"/>
              </w:rPr>
              <w:t>Unfunded pension charge</w:t>
            </w:r>
          </w:p>
        </w:tc>
        <w:tc>
          <w:tcPr>
            <w:tcW w:w="992" w:type="dxa"/>
            <w:tcBorders>
              <w:top w:val="nil"/>
              <w:left w:val="nil"/>
              <w:bottom w:val="nil"/>
              <w:right w:val="nil"/>
            </w:tcBorders>
            <w:noWrap/>
            <w:vAlign w:val="bottom"/>
            <w:hideMark/>
          </w:tcPr>
          <w:p w14:paraId="5FE47E8C" w14:textId="77777777" w:rsidR="00CC1DB4" w:rsidRPr="00004F0F" w:rsidRDefault="00CC1DB4" w:rsidP="00CF1904">
            <w:pPr>
              <w:jc w:val="center"/>
              <w:rPr>
                <w:rFonts w:ascii="Arial" w:hAnsi="Arial" w:cs="Arial"/>
                <w:color w:val="000000"/>
              </w:rPr>
            </w:pPr>
            <w:r w:rsidRPr="00004F0F">
              <w:rPr>
                <w:rFonts w:ascii="Arial" w:hAnsi="Arial" w:cs="Arial"/>
                <w:color w:val="000000"/>
              </w:rPr>
              <w:t>4</w:t>
            </w:r>
          </w:p>
        </w:tc>
        <w:tc>
          <w:tcPr>
            <w:tcW w:w="1843" w:type="dxa"/>
            <w:tcBorders>
              <w:top w:val="nil"/>
              <w:left w:val="nil"/>
              <w:bottom w:val="nil"/>
              <w:right w:val="nil"/>
            </w:tcBorders>
            <w:noWrap/>
            <w:vAlign w:val="bottom"/>
          </w:tcPr>
          <w:p w14:paraId="5BD7AEA1" w14:textId="77777777" w:rsidR="00CC1DB4" w:rsidRPr="00232A87" w:rsidRDefault="00CC1DB4" w:rsidP="00CF1904">
            <w:pPr>
              <w:jc w:val="right"/>
              <w:rPr>
                <w:rFonts w:ascii="Arial" w:hAnsi="Arial" w:cs="Arial"/>
                <w:color w:val="000000"/>
              </w:rPr>
            </w:pPr>
            <w:r>
              <w:rPr>
                <w:rFonts w:ascii="Arial" w:hAnsi="Arial" w:cs="Arial"/>
                <w:color w:val="000000"/>
              </w:rPr>
              <w:t>70</w:t>
            </w:r>
          </w:p>
        </w:tc>
        <w:tc>
          <w:tcPr>
            <w:tcW w:w="1701" w:type="dxa"/>
            <w:tcBorders>
              <w:top w:val="nil"/>
              <w:left w:val="nil"/>
              <w:bottom w:val="nil"/>
              <w:right w:val="nil"/>
            </w:tcBorders>
            <w:noWrap/>
            <w:vAlign w:val="bottom"/>
          </w:tcPr>
          <w:p w14:paraId="7C5341EF" w14:textId="77777777" w:rsidR="00CC1DB4" w:rsidRPr="00232A87" w:rsidRDefault="00CC1DB4" w:rsidP="00CF1904">
            <w:pPr>
              <w:jc w:val="right"/>
              <w:rPr>
                <w:rFonts w:ascii="Arial" w:hAnsi="Arial" w:cs="Arial"/>
                <w:color w:val="000000"/>
              </w:rPr>
            </w:pPr>
            <w:r>
              <w:rPr>
                <w:rFonts w:ascii="Arial" w:hAnsi="Arial" w:cs="Arial"/>
                <w:color w:val="000000"/>
              </w:rPr>
              <w:t>193</w:t>
            </w:r>
          </w:p>
        </w:tc>
        <w:tc>
          <w:tcPr>
            <w:tcW w:w="1276" w:type="dxa"/>
            <w:tcBorders>
              <w:top w:val="nil"/>
              <w:left w:val="nil"/>
              <w:bottom w:val="nil"/>
              <w:right w:val="nil"/>
            </w:tcBorders>
            <w:noWrap/>
            <w:vAlign w:val="bottom"/>
          </w:tcPr>
          <w:p w14:paraId="211559CC" w14:textId="77777777" w:rsidR="00CC1DB4" w:rsidRPr="00232A87" w:rsidRDefault="00CC1DB4" w:rsidP="00CF1904">
            <w:pPr>
              <w:jc w:val="right"/>
              <w:rPr>
                <w:rFonts w:ascii="Arial" w:hAnsi="Arial" w:cs="Arial"/>
                <w:color w:val="000000"/>
              </w:rPr>
            </w:pPr>
            <w:r>
              <w:rPr>
                <w:rFonts w:ascii="Arial" w:hAnsi="Arial" w:cs="Arial"/>
                <w:color w:val="000000"/>
              </w:rPr>
              <w:t>(123)</w:t>
            </w:r>
          </w:p>
        </w:tc>
      </w:tr>
      <w:tr w:rsidR="00CC1DB4" w:rsidRPr="00232A87" w14:paraId="20B2BBE6" w14:textId="77777777" w:rsidTr="00EE159B">
        <w:trPr>
          <w:trHeight w:val="425"/>
        </w:trPr>
        <w:tc>
          <w:tcPr>
            <w:tcW w:w="5104" w:type="dxa"/>
            <w:tcBorders>
              <w:top w:val="nil"/>
              <w:left w:val="nil"/>
              <w:bottom w:val="nil"/>
              <w:right w:val="nil"/>
            </w:tcBorders>
            <w:noWrap/>
            <w:vAlign w:val="bottom"/>
            <w:hideMark/>
          </w:tcPr>
          <w:p w14:paraId="0DDB4CC4" w14:textId="77777777" w:rsidR="00CC1DB4" w:rsidRPr="00232A87" w:rsidRDefault="00CC1DB4" w:rsidP="000845C9">
            <w:pPr>
              <w:ind w:left="-107"/>
              <w:rPr>
                <w:rFonts w:ascii="Arial" w:hAnsi="Arial" w:cs="Arial"/>
                <w:color w:val="000000"/>
              </w:rPr>
            </w:pPr>
            <w:r w:rsidRPr="00232A87">
              <w:rPr>
                <w:rFonts w:ascii="Arial" w:hAnsi="Arial" w:cs="Arial"/>
                <w:color w:val="000000"/>
              </w:rPr>
              <w:t xml:space="preserve">Interest payable IAS 19 assets &amp; liabilities </w:t>
            </w:r>
          </w:p>
        </w:tc>
        <w:tc>
          <w:tcPr>
            <w:tcW w:w="992" w:type="dxa"/>
            <w:tcBorders>
              <w:top w:val="nil"/>
              <w:left w:val="nil"/>
              <w:bottom w:val="nil"/>
              <w:right w:val="nil"/>
            </w:tcBorders>
            <w:noWrap/>
            <w:vAlign w:val="bottom"/>
            <w:hideMark/>
          </w:tcPr>
          <w:p w14:paraId="311CACE2" w14:textId="77777777" w:rsidR="00CC1DB4" w:rsidRPr="00004F0F" w:rsidRDefault="00CC1DB4" w:rsidP="00CF1904">
            <w:pPr>
              <w:jc w:val="center"/>
              <w:rPr>
                <w:rFonts w:ascii="Arial" w:hAnsi="Arial" w:cs="Arial"/>
                <w:color w:val="000000"/>
              </w:rPr>
            </w:pPr>
            <w:r w:rsidRPr="00004F0F">
              <w:rPr>
                <w:rFonts w:ascii="Arial" w:hAnsi="Arial" w:cs="Arial"/>
                <w:color w:val="000000"/>
              </w:rPr>
              <w:t>7</w:t>
            </w:r>
          </w:p>
        </w:tc>
        <w:tc>
          <w:tcPr>
            <w:tcW w:w="1843" w:type="dxa"/>
            <w:tcBorders>
              <w:top w:val="nil"/>
              <w:left w:val="nil"/>
              <w:bottom w:val="nil"/>
              <w:right w:val="nil"/>
            </w:tcBorders>
            <w:noWrap/>
            <w:vAlign w:val="bottom"/>
          </w:tcPr>
          <w:p w14:paraId="34211DFD" w14:textId="77777777" w:rsidR="00CC1DB4" w:rsidRPr="00232A87" w:rsidRDefault="00CC1DB4" w:rsidP="00CF1904">
            <w:pPr>
              <w:jc w:val="right"/>
              <w:rPr>
                <w:rFonts w:ascii="Arial" w:hAnsi="Arial" w:cs="Arial"/>
                <w:color w:val="000000"/>
              </w:rPr>
            </w:pPr>
            <w:r>
              <w:rPr>
                <w:rFonts w:ascii="Arial" w:hAnsi="Arial" w:cs="Arial"/>
                <w:color w:val="000000"/>
              </w:rPr>
              <w:t>2,761</w:t>
            </w:r>
          </w:p>
        </w:tc>
        <w:tc>
          <w:tcPr>
            <w:tcW w:w="1701" w:type="dxa"/>
            <w:tcBorders>
              <w:top w:val="nil"/>
              <w:left w:val="nil"/>
              <w:bottom w:val="nil"/>
              <w:right w:val="nil"/>
            </w:tcBorders>
            <w:noWrap/>
            <w:vAlign w:val="bottom"/>
          </w:tcPr>
          <w:p w14:paraId="75883C1D" w14:textId="77777777" w:rsidR="00CC1DB4" w:rsidRPr="00232A87" w:rsidRDefault="00CC1DB4" w:rsidP="00CF1904">
            <w:pPr>
              <w:jc w:val="right"/>
              <w:rPr>
                <w:rFonts w:ascii="Arial" w:hAnsi="Arial" w:cs="Arial"/>
                <w:color w:val="000000"/>
              </w:rPr>
            </w:pPr>
            <w:r>
              <w:rPr>
                <w:rFonts w:ascii="Arial" w:hAnsi="Arial" w:cs="Arial"/>
                <w:color w:val="000000"/>
              </w:rPr>
              <w:t>2,761</w:t>
            </w:r>
          </w:p>
        </w:tc>
        <w:tc>
          <w:tcPr>
            <w:tcW w:w="1276" w:type="dxa"/>
            <w:tcBorders>
              <w:top w:val="nil"/>
              <w:left w:val="nil"/>
              <w:bottom w:val="nil"/>
              <w:right w:val="nil"/>
            </w:tcBorders>
            <w:noWrap/>
            <w:vAlign w:val="bottom"/>
          </w:tcPr>
          <w:p w14:paraId="06771023" w14:textId="77777777" w:rsidR="00CC1DB4" w:rsidRPr="00232A87" w:rsidRDefault="00CC1DB4" w:rsidP="00CF1904">
            <w:pPr>
              <w:jc w:val="right"/>
              <w:rPr>
                <w:rFonts w:ascii="Arial" w:hAnsi="Arial" w:cs="Arial"/>
                <w:color w:val="000000"/>
              </w:rPr>
            </w:pPr>
            <w:r>
              <w:rPr>
                <w:rFonts w:ascii="Arial" w:hAnsi="Arial" w:cs="Arial"/>
                <w:color w:val="000000"/>
              </w:rPr>
              <w:t>-</w:t>
            </w:r>
          </w:p>
        </w:tc>
      </w:tr>
      <w:tr w:rsidR="00CC1DB4" w14:paraId="27B5C20F" w14:textId="77777777" w:rsidTr="00EE159B">
        <w:trPr>
          <w:trHeight w:val="425"/>
        </w:trPr>
        <w:tc>
          <w:tcPr>
            <w:tcW w:w="5104" w:type="dxa"/>
            <w:tcBorders>
              <w:top w:val="nil"/>
              <w:left w:val="nil"/>
              <w:bottom w:val="nil"/>
              <w:right w:val="nil"/>
            </w:tcBorders>
            <w:noWrap/>
            <w:vAlign w:val="bottom"/>
          </w:tcPr>
          <w:p w14:paraId="03DF2E57" w14:textId="66D29EBC" w:rsidR="00CC1DB4" w:rsidRPr="00232A87" w:rsidRDefault="00466A1B" w:rsidP="000845C9">
            <w:pPr>
              <w:ind w:left="-107"/>
              <w:rPr>
                <w:rFonts w:ascii="Arial" w:hAnsi="Arial" w:cs="Arial"/>
                <w:color w:val="000000"/>
              </w:rPr>
            </w:pPr>
            <w:r>
              <w:rPr>
                <w:rFonts w:ascii="Arial" w:hAnsi="Arial" w:cs="Arial"/>
                <w:color w:val="000000"/>
              </w:rPr>
              <w:t>Life assurance</w:t>
            </w:r>
            <w:r w:rsidR="00CC1DB4">
              <w:rPr>
                <w:rFonts w:ascii="Arial" w:hAnsi="Arial" w:cs="Arial"/>
                <w:color w:val="000000"/>
              </w:rPr>
              <w:t xml:space="preserve"> charge</w:t>
            </w:r>
          </w:p>
        </w:tc>
        <w:tc>
          <w:tcPr>
            <w:tcW w:w="992" w:type="dxa"/>
            <w:tcBorders>
              <w:top w:val="nil"/>
              <w:left w:val="nil"/>
              <w:bottom w:val="nil"/>
              <w:right w:val="nil"/>
            </w:tcBorders>
            <w:noWrap/>
            <w:vAlign w:val="bottom"/>
          </w:tcPr>
          <w:p w14:paraId="24017388" w14:textId="77777777" w:rsidR="00CC1DB4" w:rsidRPr="00004F0F" w:rsidRDefault="00CC1DB4" w:rsidP="00CF1904">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noWrap/>
            <w:vAlign w:val="bottom"/>
          </w:tcPr>
          <w:p w14:paraId="66B9FD86" w14:textId="77777777" w:rsidR="00CC1DB4" w:rsidRDefault="00CC1DB4" w:rsidP="00CF1904">
            <w:pPr>
              <w:jc w:val="right"/>
              <w:rPr>
                <w:rFonts w:ascii="Arial" w:hAnsi="Arial" w:cs="Arial"/>
                <w:color w:val="000000"/>
              </w:rPr>
            </w:pPr>
            <w:r>
              <w:rPr>
                <w:rFonts w:ascii="Arial" w:hAnsi="Arial" w:cs="Arial"/>
                <w:color w:val="000000"/>
              </w:rPr>
              <w:t>80</w:t>
            </w:r>
          </w:p>
        </w:tc>
        <w:tc>
          <w:tcPr>
            <w:tcW w:w="1701" w:type="dxa"/>
            <w:tcBorders>
              <w:top w:val="nil"/>
              <w:left w:val="nil"/>
              <w:bottom w:val="nil"/>
              <w:right w:val="nil"/>
            </w:tcBorders>
            <w:noWrap/>
            <w:vAlign w:val="bottom"/>
          </w:tcPr>
          <w:p w14:paraId="083FE4B6" w14:textId="77777777" w:rsidR="00CC1DB4" w:rsidRDefault="00CC1DB4" w:rsidP="00CF1904">
            <w:pPr>
              <w:jc w:val="right"/>
              <w:rPr>
                <w:rFonts w:ascii="Arial" w:hAnsi="Arial" w:cs="Arial"/>
                <w:color w:val="000000"/>
              </w:rPr>
            </w:pPr>
            <w:r>
              <w:rPr>
                <w:rFonts w:ascii="Arial" w:hAnsi="Arial" w:cs="Arial"/>
                <w:color w:val="000000"/>
              </w:rPr>
              <w:t>(19)</w:t>
            </w:r>
          </w:p>
        </w:tc>
        <w:tc>
          <w:tcPr>
            <w:tcW w:w="1276" w:type="dxa"/>
            <w:tcBorders>
              <w:top w:val="nil"/>
              <w:left w:val="nil"/>
              <w:bottom w:val="nil"/>
              <w:right w:val="nil"/>
            </w:tcBorders>
            <w:noWrap/>
            <w:vAlign w:val="bottom"/>
          </w:tcPr>
          <w:p w14:paraId="1635C43B" w14:textId="77777777" w:rsidR="00CC1DB4" w:rsidRDefault="00CC1DB4" w:rsidP="00CF1904">
            <w:pPr>
              <w:jc w:val="right"/>
              <w:rPr>
                <w:rFonts w:ascii="Arial" w:hAnsi="Arial" w:cs="Arial"/>
                <w:color w:val="000000"/>
              </w:rPr>
            </w:pPr>
            <w:r>
              <w:rPr>
                <w:rFonts w:ascii="Arial" w:hAnsi="Arial" w:cs="Arial"/>
                <w:color w:val="000000"/>
              </w:rPr>
              <w:t>99</w:t>
            </w:r>
          </w:p>
        </w:tc>
      </w:tr>
      <w:tr w:rsidR="00CC1DB4" w:rsidRPr="00232A87" w14:paraId="02958000" w14:textId="77777777" w:rsidTr="00EE159B">
        <w:trPr>
          <w:trHeight w:val="425"/>
        </w:trPr>
        <w:tc>
          <w:tcPr>
            <w:tcW w:w="5104" w:type="dxa"/>
            <w:tcBorders>
              <w:top w:val="nil"/>
              <w:left w:val="nil"/>
              <w:bottom w:val="nil"/>
              <w:right w:val="nil"/>
            </w:tcBorders>
            <w:noWrap/>
            <w:vAlign w:val="bottom"/>
          </w:tcPr>
          <w:p w14:paraId="02E27CE4" w14:textId="77777777" w:rsidR="00CC1DB4" w:rsidRPr="00232A87" w:rsidRDefault="00CC1DB4" w:rsidP="000845C9">
            <w:pPr>
              <w:ind w:left="-107"/>
              <w:rPr>
                <w:rFonts w:ascii="Arial" w:hAnsi="Arial" w:cs="Arial"/>
                <w:color w:val="000000"/>
              </w:rPr>
            </w:pPr>
            <w:r w:rsidRPr="00232A87">
              <w:rPr>
                <w:rFonts w:ascii="Arial" w:hAnsi="Arial" w:cs="Arial"/>
                <w:color w:val="000000"/>
              </w:rPr>
              <w:t xml:space="preserve">Leased property </w:t>
            </w:r>
            <w:r>
              <w:rPr>
                <w:rFonts w:ascii="Arial" w:hAnsi="Arial" w:cs="Arial"/>
                <w:color w:val="000000"/>
              </w:rPr>
              <w:t>decommissioning provision</w:t>
            </w:r>
          </w:p>
        </w:tc>
        <w:tc>
          <w:tcPr>
            <w:tcW w:w="992" w:type="dxa"/>
            <w:tcBorders>
              <w:top w:val="nil"/>
              <w:left w:val="nil"/>
              <w:bottom w:val="nil"/>
              <w:right w:val="nil"/>
            </w:tcBorders>
            <w:noWrap/>
            <w:vAlign w:val="bottom"/>
          </w:tcPr>
          <w:p w14:paraId="45DDD639" w14:textId="77777777" w:rsidR="00CC1DB4" w:rsidRPr="00004F0F" w:rsidRDefault="00CC1DB4" w:rsidP="00CF1904">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noWrap/>
            <w:vAlign w:val="bottom"/>
          </w:tcPr>
          <w:p w14:paraId="6A7026AB" w14:textId="77777777" w:rsidR="00CC1DB4" w:rsidRPr="00232A87" w:rsidRDefault="00CC1DB4" w:rsidP="00CF1904">
            <w:pPr>
              <w:jc w:val="right"/>
              <w:rPr>
                <w:rFonts w:ascii="Arial" w:hAnsi="Arial" w:cs="Arial"/>
                <w:color w:val="000000"/>
              </w:rPr>
            </w:pPr>
            <w:r>
              <w:rPr>
                <w:rFonts w:ascii="Arial" w:hAnsi="Arial" w:cs="Arial"/>
                <w:color w:val="000000"/>
              </w:rPr>
              <w:t>2,950</w:t>
            </w:r>
          </w:p>
        </w:tc>
        <w:tc>
          <w:tcPr>
            <w:tcW w:w="1701" w:type="dxa"/>
            <w:tcBorders>
              <w:top w:val="nil"/>
              <w:left w:val="nil"/>
              <w:bottom w:val="nil"/>
              <w:right w:val="nil"/>
            </w:tcBorders>
            <w:noWrap/>
            <w:vAlign w:val="bottom"/>
          </w:tcPr>
          <w:p w14:paraId="6B88566B" w14:textId="77777777" w:rsidR="00CC1DB4" w:rsidRPr="00232A87" w:rsidRDefault="00CC1DB4" w:rsidP="00CF1904">
            <w:pPr>
              <w:jc w:val="right"/>
              <w:rPr>
                <w:rFonts w:ascii="Arial" w:hAnsi="Arial" w:cs="Arial"/>
                <w:color w:val="000000"/>
              </w:rPr>
            </w:pPr>
            <w:r>
              <w:rPr>
                <w:rFonts w:ascii="Arial" w:hAnsi="Arial" w:cs="Arial"/>
                <w:color w:val="000000"/>
              </w:rPr>
              <w:t>191</w:t>
            </w:r>
          </w:p>
        </w:tc>
        <w:tc>
          <w:tcPr>
            <w:tcW w:w="1276" w:type="dxa"/>
            <w:tcBorders>
              <w:top w:val="nil"/>
              <w:left w:val="nil"/>
              <w:bottom w:val="nil"/>
              <w:right w:val="nil"/>
            </w:tcBorders>
            <w:noWrap/>
            <w:vAlign w:val="bottom"/>
          </w:tcPr>
          <w:p w14:paraId="68684114" w14:textId="77777777" w:rsidR="00CC1DB4" w:rsidRPr="00232A87" w:rsidRDefault="00CC1DB4" w:rsidP="00CF1904">
            <w:pPr>
              <w:jc w:val="right"/>
              <w:rPr>
                <w:rFonts w:ascii="Arial" w:hAnsi="Arial" w:cs="Arial"/>
                <w:color w:val="000000"/>
              </w:rPr>
            </w:pPr>
            <w:r>
              <w:rPr>
                <w:rFonts w:ascii="Arial" w:hAnsi="Arial" w:cs="Arial"/>
                <w:color w:val="000000"/>
              </w:rPr>
              <w:t>2,759</w:t>
            </w:r>
          </w:p>
        </w:tc>
      </w:tr>
      <w:tr w:rsidR="00CC1DB4" w:rsidRPr="00232A87" w14:paraId="27A58343" w14:textId="77777777" w:rsidTr="00EE159B">
        <w:trPr>
          <w:trHeight w:val="425"/>
        </w:trPr>
        <w:tc>
          <w:tcPr>
            <w:tcW w:w="5104" w:type="dxa"/>
            <w:tcBorders>
              <w:top w:val="nil"/>
              <w:left w:val="nil"/>
              <w:bottom w:val="nil"/>
              <w:right w:val="nil"/>
            </w:tcBorders>
            <w:noWrap/>
            <w:vAlign w:val="bottom"/>
            <w:hideMark/>
          </w:tcPr>
          <w:p w14:paraId="3C5C2A69" w14:textId="77777777" w:rsidR="00CC1DB4" w:rsidRPr="00232A87" w:rsidRDefault="00CC1DB4" w:rsidP="000845C9">
            <w:pPr>
              <w:ind w:left="-107"/>
              <w:rPr>
                <w:rFonts w:ascii="Arial" w:hAnsi="Arial" w:cs="Arial"/>
                <w:color w:val="000000"/>
              </w:rPr>
            </w:pPr>
            <w:r w:rsidRPr="00232A87">
              <w:rPr>
                <w:rFonts w:ascii="Arial" w:hAnsi="Arial" w:cs="Arial"/>
                <w:color w:val="000000"/>
              </w:rPr>
              <w:t>Less cash paid out on unfunded pensions</w:t>
            </w:r>
          </w:p>
        </w:tc>
        <w:tc>
          <w:tcPr>
            <w:tcW w:w="992" w:type="dxa"/>
            <w:tcBorders>
              <w:top w:val="nil"/>
              <w:left w:val="nil"/>
              <w:bottom w:val="nil"/>
              <w:right w:val="nil"/>
            </w:tcBorders>
            <w:noWrap/>
            <w:vAlign w:val="bottom"/>
            <w:hideMark/>
          </w:tcPr>
          <w:p w14:paraId="36D3D0A5" w14:textId="77777777" w:rsidR="00CC1DB4" w:rsidRPr="00004F0F" w:rsidRDefault="00CC1DB4" w:rsidP="00CF1904">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noWrap/>
            <w:vAlign w:val="bottom"/>
          </w:tcPr>
          <w:p w14:paraId="76F813E5" w14:textId="77777777" w:rsidR="00CC1DB4" w:rsidRPr="00232A87" w:rsidRDefault="00CC1DB4" w:rsidP="00CF1904">
            <w:pPr>
              <w:jc w:val="right"/>
              <w:rPr>
                <w:rFonts w:ascii="Arial" w:hAnsi="Arial" w:cs="Arial"/>
                <w:color w:val="000000"/>
              </w:rPr>
            </w:pPr>
            <w:r>
              <w:rPr>
                <w:rFonts w:ascii="Arial" w:hAnsi="Arial" w:cs="Arial"/>
                <w:color w:val="000000"/>
              </w:rPr>
              <w:t>(140)</w:t>
            </w:r>
          </w:p>
        </w:tc>
        <w:tc>
          <w:tcPr>
            <w:tcW w:w="1701" w:type="dxa"/>
            <w:tcBorders>
              <w:top w:val="nil"/>
              <w:left w:val="nil"/>
              <w:bottom w:val="nil"/>
              <w:right w:val="nil"/>
            </w:tcBorders>
            <w:noWrap/>
            <w:vAlign w:val="bottom"/>
          </w:tcPr>
          <w:p w14:paraId="26201CBF" w14:textId="77777777" w:rsidR="00CC1DB4" w:rsidRPr="00232A87" w:rsidRDefault="00CC1DB4" w:rsidP="00CF1904">
            <w:pPr>
              <w:jc w:val="right"/>
              <w:rPr>
                <w:rFonts w:ascii="Arial" w:hAnsi="Arial" w:cs="Arial"/>
                <w:color w:val="000000"/>
              </w:rPr>
            </w:pPr>
            <w:r>
              <w:rPr>
                <w:rFonts w:ascii="Arial" w:hAnsi="Arial" w:cs="Arial"/>
                <w:color w:val="000000"/>
              </w:rPr>
              <w:t>(143)</w:t>
            </w:r>
          </w:p>
        </w:tc>
        <w:tc>
          <w:tcPr>
            <w:tcW w:w="1276" w:type="dxa"/>
            <w:tcBorders>
              <w:top w:val="nil"/>
              <w:left w:val="nil"/>
              <w:bottom w:val="nil"/>
              <w:right w:val="nil"/>
            </w:tcBorders>
            <w:noWrap/>
            <w:vAlign w:val="bottom"/>
          </w:tcPr>
          <w:p w14:paraId="38FB9C3C" w14:textId="77777777" w:rsidR="00CC1DB4" w:rsidRPr="00232A87" w:rsidRDefault="00CC1DB4" w:rsidP="00CF1904">
            <w:pPr>
              <w:jc w:val="right"/>
              <w:rPr>
                <w:rFonts w:ascii="Arial" w:hAnsi="Arial" w:cs="Arial"/>
                <w:color w:val="000000"/>
              </w:rPr>
            </w:pPr>
            <w:r>
              <w:rPr>
                <w:rFonts w:ascii="Arial" w:hAnsi="Arial" w:cs="Arial"/>
                <w:color w:val="000000"/>
              </w:rPr>
              <w:t>3</w:t>
            </w:r>
          </w:p>
        </w:tc>
      </w:tr>
      <w:tr w:rsidR="00CC1DB4" w:rsidRPr="00232A87" w14:paraId="663E5222" w14:textId="77777777" w:rsidTr="00EE159B">
        <w:trPr>
          <w:trHeight w:val="425"/>
        </w:trPr>
        <w:tc>
          <w:tcPr>
            <w:tcW w:w="5104" w:type="dxa"/>
            <w:tcBorders>
              <w:top w:val="nil"/>
              <w:left w:val="nil"/>
              <w:bottom w:val="nil"/>
              <w:right w:val="nil"/>
            </w:tcBorders>
            <w:noWrap/>
            <w:vAlign w:val="bottom"/>
          </w:tcPr>
          <w:p w14:paraId="13A97689" w14:textId="35F3161B" w:rsidR="00CC1DB4" w:rsidRPr="00232A87" w:rsidRDefault="00CC1DB4" w:rsidP="000845C9">
            <w:pPr>
              <w:ind w:left="-107"/>
              <w:rPr>
                <w:rFonts w:ascii="Arial" w:hAnsi="Arial" w:cs="Arial"/>
                <w:color w:val="000000"/>
              </w:rPr>
            </w:pPr>
            <w:r>
              <w:rPr>
                <w:rFonts w:ascii="Arial" w:hAnsi="Arial" w:cs="Arial"/>
                <w:color w:val="000000"/>
              </w:rPr>
              <w:t xml:space="preserve">Less cash paid out </w:t>
            </w:r>
            <w:r w:rsidR="00994D46">
              <w:rPr>
                <w:rFonts w:ascii="Arial" w:hAnsi="Arial" w:cs="Arial"/>
                <w:color w:val="000000"/>
              </w:rPr>
              <w:t>for life assurance</w:t>
            </w:r>
          </w:p>
        </w:tc>
        <w:tc>
          <w:tcPr>
            <w:tcW w:w="992" w:type="dxa"/>
            <w:tcBorders>
              <w:top w:val="nil"/>
              <w:left w:val="nil"/>
              <w:bottom w:val="nil"/>
              <w:right w:val="nil"/>
            </w:tcBorders>
            <w:noWrap/>
            <w:vAlign w:val="bottom"/>
          </w:tcPr>
          <w:p w14:paraId="67352D66" w14:textId="77777777" w:rsidR="00CC1DB4" w:rsidRPr="00004F0F" w:rsidRDefault="00CC1DB4" w:rsidP="00CF1904">
            <w:pPr>
              <w:jc w:val="center"/>
              <w:rPr>
                <w:rFonts w:ascii="Arial" w:hAnsi="Arial" w:cs="Arial"/>
                <w:color w:val="000000"/>
              </w:rPr>
            </w:pPr>
            <w:r w:rsidRPr="00004F0F">
              <w:rPr>
                <w:rFonts w:ascii="Arial" w:hAnsi="Arial" w:cs="Arial"/>
                <w:color w:val="000000"/>
              </w:rPr>
              <w:t>13</w:t>
            </w:r>
          </w:p>
        </w:tc>
        <w:tc>
          <w:tcPr>
            <w:tcW w:w="1843" w:type="dxa"/>
            <w:tcBorders>
              <w:top w:val="nil"/>
              <w:left w:val="nil"/>
              <w:bottom w:val="nil"/>
              <w:right w:val="nil"/>
            </w:tcBorders>
            <w:noWrap/>
            <w:vAlign w:val="bottom"/>
          </w:tcPr>
          <w:p w14:paraId="7E1B94C4" w14:textId="77777777" w:rsidR="00CC1DB4" w:rsidRDefault="00CC1DB4" w:rsidP="00CF1904">
            <w:pPr>
              <w:jc w:val="right"/>
              <w:rPr>
                <w:rFonts w:ascii="Arial" w:hAnsi="Arial" w:cs="Arial"/>
                <w:color w:val="000000"/>
              </w:rPr>
            </w:pPr>
            <w:r>
              <w:rPr>
                <w:rFonts w:ascii="Arial" w:hAnsi="Arial" w:cs="Arial"/>
                <w:color w:val="000000"/>
              </w:rPr>
              <w:t>(50)</w:t>
            </w:r>
          </w:p>
        </w:tc>
        <w:tc>
          <w:tcPr>
            <w:tcW w:w="1701" w:type="dxa"/>
            <w:tcBorders>
              <w:top w:val="nil"/>
              <w:left w:val="nil"/>
              <w:bottom w:val="nil"/>
              <w:right w:val="nil"/>
            </w:tcBorders>
            <w:noWrap/>
            <w:vAlign w:val="bottom"/>
          </w:tcPr>
          <w:p w14:paraId="032726EE" w14:textId="77777777" w:rsidR="00CC1DB4" w:rsidRDefault="00CC1DB4" w:rsidP="00CF1904">
            <w:pPr>
              <w:jc w:val="right"/>
              <w:rPr>
                <w:rFonts w:ascii="Arial" w:hAnsi="Arial" w:cs="Arial"/>
                <w:color w:val="000000"/>
              </w:rPr>
            </w:pPr>
            <w:r>
              <w:rPr>
                <w:rFonts w:ascii="Arial" w:hAnsi="Arial" w:cs="Arial"/>
                <w:color w:val="000000"/>
              </w:rPr>
              <w:t>(49)</w:t>
            </w:r>
          </w:p>
        </w:tc>
        <w:tc>
          <w:tcPr>
            <w:tcW w:w="1276" w:type="dxa"/>
            <w:tcBorders>
              <w:top w:val="nil"/>
              <w:left w:val="nil"/>
              <w:bottom w:val="nil"/>
              <w:right w:val="nil"/>
            </w:tcBorders>
            <w:noWrap/>
            <w:vAlign w:val="bottom"/>
          </w:tcPr>
          <w:p w14:paraId="100D3887" w14:textId="77777777" w:rsidR="00CC1DB4" w:rsidRPr="00232A87" w:rsidRDefault="00CC1DB4" w:rsidP="00CF1904">
            <w:pPr>
              <w:jc w:val="right"/>
              <w:rPr>
                <w:rFonts w:ascii="Arial" w:hAnsi="Arial" w:cs="Arial"/>
                <w:color w:val="000000"/>
              </w:rPr>
            </w:pPr>
            <w:r>
              <w:rPr>
                <w:rFonts w:ascii="Arial" w:hAnsi="Arial" w:cs="Arial"/>
                <w:color w:val="000000"/>
              </w:rPr>
              <w:t>(1)</w:t>
            </w:r>
          </w:p>
        </w:tc>
      </w:tr>
      <w:tr w:rsidR="00CC1DB4" w:rsidRPr="00232A87" w14:paraId="3BCBDFA8" w14:textId="77777777" w:rsidTr="005D7408">
        <w:trPr>
          <w:trHeight w:val="731"/>
        </w:trPr>
        <w:tc>
          <w:tcPr>
            <w:tcW w:w="5104" w:type="dxa"/>
            <w:tcBorders>
              <w:top w:val="nil"/>
              <w:left w:val="nil"/>
              <w:bottom w:val="nil"/>
              <w:right w:val="nil"/>
            </w:tcBorders>
            <w:noWrap/>
            <w:vAlign w:val="bottom"/>
            <w:hideMark/>
          </w:tcPr>
          <w:p w14:paraId="7FE1D0F1" w14:textId="77777777" w:rsidR="00CC1DB4" w:rsidRPr="00232A87" w:rsidRDefault="00CC1DB4" w:rsidP="000845C9">
            <w:pPr>
              <w:ind w:left="-107"/>
              <w:rPr>
                <w:rFonts w:ascii="Arial" w:hAnsi="Arial" w:cs="Arial"/>
                <w:color w:val="000000"/>
              </w:rPr>
            </w:pPr>
            <w:r>
              <w:rPr>
                <w:rFonts w:ascii="Arial" w:hAnsi="Arial" w:cs="Arial"/>
                <w:color w:val="000000"/>
              </w:rPr>
              <w:t>Movement in leased property decommissioning provision</w:t>
            </w:r>
          </w:p>
        </w:tc>
        <w:tc>
          <w:tcPr>
            <w:tcW w:w="992" w:type="dxa"/>
            <w:tcBorders>
              <w:top w:val="nil"/>
              <w:left w:val="nil"/>
              <w:bottom w:val="nil"/>
              <w:right w:val="nil"/>
            </w:tcBorders>
            <w:noWrap/>
            <w:vAlign w:val="bottom"/>
            <w:hideMark/>
          </w:tcPr>
          <w:p w14:paraId="1519B1A7" w14:textId="3CFABD30" w:rsidR="00CC1DB4" w:rsidRPr="00004F0F" w:rsidRDefault="00E15283" w:rsidP="00CF1904">
            <w:pPr>
              <w:jc w:val="center"/>
              <w:rPr>
                <w:rFonts w:ascii="Arial" w:hAnsi="Arial" w:cs="Arial"/>
                <w:color w:val="000000"/>
              </w:rPr>
            </w:pPr>
            <w:r>
              <w:rPr>
                <w:rFonts w:ascii="Arial" w:hAnsi="Arial" w:cs="Arial"/>
                <w:color w:val="000000"/>
              </w:rPr>
              <w:t>9</w:t>
            </w:r>
          </w:p>
        </w:tc>
        <w:tc>
          <w:tcPr>
            <w:tcW w:w="1843" w:type="dxa"/>
            <w:tcBorders>
              <w:top w:val="nil"/>
              <w:left w:val="nil"/>
              <w:bottom w:val="nil"/>
              <w:right w:val="nil"/>
            </w:tcBorders>
            <w:noWrap/>
            <w:vAlign w:val="bottom"/>
          </w:tcPr>
          <w:p w14:paraId="15C11023" w14:textId="77777777" w:rsidR="00CC1DB4" w:rsidRPr="00232A87" w:rsidRDefault="00CC1DB4" w:rsidP="00CF1904">
            <w:pPr>
              <w:jc w:val="right"/>
              <w:rPr>
                <w:rFonts w:ascii="Arial" w:hAnsi="Arial" w:cs="Arial"/>
                <w:color w:val="000000"/>
              </w:rPr>
            </w:pPr>
            <w:r>
              <w:rPr>
                <w:rFonts w:ascii="Arial" w:hAnsi="Arial" w:cs="Arial"/>
                <w:color w:val="000000"/>
              </w:rPr>
              <w:t>300</w:t>
            </w:r>
          </w:p>
        </w:tc>
        <w:tc>
          <w:tcPr>
            <w:tcW w:w="1701" w:type="dxa"/>
            <w:tcBorders>
              <w:top w:val="nil"/>
              <w:left w:val="nil"/>
              <w:bottom w:val="nil"/>
              <w:right w:val="nil"/>
            </w:tcBorders>
            <w:noWrap/>
            <w:vAlign w:val="bottom"/>
          </w:tcPr>
          <w:p w14:paraId="2A94D899" w14:textId="77777777" w:rsidR="00CC1DB4" w:rsidRPr="00232A87" w:rsidRDefault="00CC1DB4" w:rsidP="00CF1904">
            <w:pPr>
              <w:jc w:val="right"/>
              <w:rPr>
                <w:rFonts w:ascii="Arial" w:hAnsi="Arial" w:cs="Arial"/>
                <w:color w:val="000000"/>
              </w:rPr>
            </w:pPr>
            <w:r>
              <w:rPr>
                <w:rFonts w:ascii="Arial" w:hAnsi="Arial" w:cs="Arial"/>
                <w:color w:val="000000"/>
              </w:rPr>
              <w:t>-</w:t>
            </w:r>
          </w:p>
        </w:tc>
        <w:tc>
          <w:tcPr>
            <w:tcW w:w="1276" w:type="dxa"/>
            <w:tcBorders>
              <w:top w:val="nil"/>
              <w:left w:val="nil"/>
              <w:bottom w:val="nil"/>
              <w:right w:val="nil"/>
            </w:tcBorders>
            <w:noWrap/>
            <w:vAlign w:val="bottom"/>
          </w:tcPr>
          <w:p w14:paraId="2B461CCE" w14:textId="77777777" w:rsidR="00CC1DB4" w:rsidRPr="00232A87" w:rsidRDefault="00CC1DB4" w:rsidP="00CF1904">
            <w:pPr>
              <w:jc w:val="right"/>
              <w:rPr>
                <w:rFonts w:ascii="Arial" w:hAnsi="Arial" w:cs="Arial"/>
                <w:color w:val="000000"/>
              </w:rPr>
            </w:pPr>
            <w:r>
              <w:rPr>
                <w:rFonts w:ascii="Arial" w:hAnsi="Arial" w:cs="Arial"/>
                <w:color w:val="000000"/>
              </w:rPr>
              <w:t>300</w:t>
            </w:r>
          </w:p>
        </w:tc>
      </w:tr>
      <w:tr w:rsidR="003C3E9C" w:rsidRPr="00232A87" w14:paraId="0E420CAF" w14:textId="77777777" w:rsidTr="00EE159B">
        <w:trPr>
          <w:trHeight w:val="425"/>
        </w:trPr>
        <w:tc>
          <w:tcPr>
            <w:tcW w:w="5104" w:type="dxa"/>
            <w:tcBorders>
              <w:top w:val="nil"/>
              <w:left w:val="nil"/>
              <w:bottom w:val="nil"/>
              <w:right w:val="nil"/>
            </w:tcBorders>
            <w:noWrap/>
            <w:vAlign w:val="bottom"/>
            <w:hideMark/>
          </w:tcPr>
          <w:p w14:paraId="174FFB30" w14:textId="77777777" w:rsidR="00CC1DB4" w:rsidRPr="00232A87" w:rsidRDefault="00CC1DB4" w:rsidP="000845C9">
            <w:pPr>
              <w:ind w:left="-107"/>
              <w:rPr>
                <w:rFonts w:ascii="Arial" w:hAnsi="Arial" w:cs="Arial"/>
                <w:color w:val="000000"/>
              </w:rPr>
            </w:pPr>
            <w:r w:rsidRPr="00232A87">
              <w:rPr>
                <w:rFonts w:ascii="Arial" w:hAnsi="Arial" w:cs="Arial"/>
                <w:color w:val="000000"/>
              </w:rPr>
              <w:t>Movement in market value of fixed assets</w:t>
            </w:r>
          </w:p>
        </w:tc>
        <w:tc>
          <w:tcPr>
            <w:tcW w:w="992" w:type="dxa"/>
            <w:tcBorders>
              <w:top w:val="nil"/>
              <w:left w:val="nil"/>
              <w:bottom w:val="nil"/>
              <w:right w:val="nil"/>
            </w:tcBorders>
            <w:noWrap/>
            <w:vAlign w:val="bottom"/>
            <w:hideMark/>
          </w:tcPr>
          <w:p w14:paraId="72641B07" w14:textId="7A389E18" w:rsidR="00CC1DB4" w:rsidRPr="0004284D" w:rsidRDefault="00E15283" w:rsidP="00CF1904">
            <w:pPr>
              <w:jc w:val="center"/>
              <w:rPr>
                <w:rFonts w:ascii="Arial" w:hAnsi="Arial" w:cs="Arial"/>
                <w:color w:val="000000"/>
                <w:highlight w:val="magenta"/>
              </w:rPr>
            </w:pPr>
            <w:r w:rsidRPr="00E15283">
              <w:rPr>
                <w:rFonts w:ascii="Arial" w:hAnsi="Arial" w:cs="Arial"/>
                <w:color w:val="000000"/>
              </w:rPr>
              <w:t>9</w:t>
            </w:r>
          </w:p>
        </w:tc>
        <w:tc>
          <w:tcPr>
            <w:tcW w:w="1843" w:type="dxa"/>
            <w:tcBorders>
              <w:top w:val="nil"/>
              <w:left w:val="nil"/>
              <w:bottom w:val="single" w:sz="4" w:space="0" w:color="auto"/>
              <w:right w:val="nil"/>
            </w:tcBorders>
            <w:noWrap/>
            <w:vAlign w:val="bottom"/>
          </w:tcPr>
          <w:p w14:paraId="056DDD66" w14:textId="77777777" w:rsidR="00CC1DB4" w:rsidRPr="00232A87" w:rsidRDefault="00CC1DB4" w:rsidP="00CF1904">
            <w:pPr>
              <w:jc w:val="right"/>
              <w:rPr>
                <w:rFonts w:ascii="Arial" w:hAnsi="Arial" w:cs="Arial"/>
                <w:color w:val="000000"/>
              </w:rPr>
            </w:pPr>
            <w:r>
              <w:rPr>
                <w:rFonts w:ascii="Arial" w:hAnsi="Arial" w:cs="Arial"/>
                <w:color w:val="000000"/>
              </w:rPr>
              <w:t>670</w:t>
            </w:r>
          </w:p>
        </w:tc>
        <w:tc>
          <w:tcPr>
            <w:tcW w:w="1701" w:type="dxa"/>
            <w:tcBorders>
              <w:top w:val="nil"/>
              <w:left w:val="nil"/>
              <w:bottom w:val="single" w:sz="4" w:space="0" w:color="auto"/>
              <w:right w:val="nil"/>
            </w:tcBorders>
            <w:noWrap/>
            <w:vAlign w:val="bottom"/>
          </w:tcPr>
          <w:p w14:paraId="62D33D49" w14:textId="77777777" w:rsidR="00CC1DB4" w:rsidRPr="00232A87" w:rsidRDefault="00CC1DB4" w:rsidP="00CF1904">
            <w:pPr>
              <w:jc w:val="right"/>
              <w:rPr>
                <w:rFonts w:ascii="Arial" w:hAnsi="Arial" w:cs="Arial"/>
                <w:color w:val="000000"/>
              </w:rPr>
            </w:pPr>
            <w:r>
              <w:rPr>
                <w:rFonts w:ascii="Arial" w:hAnsi="Arial" w:cs="Arial"/>
                <w:color w:val="000000"/>
              </w:rPr>
              <w:t>(9)</w:t>
            </w:r>
          </w:p>
        </w:tc>
        <w:tc>
          <w:tcPr>
            <w:tcW w:w="1276" w:type="dxa"/>
            <w:tcBorders>
              <w:top w:val="nil"/>
              <w:left w:val="nil"/>
              <w:bottom w:val="single" w:sz="4" w:space="0" w:color="auto"/>
              <w:right w:val="nil"/>
            </w:tcBorders>
            <w:noWrap/>
            <w:vAlign w:val="bottom"/>
          </w:tcPr>
          <w:p w14:paraId="5CE3124D" w14:textId="77777777" w:rsidR="00CC1DB4" w:rsidRPr="00232A87" w:rsidRDefault="00CC1DB4" w:rsidP="00CF1904">
            <w:pPr>
              <w:jc w:val="right"/>
              <w:rPr>
                <w:rFonts w:ascii="Arial" w:hAnsi="Arial" w:cs="Arial"/>
                <w:color w:val="000000"/>
              </w:rPr>
            </w:pPr>
            <w:r>
              <w:rPr>
                <w:rFonts w:ascii="Arial" w:hAnsi="Arial" w:cs="Arial"/>
                <w:color w:val="000000"/>
              </w:rPr>
              <w:t>679</w:t>
            </w:r>
          </w:p>
        </w:tc>
      </w:tr>
      <w:tr w:rsidR="00167866" w:rsidRPr="00232A87" w14:paraId="03F18133" w14:textId="77777777" w:rsidTr="005D7408">
        <w:trPr>
          <w:trHeight w:val="680"/>
        </w:trPr>
        <w:tc>
          <w:tcPr>
            <w:tcW w:w="5104" w:type="dxa"/>
            <w:tcBorders>
              <w:top w:val="nil"/>
              <w:left w:val="nil"/>
              <w:bottom w:val="nil"/>
              <w:right w:val="nil"/>
            </w:tcBorders>
            <w:noWrap/>
            <w:vAlign w:val="bottom"/>
            <w:hideMark/>
          </w:tcPr>
          <w:p w14:paraId="16ED60F4" w14:textId="77777777" w:rsidR="00CC1DB4" w:rsidRPr="00232A87" w:rsidRDefault="00CC1DB4" w:rsidP="000845C9">
            <w:pPr>
              <w:ind w:left="-107"/>
              <w:rPr>
                <w:rFonts w:ascii="Arial" w:hAnsi="Arial" w:cs="Arial"/>
                <w:b/>
                <w:bCs/>
                <w:color w:val="000000"/>
              </w:rPr>
            </w:pPr>
            <w:r w:rsidRPr="00232A87">
              <w:rPr>
                <w:rFonts w:ascii="Arial" w:hAnsi="Arial" w:cs="Arial"/>
                <w:b/>
                <w:bCs/>
                <w:color w:val="000000"/>
              </w:rPr>
              <w:t>Section 2.3 Parliamentary accountability expenditure outturn</w:t>
            </w:r>
          </w:p>
        </w:tc>
        <w:tc>
          <w:tcPr>
            <w:tcW w:w="992" w:type="dxa"/>
            <w:tcBorders>
              <w:top w:val="nil"/>
              <w:left w:val="nil"/>
              <w:bottom w:val="nil"/>
              <w:right w:val="nil"/>
            </w:tcBorders>
            <w:noWrap/>
            <w:vAlign w:val="bottom"/>
            <w:hideMark/>
          </w:tcPr>
          <w:p w14:paraId="2BAD4024" w14:textId="77777777" w:rsidR="00CC1DB4" w:rsidRPr="00232A87" w:rsidRDefault="00CC1DB4" w:rsidP="00CF1904">
            <w:pPr>
              <w:jc w:val="center"/>
              <w:rPr>
                <w:rFonts w:ascii="Arial" w:hAnsi="Arial" w:cs="Arial"/>
                <w:b/>
                <w:bCs/>
                <w:color w:val="000000"/>
              </w:rPr>
            </w:pPr>
          </w:p>
        </w:tc>
        <w:tc>
          <w:tcPr>
            <w:tcW w:w="1843" w:type="dxa"/>
            <w:tcBorders>
              <w:top w:val="single" w:sz="4" w:space="0" w:color="auto"/>
              <w:left w:val="nil"/>
              <w:bottom w:val="double" w:sz="4" w:space="0" w:color="auto"/>
              <w:right w:val="nil"/>
            </w:tcBorders>
            <w:noWrap/>
            <w:vAlign w:val="bottom"/>
          </w:tcPr>
          <w:p w14:paraId="30827434" w14:textId="77777777" w:rsidR="00CC1DB4" w:rsidRPr="00232A87" w:rsidRDefault="00CC1DB4" w:rsidP="00CF1904">
            <w:pPr>
              <w:jc w:val="right"/>
              <w:rPr>
                <w:rFonts w:ascii="Arial" w:hAnsi="Arial" w:cs="Arial"/>
                <w:b/>
                <w:bCs/>
                <w:color w:val="000000"/>
              </w:rPr>
            </w:pPr>
            <w:r>
              <w:rPr>
                <w:rFonts w:ascii="Arial" w:hAnsi="Arial" w:cs="Arial"/>
                <w:b/>
                <w:bCs/>
                <w:color w:val="000000"/>
              </w:rPr>
              <w:t>13,010</w:t>
            </w:r>
          </w:p>
        </w:tc>
        <w:tc>
          <w:tcPr>
            <w:tcW w:w="1701" w:type="dxa"/>
            <w:tcBorders>
              <w:top w:val="single" w:sz="4" w:space="0" w:color="auto"/>
              <w:left w:val="nil"/>
              <w:bottom w:val="double" w:sz="4" w:space="0" w:color="auto"/>
              <w:right w:val="nil"/>
            </w:tcBorders>
            <w:noWrap/>
            <w:vAlign w:val="bottom"/>
          </w:tcPr>
          <w:p w14:paraId="17B0C18A" w14:textId="77777777" w:rsidR="00CC1DB4" w:rsidRPr="00232A87" w:rsidRDefault="00CC1DB4" w:rsidP="00CF1904">
            <w:pPr>
              <w:jc w:val="right"/>
              <w:rPr>
                <w:rFonts w:ascii="Arial" w:hAnsi="Arial" w:cs="Arial"/>
                <w:b/>
                <w:bCs/>
                <w:color w:val="000000"/>
              </w:rPr>
            </w:pPr>
            <w:r>
              <w:rPr>
                <w:rFonts w:ascii="Arial" w:hAnsi="Arial" w:cs="Arial"/>
                <w:b/>
                <w:bCs/>
                <w:color w:val="000000"/>
              </w:rPr>
              <w:t>9,576</w:t>
            </w:r>
          </w:p>
        </w:tc>
        <w:tc>
          <w:tcPr>
            <w:tcW w:w="1276" w:type="dxa"/>
            <w:tcBorders>
              <w:top w:val="single" w:sz="4" w:space="0" w:color="auto"/>
              <w:left w:val="nil"/>
              <w:bottom w:val="double" w:sz="4" w:space="0" w:color="auto"/>
              <w:right w:val="nil"/>
            </w:tcBorders>
            <w:noWrap/>
            <w:vAlign w:val="bottom"/>
          </w:tcPr>
          <w:p w14:paraId="72FD8C05" w14:textId="77777777" w:rsidR="00CC1DB4" w:rsidRPr="00232A87" w:rsidRDefault="00CC1DB4" w:rsidP="00CF1904">
            <w:pPr>
              <w:jc w:val="right"/>
              <w:rPr>
                <w:rFonts w:ascii="Arial" w:hAnsi="Arial" w:cs="Arial"/>
                <w:b/>
                <w:bCs/>
                <w:color w:val="000000"/>
              </w:rPr>
            </w:pPr>
            <w:r>
              <w:rPr>
                <w:rFonts w:ascii="Arial" w:hAnsi="Arial" w:cs="Arial"/>
                <w:b/>
                <w:bCs/>
                <w:color w:val="000000"/>
              </w:rPr>
              <w:t>3,434</w:t>
            </w:r>
          </w:p>
        </w:tc>
      </w:tr>
    </w:tbl>
    <w:p w14:paraId="4FB33A18" w14:textId="52F746FB" w:rsidR="003F3DC0" w:rsidRDefault="003F3DC0" w:rsidP="003F3DC0">
      <w:pPr>
        <w:spacing w:line="360" w:lineRule="auto"/>
        <w:ind w:left="-426"/>
        <w:contextualSpacing/>
        <w:rPr>
          <w:rFonts w:ascii="Arial" w:hAnsi="Arial" w:cs="Arial"/>
          <w:b/>
        </w:rPr>
      </w:pPr>
      <w:r>
        <w:rPr>
          <w:rFonts w:ascii="Arial" w:hAnsi="Arial" w:cs="Arial"/>
          <w:b/>
        </w:rPr>
        <w:lastRenderedPageBreak/>
        <w:t xml:space="preserve">Note 23. Financial Instruments </w:t>
      </w:r>
    </w:p>
    <w:p w14:paraId="2B35E733" w14:textId="77777777" w:rsidR="000C3093" w:rsidRDefault="000C3093" w:rsidP="003F3DC0">
      <w:pPr>
        <w:spacing w:line="360" w:lineRule="auto"/>
        <w:ind w:left="-426"/>
        <w:contextualSpacing/>
        <w:rPr>
          <w:rFonts w:ascii="Arial" w:hAnsi="Arial" w:cs="Arial"/>
        </w:rPr>
      </w:pPr>
    </w:p>
    <w:p w14:paraId="579D208B" w14:textId="10306240" w:rsidR="00FF1F60" w:rsidRDefault="00FF1F60" w:rsidP="003F3DC0">
      <w:pPr>
        <w:spacing w:line="360" w:lineRule="auto"/>
        <w:ind w:left="-426"/>
        <w:contextualSpacing/>
        <w:rPr>
          <w:rFonts w:ascii="Arial" w:hAnsi="Arial" w:cs="Arial"/>
        </w:rPr>
      </w:pPr>
      <w:r w:rsidRPr="00FF1F60">
        <w:rPr>
          <w:rFonts w:ascii="Arial" w:hAnsi="Arial" w:cs="Arial"/>
        </w:rPr>
        <w:t>S</w:t>
      </w:r>
      <w:r>
        <w:rPr>
          <w:rFonts w:ascii="Arial" w:hAnsi="Arial" w:cs="Arial"/>
        </w:rPr>
        <w:t>EPA</w:t>
      </w:r>
      <w:r w:rsidRPr="00FF1F60">
        <w:rPr>
          <w:rFonts w:ascii="Arial" w:hAnsi="Arial" w:cs="Arial"/>
        </w:rPr>
        <w:t xml:space="preserve"> resource requirements are met from Scottish Government via the annual grant-in-aid provision and from other income generated from </w:t>
      </w:r>
      <w:r w:rsidR="008A4BF9">
        <w:rPr>
          <w:rFonts w:ascii="Arial" w:hAnsi="Arial" w:cs="Arial"/>
        </w:rPr>
        <w:t>charging schemes and other a</w:t>
      </w:r>
      <w:r w:rsidRPr="00FF1F60">
        <w:rPr>
          <w:rFonts w:ascii="Arial" w:hAnsi="Arial" w:cs="Arial"/>
        </w:rPr>
        <w:t>ctivities. S</w:t>
      </w:r>
      <w:r w:rsidR="008A4BF9">
        <w:rPr>
          <w:rFonts w:ascii="Arial" w:hAnsi="Arial" w:cs="Arial"/>
        </w:rPr>
        <w:t>EPA</w:t>
      </w:r>
      <w:r w:rsidRPr="00FF1F60">
        <w:rPr>
          <w:rFonts w:ascii="Arial" w:hAnsi="Arial" w:cs="Arial"/>
        </w:rPr>
        <w:t xml:space="preserve"> has no power to borrow funds and all surplus funds are held in interest bearing deposit accounts. Other than financial assets and liabilities which are generated by day-to-day operational activities, S</w:t>
      </w:r>
      <w:r w:rsidR="00D23092">
        <w:rPr>
          <w:rFonts w:ascii="Arial" w:hAnsi="Arial" w:cs="Arial"/>
        </w:rPr>
        <w:t>EPA</w:t>
      </w:r>
      <w:r w:rsidRPr="00FF1F60">
        <w:rPr>
          <w:rFonts w:ascii="Arial" w:hAnsi="Arial" w:cs="Arial"/>
        </w:rPr>
        <w:t xml:space="preserve"> holds no financial instruments. </w:t>
      </w:r>
    </w:p>
    <w:p w14:paraId="28622904" w14:textId="58CC37FF" w:rsidR="00071D33" w:rsidRDefault="00071D33" w:rsidP="003F3DC0">
      <w:pPr>
        <w:spacing w:line="360" w:lineRule="auto"/>
        <w:ind w:left="-426"/>
        <w:contextualSpacing/>
        <w:rPr>
          <w:rFonts w:ascii="Arial" w:hAnsi="Arial" w:cs="Arial"/>
        </w:rPr>
      </w:pPr>
    </w:p>
    <w:tbl>
      <w:tblPr>
        <w:tblW w:w="10491" w:type="dxa"/>
        <w:tblInd w:w="-426" w:type="dxa"/>
        <w:tblLook w:val="04A0" w:firstRow="1" w:lastRow="0" w:firstColumn="1" w:lastColumn="0" w:noHBand="0" w:noVBand="1"/>
      </w:tblPr>
      <w:tblGrid>
        <w:gridCol w:w="4912"/>
        <w:gridCol w:w="962"/>
        <w:gridCol w:w="1779"/>
        <w:gridCol w:w="1643"/>
        <w:gridCol w:w="1195"/>
      </w:tblGrid>
      <w:tr w:rsidR="008C0B4E" w:rsidRPr="00232A87" w14:paraId="43AE7D57" w14:textId="1093A6D3" w:rsidTr="008C0B4E">
        <w:trPr>
          <w:trHeight w:val="397"/>
        </w:trPr>
        <w:tc>
          <w:tcPr>
            <w:tcW w:w="4912" w:type="dxa"/>
            <w:tcBorders>
              <w:top w:val="nil"/>
              <w:left w:val="nil"/>
              <w:bottom w:val="nil"/>
              <w:right w:val="nil"/>
            </w:tcBorders>
            <w:noWrap/>
            <w:vAlign w:val="center"/>
            <w:hideMark/>
          </w:tcPr>
          <w:p w14:paraId="0F948904" w14:textId="77777777" w:rsidR="008C0B4E" w:rsidRPr="00B677C4" w:rsidRDefault="008C0B4E">
            <w:pPr>
              <w:rPr>
                <w:rFonts w:ascii="Arial" w:hAnsi="Arial" w:cs="Arial"/>
                <w:b/>
                <w:bCs/>
                <w:color w:val="000000"/>
              </w:rPr>
            </w:pPr>
          </w:p>
        </w:tc>
        <w:tc>
          <w:tcPr>
            <w:tcW w:w="962" w:type="dxa"/>
            <w:tcBorders>
              <w:top w:val="nil"/>
              <w:left w:val="nil"/>
              <w:bottom w:val="nil"/>
              <w:right w:val="nil"/>
            </w:tcBorders>
            <w:noWrap/>
            <w:vAlign w:val="bottom"/>
            <w:hideMark/>
          </w:tcPr>
          <w:p w14:paraId="50591C0B" w14:textId="77777777" w:rsidR="008C0B4E" w:rsidRPr="00232A87" w:rsidRDefault="008C0B4E">
            <w:pPr>
              <w:jc w:val="center"/>
              <w:rPr>
                <w:rFonts w:ascii="Arial" w:hAnsi="Arial" w:cs="Arial"/>
                <w:b/>
                <w:bCs/>
                <w:color w:val="000000"/>
              </w:rPr>
            </w:pPr>
          </w:p>
        </w:tc>
        <w:tc>
          <w:tcPr>
            <w:tcW w:w="1779" w:type="dxa"/>
            <w:tcBorders>
              <w:top w:val="nil"/>
              <w:left w:val="nil"/>
              <w:bottom w:val="nil"/>
              <w:right w:val="nil"/>
            </w:tcBorders>
            <w:shd w:val="clear" w:color="auto" w:fill="EAF1DD" w:themeFill="accent3" w:themeFillTint="33"/>
            <w:vAlign w:val="bottom"/>
            <w:hideMark/>
          </w:tcPr>
          <w:p w14:paraId="0BE80084" w14:textId="77777777" w:rsidR="008C0B4E" w:rsidRDefault="008C0B4E">
            <w:pPr>
              <w:jc w:val="right"/>
              <w:rPr>
                <w:rFonts w:ascii="Arial" w:hAnsi="Arial" w:cs="Arial"/>
                <w:b/>
                <w:bCs/>
                <w:color w:val="000000"/>
              </w:rPr>
            </w:pPr>
          </w:p>
          <w:p w14:paraId="0595B7AD" w14:textId="511E2115" w:rsidR="008C0B4E" w:rsidRDefault="008C0B4E">
            <w:pPr>
              <w:jc w:val="right"/>
              <w:rPr>
                <w:rFonts w:ascii="Arial" w:hAnsi="Arial" w:cs="Arial"/>
                <w:b/>
                <w:bCs/>
                <w:color w:val="000000"/>
              </w:rPr>
            </w:pPr>
            <w:r>
              <w:rPr>
                <w:rFonts w:ascii="Arial" w:hAnsi="Arial" w:cs="Arial"/>
                <w:b/>
                <w:bCs/>
                <w:color w:val="000000"/>
              </w:rPr>
              <w:t>Floating interest rate (linked to base rate</w:t>
            </w:r>
          </w:p>
          <w:p w14:paraId="5BB42DFB" w14:textId="6DD215A8" w:rsidR="008C0B4E" w:rsidRPr="00232A87" w:rsidRDefault="008C0B4E">
            <w:pPr>
              <w:jc w:val="right"/>
              <w:rPr>
                <w:rFonts w:ascii="Arial" w:hAnsi="Arial" w:cs="Arial"/>
                <w:b/>
                <w:bCs/>
                <w:color w:val="000000"/>
              </w:rPr>
            </w:pPr>
          </w:p>
        </w:tc>
        <w:tc>
          <w:tcPr>
            <w:tcW w:w="1643" w:type="dxa"/>
            <w:tcBorders>
              <w:top w:val="nil"/>
              <w:left w:val="nil"/>
              <w:bottom w:val="nil"/>
              <w:right w:val="nil"/>
            </w:tcBorders>
            <w:shd w:val="clear" w:color="auto" w:fill="EAF1DD" w:themeFill="accent3" w:themeFillTint="33"/>
            <w:vAlign w:val="bottom"/>
            <w:hideMark/>
          </w:tcPr>
          <w:p w14:paraId="12D446D2" w14:textId="6BABD062" w:rsidR="008C0B4E" w:rsidRPr="00232A87" w:rsidRDefault="008C0B4E" w:rsidP="00AD6F38">
            <w:pPr>
              <w:jc w:val="right"/>
              <w:rPr>
                <w:rFonts w:ascii="Arial" w:hAnsi="Arial" w:cs="Arial"/>
                <w:b/>
                <w:bCs/>
                <w:color w:val="000000"/>
              </w:rPr>
            </w:pPr>
            <w:r>
              <w:rPr>
                <w:rFonts w:ascii="Arial" w:hAnsi="Arial" w:cs="Arial"/>
                <w:b/>
                <w:bCs/>
                <w:color w:val="000000"/>
              </w:rPr>
              <w:t xml:space="preserve">Non-interest bearing </w:t>
            </w:r>
          </w:p>
        </w:tc>
        <w:tc>
          <w:tcPr>
            <w:tcW w:w="1195" w:type="dxa"/>
            <w:tcBorders>
              <w:top w:val="nil"/>
              <w:left w:val="nil"/>
              <w:bottom w:val="nil"/>
              <w:right w:val="nil"/>
            </w:tcBorders>
            <w:shd w:val="clear" w:color="auto" w:fill="EAF1DD" w:themeFill="accent3" w:themeFillTint="33"/>
          </w:tcPr>
          <w:p w14:paraId="4B844623" w14:textId="77777777" w:rsidR="008C0B4E" w:rsidRDefault="008C0B4E" w:rsidP="00AD6F38">
            <w:pPr>
              <w:jc w:val="right"/>
              <w:rPr>
                <w:rFonts w:ascii="Arial" w:hAnsi="Arial" w:cs="Arial"/>
                <w:b/>
                <w:bCs/>
                <w:color w:val="000000"/>
              </w:rPr>
            </w:pPr>
          </w:p>
          <w:p w14:paraId="4BBF936A" w14:textId="77777777" w:rsidR="008C0B4E" w:rsidRDefault="008C0B4E" w:rsidP="00AD6F38">
            <w:pPr>
              <w:jc w:val="right"/>
              <w:rPr>
                <w:rFonts w:ascii="Arial" w:hAnsi="Arial" w:cs="Arial"/>
                <w:b/>
                <w:bCs/>
                <w:color w:val="000000"/>
              </w:rPr>
            </w:pPr>
          </w:p>
          <w:p w14:paraId="4EE25950" w14:textId="77777777" w:rsidR="008C0B4E" w:rsidRDefault="008C0B4E" w:rsidP="00AD6F38">
            <w:pPr>
              <w:jc w:val="right"/>
              <w:rPr>
                <w:rFonts w:ascii="Arial" w:hAnsi="Arial" w:cs="Arial"/>
                <w:b/>
                <w:bCs/>
                <w:color w:val="000000"/>
              </w:rPr>
            </w:pPr>
          </w:p>
          <w:p w14:paraId="16E73D43" w14:textId="77777777" w:rsidR="008C0B4E" w:rsidRDefault="008C0B4E" w:rsidP="00AD6F38">
            <w:pPr>
              <w:jc w:val="right"/>
              <w:rPr>
                <w:rFonts w:ascii="Arial" w:hAnsi="Arial" w:cs="Arial"/>
                <w:b/>
                <w:bCs/>
                <w:color w:val="000000"/>
              </w:rPr>
            </w:pPr>
          </w:p>
          <w:p w14:paraId="0B739EDC" w14:textId="317509F4" w:rsidR="008C0B4E" w:rsidRDefault="008C0B4E" w:rsidP="00AD6F38">
            <w:pPr>
              <w:jc w:val="right"/>
              <w:rPr>
                <w:rFonts w:ascii="Arial" w:hAnsi="Arial" w:cs="Arial"/>
                <w:b/>
                <w:bCs/>
                <w:color w:val="000000"/>
              </w:rPr>
            </w:pPr>
            <w:r>
              <w:rPr>
                <w:rFonts w:ascii="Arial" w:hAnsi="Arial" w:cs="Arial"/>
                <w:b/>
                <w:bCs/>
                <w:color w:val="000000"/>
              </w:rPr>
              <w:t xml:space="preserve">Total </w:t>
            </w:r>
          </w:p>
        </w:tc>
      </w:tr>
      <w:tr w:rsidR="008C0B4E" w:rsidRPr="00FB4314" w14:paraId="62113724" w14:textId="33AAD0CC" w:rsidTr="008C0B4E">
        <w:trPr>
          <w:trHeight w:val="454"/>
        </w:trPr>
        <w:tc>
          <w:tcPr>
            <w:tcW w:w="4912" w:type="dxa"/>
            <w:tcBorders>
              <w:top w:val="nil"/>
              <w:left w:val="nil"/>
              <w:bottom w:val="nil"/>
              <w:right w:val="nil"/>
            </w:tcBorders>
            <w:noWrap/>
            <w:vAlign w:val="bottom"/>
            <w:hideMark/>
          </w:tcPr>
          <w:p w14:paraId="420D177F" w14:textId="77777777" w:rsidR="008C0B4E" w:rsidRPr="00232A87" w:rsidRDefault="008C0B4E">
            <w:pPr>
              <w:jc w:val="right"/>
              <w:rPr>
                <w:rFonts w:ascii="Arial" w:hAnsi="Arial" w:cs="Arial"/>
                <w:b/>
                <w:bCs/>
                <w:color w:val="000000"/>
              </w:rPr>
            </w:pPr>
          </w:p>
        </w:tc>
        <w:tc>
          <w:tcPr>
            <w:tcW w:w="962" w:type="dxa"/>
            <w:tcBorders>
              <w:top w:val="nil"/>
              <w:left w:val="nil"/>
              <w:bottom w:val="nil"/>
              <w:right w:val="nil"/>
            </w:tcBorders>
            <w:noWrap/>
            <w:vAlign w:val="bottom"/>
            <w:hideMark/>
          </w:tcPr>
          <w:p w14:paraId="0B4B4080" w14:textId="3DB738D1" w:rsidR="008C0B4E" w:rsidRPr="00232A87" w:rsidRDefault="008C0B4E">
            <w:pPr>
              <w:jc w:val="center"/>
              <w:rPr>
                <w:rFonts w:ascii="Arial" w:hAnsi="Arial" w:cs="Arial"/>
              </w:rPr>
            </w:pPr>
            <w:r>
              <w:rPr>
                <w:rFonts w:ascii="Arial" w:hAnsi="Arial" w:cs="Arial"/>
              </w:rPr>
              <w:t>Note</w:t>
            </w:r>
          </w:p>
        </w:tc>
        <w:tc>
          <w:tcPr>
            <w:tcW w:w="1779" w:type="dxa"/>
            <w:tcBorders>
              <w:top w:val="nil"/>
              <w:left w:val="nil"/>
              <w:bottom w:val="nil"/>
              <w:right w:val="nil"/>
            </w:tcBorders>
            <w:shd w:val="clear" w:color="auto" w:fill="EAF1DD" w:themeFill="accent3" w:themeFillTint="33"/>
            <w:noWrap/>
            <w:vAlign w:val="bottom"/>
            <w:hideMark/>
          </w:tcPr>
          <w:p w14:paraId="60F62E6A" w14:textId="77777777" w:rsidR="008C0B4E" w:rsidRPr="00232A87" w:rsidRDefault="008C0B4E">
            <w:pPr>
              <w:jc w:val="right"/>
              <w:rPr>
                <w:rFonts w:ascii="Arial" w:hAnsi="Arial" w:cs="Arial"/>
                <w:b/>
                <w:bCs/>
                <w:color w:val="000000"/>
              </w:rPr>
            </w:pPr>
            <w:r w:rsidRPr="00232A87">
              <w:rPr>
                <w:rFonts w:ascii="Arial" w:hAnsi="Arial" w:cs="Arial"/>
                <w:b/>
                <w:bCs/>
                <w:color w:val="000000"/>
              </w:rPr>
              <w:t xml:space="preserve">   £'000</w:t>
            </w:r>
          </w:p>
        </w:tc>
        <w:tc>
          <w:tcPr>
            <w:tcW w:w="1643" w:type="dxa"/>
            <w:tcBorders>
              <w:top w:val="nil"/>
              <w:left w:val="nil"/>
              <w:bottom w:val="nil"/>
              <w:right w:val="nil"/>
            </w:tcBorders>
            <w:shd w:val="clear" w:color="auto" w:fill="EAF1DD" w:themeFill="accent3" w:themeFillTint="33"/>
            <w:noWrap/>
            <w:vAlign w:val="bottom"/>
            <w:hideMark/>
          </w:tcPr>
          <w:p w14:paraId="5F5F7006" w14:textId="77777777" w:rsidR="008C0B4E" w:rsidRPr="00232A87" w:rsidRDefault="008C0B4E">
            <w:pPr>
              <w:jc w:val="right"/>
              <w:rPr>
                <w:rFonts w:ascii="Arial" w:hAnsi="Arial" w:cs="Arial"/>
                <w:b/>
                <w:bCs/>
                <w:color w:val="000000"/>
              </w:rPr>
            </w:pPr>
            <w:r w:rsidRPr="00232A87">
              <w:rPr>
                <w:rFonts w:ascii="Arial" w:hAnsi="Arial" w:cs="Arial"/>
                <w:b/>
                <w:bCs/>
                <w:color w:val="000000"/>
              </w:rPr>
              <w:t xml:space="preserve">   £'000</w:t>
            </w:r>
          </w:p>
        </w:tc>
        <w:tc>
          <w:tcPr>
            <w:tcW w:w="1195" w:type="dxa"/>
            <w:tcBorders>
              <w:top w:val="nil"/>
              <w:left w:val="nil"/>
              <w:bottom w:val="nil"/>
              <w:right w:val="nil"/>
            </w:tcBorders>
            <w:shd w:val="clear" w:color="auto" w:fill="EAF1DD" w:themeFill="accent3" w:themeFillTint="33"/>
          </w:tcPr>
          <w:p w14:paraId="3B3714D5" w14:textId="77777777" w:rsidR="008C0B4E" w:rsidRDefault="008C0B4E">
            <w:pPr>
              <w:jc w:val="right"/>
              <w:rPr>
                <w:rFonts w:ascii="Arial" w:hAnsi="Arial" w:cs="Arial"/>
                <w:b/>
                <w:bCs/>
                <w:color w:val="000000"/>
              </w:rPr>
            </w:pPr>
          </w:p>
          <w:p w14:paraId="3B190371" w14:textId="782A3822" w:rsidR="008C0B4E" w:rsidRPr="00232A87" w:rsidRDefault="008C0B4E">
            <w:pPr>
              <w:jc w:val="right"/>
              <w:rPr>
                <w:rFonts w:ascii="Arial" w:hAnsi="Arial" w:cs="Arial"/>
                <w:b/>
                <w:bCs/>
                <w:color w:val="000000"/>
              </w:rPr>
            </w:pPr>
            <w:r>
              <w:rPr>
                <w:rFonts w:ascii="Arial" w:hAnsi="Arial" w:cs="Arial"/>
                <w:b/>
                <w:bCs/>
                <w:color w:val="000000"/>
              </w:rPr>
              <w:t>£’000</w:t>
            </w:r>
          </w:p>
        </w:tc>
      </w:tr>
      <w:tr w:rsidR="008C0B4E" w:rsidRPr="00232A87" w14:paraId="794C8031" w14:textId="5998539F" w:rsidTr="008C0B4E">
        <w:trPr>
          <w:trHeight w:val="425"/>
        </w:trPr>
        <w:tc>
          <w:tcPr>
            <w:tcW w:w="4912" w:type="dxa"/>
            <w:tcBorders>
              <w:top w:val="nil"/>
              <w:left w:val="nil"/>
              <w:bottom w:val="nil"/>
              <w:right w:val="nil"/>
            </w:tcBorders>
            <w:noWrap/>
            <w:vAlign w:val="bottom"/>
            <w:hideMark/>
          </w:tcPr>
          <w:p w14:paraId="07BF9F94" w14:textId="2C5044B0" w:rsidR="008C0B4E" w:rsidRPr="00232A87" w:rsidRDefault="00FB4314">
            <w:pPr>
              <w:ind w:left="-107"/>
              <w:rPr>
                <w:rFonts w:ascii="Arial" w:hAnsi="Arial" w:cs="Arial"/>
                <w:color w:val="000000"/>
              </w:rPr>
            </w:pPr>
            <w:r>
              <w:rPr>
                <w:rFonts w:ascii="Arial" w:hAnsi="Arial" w:cs="Arial"/>
                <w:color w:val="000000"/>
              </w:rPr>
              <w:t xml:space="preserve"> T</w:t>
            </w:r>
            <w:r w:rsidR="008C0B4E">
              <w:rPr>
                <w:rFonts w:ascii="Arial" w:hAnsi="Arial" w:cs="Arial"/>
                <w:color w:val="000000"/>
              </w:rPr>
              <w:t>rade and other receivables</w:t>
            </w:r>
          </w:p>
        </w:tc>
        <w:tc>
          <w:tcPr>
            <w:tcW w:w="962" w:type="dxa"/>
            <w:tcBorders>
              <w:top w:val="nil"/>
              <w:left w:val="nil"/>
              <w:bottom w:val="nil"/>
              <w:right w:val="nil"/>
            </w:tcBorders>
            <w:noWrap/>
            <w:vAlign w:val="bottom"/>
            <w:hideMark/>
          </w:tcPr>
          <w:p w14:paraId="5D59A8E3" w14:textId="2B1657DB" w:rsidR="008C0B4E" w:rsidRPr="00004F0F" w:rsidRDefault="008C0B4E">
            <w:pPr>
              <w:jc w:val="center"/>
              <w:rPr>
                <w:rFonts w:ascii="Arial" w:hAnsi="Arial" w:cs="Arial"/>
                <w:color w:val="000000"/>
              </w:rPr>
            </w:pPr>
            <w:r>
              <w:rPr>
                <w:rFonts w:ascii="Arial" w:hAnsi="Arial" w:cs="Arial"/>
                <w:color w:val="000000"/>
              </w:rPr>
              <w:t>11</w:t>
            </w:r>
          </w:p>
        </w:tc>
        <w:tc>
          <w:tcPr>
            <w:tcW w:w="1779" w:type="dxa"/>
            <w:tcBorders>
              <w:top w:val="nil"/>
              <w:left w:val="nil"/>
              <w:bottom w:val="nil"/>
              <w:right w:val="nil"/>
            </w:tcBorders>
            <w:shd w:val="clear" w:color="auto" w:fill="EAF1DD" w:themeFill="accent3" w:themeFillTint="33"/>
            <w:noWrap/>
            <w:vAlign w:val="bottom"/>
          </w:tcPr>
          <w:p w14:paraId="53B0E82D" w14:textId="0712EB7D" w:rsidR="008C0B4E" w:rsidRPr="00232A87" w:rsidRDefault="008C0B4E">
            <w:pPr>
              <w:jc w:val="right"/>
              <w:rPr>
                <w:rFonts w:ascii="Arial" w:hAnsi="Arial" w:cs="Arial"/>
                <w:color w:val="000000"/>
              </w:rPr>
            </w:pPr>
          </w:p>
        </w:tc>
        <w:tc>
          <w:tcPr>
            <w:tcW w:w="1643" w:type="dxa"/>
            <w:tcBorders>
              <w:top w:val="nil"/>
              <w:left w:val="nil"/>
              <w:bottom w:val="nil"/>
              <w:right w:val="nil"/>
            </w:tcBorders>
            <w:shd w:val="clear" w:color="auto" w:fill="EAF1DD" w:themeFill="accent3" w:themeFillTint="33"/>
            <w:noWrap/>
            <w:vAlign w:val="bottom"/>
          </w:tcPr>
          <w:p w14:paraId="44C7ECC6" w14:textId="22DECF73" w:rsidR="008C0B4E" w:rsidRPr="00232A87" w:rsidRDefault="00BA462F">
            <w:pPr>
              <w:jc w:val="right"/>
              <w:rPr>
                <w:rFonts w:ascii="Arial" w:hAnsi="Arial" w:cs="Arial"/>
                <w:color w:val="000000"/>
              </w:rPr>
            </w:pPr>
            <w:r>
              <w:rPr>
                <w:rFonts w:ascii="Arial" w:hAnsi="Arial" w:cs="Arial"/>
                <w:color w:val="000000"/>
              </w:rPr>
              <w:t>8</w:t>
            </w:r>
            <w:r w:rsidR="008C0B4E">
              <w:rPr>
                <w:rFonts w:ascii="Arial" w:hAnsi="Arial" w:cs="Arial"/>
                <w:color w:val="000000"/>
              </w:rPr>
              <w:t>,</w:t>
            </w:r>
            <w:r w:rsidR="00FA5E72">
              <w:rPr>
                <w:rFonts w:ascii="Arial" w:hAnsi="Arial" w:cs="Arial"/>
                <w:color w:val="000000"/>
              </w:rPr>
              <w:t>826</w:t>
            </w:r>
          </w:p>
        </w:tc>
        <w:tc>
          <w:tcPr>
            <w:tcW w:w="1195" w:type="dxa"/>
            <w:tcBorders>
              <w:top w:val="nil"/>
              <w:left w:val="nil"/>
              <w:bottom w:val="nil"/>
              <w:right w:val="nil"/>
            </w:tcBorders>
            <w:shd w:val="clear" w:color="auto" w:fill="EAF1DD" w:themeFill="accent3" w:themeFillTint="33"/>
          </w:tcPr>
          <w:p w14:paraId="0428DA13" w14:textId="77777777" w:rsidR="008C0B4E" w:rsidRDefault="008C0B4E">
            <w:pPr>
              <w:jc w:val="right"/>
              <w:rPr>
                <w:rFonts w:ascii="Arial" w:hAnsi="Arial" w:cs="Arial"/>
                <w:color w:val="000000"/>
              </w:rPr>
            </w:pPr>
          </w:p>
          <w:p w14:paraId="43CCE5FC" w14:textId="0BFF61C2" w:rsidR="008C0B4E" w:rsidRDefault="00FA5E72">
            <w:pPr>
              <w:jc w:val="right"/>
              <w:rPr>
                <w:rFonts w:ascii="Arial" w:hAnsi="Arial" w:cs="Arial"/>
                <w:color w:val="000000"/>
              </w:rPr>
            </w:pPr>
            <w:r>
              <w:rPr>
                <w:rFonts w:ascii="Arial" w:hAnsi="Arial" w:cs="Arial"/>
                <w:color w:val="000000"/>
              </w:rPr>
              <w:t>8</w:t>
            </w:r>
            <w:r w:rsidR="008C0B4E">
              <w:rPr>
                <w:rFonts w:ascii="Arial" w:hAnsi="Arial" w:cs="Arial"/>
                <w:color w:val="000000"/>
              </w:rPr>
              <w:t>,</w:t>
            </w:r>
            <w:r w:rsidR="00774FBD">
              <w:rPr>
                <w:rFonts w:ascii="Arial" w:hAnsi="Arial" w:cs="Arial"/>
                <w:color w:val="000000"/>
              </w:rPr>
              <w:t>8</w:t>
            </w:r>
            <w:r>
              <w:rPr>
                <w:rFonts w:ascii="Arial" w:hAnsi="Arial" w:cs="Arial"/>
                <w:color w:val="000000"/>
              </w:rPr>
              <w:t>26</w:t>
            </w:r>
          </w:p>
        </w:tc>
      </w:tr>
      <w:tr w:rsidR="008C0B4E" w:rsidRPr="00232A87" w14:paraId="128E10A6" w14:textId="1F5C61A7" w:rsidTr="008C0B4E">
        <w:trPr>
          <w:trHeight w:val="425"/>
        </w:trPr>
        <w:tc>
          <w:tcPr>
            <w:tcW w:w="4912" w:type="dxa"/>
            <w:tcBorders>
              <w:top w:val="nil"/>
              <w:left w:val="nil"/>
              <w:bottom w:val="nil"/>
              <w:right w:val="nil"/>
            </w:tcBorders>
            <w:noWrap/>
            <w:vAlign w:val="bottom"/>
            <w:hideMark/>
          </w:tcPr>
          <w:p w14:paraId="06DEBE9B" w14:textId="1E67E5B0" w:rsidR="008C0B4E" w:rsidRPr="00232A87" w:rsidRDefault="00FB4314">
            <w:pPr>
              <w:ind w:left="-107"/>
              <w:rPr>
                <w:rFonts w:ascii="Arial" w:hAnsi="Arial" w:cs="Arial"/>
                <w:color w:val="000000"/>
              </w:rPr>
            </w:pPr>
            <w:r>
              <w:rPr>
                <w:rFonts w:ascii="Arial" w:hAnsi="Arial" w:cs="Arial"/>
                <w:color w:val="000000"/>
              </w:rPr>
              <w:t xml:space="preserve"> C</w:t>
            </w:r>
            <w:r w:rsidR="008C0B4E">
              <w:rPr>
                <w:rFonts w:ascii="Arial" w:hAnsi="Arial" w:cs="Arial"/>
                <w:color w:val="000000"/>
              </w:rPr>
              <w:t>ash at bank and in hand</w:t>
            </w:r>
            <w:r w:rsidR="008C0B4E" w:rsidRPr="00232A87">
              <w:rPr>
                <w:rFonts w:ascii="Arial" w:hAnsi="Arial" w:cs="Arial"/>
                <w:color w:val="000000"/>
              </w:rPr>
              <w:t xml:space="preserve"> </w:t>
            </w:r>
          </w:p>
        </w:tc>
        <w:tc>
          <w:tcPr>
            <w:tcW w:w="962" w:type="dxa"/>
            <w:tcBorders>
              <w:top w:val="nil"/>
              <w:left w:val="nil"/>
              <w:bottom w:val="nil"/>
              <w:right w:val="nil"/>
            </w:tcBorders>
            <w:noWrap/>
            <w:vAlign w:val="bottom"/>
            <w:hideMark/>
          </w:tcPr>
          <w:p w14:paraId="2A42FBE1" w14:textId="28BD8C31" w:rsidR="008C0B4E" w:rsidRPr="00004F0F" w:rsidRDefault="008C0B4E">
            <w:pPr>
              <w:jc w:val="center"/>
              <w:rPr>
                <w:rFonts w:ascii="Arial" w:hAnsi="Arial" w:cs="Arial"/>
                <w:color w:val="000000"/>
              </w:rPr>
            </w:pPr>
            <w:r>
              <w:rPr>
                <w:rFonts w:ascii="Arial" w:hAnsi="Arial" w:cs="Arial"/>
                <w:color w:val="000000"/>
              </w:rPr>
              <w:t>10</w:t>
            </w:r>
          </w:p>
        </w:tc>
        <w:tc>
          <w:tcPr>
            <w:tcW w:w="1779" w:type="dxa"/>
            <w:tcBorders>
              <w:top w:val="nil"/>
              <w:left w:val="nil"/>
              <w:bottom w:val="single" w:sz="4" w:space="0" w:color="auto"/>
              <w:right w:val="nil"/>
            </w:tcBorders>
            <w:shd w:val="clear" w:color="auto" w:fill="EAF1DD" w:themeFill="accent3" w:themeFillTint="33"/>
            <w:noWrap/>
            <w:vAlign w:val="bottom"/>
          </w:tcPr>
          <w:p w14:paraId="66C5A9B9" w14:textId="776F5E9F" w:rsidR="008C0B4E" w:rsidRPr="00232A87" w:rsidRDefault="008C0B4E">
            <w:pPr>
              <w:jc w:val="right"/>
              <w:rPr>
                <w:rFonts w:ascii="Arial" w:hAnsi="Arial" w:cs="Arial"/>
                <w:color w:val="000000"/>
              </w:rPr>
            </w:pPr>
            <w:r>
              <w:rPr>
                <w:rFonts w:ascii="Arial" w:hAnsi="Arial" w:cs="Arial"/>
                <w:color w:val="000000"/>
              </w:rPr>
              <w:t>2,146</w:t>
            </w:r>
          </w:p>
        </w:tc>
        <w:tc>
          <w:tcPr>
            <w:tcW w:w="1643" w:type="dxa"/>
            <w:tcBorders>
              <w:top w:val="nil"/>
              <w:left w:val="nil"/>
              <w:bottom w:val="single" w:sz="4" w:space="0" w:color="auto"/>
              <w:right w:val="nil"/>
            </w:tcBorders>
            <w:shd w:val="clear" w:color="auto" w:fill="EAF1DD" w:themeFill="accent3" w:themeFillTint="33"/>
            <w:noWrap/>
            <w:vAlign w:val="bottom"/>
          </w:tcPr>
          <w:p w14:paraId="480D06E2" w14:textId="3FFC58DB" w:rsidR="008C0B4E" w:rsidRPr="00232A87" w:rsidRDefault="008C0B4E">
            <w:pPr>
              <w:jc w:val="right"/>
              <w:rPr>
                <w:rFonts w:ascii="Arial" w:hAnsi="Arial" w:cs="Arial"/>
                <w:color w:val="000000"/>
              </w:rPr>
            </w:pPr>
          </w:p>
        </w:tc>
        <w:tc>
          <w:tcPr>
            <w:tcW w:w="1195" w:type="dxa"/>
            <w:tcBorders>
              <w:top w:val="nil"/>
              <w:left w:val="nil"/>
              <w:bottom w:val="single" w:sz="4" w:space="0" w:color="auto"/>
              <w:right w:val="nil"/>
            </w:tcBorders>
            <w:shd w:val="clear" w:color="auto" w:fill="EAF1DD" w:themeFill="accent3" w:themeFillTint="33"/>
          </w:tcPr>
          <w:p w14:paraId="61881F03" w14:textId="77777777" w:rsidR="008C0B4E" w:rsidRDefault="008C0B4E">
            <w:pPr>
              <w:jc w:val="right"/>
              <w:rPr>
                <w:rFonts w:ascii="Arial" w:hAnsi="Arial" w:cs="Arial"/>
                <w:color w:val="000000"/>
              </w:rPr>
            </w:pPr>
          </w:p>
          <w:p w14:paraId="361B0408" w14:textId="3319C87A" w:rsidR="008C0B4E" w:rsidRPr="00232A87" w:rsidRDefault="008C0B4E" w:rsidP="008C0B4E">
            <w:pPr>
              <w:jc w:val="right"/>
              <w:rPr>
                <w:rFonts w:ascii="Arial" w:hAnsi="Arial" w:cs="Arial"/>
                <w:color w:val="000000"/>
              </w:rPr>
            </w:pPr>
            <w:r>
              <w:rPr>
                <w:rFonts w:ascii="Arial" w:hAnsi="Arial" w:cs="Arial"/>
                <w:color w:val="000000"/>
              </w:rPr>
              <w:t>2,146</w:t>
            </w:r>
          </w:p>
        </w:tc>
      </w:tr>
      <w:tr w:rsidR="008C0B4E" w14:paraId="29155A09" w14:textId="1C8DDA33" w:rsidTr="008C0B4E">
        <w:trPr>
          <w:trHeight w:val="425"/>
        </w:trPr>
        <w:tc>
          <w:tcPr>
            <w:tcW w:w="4912" w:type="dxa"/>
            <w:tcBorders>
              <w:top w:val="nil"/>
              <w:left w:val="nil"/>
              <w:bottom w:val="nil"/>
              <w:right w:val="nil"/>
            </w:tcBorders>
            <w:noWrap/>
            <w:vAlign w:val="bottom"/>
          </w:tcPr>
          <w:p w14:paraId="6F217BFB" w14:textId="12E34AEF" w:rsidR="008C0B4E" w:rsidRPr="00232A87" w:rsidRDefault="00FB4314">
            <w:pPr>
              <w:ind w:left="-107"/>
              <w:rPr>
                <w:rFonts w:ascii="Arial" w:hAnsi="Arial" w:cs="Arial"/>
                <w:color w:val="000000"/>
              </w:rPr>
            </w:pPr>
            <w:r>
              <w:rPr>
                <w:rFonts w:ascii="Arial" w:hAnsi="Arial" w:cs="Arial"/>
                <w:color w:val="000000"/>
              </w:rPr>
              <w:t xml:space="preserve"> </w:t>
            </w:r>
            <w:r w:rsidR="008C0B4E">
              <w:rPr>
                <w:rFonts w:ascii="Arial" w:hAnsi="Arial" w:cs="Arial"/>
                <w:color w:val="000000"/>
              </w:rPr>
              <w:t>Total financial assets</w:t>
            </w:r>
          </w:p>
        </w:tc>
        <w:tc>
          <w:tcPr>
            <w:tcW w:w="962" w:type="dxa"/>
            <w:tcBorders>
              <w:top w:val="nil"/>
              <w:left w:val="nil"/>
              <w:bottom w:val="nil"/>
              <w:right w:val="nil"/>
            </w:tcBorders>
            <w:noWrap/>
            <w:vAlign w:val="bottom"/>
          </w:tcPr>
          <w:p w14:paraId="729E378E" w14:textId="6FCCB5CD" w:rsidR="008C0B4E" w:rsidRPr="00004F0F" w:rsidRDefault="008C0B4E">
            <w:pPr>
              <w:jc w:val="center"/>
              <w:rPr>
                <w:rFonts w:ascii="Arial" w:hAnsi="Arial" w:cs="Arial"/>
                <w:color w:val="000000"/>
              </w:rPr>
            </w:pPr>
          </w:p>
        </w:tc>
        <w:tc>
          <w:tcPr>
            <w:tcW w:w="1779" w:type="dxa"/>
            <w:tcBorders>
              <w:top w:val="single" w:sz="4" w:space="0" w:color="auto"/>
              <w:left w:val="nil"/>
              <w:bottom w:val="double" w:sz="4" w:space="0" w:color="auto"/>
              <w:right w:val="nil"/>
            </w:tcBorders>
            <w:shd w:val="clear" w:color="auto" w:fill="EAF1DD" w:themeFill="accent3" w:themeFillTint="33"/>
            <w:noWrap/>
            <w:vAlign w:val="bottom"/>
          </w:tcPr>
          <w:p w14:paraId="3AC627AA" w14:textId="473947CC" w:rsidR="008C0B4E" w:rsidRPr="00625CE4" w:rsidRDefault="008C0B4E">
            <w:pPr>
              <w:jc w:val="right"/>
              <w:rPr>
                <w:rFonts w:ascii="Arial" w:hAnsi="Arial" w:cs="Arial"/>
                <w:b/>
                <w:bCs/>
                <w:color w:val="000000"/>
              </w:rPr>
            </w:pPr>
            <w:r w:rsidRPr="00625CE4">
              <w:rPr>
                <w:rFonts w:ascii="Arial" w:hAnsi="Arial" w:cs="Arial"/>
                <w:b/>
                <w:bCs/>
                <w:color w:val="000000"/>
              </w:rPr>
              <w:t>2,146</w:t>
            </w:r>
          </w:p>
        </w:tc>
        <w:tc>
          <w:tcPr>
            <w:tcW w:w="1643" w:type="dxa"/>
            <w:tcBorders>
              <w:top w:val="single" w:sz="4" w:space="0" w:color="auto"/>
              <w:left w:val="nil"/>
              <w:bottom w:val="double" w:sz="4" w:space="0" w:color="auto"/>
              <w:right w:val="nil"/>
            </w:tcBorders>
            <w:shd w:val="clear" w:color="auto" w:fill="EAF1DD" w:themeFill="accent3" w:themeFillTint="33"/>
            <w:noWrap/>
            <w:vAlign w:val="bottom"/>
          </w:tcPr>
          <w:p w14:paraId="5EEC7FF2" w14:textId="708E77F8" w:rsidR="008C0B4E" w:rsidRPr="00625CE4" w:rsidRDefault="00FA5E72">
            <w:pPr>
              <w:jc w:val="right"/>
              <w:rPr>
                <w:rFonts w:ascii="Arial" w:hAnsi="Arial" w:cs="Arial"/>
                <w:b/>
                <w:bCs/>
                <w:color w:val="000000"/>
              </w:rPr>
            </w:pPr>
            <w:r>
              <w:rPr>
                <w:rFonts w:ascii="Arial" w:hAnsi="Arial" w:cs="Arial"/>
                <w:b/>
                <w:bCs/>
                <w:color w:val="000000"/>
              </w:rPr>
              <w:t>8</w:t>
            </w:r>
            <w:r w:rsidR="008C0B4E" w:rsidRPr="00625CE4">
              <w:rPr>
                <w:rFonts w:ascii="Arial" w:hAnsi="Arial" w:cs="Arial"/>
                <w:b/>
                <w:bCs/>
                <w:color w:val="000000"/>
              </w:rPr>
              <w:t>,</w:t>
            </w:r>
            <w:r w:rsidR="00774FBD">
              <w:rPr>
                <w:rFonts w:ascii="Arial" w:hAnsi="Arial" w:cs="Arial"/>
                <w:b/>
                <w:bCs/>
                <w:color w:val="000000"/>
              </w:rPr>
              <w:t>8</w:t>
            </w:r>
            <w:r>
              <w:rPr>
                <w:rFonts w:ascii="Arial" w:hAnsi="Arial" w:cs="Arial"/>
                <w:b/>
                <w:bCs/>
                <w:color w:val="000000"/>
              </w:rPr>
              <w:t>26</w:t>
            </w:r>
          </w:p>
        </w:tc>
        <w:tc>
          <w:tcPr>
            <w:tcW w:w="1195" w:type="dxa"/>
            <w:tcBorders>
              <w:top w:val="single" w:sz="4" w:space="0" w:color="auto"/>
              <w:left w:val="nil"/>
              <w:bottom w:val="double" w:sz="4" w:space="0" w:color="auto"/>
              <w:right w:val="nil"/>
            </w:tcBorders>
            <w:shd w:val="clear" w:color="auto" w:fill="EAF1DD" w:themeFill="accent3" w:themeFillTint="33"/>
          </w:tcPr>
          <w:p w14:paraId="432E5BE4" w14:textId="77777777" w:rsidR="00BC0C9B" w:rsidRPr="00625CE4" w:rsidRDefault="00BC0C9B">
            <w:pPr>
              <w:jc w:val="right"/>
              <w:rPr>
                <w:rFonts w:ascii="Arial" w:hAnsi="Arial" w:cs="Arial"/>
                <w:b/>
                <w:bCs/>
                <w:color w:val="000000"/>
              </w:rPr>
            </w:pPr>
          </w:p>
          <w:p w14:paraId="08F8AA60" w14:textId="7FBF0A90" w:rsidR="008C0B4E" w:rsidRPr="00625CE4" w:rsidRDefault="009D0632">
            <w:pPr>
              <w:jc w:val="right"/>
              <w:rPr>
                <w:rFonts w:ascii="Arial" w:hAnsi="Arial" w:cs="Arial"/>
                <w:b/>
                <w:bCs/>
                <w:color w:val="000000"/>
              </w:rPr>
            </w:pPr>
            <w:r>
              <w:rPr>
                <w:rFonts w:ascii="Arial" w:hAnsi="Arial" w:cs="Arial"/>
                <w:b/>
                <w:bCs/>
                <w:color w:val="000000"/>
              </w:rPr>
              <w:t>10,</w:t>
            </w:r>
            <w:r w:rsidR="00FA5E72">
              <w:rPr>
                <w:rFonts w:ascii="Arial" w:hAnsi="Arial" w:cs="Arial"/>
                <w:b/>
                <w:bCs/>
                <w:color w:val="000000"/>
              </w:rPr>
              <w:t>972</w:t>
            </w:r>
          </w:p>
        </w:tc>
      </w:tr>
      <w:tr w:rsidR="008C0B4E" w:rsidRPr="00232A87" w14:paraId="6C50A328" w14:textId="0A730D38" w:rsidTr="008C0B4E">
        <w:trPr>
          <w:trHeight w:val="425"/>
        </w:trPr>
        <w:tc>
          <w:tcPr>
            <w:tcW w:w="4912" w:type="dxa"/>
            <w:tcBorders>
              <w:top w:val="nil"/>
              <w:left w:val="nil"/>
              <w:bottom w:val="nil"/>
              <w:right w:val="nil"/>
            </w:tcBorders>
            <w:noWrap/>
            <w:vAlign w:val="bottom"/>
          </w:tcPr>
          <w:p w14:paraId="332BE03D" w14:textId="502BD537" w:rsidR="008C0B4E" w:rsidRPr="00232A87" w:rsidRDefault="00FB4314">
            <w:pPr>
              <w:ind w:left="-107"/>
              <w:rPr>
                <w:rFonts w:ascii="Arial" w:hAnsi="Arial" w:cs="Arial"/>
                <w:color w:val="000000"/>
              </w:rPr>
            </w:pPr>
            <w:r>
              <w:rPr>
                <w:rFonts w:ascii="Arial" w:hAnsi="Arial" w:cs="Arial"/>
                <w:color w:val="000000"/>
              </w:rPr>
              <w:t xml:space="preserve"> </w:t>
            </w:r>
            <w:r w:rsidR="008C0B4E">
              <w:rPr>
                <w:rFonts w:ascii="Arial" w:hAnsi="Arial" w:cs="Arial"/>
                <w:color w:val="000000"/>
              </w:rPr>
              <w:t>Trade and other payables</w:t>
            </w:r>
          </w:p>
        </w:tc>
        <w:tc>
          <w:tcPr>
            <w:tcW w:w="962" w:type="dxa"/>
            <w:tcBorders>
              <w:top w:val="nil"/>
              <w:left w:val="nil"/>
              <w:bottom w:val="nil"/>
              <w:right w:val="nil"/>
            </w:tcBorders>
            <w:noWrap/>
            <w:vAlign w:val="bottom"/>
          </w:tcPr>
          <w:p w14:paraId="35465D40" w14:textId="44E1AA88" w:rsidR="008C0B4E" w:rsidRPr="00004F0F" w:rsidRDefault="008C0B4E">
            <w:pPr>
              <w:jc w:val="center"/>
              <w:rPr>
                <w:rFonts w:ascii="Arial" w:hAnsi="Arial" w:cs="Arial"/>
                <w:color w:val="000000"/>
              </w:rPr>
            </w:pPr>
            <w:r w:rsidRPr="00004F0F">
              <w:rPr>
                <w:rFonts w:ascii="Arial" w:hAnsi="Arial" w:cs="Arial"/>
                <w:color w:val="000000"/>
              </w:rPr>
              <w:t>1</w:t>
            </w:r>
            <w:r>
              <w:rPr>
                <w:rFonts w:ascii="Arial" w:hAnsi="Arial" w:cs="Arial"/>
                <w:color w:val="000000"/>
              </w:rPr>
              <w:t>2</w:t>
            </w:r>
          </w:p>
        </w:tc>
        <w:tc>
          <w:tcPr>
            <w:tcW w:w="1779" w:type="dxa"/>
            <w:tcBorders>
              <w:top w:val="double" w:sz="4" w:space="0" w:color="auto"/>
              <w:left w:val="nil"/>
              <w:bottom w:val="single" w:sz="4" w:space="0" w:color="auto"/>
              <w:right w:val="nil"/>
            </w:tcBorders>
            <w:shd w:val="clear" w:color="auto" w:fill="EAF1DD" w:themeFill="accent3" w:themeFillTint="33"/>
            <w:noWrap/>
            <w:vAlign w:val="bottom"/>
          </w:tcPr>
          <w:p w14:paraId="677438F7" w14:textId="6CDFD16F" w:rsidR="008C0B4E" w:rsidRPr="00232A87" w:rsidRDefault="008C0B4E">
            <w:pPr>
              <w:jc w:val="right"/>
              <w:rPr>
                <w:rFonts w:ascii="Arial" w:hAnsi="Arial" w:cs="Arial"/>
                <w:color w:val="000000"/>
              </w:rPr>
            </w:pPr>
          </w:p>
        </w:tc>
        <w:tc>
          <w:tcPr>
            <w:tcW w:w="1643" w:type="dxa"/>
            <w:tcBorders>
              <w:top w:val="double" w:sz="4" w:space="0" w:color="auto"/>
              <w:left w:val="nil"/>
              <w:bottom w:val="single" w:sz="4" w:space="0" w:color="auto"/>
              <w:right w:val="nil"/>
            </w:tcBorders>
            <w:shd w:val="clear" w:color="auto" w:fill="EAF1DD" w:themeFill="accent3" w:themeFillTint="33"/>
            <w:noWrap/>
            <w:vAlign w:val="bottom"/>
          </w:tcPr>
          <w:p w14:paraId="70BA37F7" w14:textId="09CCDA81" w:rsidR="008C0B4E" w:rsidRPr="00096672" w:rsidRDefault="00431A81">
            <w:pPr>
              <w:jc w:val="right"/>
              <w:rPr>
                <w:rFonts w:ascii="Arial" w:hAnsi="Arial" w:cs="Arial"/>
                <w:b/>
                <w:bCs/>
                <w:color w:val="000000"/>
              </w:rPr>
            </w:pPr>
            <w:r>
              <w:rPr>
                <w:rFonts w:ascii="Arial" w:hAnsi="Arial" w:cs="Arial"/>
                <w:b/>
                <w:bCs/>
                <w:color w:val="000000"/>
              </w:rPr>
              <w:t>8</w:t>
            </w:r>
            <w:r w:rsidR="00BC0C9B" w:rsidRPr="00096672">
              <w:rPr>
                <w:rFonts w:ascii="Arial" w:hAnsi="Arial" w:cs="Arial"/>
                <w:b/>
                <w:bCs/>
                <w:color w:val="000000"/>
              </w:rPr>
              <w:t>,</w:t>
            </w:r>
            <w:r>
              <w:rPr>
                <w:rFonts w:ascii="Arial" w:hAnsi="Arial" w:cs="Arial"/>
                <w:b/>
                <w:bCs/>
                <w:color w:val="000000"/>
              </w:rPr>
              <w:t>695</w:t>
            </w:r>
          </w:p>
        </w:tc>
        <w:tc>
          <w:tcPr>
            <w:tcW w:w="1195" w:type="dxa"/>
            <w:tcBorders>
              <w:top w:val="double" w:sz="4" w:space="0" w:color="auto"/>
              <w:left w:val="nil"/>
              <w:bottom w:val="single" w:sz="4" w:space="0" w:color="auto"/>
              <w:right w:val="nil"/>
            </w:tcBorders>
            <w:shd w:val="clear" w:color="auto" w:fill="EAF1DD" w:themeFill="accent3" w:themeFillTint="33"/>
          </w:tcPr>
          <w:p w14:paraId="5427F021" w14:textId="77777777" w:rsidR="008C0B4E" w:rsidRPr="00096672" w:rsidRDefault="008C0B4E">
            <w:pPr>
              <w:jc w:val="right"/>
              <w:rPr>
                <w:rFonts w:ascii="Arial" w:hAnsi="Arial" w:cs="Arial"/>
                <w:b/>
                <w:bCs/>
                <w:color w:val="000000"/>
              </w:rPr>
            </w:pPr>
          </w:p>
          <w:p w14:paraId="7ACECFEB" w14:textId="1303B2D4" w:rsidR="00BC0C9B" w:rsidRPr="00096672" w:rsidRDefault="00431A81">
            <w:pPr>
              <w:jc w:val="right"/>
              <w:rPr>
                <w:rFonts w:ascii="Arial" w:hAnsi="Arial" w:cs="Arial"/>
                <w:b/>
                <w:bCs/>
                <w:color w:val="000000"/>
              </w:rPr>
            </w:pPr>
            <w:r>
              <w:rPr>
                <w:rFonts w:ascii="Arial" w:hAnsi="Arial" w:cs="Arial"/>
                <w:b/>
                <w:bCs/>
                <w:color w:val="000000"/>
              </w:rPr>
              <w:t>8</w:t>
            </w:r>
            <w:r w:rsidR="00BC0C9B" w:rsidRPr="00096672">
              <w:rPr>
                <w:rFonts w:ascii="Arial" w:hAnsi="Arial" w:cs="Arial"/>
                <w:b/>
                <w:bCs/>
                <w:color w:val="000000"/>
              </w:rPr>
              <w:t>,</w:t>
            </w:r>
            <w:r>
              <w:rPr>
                <w:rFonts w:ascii="Arial" w:hAnsi="Arial" w:cs="Arial"/>
                <w:b/>
                <w:bCs/>
                <w:color w:val="000000"/>
              </w:rPr>
              <w:t>695</w:t>
            </w:r>
          </w:p>
        </w:tc>
      </w:tr>
      <w:tr w:rsidR="008C0B4E" w:rsidRPr="00232A87" w14:paraId="4382FFAF" w14:textId="1CE35D16" w:rsidTr="008C0B4E">
        <w:trPr>
          <w:trHeight w:val="425"/>
        </w:trPr>
        <w:tc>
          <w:tcPr>
            <w:tcW w:w="4912" w:type="dxa"/>
            <w:tcBorders>
              <w:top w:val="nil"/>
              <w:left w:val="nil"/>
              <w:bottom w:val="nil"/>
              <w:right w:val="nil"/>
            </w:tcBorders>
            <w:noWrap/>
            <w:vAlign w:val="bottom"/>
            <w:hideMark/>
          </w:tcPr>
          <w:p w14:paraId="3857279C" w14:textId="34BE7CEE" w:rsidR="008C0B4E" w:rsidRPr="00232A87" w:rsidRDefault="009E1371">
            <w:pPr>
              <w:ind w:left="-107"/>
              <w:rPr>
                <w:rFonts w:ascii="Arial" w:hAnsi="Arial" w:cs="Arial"/>
                <w:color w:val="000000"/>
              </w:rPr>
            </w:pPr>
            <w:r>
              <w:rPr>
                <w:rFonts w:ascii="Arial" w:hAnsi="Arial" w:cs="Arial"/>
                <w:color w:val="000000"/>
              </w:rPr>
              <w:t xml:space="preserve"> </w:t>
            </w:r>
            <w:r w:rsidR="008C0B4E">
              <w:rPr>
                <w:rFonts w:ascii="Arial" w:hAnsi="Arial" w:cs="Arial"/>
                <w:color w:val="000000"/>
              </w:rPr>
              <w:t xml:space="preserve">Total financial liabilities </w:t>
            </w:r>
          </w:p>
        </w:tc>
        <w:tc>
          <w:tcPr>
            <w:tcW w:w="962" w:type="dxa"/>
            <w:tcBorders>
              <w:top w:val="nil"/>
              <w:left w:val="nil"/>
              <w:bottom w:val="nil"/>
              <w:right w:val="nil"/>
            </w:tcBorders>
            <w:noWrap/>
            <w:vAlign w:val="bottom"/>
            <w:hideMark/>
          </w:tcPr>
          <w:p w14:paraId="029760CB" w14:textId="744550B0" w:rsidR="008C0B4E" w:rsidRPr="00004F0F" w:rsidRDefault="008C0B4E">
            <w:pPr>
              <w:jc w:val="center"/>
              <w:rPr>
                <w:rFonts w:ascii="Arial" w:hAnsi="Arial" w:cs="Arial"/>
                <w:color w:val="000000"/>
              </w:rPr>
            </w:pPr>
          </w:p>
        </w:tc>
        <w:tc>
          <w:tcPr>
            <w:tcW w:w="1779" w:type="dxa"/>
            <w:tcBorders>
              <w:top w:val="single" w:sz="4" w:space="0" w:color="auto"/>
              <w:left w:val="nil"/>
              <w:bottom w:val="double" w:sz="4" w:space="0" w:color="auto"/>
              <w:right w:val="nil"/>
            </w:tcBorders>
            <w:shd w:val="clear" w:color="auto" w:fill="EAF1DD" w:themeFill="accent3" w:themeFillTint="33"/>
            <w:noWrap/>
            <w:vAlign w:val="bottom"/>
          </w:tcPr>
          <w:p w14:paraId="04690C6A" w14:textId="58F60ED9" w:rsidR="008C0B4E" w:rsidRPr="00625CE4" w:rsidRDefault="008C0B4E">
            <w:pPr>
              <w:jc w:val="right"/>
              <w:rPr>
                <w:rFonts w:ascii="Arial" w:hAnsi="Arial" w:cs="Arial"/>
                <w:b/>
                <w:bCs/>
                <w:color w:val="000000"/>
              </w:rPr>
            </w:pPr>
          </w:p>
        </w:tc>
        <w:tc>
          <w:tcPr>
            <w:tcW w:w="1643" w:type="dxa"/>
            <w:tcBorders>
              <w:top w:val="single" w:sz="4" w:space="0" w:color="auto"/>
              <w:left w:val="nil"/>
              <w:bottom w:val="double" w:sz="4" w:space="0" w:color="auto"/>
              <w:right w:val="nil"/>
            </w:tcBorders>
            <w:shd w:val="clear" w:color="auto" w:fill="EAF1DD" w:themeFill="accent3" w:themeFillTint="33"/>
            <w:noWrap/>
            <w:vAlign w:val="bottom"/>
          </w:tcPr>
          <w:p w14:paraId="4D0DE89F" w14:textId="6530A9D6" w:rsidR="008C0B4E" w:rsidRPr="00625CE4" w:rsidRDefault="00431A81">
            <w:pPr>
              <w:jc w:val="right"/>
              <w:rPr>
                <w:rFonts w:ascii="Arial" w:hAnsi="Arial" w:cs="Arial"/>
                <w:b/>
                <w:bCs/>
                <w:color w:val="000000"/>
              </w:rPr>
            </w:pPr>
            <w:r>
              <w:rPr>
                <w:rFonts w:ascii="Arial" w:hAnsi="Arial" w:cs="Arial"/>
                <w:b/>
                <w:bCs/>
                <w:color w:val="000000"/>
              </w:rPr>
              <w:t>8</w:t>
            </w:r>
            <w:r w:rsidR="008C0B4E" w:rsidRPr="00625CE4">
              <w:rPr>
                <w:rFonts w:ascii="Arial" w:hAnsi="Arial" w:cs="Arial"/>
                <w:b/>
                <w:bCs/>
                <w:color w:val="000000"/>
              </w:rPr>
              <w:t>,</w:t>
            </w:r>
            <w:r>
              <w:rPr>
                <w:rFonts w:ascii="Arial" w:hAnsi="Arial" w:cs="Arial"/>
                <w:b/>
                <w:bCs/>
                <w:color w:val="000000"/>
              </w:rPr>
              <w:t>695</w:t>
            </w:r>
          </w:p>
        </w:tc>
        <w:tc>
          <w:tcPr>
            <w:tcW w:w="1195" w:type="dxa"/>
            <w:tcBorders>
              <w:top w:val="single" w:sz="4" w:space="0" w:color="auto"/>
              <w:left w:val="nil"/>
              <w:bottom w:val="double" w:sz="4" w:space="0" w:color="auto"/>
              <w:right w:val="nil"/>
            </w:tcBorders>
            <w:shd w:val="clear" w:color="auto" w:fill="EAF1DD" w:themeFill="accent3" w:themeFillTint="33"/>
          </w:tcPr>
          <w:p w14:paraId="5194738A" w14:textId="77777777" w:rsidR="00625CE4" w:rsidRPr="00625CE4" w:rsidRDefault="00625CE4">
            <w:pPr>
              <w:jc w:val="right"/>
              <w:rPr>
                <w:rFonts w:ascii="Arial" w:hAnsi="Arial" w:cs="Arial"/>
                <w:b/>
                <w:bCs/>
                <w:color w:val="000000"/>
              </w:rPr>
            </w:pPr>
          </w:p>
          <w:p w14:paraId="5976E35E" w14:textId="6DD13D40" w:rsidR="008C0B4E" w:rsidRPr="00625CE4" w:rsidRDefault="00431A81">
            <w:pPr>
              <w:jc w:val="right"/>
              <w:rPr>
                <w:rFonts w:ascii="Arial" w:hAnsi="Arial" w:cs="Arial"/>
                <w:b/>
                <w:bCs/>
                <w:color w:val="000000"/>
              </w:rPr>
            </w:pPr>
            <w:r>
              <w:rPr>
                <w:rFonts w:ascii="Arial" w:hAnsi="Arial" w:cs="Arial"/>
                <w:b/>
                <w:bCs/>
                <w:color w:val="000000"/>
              </w:rPr>
              <w:t>8</w:t>
            </w:r>
            <w:r w:rsidR="00A557A3">
              <w:rPr>
                <w:rFonts w:ascii="Arial" w:hAnsi="Arial" w:cs="Arial"/>
                <w:b/>
                <w:bCs/>
                <w:color w:val="000000"/>
              </w:rPr>
              <w:t>,</w:t>
            </w:r>
            <w:r>
              <w:rPr>
                <w:rFonts w:ascii="Arial" w:hAnsi="Arial" w:cs="Arial"/>
                <w:b/>
                <w:bCs/>
                <w:color w:val="000000"/>
              </w:rPr>
              <w:t>695</w:t>
            </w:r>
          </w:p>
        </w:tc>
      </w:tr>
    </w:tbl>
    <w:p w14:paraId="2D8D1EA9" w14:textId="77777777" w:rsidR="00071D33" w:rsidRPr="00FF1F60" w:rsidRDefault="00071D33" w:rsidP="003F3DC0">
      <w:pPr>
        <w:spacing w:line="360" w:lineRule="auto"/>
        <w:ind w:left="-426"/>
        <w:contextualSpacing/>
        <w:rPr>
          <w:rFonts w:ascii="Arial" w:hAnsi="Arial" w:cs="Arial"/>
          <w:b/>
        </w:rPr>
      </w:pPr>
    </w:p>
    <w:p w14:paraId="082B3A92" w14:textId="1279A80A" w:rsidR="00EF148D" w:rsidRDefault="00EF148D" w:rsidP="001F47E1">
      <w:pPr>
        <w:spacing w:line="360" w:lineRule="auto"/>
        <w:ind w:left="-426"/>
        <w:contextualSpacing/>
        <w:rPr>
          <w:rFonts w:ascii="Arial" w:hAnsi="Arial" w:cs="Arial"/>
          <w:b/>
        </w:rPr>
      </w:pPr>
      <w:r>
        <w:rPr>
          <w:rFonts w:ascii="Arial" w:hAnsi="Arial" w:cs="Arial"/>
          <w:b/>
        </w:rPr>
        <w:br w:type="page"/>
      </w:r>
    </w:p>
    <w:p w14:paraId="6EAFB8BC" w14:textId="102FFB78" w:rsidR="00E26D69" w:rsidRDefault="00E26D69" w:rsidP="004E512E">
      <w:pPr>
        <w:pStyle w:val="01bSubheader"/>
        <w:rPr>
          <w:lang w:eastAsia="en-US"/>
        </w:rPr>
      </w:pPr>
      <w:bookmarkStart w:id="56" w:name="_Toc119068092"/>
      <w:r w:rsidRPr="00E26D69">
        <w:rPr>
          <w:lang w:eastAsia="en-US"/>
        </w:rPr>
        <w:lastRenderedPageBreak/>
        <w:t xml:space="preserve">Appendix </w:t>
      </w:r>
      <w:r w:rsidR="004373CE" w:rsidRPr="00E26D69">
        <w:rPr>
          <w:lang w:eastAsia="en-US"/>
        </w:rPr>
        <w:t>1</w:t>
      </w:r>
      <w:r w:rsidR="004373CE">
        <w:rPr>
          <w:lang w:eastAsia="en-US"/>
        </w:rPr>
        <w:t xml:space="preserve"> Ministerial</w:t>
      </w:r>
      <w:r w:rsidR="000F042C">
        <w:rPr>
          <w:lang w:eastAsia="en-US"/>
        </w:rPr>
        <w:t xml:space="preserve"> Directions</w:t>
      </w:r>
      <w:bookmarkEnd w:id="56"/>
    </w:p>
    <w:p w14:paraId="53835613" w14:textId="77777777" w:rsidR="007E6581" w:rsidRPr="007E6581" w:rsidRDefault="007E6581" w:rsidP="004E512E">
      <w:pPr>
        <w:pStyle w:val="01bSubheader"/>
        <w:rPr>
          <w:sz w:val="24"/>
          <w:szCs w:val="24"/>
          <w:lang w:eastAsia="en-US"/>
        </w:rPr>
      </w:pPr>
    </w:p>
    <w:p w14:paraId="708A0113" w14:textId="77777777" w:rsidR="007E6581" w:rsidRPr="000845C9" w:rsidRDefault="007E6581" w:rsidP="007E6581">
      <w:pPr>
        <w:keepNext/>
        <w:spacing w:line="360" w:lineRule="auto"/>
        <w:rPr>
          <w:rFonts w:ascii="Arial" w:hAnsi="Arial" w:cs="Arial"/>
        </w:rPr>
      </w:pPr>
      <w:r w:rsidRPr="008051CA">
        <w:rPr>
          <w:rFonts w:ascii="Arial" w:hAnsi="Arial" w:cs="Arial"/>
          <w:b/>
          <w:bCs/>
        </w:rPr>
        <w:t>Received in the year to 31 March 2022</w:t>
      </w:r>
    </w:p>
    <w:p w14:paraId="79581E80" w14:textId="77777777" w:rsidR="007E6581" w:rsidRPr="0015328E" w:rsidRDefault="007E6581" w:rsidP="007E6581">
      <w:pPr>
        <w:spacing w:line="360" w:lineRule="auto"/>
        <w:ind w:left="-284" w:firstLine="284"/>
        <w:rPr>
          <w:rFonts w:ascii="Arial" w:hAnsi="Arial" w:cs="Arial"/>
          <w:lang w:eastAsia="en-US"/>
        </w:rPr>
      </w:pPr>
      <w:r w:rsidRPr="0015328E">
        <w:rPr>
          <w:rFonts w:ascii="Arial" w:hAnsi="Arial" w:cs="Arial"/>
          <w:lang w:eastAsia="en-US"/>
        </w:rPr>
        <w:t>There were no new Ministerial Directions issued in the year to March 2022.</w:t>
      </w:r>
    </w:p>
    <w:p w14:paraId="7894DFBE" w14:textId="0B0DE259" w:rsidR="00695566" w:rsidRDefault="00695566" w:rsidP="00695566">
      <w:pPr>
        <w:keepNext/>
        <w:spacing w:line="360" w:lineRule="auto"/>
      </w:pPr>
    </w:p>
    <w:p w14:paraId="5C03D9D6" w14:textId="77777777" w:rsidR="002D015D" w:rsidRDefault="002D015D" w:rsidP="00695566">
      <w:pPr>
        <w:keepNext/>
        <w:spacing w:line="360" w:lineRule="auto"/>
      </w:pPr>
    </w:p>
    <w:p w14:paraId="47F97095" w14:textId="1024B201" w:rsidR="000F042C" w:rsidRDefault="002D015D" w:rsidP="00695566">
      <w:pPr>
        <w:keepNext/>
        <w:spacing w:line="360" w:lineRule="auto"/>
      </w:pPr>
      <w:r>
        <w:rPr>
          <w:noProof/>
        </w:rPr>
        <w:drawing>
          <wp:inline distT="0" distB="0" distL="0" distR="0" wp14:anchorId="499ACBB7" wp14:editId="234BF053">
            <wp:extent cx="6411646" cy="6071191"/>
            <wp:effectExtent l="0" t="0" r="8255" b="6350"/>
            <wp:docPr id="113" name="Picture 1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ext, letter&#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6456224" cy="6113402"/>
                    </a:xfrm>
                    <a:prstGeom prst="rect">
                      <a:avLst/>
                    </a:prstGeom>
                  </pic:spPr>
                </pic:pic>
              </a:graphicData>
            </a:graphic>
          </wp:inline>
        </w:drawing>
      </w:r>
    </w:p>
    <w:p w14:paraId="0DAF00FC" w14:textId="77777777" w:rsidR="00E26D69" w:rsidRPr="00E26D69" w:rsidRDefault="00E26D69" w:rsidP="00E26D69">
      <w:pPr>
        <w:spacing w:line="360" w:lineRule="auto"/>
        <w:rPr>
          <w:rFonts w:ascii="Arial" w:hAnsi="Arial" w:cs="Arial"/>
          <w:highlight w:val="cyan"/>
          <w:lang w:eastAsia="en-US"/>
        </w:rPr>
      </w:pPr>
    </w:p>
    <w:p w14:paraId="0DC56B0A" w14:textId="77777777" w:rsidR="00E26D69" w:rsidRPr="00E26D69" w:rsidRDefault="00E26D69" w:rsidP="00E26D69">
      <w:pPr>
        <w:spacing w:line="360" w:lineRule="auto"/>
        <w:rPr>
          <w:rFonts w:ascii="Arial" w:hAnsi="Arial" w:cs="Arial"/>
          <w:highlight w:val="cyan"/>
          <w:lang w:eastAsia="en-US"/>
        </w:rPr>
      </w:pPr>
    </w:p>
    <w:p w14:paraId="69A8078B" w14:textId="77777777" w:rsidR="00E26D69" w:rsidRPr="00E26D69" w:rsidRDefault="00E26D69" w:rsidP="00E26D69">
      <w:pPr>
        <w:spacing w:line="360" w:lineRule="auto"/>
        <w:rPr>
          <w:rFonts w:ascii="Arial" w:hAnsi="Arial" w:cs="Arial"/>
          <w:highlight w:val="cyan"/>
          <w:lang w:eastAsia="en-US"/>
        </w:rPr>
      </w:pPr>
      <w:r w:rsidRPr="00E26D69">
        <w:rPr>
          <w:rFonts w:ascii="Arial" w:hAnsi="Arial" w:cs="Arial"/>
          <w:highlight w:val="cyan"/>
          <w:lang w:eastAsia="en-US"/>
        </w:rPr>
        <w:br w:type="page"/>
      </w:r>
    </w:p>
    <w:p w14:paraId="6E364013" w14:textId="77777777" w:rsidR="00E26D69" w:rsidRPr="00E26D69" w:rsidRDefault="00E26D69" w:rsidP="00E26D69">
      <w:pPr>
        <w:keepNext/>
        <w:overflowPunct w:val="0"/>
        <w:autoSpaceDE w:val="0"/>
        <w:autoSpaceDN w:val="0"/>
        <w:adjustRightInd w:val="0"/>
        <w:spacing w:before="240" w:after="60" w:line="360" w:lineRule="auto"/>
        <w:textAlignment w:val="baseline"/>
        <w:outlineLvl w:val="0"/>
        <w:rPr>
          <w:rFonts w:ascii="Arial" w:hAnsi="Arial" w:cs="Arial"/>
          <w:b/>
          <w:kern w:val="28"/>
          <w:lang w:val="x-none" w:eastAsia="en-US"/>
        </w:rPr>
        <w:sectPr w:rsidR="00E26D69" w:rsidRPr="00E26D69" w:rsidSect="00517CC2">
          <w:headerReference w:type="even" r:id="rId80"/>
          <w:headerReference w:type="default" r:id="rId81"/>
          <w:footerReference w:type="even" r:id="rId82"/>
          <w:headerReference w:type="first" r:id="rId83"/>
          <w:footerReference w:type="first" r:id="rId84"/>
          <w:type w:val="continuous"/>
          <w:pgSz w:w="11906" w:h="16838" w:code="9"/>
          <w:pgMar w:top="1447" w:right="1276" w:bottom="709" w:left="992" w:header="709" w:footer="709" w:gutter="0"/>
          <w:cols w:space="708"/>
          <w:docGrid w:linePitch="360"/>
        </w:sectPr>
      </w:pPr>
    </w:p>
    <w:p w14:paraId="4CE20F4A" w14:textId="4C6C1CD0" w:rsidR="00EC7489" w:rsidRPr="00E115F7" w:rsidRDefault="00E26D69" w:rsidP="000845C9">
      <w:pPr>
        <w:pStyle w:val="01bSubheader"/>
      </w:pPr>
      <w:bookmarkStart w:id="57" w:name="_Toc119068093"/>
      <w:r w:rsidRPr="001F2910">
        <w:rPr>
          <w:lang w:eastAsia="en-US"/>
        </w:rPr>
        <w:lastRenderedPageBreak/>
        <w:t xml:space="preserve">Appendix </w:t>
      </w:r>
      <w:r w:rsidR="004373CE" w:rsidRPr="001F2910">
        <w:rPr>
          <w:lang w:eastAsia="en-US"/>
        </w:rPr>
        <w:t>2 Trade</w:t>
      </w:r>
      <w:r w:rsidRPr="001F2910">
        <w:rPr>
          <w:bCs/>
        </w:rPr>
        <w:t xml:space="preserve"> </w:t>
      </w:r>
      <w:r w:rsidR="00750CB6" w:rsidRPr="001F2910">
        <w:t>u</w:t>
      </w:r>
      <w:r w:rsidRPr="001F2910">
        <w:t xml:space="preserve">nion </w:t>
      </w:r>
      <w:r w:rsidR="00750CB6" w:rsidRPr="001F2910">
        <w:t>f</w:t>
      </w:r>
      <w:r w:rsidRPr="001F2910">
        <w:t xml:space="preserve">acilities </w:t>
      </w:r>
      <w:r w:rsidR="00750CB6" w:rsidRPr="001F2910">
        <w:t>t</w:t>
      </w:r>
      <w:r w:rsidRPr="001F2910">
        <w:t>ime</w:t>
      </w:r>
      <w:r w:rsidRPr="00190832">
        <w:rPr>
          <w:sz w:val="24"/>
          <w:szCs w:val="24"/>
          <w:vertAlign w:val="superscript"/>
        </w:rPr>
        <w:footnoteReference w:id="22"/>
      </w:r>
      <w:r w:rsidR="00375019" w:rsidRPr="00190832">
        <w:rPr>
          <w:sz w:val="24"/>
          <w:szCs w:val="24"/>
        </w:rPr>
        <w:t xml:space="preserve"> </w:t>
      </w:r>
      <w:r w:rsidR="00375019" w:rsidRPr="001F2910">
        <w:t>(</w:t>
      </w:r>
      <w:r w:rsidR="00750CB6" w:rsidRPr="001F2910">
        <w:t>u</w:t>
      </w:r>
      <w:r w:rsidR="00375019" w:rsidRPr="001F2910">
        <w:t>naudited)</w:t>
      </w:r>
      <w:bookmarkEnd w:id="57"/>
    </w:p>
    <w:p w14:paraId="6A9A2BB4" w14:textId="77777777" w:rsidR="00EC7489" w:rsidRPr="004E4DDD" w:rsidRDefault="00EC7489" w:rsidP="000845C9">
      <w:pPr>
        <w:keepNext/>
        <w:overflowPunct w:val="0"/>
        <w:autoSpaceDE w:val="0"/>
        <w:autoSpaceDN w:val="0"/>
        <w:adjustRightInd w:val="0"/>
        <w:spacing w:line="360" w:lineRule="auto"/>
        <w:textAlignment w:val="baseline"/>
        <w:outlineLvl w:val="0"/>
        <w:rPr>
          <w:rFonts w:ascii="Arial" w:eastAsia="Arial" w:hAnsi="Arial" w:cs="Arial"/>
          <w:b/>
          <w:color w:val="66AA58"/>
          <w:kern w:val="32"/>
          <w:lang w:val="en-US"/>
        </w:rPr>
      </w:pPr>
    </w:p>
    <w:p w14:paraId="25F66F1F" w14:textId="1C9F272F" w:rsidR="00E26D69" w:rsidRDefault="00E26D69" w:rsidP="004D3A76">
      <w:pPr>
        <w:spacing w:line="360" w:lineRule="auto"/>
        <w:ind w:right="-428"/>
        <w:rPr>
          <w:rFonts w:ascii="Arial" w:hAnsi="Arial" w:cs="Arial"/>
        </w:rPr>
      </w:pPr>
      <w:r w:rsidRPr="00E26D69">
        <w:rPr>
          <w:rFonts w:ascii="Arial" w:hAnsi="Arial" w:cs="Arial"/>
        </w:rPr>
        <w:t xml:space="preserve">In accordance with SEPA’s statutory responsibility under Trade Union (TU) (Facility Time Publication Requirements) Regulations 2017, the schedule below provides the required data relating to SEPA’s </w:t>
      </w:r>
      <w:r w:rsidR="001D702E">
        <w:rPr>
          <w:rFonts w:ascii="Arial" w:hAnsi="Arial" w:cs="Arial"/>
        </w:rPr>
        <w:t>t</w:t>
      </w:r>
      <w:r w:rsidRPr="00E26D69">
        <w:rPr>
          <w:rFonts w:ascii="Arial" w:hAnsi="Arial" w:cs="Arial"/>
        </w:rPr>
        <w:t xml:space="preserve">rade </w:t>
      </w:r>
      <w:r w:rsidR="001D702E">
        <w:rPr>
          <w:rFonts w:ascii="Arial" w:hAnsi="Arial" w:cs="Arial"/>
        </w:rPr>
        <w:t>u</w:t>
      </w:r>
      <w:r w:rsidRPr="00E26D69">
        <w:rPr>
          <w:rFonts w:ascii="Arial" w:hAnsi="Arial" w:cs="Arial"/>
        </w:rPr>
        <w:t>nion representatives for the period 20</w:t>
      </w:r>
      <w:r w:rsidR="00D93800">
        <w:rPr>
          <w:rFonts w:ascii="Arial" w:hAnsi="Arial" w:cs="Arial"/>
        </w:rPr>
        <w:t>2</w:t>
      </w:r>
      <w:r w:rsidR="00BC408B">
        <w:rPr>
          <w:rFonts w:ascii="Arial" w:hAnsi="Arial" w:cs="Arial"/>
        </w:rPr>
        <w:t>1</w:t>
      </w:r>
      <w:r w:rsidRPr="00E26D69">
        <w:rPr>
          <w:rFonts w:ascii="Arial" w:hAnsi="Arial" w:cs="Arial"/>
        </w:rPr>
        <w:t>/202</w:t>
      </w:r>
      <w:r w:rsidR="00BC408B">
        <w:rPr>
          <w:rFonts w:ascii="Arial" w:hAnsi="Arial" w:cs="Arial"/>
        </w:rPr>
        <w:t>2</w:t>
      </w:r>
      <w:r w:rsidRPr="00E26D69">
        <w:rPr>
          <w:rFonts w:ascii="Arial" w:hAnsi="Arial" w:cs="Arial"/>
        </w:rPr>
        <w:t xml:space="preserve">. </w:t>
      </w:r>
    </w:p>
    <w:p w14:paraId="603108C0" w14:textId="77777777" w:rsidR="001D702E" w:rsidRPr="00E26D69" w:rsidRDefault="001D702E" w:rsidP="00CA475D">
      <w:pPr>
        <w:ind w:right="-425"/>
        <w:rPr>
          <w:rFonts w:ascii="Arial" w:hAnsi="Arial" w:cs="Arial"/>
        </w:rPr>
      </w:pPr>
    </w:p>
    <w:p w14:paraId="14AE0F8C" w14:textId="526A459F" w:rsidR="00E26D69" w:rsidRPr="00E26D69" w:rsidRDefault="00E26D69" w:rsidP="005036A1">
      <w:pPr>
        <w:spacing w:line="360" w:lineRule="auto"/>
        <w:rPr>
          <w:rFonts w:ascii="Arial" w:hAnsi="Arial" w:cs="Arial"/>
          <w:b/>
        </w:rPr>
      </w:pPr>
      <w:r w:rsidRPr="00E26D69">
        <w:rPr>
          <w:rFonts w:ascii="Arial" w:hAnsi="Arial" w:cs="Arial"/>
          <w:b/>
        </w:rPr>
        <w:t>Relevant union officials</w:t>
      </w:r>
      <w:r w:rsidR="0039295D">
        <w:rPr>
          <w:rFonts w:ascii="Arial" w:hAnsi="Arial" w:cs="Arial"/>
          <w:b/>
        </w:rPr>
        <w:t xml:space="preserve"> during 202</w:t>
      </w:r>
      <w:r w:rsidR="005F5DE1">
        <w:rPr>
          <w:rFonts w:ascii="Arial" w:hAnsi="Arial" w:cs="Arial"/>
          <w:b/>
        </w:rPr>
        <w:t>1</w:t>
      </w:r>
      <w:r w:rsidR="0039295D">
        <w:rPr>
          <w:rFonts w:ascii="Arial" w:hAnsi="Arial" w:cs="Arial"/>
          <w:b/>
        </w:rPr>
        <w:t>/2</w:t>
      </w:r>
      <w:r w:rsidR="005F5DE1">
        <w:rPr>
          <w:rFonts w:ascii="Arial" w:hAnsi="Arial" w:cs="Arial"/>
          <w:b/>
        </w:rPr>
        <w:t>2</w:t>
      </w:r>
    </w:p>
    <w:tbl>
      <w:tblPr>
        <w:tblStyle w:val="TableGrid"/>
        <w:tblW w:w="0" w:type="auto"/>
        <w:tblLook w:val="04A0" w:firstRow="1" w:lastRow="0" w:firstColumn="1" w:lastColumn="0" w:noHBand="0" w:noVBand="1"/>
      </w:tblPr>
      <w:tblGrid>
        <w:gridCol w:w="4957"/>
        <w:gridCol w:w="4819"/>
      </w:tblGrid>
      <w:tr w:rsidR="00E26D69" w:rsidRPr="00E26D69" w14:paraId="59BCCB9B" w14:textId="77777777" w:rsidTr="007B2010">
        <w:trPr>
          <w:trHeight w:val="567"/>
        </w:trPr>
        <w:tc>
          <w:tcPr>
            <w:tcW w:w="4957" w:type="dxa"/>
            <w:shd w:val="clear" w:color="auto" w:fill="EAF1DD" w:themeFill="accent3" w:themeFillTint="33"/>
          </w:tcPr>
          <w:p w14:paraId="68170D2F" w14:textId="436366E9" w:rsidR="00E26D69" w:rsidRPr="00E26D69" w:rsidRDefault="00E26D69" w:rsidP="00D93800">
            <w:pPr>
              <w:rPr>
                <w:rFonts w:ascii="Arial" w:hAnsi="Arial" w:cs="Arial"/>
                <w:b/>
              </w:rPr>
            </w:pPr>
            <w:r w:rsidRPr="00E26D69">
              <w:rPr>
                <w:rFonts w:ascii="Arial" w:hAnsi="Arial" w:cs="Arial"/>
                <w:b/>
              </w:rPr>
              <w:t>Number of employees who were relevant union officials during 20</w:t>
            </w:r>
            <w:r w:rsidR="007B2010">
              <w:rPr>
                <w:rFonts w:ascii="Arial" w:hAnsi="Arial" w:cs="Arial"/>
                <w:b/>
              </w:rPr>
              <w:t>2</w:t>
            </w:r>
            <w:r w:rsidR="001F2910">
              <w:rPr>
                <w:rFonts w:ascii="Arial" w:hAnsi="Arial" w:cs="Arial"/>
                <w:b/>
              </w:rPr>
              <w:t>1</w:t>
            </w:r>
            <w:r w:rsidRPr="00E26D69">
              <w:rPr>
                <w:rFonts w:ascii="Arial" w:hAnsi="Arial" w:cs="Arial"/>
                <w:b/>
              </w:rPr>
              <w:t>/2</w:t>
            </w:r>
            <w:r w:rsidR="001F2910">
              <w:rPr>
                <w:rFonts w:ascii="Arial" w:hAnsi="Arial" w:cs="Arial"/>
                <w:b/>
              </w:rPr>
              <w:t>2</w:t>
            </w:r>
          </w:p>
        </w:tc>
        <w:tc>
          <w:tcPr>
            <w:tcW w:w="4819" w:type="dxa"/>
            <w:shd w:val="clear" w:color="auto" w:fill="EAF1DD" w:themeFill="accent3" w:themeFillTint="33"/>
          </w:tcPr>
          <w:p w14:paraId="5761B07F" w14:textId="77777777" w:rsidR="00E26D69" w:rsidRPr="00E26D69" w:rsidRDefault="00E26D69" w:rsidP="00D93800">
            <w:pPr>
              <w:rPr>
                <w:rFonts w:ascii="Arial" w:hAnsi="Arial" w:cs="Arial"/>
                <w:b/>
              </w:rPr>
            </w:pPr>
            <w:r w:rsidRPr="00E26D69">
              <w:rPr>
                <w:rFonts w:ascii="Arial" w:hAnsi="Arial" w:cs="Arial"/>
                <w:b/>
              </w:rPr>
              <w:t>Full-time equivalent employee number</w:t>
            </w:r>
          </w:p>
        </w:tc>
      </w:tr>
      <w:tr w:rsidR="00E26D69" w:rsidRPr="00BF04B9" w14:paraId="54CFCF6F" w14:textId="77777777" w:rsidTr="007A37CA">
        <w:trPr>
          <w:trHeight w:val="415"/>
        </w:trPr>
        <w:tc>
          <w:tcPr>
            <w:tcW w:w="4957" w:type="dxa"/>
            <w:shd w:val="clear" w:color="auto" w:fill="EAF1DD" w:themeFill="accent3" w:themeFillTint="33"/>
            <w:vAlign w:val="bottom"/>
          </w:tcPr>
          <w:p w14:paraId="203FD375" w14:textId="02A51171" w:rsidR="00E26D69" w:rsidRPr="006338F2" w:rsidRDefault="006338F2" w:rsidP="00D93800">
            <w:pPr>
              <w:rPr>
                <w:rFonts w:ascii="Arial" w:hAnsi="Arial" w:cs="Arial"/>
              </w:rPr>
            </w:pPr>
            <w:r w:rsidRPr="006338F2">
              <w:rPr>
                <w:rFonts w:ascii="Arial" w:hAnsi="Arial" w:cs="Arial"/>
              </w:rPr>
              <w:t>16</w:t>
            </w:r>
          </w:p>
        </w:tc>
        <w:tc>
          <w:tcPr>
            <w:tcW w:w="4819" w:type="dxa"/>
            <w:shd w:val="clear" w:color="auto" w:fill="EAF1DD" w:themeFill="accent3" w:themeFillTint="33"/>
            <w:vAlign w:val="bottom"/>
          </w:tcPr>
          <w:p w14:paraId="4BA0043F" w14:textId="2D0BA473" w:rsidR="00E26D69" w:rsidRPr="005F5DE1" w:rsidRDefault="006338F2" w:rsidP="00D93800">
            <w:pPr>
              <w:rPr>
                <w:rFonts w:ascii="Arial" w:hAnsi="Arial" w:cs="Arial"/>
                <w:highlight w:val="magenta"/>
              </w:rPr>
            </w:pPr>
            <w:r w:rsidRPr="006338F2">
              <w:rPr>
                <w:rFonts w:ascii="Arial" w:hAnsi="Arial" w:cs="Arial"/>
              </w:rPr>
              <w:t>16</w:t>
            </w:r>
          </w:p>
        </w:tc>
      </w:tr>
    </w:tbl>
    <w:p w14:paraId="3388CB5D" w14:textId="77777777" w:rsidR="005B3561" w:rsidRDefault="005B3561" w:rsidP="00E26D69">
      <w:pPr>
        <w:spacing w:line="360" w:lineRule="auto"/>
        <w:rPr>
          <w:rFonts w:ascii="Arial" w:hAnsi="Arial" w:cs="Arial"/>
          <w:b/>
          <w:bCs/>
        </w:rPr>
      </w:pPr>
    </w:p>
    <w:p w14:paraId="16052274" w14:textId="52AE7F6B" w:rsidR="00E26D69" w:rsidRPr="00BF04B9" w:rsidRDefault="00E26D69" w:rsidP="00E26D69">
      <w:pPr>
        <w:spacing w:line="360" w:lineRule="auto"/>
        <w:rPr>
          <w:rFonts w:ascii="Arial" w:hAnsi="Arial" w:cs="Arial"/>
          <w:b/>
        </w:rPr>
      </w:pPr>
      <w:r w:rsidRPr="00BF04B9">
        <w:rPr>
          <w:rFonts w:ascii="Arial" w:hAnsi="Arial" w:cs="Arial"/>
          <w:b/>
          <w:bCs/>
        </w:rPr>
        <w:t>Percentage of time spent on facility time</w:t>
      </w:r>
      <w:r w:rsidR="00143E69" w:rsidRPr="00BF04B9">
        <w:rPr>
          <w:rFonts w:ascii="Arial" w:hAnsi="Arial" w:cs="Arial"/>
          <w:b/>
          <w:bCs/>
        </w:rPr>
        <w:t xml:space="preserve"> during 202</w:t>
      </w:r>
      <w:r w:rsidR="00BC408B">
        <w:rPr>
          <w:rFonts w:ascii="Arial" w:hAnsi="Arial" w:cs="Arial"/>
          <w:b/>
          <w:bCs/>
        </w:rPr>
        <w:t>1</w:t>
      </w:r>
      <w:r w:rsidR="00143E69" w:rsidRPr="00BF04B9">
        <w:rPr>
          <w:rFonts w:ascii="Arial" w:hAnsi="Arial" w:cs="Arial"/>
          <w:b/>
          <w:bCs/>
        </w:rPr>
        <w:t>/2</w:t>
      </w:r>
      <w:r w:rsidR="00BC408B">
        <w:rPr>
          <w:rFonts w:ascii="Arial" w:hAnsi="Arial" w:cs="Arial"/>
          <w:b/>
          <w:bCs/>
        </w:rPr>
        <w:t>2</w:t>
      </w:r>
      <w:r w:rsidRPr="00BF04B9">
        <w:rPr>
          <w:rFonts w:ascii="Arial" w:hAnsi="Arial" w:cs="Arial"/>
          <w:vertAlign w:val="superscript"/>
        </w:rPr>
        <w:footnoteReference w:id="23"/>
      </w:r>
    </w:p>
    <w:p w14:paraId="7356C287" w14:textId="1F57ED4F" w:rsidR="00FD0238" w:rsidRDefault="00E26D69" w:rsidP="007B2010">
      <w:pPr>
        <w:spacing w:line="360" w:lineRule="auto"/>
        <w:rPr>
          <w:rFonts w:ascii="Arial" w:hAnsi="Arial" w:cs="Arial"/>
        </w:rPr>
      </w:pPr>
      <w:r w:rsidRPr="00BF04B9">
        <w:rPr>
          <w:rFonts w:ascii="Arial" w:hAnsi="Arial" w:cs="Arial"/>
        </w:rPr>
        <w:t xml:space="preserve">Percentage time spent on facilities time as a percentage of total working hours for each </w:t>
      </w:r>
      <w:r w:rsidR="006F7D2C">
        <w:rPr>
          <w:rFonts w:ascii="Arial" w:hAnsi="Arial" w:cs="Arial"/>
        </w:rPr>
        <w:t>u</w:t>
      </w:r>
      <w:r w:rsidRPr="00BF04B9">
        <w:rPr>
          <w:rFonts w:ascii="Arial" w:hAnsi="Arial" w:cs="Arial"/>
        </w:rPr>
        <w:t xml:space="preserve">nion representative </w:t>
      </w:r>
    </w:p>
    <w:p w14:paraId="3931B5E5" w14:textId="77777777" w:rsidR="006F7D2C" w:rsidRPr="00BF04B9" w:rsidRDefault="006F7D2C" w:rsidP="007B2010">
      <w:pPr>
        <w:spacing w:line="360" w:lineRule="auto"/>
        <w:rPr>
          <w:rFonts w:ascii="Arial" w:hAnsi="Arial" w:cs="Arial"/>
        </w:rPr>
      </w:pPr>
    </w:p>
    <w:tbl>
      <w:tblPr>
        <w:tblStyle w:val="TableGrid"/>
        <w:tblW w:w="0" w:type="auto"/>
        <w:tblLook w:val="04A0" w:firstRow="1" w:lastRow="0" w:firstColumn="1" w:lastColumn="0" w:noHBand="0" w:noVBand="1"/>
      </w:tblPr>
      <w:tblGrid>
        <w:gridCol w:w="4957"/>
        <w:gridCol w:w="4819"/>
      </w:tblGrid>
      <w:tr w:rsidR="00E26D69" w:rsidRPr="00BF04B9" w14:paraId="1B34D452" w14:textId="77777777" w:rsidTr="003E09F1">
        <w:trPr>
          <w:trHeight w:val="397"/>
        </w:trPr>
        <w:tc>
          <w:tcPr>
            <w:tcW w:w="4957" w:type="dxa"/>
            <w:shd w:val="clear" w:color="auto" w:fill="EAF1DD" w:themeFill="accent3" w:themeFillTint="33"/>
          </w:tcPr>
          <w:p w14:paraId="44C92ADB" w14:textId="77777777" w:rsidR="00E26D69" w:rsidRPr="00BF04B9" w:rsidRDefault="00E26D69" w:rsidP="007B2010">
            <w:pPr>
              <w:rPr>
                <w:rFonts w:ascii="Arial" w:hAnsi="Arial" w:cs="Arial"/>
                <w:b/>
              </w:rPr>
            </w:pPr>
            <w:r w:rsidRPr="00BF04B9">
              <w:rPr>
                <w:rFonts w:ascii="Arial" w:hAnsi="Arial" w:cs="Arial"/>
                <w:b/>
              </w:rPr>
              <w:t>Percentage of time</w:t>
            </w:r>
          </w:p>
        </w:tc>
        <w:tc>
          <w:tcPr>
            <w:tcW w:w="4819" w:type="dxa"/>
            <w:shd w:val="clear" w:color="auto" w:fill="EAF1DD" w:themeFill="accent3" w:themeFillTint="33"/>
          </w:tcPr>
          <w:p w14:paraId="747DDA83" w14:textId="77777777" w:rsidR="00E26D69" w:rsidRPr="00BF04B9" w:rsidRDefault="00E26D69" w:rsidP="007B2010">
            <w:pPr>
              <w:rPr>
                <w:rFonts w:ascii="Arial" w:hAnsi="Arial" w:cs="Arial"/>
                <w:b/>
              </w:rPr>
            </w:pPr>
            <w:r w:rsidRPr="00BF04B9">
              <w:rPr>
                <w:rFonts w:ascii="Arial" w:hAnsi="Arial" w:cs="Arial"/>
                <w:b/>
              </w:rPr>
              <w:t>Number of employees</w:t>
            </w:r>
          </w:p>
        </w:tc>
      </w:tr>
      <w:tr w:rsidR="00E26D69" w:rsidRPr="00BF04B9" w14:paraId="2B9FFBC4" w14:textId="77777777" w:rsidTr="003E09F1">
        <w:trPr>
          <w:trHeight w:val="397"/>
        </w:trPr>
        <w:tc>
          <w:tcPr>
            <w:tcW w:w="4957" w:type="dxa"/>
            <w:shd w:val="clear" w:color="auto" w:fill="EAF1DD" w:themeFill="accent3" w:themeFillTint="33"/>
          </w:tcPr>
          <w:p w14:paraId="54C203A9" w14:textId="77777777" w:rsidR="00E26D69" w:rsidRPr="00BF04B9" w:rsidRDefault="00E26D69" w:rsidP="007B2010">
            <w:pPr>
              <w:rPr>
                <w:rFonts w:ascii="Arial" w:hAnsi="Arial" w:cs="Arial"/>
              </w:rPr>
            </w:pPr>
            <w:r w:rsidRPr="00BF04B9">
              <w:rPr>
                <w:rFonts w:ascii="Arial" w:hAnsi="Arial" w:cs="Arial"/>
              </w:rPr>
              <w:t>0%</w:t>
            </w:r>
          </w:p>
        </w:tc>
        <w:tc>
          <w:tcPr>
            <w:tcW w:w="4819" w:type="dxa"/>
            <w:shd w:val="clear" w:color="auto" w:fill="EAF1DD" w:themeFill="accent3" w:themeFillTint="33"/>
          </w:tcPr>
          <w:p w14:paraId="32135B3D" w14:textId="39D038F7" w:rsidR="00E26D69" w:rsidRPr="006338F2" w:rsidRDefault="006338F2" w:rsidP="007B2010">
            <w:pPr>
              <w:rPr>
                <w:rFonts w:ascii="Arial" w:hAnsi="Arial" w:cs="Arial"/>
              </w:rPr>
            </w:pPr>
            <w:r>
              <w:rPr>
                <w:rFonts w:ascii="Arial" w:hAnsi="Arial" w:cs="Arial"/>
              </w:rPr>
              <w:t>4</w:t>
            </w:r>
          </w:p>
        </w:tc>
      </w:tr>
      <w:tr w:rsidR="00E26D69" w:rsidRPr="00BF04B9" w14:paraId="7AE56DF6" w14:textId="77777777" w:rsidTr="003E09F1">
        <w:trPr>
          <w:trHeight w:val="397"/>
        </w:trPr>
        <w:tc>
          <w:tcPr>
            <w:tcW w:w="4957" w:type="dxa"/>
            <w:shd w:val="clear" w:color="auto" w:fill="EAF1DD" w:themeFill="accent3" w:themeFillTint="33"/>
          </w:tcPr>
          <w:p w14:paraId="338A686B" w14:textId="77777777" w:rsidR="00E26D69" w:rsidRPr="00BF04B9" w:rsidRDefault="00E26D69" w:rsidP="007B2010">
            <w:pPr>
              <w:rPr>
                <w:rFonts w:ascii="Arial" w:hAnsi="Arial" w:cs="Arial"/>
              </w:rPr>
            </w:pPr>
            <w:r w:rsidRPr="00BF04B9">
              <w:rPr>
                <w:rFonts w:ascii="Arial" w:hAnsi="Arial" w:cs="Arial"/>
              </w:rPr>
              <w:t>1 – 50%</w:t>
            </w:r>
          </w:p>
        </w:tc>
        <w:tc>
          <w:tcPr>
            <w:tcW w:w="4819" w:type="dxa"/>
            <w:shd w:val="clear" w:color="auto" w:fill="EAF1DD" w:themeFill="accent3" w:themeFillTint="33"/>
          </w:tcPr>
          <w:p w14:paraId="5FD49F05" w14:textId="4871D8C1" w:rsidR="00E26D69" w:rsidRPr="006338F2" w:rsidRDefault="00E26D69" w:rsidP="007B2010">
            <w:pPr>
              <w:rPr>
                <w:rFonts w:ascii="Arial" w:hAnsi="Arial" w:cs="Arial"/>
              </w:rPr>
            </w:pPr>
            <w:r w:rsidRPr="006338F2">
              <w:rPr>
                <w:rFonts w:ascii="Arial" w:hAnsi="Arial" w:cs="Arial"/>
              </w:rPr>
              <w:t>1</w:t>
            </w:r>
            <w:r w:rsidR="006338F2">
              <w:rPr>
                <w:rFonts w:ascii="Arial" w:hAnsi="Arial" w:cs="Arial"/>
              </w:rPr>
              <w:t>2</w:t>
            </w:r>
          </w:p>
        </w:tc>
      </w:tr>
      <w:tr w:rsidR="00E26D69" w:rsidRPr="00BF04B9" w14:paraId="25628998" w14:textId="77777777" w:rsidTr="003E09F1">
        <w:trPr>
          <w:trHeight w:val="397"/>
        </w:trPr>
        <w:tc>
          <w:tcPr>
            <w:tcW w:w="4957" w:type="dxa"/>
            <w:shd w:val="clear" w:color="auto" w:fill="EAF1DD" w:themeFill="accent3" w:themeFillTint="33"/>
          </w:tcPr>
          <w:p w14:paraId="4EB86CD4" w14:textId="77777777" w:rsidR="00E26D69" w:rsidRPr="00BF04B9" w:rsidRDefault="00E26D69" w:rsidP="007B2010">
            <w:pPr>
              <w:rPr>
                <w:rFonts w:ascii="Arial" w:hAnsi="Arial" w:cs="Arial"/>
              </w:rPr>
            </w:pPr>
            <w:r w:rsidRPr="00BF04B9">
              <w:rPr>
                <w:rFonts w:ascii="Arial" w:hAnsi="Arial" w:cs="Arial"/>
              </w:rPr>
              <w:t>51% - 99%</w:t>
            </w:r>
          </w:p>
        </w:tc>
        <w:tc>
          <w:tcPr>
            <w:tcW w:w="4819" w:type="dxa"/>
            <w:shd w:val="clear" w:color="auto" w:fill="EAF1DD" w:themeFill="accent3" w:themeFillTint="33"/>
          </w:tcPr>
          <w:p w14:paraId="1433E19A" w14:textId="77777777" w:rsidR="00E26D69" w:rsidRPr="006338F2" w:rsidRDefault="00E26D69" w:rsidP="007B2010">
            <w:pPr>
              <w:rPr>
                <w:rFonts w:ascii="Arial" w:hAnsi="Arial" w:cs="Arial"/>
              </w:rPr>
            </w:pPr>
            <w:r w:rsidRPr="006338F2">
              <w:rPr>
                <w:rFonts w:ascii="Arial" w:hAnsi="Arial" w:cs="Arial"/>
              </w:rPr>
              <w:t>0</w:t>
            </w:r>
          </w:p>
        </w:tc>
      </w:tr>
      <w:tr w:rsidR="00E26D69" w:rsidRPr="00BF04B9" w14:paraId="2123CFB4" w14:textId="77777777" w:rsidTr="003E09F1">
        <w:trPr>
          <w:trHeight w:val="397"/>
        </w:trPr>
        <w:tc>
          <w:tcPr>
            <w:tcW w:w="4957" w:type="dxa"/>
            <w:shd w:val="clear" w:color="auto" w:fill="EAF1DD" w:themeFill="accent3" w:themeFillTint="33"/>
          </w:tcPr>
          <w:p w14:paraId="50454BFB" w14:textId="77777777" w:rsidR="00E26D69" w:rsidRPr="00BF04B9" w:rsidRDefault="00E26D69" w:rsidP="007B2010">
            <w:pPr>
              <w:rPr>
                <w:rFonts w:ascii="Arial" w:hAnsi="Arial" w:cs="Arial"/>
              </w:rPr>
            </w:pPr>
            <w:r w:rsidRPr="00BF04B9">
              <w:rPr>
                <w:rFonts w:ascii="Arial" w:hAnsi="Arial" w:cs="Arial"/>
              </w:rPr>
              <w:t>100%</w:t>
            </w:r>
          </w:p>
        </w:tc>
        <w:tc>
          <w:tcPr>
            <w:tcW w:w="4819" w:type="dxa"/>
            <w:shd w:val="clear" w:color="auto" w:fill="EAF1DD" w:themeFill="accent3" w:themeFillTint="33"/>
          </w:tcPr>
          <w:p w14:paraId="0D80CC21" w14:textId="77777777" w:rsidR="00E26D69" w:rsidRPr="006338F2" w:rsidRDefault="00E26D69" w:rsidP="007B2010">
            <w:pPr>
              <w:rPr>
                <w:rFonts w:ascii="Arial" w:hAnsi="Arial" w:cs="Arial"/>
              </w:rPr>
            </w:pPr>
            <w:r w:rsidRPr="006338F2">
              <w:rPr>
                <w:rFonts w:ascii="Arial" w:hAnsi="Arial" w:cs="Arial"/>
              </w:rPr>
              <w:t>0</w:t>
            </w:r>
          </w:p>
        </w:tc>
      </w:tr>
    </w:tbl>
    <w:p w14:paraId="5691D895" w14:textId="77777777" w:rsidR="005B3561" w:rsidRDefault="005B3561" w:rsidP="00E26D69">
      <w:pPr>
        <w:spacing w:line="360" w:lineRule="auto"/>
        <w:rPr>
          <w:rFonts w:ascii="Arial" w:hAnsi="Arial" w:cs="Arial"/>
          <w:b/>
          <w:bCs/>
        </w:rPr>
      </w:pPr>
    </w:p>
    <w:p w14:paraId="43C7E589" w14:textId="30B97594" w:rsidR="00E26D69" w:rsidRPr="00BF04B9" w:rsidRDefault="00E26D69" w:rsidP="00E26D69">
      <w:pPr>
        <w:spacing w:line="360" w:lineRule="auto"/>
        <w:rPr>
          <w:rFonts w:ascii="Arial" w:hAnsi="Arial" w:cs="Arial"/>
          <w:b/>
        </w:rPr>
      </w:pPr>
      <w:r w:rsidRPr="00BF04B9">
        <w:rPr>
          <w:rFonts w:ascii="Arial" w:hAnsi="Arial" w:cs="Arial"/>
          <w:b/>
          <w:bCs/>
        </w:rPr>
        <w:t>Percentage of pay bill spent on facility time</w:t>
      </w:r>
      <w:r w:rsidR="00143E69" w:rsidRPr="00BF04B9">
        <w:rPr>
          <w:rFonts w:ascii="Arial" w:hAnsi="Arial" w:cs="Arial"/>
          <w:b/>
          <w:bCs/>
        </w:rPr>
        <w:t xml:space="preserve"> during 202</w:t>
      </w:r>
      <w:r w:rsidR="00BC408B">
        <w:rPr>
          <w:rFonts w:ascii="Arial" w:hAnsi="Arial" w:cs="Arial"/>
          <w:b/>
          <w:bCs/>
        </w:rPr>
        <w:t>1</w:t>
      </w:r>
      <w:r w:rsidR="00143E69" w:rsidRPr="00BF04B9">
        <w:rPr>
          <w:rFonts w:ascii="Arial" w:hAnsi="Arial" w:cs="Arial"/>
          <w:b/>
          <w:bCs/>
        </w:rPr>
        <w:t>/2</w:t>
      </w:r>
      <w:r w:rsidR="00BC408B">
        <w:rPr>
          <w:rFonts w:ascii="Arial" w:hAnsi="Arial" w:cs="Arial"/>
          <w:b/>
          <w:bCs/>
        </w:rPr>
        <w:t>2</w:t>
      </w:r>
      <w:r w:rsidRPr="00BF04B9">
        <w:rPr>
          <w:rFonts w:ascii="Arial" w:hAnsi="Arial" w:cs="Arial"/>
          <w:vertAlign w:val="superscript"/>
        </w:rPr>
        <w:footnoteReference w:id="24"/>
      </w:r>
    </w:p>
    <w:tbl>
      <w:tblPr>
        <w:tblStyle w:val="TableGrid"/>
        <w:tblW w:w="0" w:type="auto"/>
        <w:tblLook w:val="04A0" w:firstRow="1" w:lastRow="0" w:firstColumn="1" w:lastColumn="0" w:noHBand="0" w:noVBand="1"/>
      </w:tblPr>
      <w:tblGrid>
        <w:gridCol w:w="4957"/>
        <w:gridCol w:w="4819"/>
      </w:tblGrid>
      <w:tr w:rsidR="00E26D69" w:rsidRPr="00BF04B9" w14:paraId="797BA8C1" w14:textId="77777777" w:rsidTr="003E09F1">
        <w:trPr>
          <w:trHeight w:val="20"/>
        </w:trPr>
        <w:tc>
          <w:tcPr>
            <w:tcW w:w="4957" w:type="dxa"/>
            <w:shd w:val="clear" w:color="auto" w:fill="EAF1DD" w:themeFill="accent3" w:themeFillTint="33"/>
          </w:tcPr>
          <w:p w14:paraId="29078A6B" w14:textId="77777777" w:rsidR="00E26D69" w:rsidRPr="00BF04B9" w:rsidRDefault="00E26D69" w:rsidP="00E26D69">
            <w:pPr>
              <w:spacing w:line="360" w:lineRule="auto"/>
              <w:rPr>
                <w:rFonts w:ascii="Arial" w:hAnsi="Arial" w:cs="Arial"/>
                <w:b/>
                <w:bCs/>
              </w:rPr>
            </w:pPr>
            <w:r w:rsidRPr="00BF04B9">
              <w:rPr>
                <w:rFonts w:ascii="Arial" w:hAnsi="Arial" w:cs="Arial"/>
                <w:b/>
                <w:bCs/>
              </w:rPr>
              <w:t>Total cost of facility time</w:t>
            </w:r>
          </w:p>
        </w:tc>
        <w:tc>
          <w:tcPr>
            <w:tcW w:w="4819" w:type="dxa"/>
            <w:shd w:val="clear" w:color="auto" w:fill="EAF1DD" w:themeFill="accent3" w:themeFillTint="33"/>
          </w:tcPr>
          <w:p w14:paraId="2155F3EE" w14:textId="416113AC" w:rsidR="00E26D69" w:rsidRPr="00BF04B9" w:rsidRDefault="00E26D69" w:rsidP="00E26D69">
            <w:pPr>
              <w:spacing w:line="360" w:lineRule="auto"/>
              <w:rPr>
                <w:rFonts w:ascii="Arial" w:hAnsi="Arial" w:cs="Arial"/>
              </w:rPr>
            </w:pPr>
            <w:r w:rsidRPr="00BF04B9">
              <w:rPr>
                <w:rFonts w:ascii="Arial" w:hAnsi="Arial" w:cs="Arial"/>
              </w:rPr>
              <w:t>£</w:t>
            </w:r>
            <w:r w:rsidR="004E6C05">
              <w:rPr>
                <w:rFonts w:ascii="Arial" w:hAnsi="Arial" w:cs="Arial"/>
              </w:rPr>
              <w:t>43,009</w:t>
            </w:r>
          </w:p>
        </w:tc>
      </w:tr>
      <w:tr w:rsidR="00E26D69" w:rsidRPr="00BF04B9" w14:paraId="2879CE80" w14:textId="77777777" w:rsidTr="003E09F1">
        <w:trPr>
          <w:trHeight w:val="20"/>
        </w:trPr>
        <w:tc>
          <w:tcPr>
            <w:tcW w:w="4957" w:type="dxa"/>
            <w:shd w:val="clear" w:color="auto" w:fill="EAF1DD" w:themeFill="accent3" w:themeFillTint="33"/>
          </w:tcPr>
          <w:p w14:paraId="1805F644" w14:textId="77777777" w:rsidR="00E26D69" w:rsidRPr="00BF04B9" w:rsidRDefault="00E26D69" w:rsidP="00E26D69">
            <w:pPr>
              <w:spacing w:line="360" w:lineRule="auto"/>
              <w:rPr>
                <w:rFonts w:ascii="Arial" w:hAnsi="Arial" w:cs="Arial"/>
                <w:b/>
                <w:bCs/>
              </w:rPr>
            </w:pPr>
            <w:r w:rsidRPr="00BF04B9">
              <w:rPr>
                <w:rFonts w:ascii="Arial" w:hAnsi="Arial" w:cs="Arial"/>
                <w:b/>
                <w:bCs/>
              </w:rPr>
              <w:t>Total pay bill</w:t>
            </w:r>
          </w:p>
        </w:tc>
        <w:tc>
          <w:tcPr>
            <w:tcW w:w="4819" w:type="dxa"/>
            <w:shd w:val="clear" w:color="auto" w:fill="EAF1DD" w:themeFill="accent3" w:themeFillTint="33"/>
          </w:tcPr>
          <w:p w14:paraId="37C555D0" w14:textId="1FBCC20D" w:rsidR="00E26D69" w:rsidRPr="00BF04B9" w:rsidRDefault="00E26D69" w:rsidP="00E26D69">
            <w:pPr>
              <w:spacing w:line="360" w:lineRule="auto"/>
              <w:rPr>
                <w:rFonts w:ascii="Arial" w:hAnsi="Arial" w:cs="Arial"/>
                <w:iCs/>
              </w:rPr>
            </w:pPr>
            <w:r w:rsidRPr="00BF04B9">
              <w:rPr>
                <w:rFonts w:ascii="Arial" w:hAnsi="Arial" w:cs="Arial"/>
                <w:iCs/>
              </w:rPr>
              <w:t>£</w:t>
            </w:r>
            <w:r w:rsidR="004E6C05">
              <w:rPr>
                <w:rFonts w:ascii="Arial" w:hAnsi="Arial" w:cs="Arial"/>
                <w:iCs/>
              </w:rPr>
              <w:t>59</w:t>
            </w:r>
            <w:r w:rsidR="003F1BE2">
              <w:rPr>
                <w:rFonts w:ascii="Arial" w:hAnsi="Arial" w:cs="Arial"/>
                <w:iCs/>
              </w:rPr>
              <w:t>.</w:t>
            </w:r>
            <w:r w:rsidR="004E6C05">
              <w:rPr>
                <w:rFonts w:ascii="Arial" w:hAnsi="Arial" w:cs="Arial"/>
                <w:iCs/>
              </w:rPr>
              <w:t>8</w:t>
            </w:r>
            <w:r w:rsidR="003F1BE2">
              <w:rPr>
                <w:rFonts w:ascii="Arial" w:hAnsi="Arial" w:cs="Arial"/>
                <w:iCs/>
              </w:rPr>
              <w:t>m</w:t>
            </w:r>
          </w:p>
        </w:tc>
      </w:tr>
      <w:tr w:rsidR="00E26D69" w:rsidRPr="00E26D69" w14:paraId="7B5C42ED" w14:textId="77777777" w:rsidTr="003E09F1">
        <w:trPr>
          <w:trHeight w:val="20"/>
        </w:trPr>
        <w:tc>
          <w:tcPr>
            <w:tcW w:w="4957" w:type="dxa"/>
            <w:shd w:val="clear" w:color="auto" w:fill="EAF1DD" w:themeFill="accent3" w:themeFillTint="33"/>
          </w:tcPr>
          <w:p w14:paraId="63F3D858" w14:textId="77777777" w:rsidR="00E26D69" w:rsidRPr="00BF04B9" w:rsidRDefault="00E26D69" w:rsidP="00EC24EE">
            <w:pPr>
              <w:rPr>
                <w:rFonts w:ascii="Arial" w:hAnsi="Arial" w:cs="Arial"/>
                <w:b/>
                <w:bCs/>
              </w:rPr>
            </w:pPr>
            <w:r w:rsidRPr="00BF04B9">
              <w:rPr>
                <w:rFonts w:ascii="Arial" w:hAnsi="Arial" w:cs="Arial"/>
                <w:b/>
                <w:bCs/>
              </w:rPr>
              <w:t>Percentage of total pay bill on facility time</w:t>
            </w:r>
          </w:p>
        </w:tc>
        <w:tc>
          <w:tcPr>
            <w:tcW w:w="4819" w:type="dxa"/>
            <w:shd w:val="clear" w:color="auto" w:fill="EAF1DD" w:themeFill="accent3" w:themeFillTint="33"/>
          </w:tcPr>
          <w:p w14:paraId="1CBF8BA0" w14:textId="648BC4E4" w:rsidR="00E26D69" w:rsidRPr="00BF04B9" w:rsidRDefault="00E26D69" w:rsidP="00EC24EE">
            <w:pPr>
              <w:rPr>
                <w:rFonts w:ascii="Arial" w:hAnsi="Arial" w:cs="Arial"/>
              </w:rPr>
            </w:pPr>
            <w:r w:rsidRPr="00BF04B9">
              <w:rPr>
                <w:rFonts w:ascii="Arial" w:hAnsi="Arial" w:cs="Arial"/>
              </w:rPr>
              <w:t>0.</w:t>
            </w:r>
            <w:r w:rsidR="004E6C05">
              <w:rPr>
                <w:rFonts w:ascii="Arial" w:hAnsi="Arial" w:cs="Arial"/>
              </w:rPr>
              <w:t>07</w:t>
            </w:r>
            <w:r w:rsidRPr="00BF04B9">
              <w:rPr>
                <w:rFonts w:ascii="Arial" w:hAnsi="Arial" w:cs="Arial"/>
              </w:rPr>
              <w:t>%</w:t>
            </w:r>
          </w:p>
        </w:tc>
      </w:tr>
    </w:tbl>
    <w:p w14:paraId="7305DB33" w14:textId="016CAF09" w:rsidR="005B3561" w:rsidRDefault="00EC7489" w:rsidP="004D3A76">
      <w:pPr>
        <w:spacing w:line="360" w:lineRule="auto"/>
        <w:rPr>
          <w:rFonts w:ascii="Arial" w:hAnsi="Arial" w:cs="Arial"/>
          <w:b/>
          <w:bCs/>
        </w:rPr>
      </w:pPr>
      <w:r>
        <w:rPr>
          <w:rFonts w:ascii="Arial" w:hAnsi="Arial" w:cs="Arial"/>
          <w:b/>
          <w:bCs/>
        </w:rPr>
        <w:br w:type="page"/>
      </w:r>
    </w:p>
    <w:p w14:paraId="0D74EB79" w14:textId="342EA48C" w:rsidR="004D3A76" w:rsidRDefault="00E26D69" w:rsidP="004D3A76">
      <w:pPr>
        <w:spacing w:line="360" w:lineRule="auto"/>
        <w:rPr>
          <w:rFonts w:ascii="Arial" w:hAnsi="Arial" w:cs="Arial"/>
          <w:b/>
          <w:bCs/>
        </w:rPr>
      </w:pPr>
      <w:r w:rsidRPr="4FC6C71F">
        <w:rPr>
          <w:rFonts w:ascii="Arial" w:hAnsi="Arial" w:cs="Arial"/>
          <w:b/>
          <w:bCs/>
        </w:rPr>
        <w:lastRenderedPageBreak/>
        <w:t>Paid trade union activities</w:t>
      </w:r>
      <w:r w:rsidRPr="00E26D69">
        <w:rPr>
          <w:rFonts w:ascii="Arial" w:hAnsi="Arial" w:cs="Arial"/>
          <w:vertAlign w:val="superscript"/>
        </w:rPr>
        <w:footnoteReference w:id="25"/>
      </w:r>
    </w:p>
    <w:p w14:paraId="144B5102" w14:textId="6CD39E83" w:rsidR="00FD0238" w:rsidRPr="004D3A76" w:rsidRDefault="00FD0238" w:rsidP="004D3A76">
      <w:pPr>
        <w:spacing w:line="360" w:lineRule="auto"/>
        <w:rPr>
          <w:rFonts w:ascii="Arial" w:hAnsi="Arial" w:cs="Arial"/>
          <w:b/>
        </w:rPr>
      </w:pPr>
      <w:r w:rsidRPr="00F71F1D">
        <w:rPr>
          <w:rFonts w:ascii="Arial" w:hAnsi="Arial" w:cs="Arial"/>
          <w:color w:val="000000" w:themeColor="text1"/>
        </w:rPr>
        <w:t>Percentage of time spent on union activities as a percentage of total paid facilities time.</w:t>
      </w:r>
    </w:p>
    <w:tbl>
      <w:tblPr>
        <w:tblStyle w:val="TableGrid"/>
        <w:tblW w:w="0" w:type="auto"/>
        <w:tblLook w:val="04A0" w:firstRow="1" w:lastRow="0" w:firstColumn="1" w:lastColumn="0" w:noHBand="0" w:noVBand="1"/>
      </w:tblPr>
      <w:tblGrid>
        <w:gridCol w:w="4957"/>
        <w:gridCol w:w="4819"/>
      </w:tblGrid>
      <w:tr w:rsidR="00E26D69" w:rsidRPr="00E26D69" w14:paraId="4182A733" w14:textId="77777777" w:rsidTr="00D44514">
        <w:tc>
          <w:tcPr>
            <w:tcW w:w="4957" w:type="dxa"/>
            <w:shd w:val="clear" w:color="auto" w:fill="EAF1DD" w:themeFill="accent3" w:themeFillTint="33"/>
          </w:tcPr>
          <w:p w14:paraId="742839B1" w14:textId="77777777" w:rsidR="00E26D69" w:rsidRPr="00E26D69" w:rsidRDefault="00E26D69" w:rsidP="00E26D69">
            <w:pPr>
              <w:spacing w:line="360" w:lineRule="auto"/>
              <w:rPr>
                <w:rFonts w:ascii="Arial" w:hAnsi="Arial" w:cs="Arial"/>
              </w:rPr>
            </w:pPr>
            <w:r w:rsidRPr="00E26D69">
              <w:rPr>
                <w:rFonts w:ascii="Arial" w:hAnsi="Arial" w:cs="Arial"/>
              </w:rPr>
              <w:t>Time spent on paid trade union activities as a percentage of total paid facility time (hours)</w:t>
            </w:r>
          </w:p>
        </w:tc>
        <w:tc>
          <w:tcPr>
            <w:tcW w:w="4819" w:type="dxa"/>
            <w:shd w:val="clear" w:color="auto" w:fill="EAF1DD" w:themeFill="accent3" w:themeFillTint="33"/>
          </w:tcPr>
          <w:p w14:paraId="463A3150" w14:textId="10E40395" w:rsidR="00E26D69" w:rsidRPr="00FA3E57" w:rsidRDefault="00FA3E57" w:rsidP="00E26D69">
            <w:pPr>
              <w:spacing w:line="360" w:lineRule="auto"/>
              <w:rPr>
                <w:rFonts w:ascii="Arial" w:hAnsi="Arial" w:cs="Arial"/>
              </w:rPr>
            </w:pPr>
            <w:r w:rsidRPr="00FA3E57">
              <w:rPr>
                <w:rFonts w:ascii="Arial" w:hAnsi="Arial" w:cs="Arial"/>
              </w:rPr>
              <w:t>5.07</w:t>
            </w:r>
            <w:r>
              <w:rPr>
                <w:rFonts w:ascii="Arial" w:hAnsi="Arial" w:cs="Arial"/>
              </w:rPr>
              <w:t>%</w:t>
            </w:r>
          </w:p>
        </w:tc>
      </w:tr>
    </w:tbl>
    <w:p w14:paraId="4C9091FA" w14:textId="77777777" w:rsidR="00D34309" w:rsidRPr="00E26D69" w:rsidRDefault="00D34309" w:rsidP="001D702E">
      <w:pPr>
        <w:rPr>
          <w:rFonts w:ascii="Arial" w:hAnsi="Arial" w:cs="Arial"/>
          <w:szCs w:val="22"/>
        </w:rPr>
      </w:pPr>
    </w:p>
    <w:sectPr w:rsidR="00D34309" w:rsidRPr="00E26D69" w:rsidSect="0081429E">
      <w:headerReference w:type="even" r:id="rId85"/>
      <w:headerReference w:type="default" r:id="rId86"/>
      <w:footerReference w:type="even" r:id="rId87"/>
      <w:headerReference w:type="first" r:id="rId88"/>
      <w:footerReference w:type="first" r:id="rId89"/>
      <w:type w:val="continuous"/>
      <w:pgSz w:w="11906" w:h="16838" w:code="9"/>
      <w:pgMar w:top="102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D03A1" w14:textId="77777777" w:rsidR="00686B2B" w:rsidRDefault="00686B2B">
      <w:r>
        <w:separator/>
      </w:r>
    </w:p>
    <w:p w14:paraId="3C10E3C5" w14:textId="77777777" w:rsidR="00686B2B" w:rsidRDefault="00686B2B"/>
    <w:p w14:paraId="6EFEE3D1" w14:textId="77777777" w:rsidR="00686B2B" w:rsidRDefault="00686B2B"/>
    <w:p w14:paraId="4376AE4E" w14:textId="77777777" w:rsidR="00686B2B" w:rsidRDefault="00686B2B"/>
  </w:endnote>
  <w:endnote w:type="continuationSeparator" w:id="0">
    <w:p w14:paraId="7EBF9FCB" w14:textId="77777777" w:rsidR="00686B2B" w:rsidRDefault="00686B2B">
      <w:r>
        <w:continuationSeparator/>
      </w:r>
    </w:p>
    <w:p w14:paraId="1862328C" w14:textId="77777777" w:rsidR="00686B2B" w:rsidRDefault="00686B2B"/>
    <w:p w14:paraId="0A39EBD2" w14:textId="77777777" w:rsidR="00686B2B" w:rsidRDefault="00686B2B"/>
    <w:p w14:paraId="6B188B49" w14:textId="77777777" w:rsidR="00686B2B" w:rsidRDefault="00686B2B"/>
  </w:endnote>
  <w:endnote w:type="continuationNotice" w:id="1">
    <w:p w14:paraId="6AB51A12" w14:textId="77777777" w:rsidR="00686B2B" w:rsidRDefault="00686B2B"/>
    <w:p w14:paraId="40B622B8" w14:textId="77777777" w:rsidR="00686B2B" w:rsidRDefault="00686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Light">
    <w:charset w:val="00"/>
    <w:family w:val="auto"/>
    <w:pitch w:val="default"/>
  </w:font>
  <w:font w:name="RotisSemiSans">
    <w:altName w:val="RotisSemi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3" w:usb1="00000000" w:usb2="00000000" w:usb3="00000000" w:csb0="00000003" w:csb1="00000000"/>
  </w:font>
  <w:font w:name="RotisSemiSans Light">
    <w:altName w:val="RotisSemiSans Light"/>
    <w:panose1 w:val="00000000000000000000"/>
    <w:charset w:val="00"/>
    <w:family w:val="swiss"/>
    <w:notTrueType/>
    <w:pitch w:val="default"/>
    <w:sig w:usb0="00000003" w:usb1="00000000" w:usb2="00000000" w:usb3="00000000" w:csb0="00000001" w:csb1="00000000"/>
  </w:font>
  <w:font w:name="Rotis Semi Sans Std">
    <w:altName w:val="Rotis Semi Sans St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584266"/>
      <w:docPartObj>
        <w:docPartGallery w:val="Page Numbers (Bottom of Page)"/>
        <w:docPartUnique/>
      </w:docPartObj>
    </w:sdtPr>
    <w:sdtEndPr/>
    <w:sdtContent>
      <w:sdt>
        <w:sdtPr>
          <w:id w:val="-1705238520"/>
          <w:docPartObj>
            <w:docPartGallery w:val="Page Numbers (Top of Page)"/>
            <w:docPartUnique/>
          </w:docPartObj>
        </w:sdtPr>
        <w:sdtEndPr/>
        <w:sdtContent>
          <w:p w14:paraId="4CD122D6" w14:textId="3A8FEC32" w:rsidR="00C57F68" w:rsidRDefault="00C57F68" w:rsidP="00311CE6">
            <w:pPr>
              <w:pStyle w:val="Footer"/>
              <w:jc w:val="center"/>
            </w:pPr>
            <w:r w:rsidRPr="00407FFD">
              <w:rPr>
                <w:rFonts w:ascii="Arial" w:hAnsi="Arial" w:cs="Arial"/>
                <w:sz w:val="22"/>
                <w:szCs w:val="22"/>
              </w:rPr>
              <w:t xml:space="preserve">Page </w:t>
            </w:r>
            <w:r w:rsidRPr="00407FFD">
              <w:rPr>
                <w:rFonts w:ascii="Arial" w:hAnsi="Arial" w:cs="Arial"/>
                <w:b/>
                <w:bCs/>
                <w:sz w:val="22"/>
                <w:szCs w:val="22"/>
              </w:rPr>
              <w:fldChar w:fldCharType="begin"/>
            </w:r>
            <w:r w:rsidRPr="00407FFD">
              <w:rPr>
                <w:rFonts w:ascii="Arial" w:hAnsi="Arial" w:cs="Arial"/>
                <w:b/>
                <w:bCs/>
                <w:sz w:val="22"/>
                <w:szCs w:val="22"/>
              </w:rPr>
              <w:instrText xml:space="preserve"> PAGE </w:instrText>
            </w:r>
            <w:r w:rsidRPr="00407FFD">
              <w:rPr>
                <w:rFonts w:ascii="Arial" w:hAnsi="Arial" w:cs="Arial"/>
                <w:b/>
                <w:bCs/>
                <w:sz w:val="22"/>
                <w:szCs w:val="22"/>
              </w:rPr>
              <w:fldChar w:fldCharType="separate"/>
            </w:r>
            <w:r w:rsidRPr="00407FFD">
              <w:rPr>
                <w:rFonts w:ascii="Arial" w:hAnsi="Arial" w:cs="Arial"/>
                <w:b/>
                <w:bCs/>
                <w:noProof/>
                <w:sz w:val="22"/>
                <w:szCs w:val="22"/>
              </w:rPr>
              <w:t>2</w:t>
            </w:r>
            <w:r w:rsidRPr="00407FFD">
              <w:rPr>
                <w:rFonts w:ascii="Arial" w:hAnsi="Arial" w:cs="Arial"/>
                <w:b/>
                <w:bCs/>
                <w:sz w:val="22"/>
                <w:szCs w:val="22"/>
              </w:rPr>
              <w:fldChar w:fldCharType="end"/>
            </w:r>
            <w:r w:rsidRPr="00407FFD">
              <w:rPr>
                <w:rFonts w:ascii="Arial" w:hAnsi="Arial" w:cs="Arial"/>
                <w:sz w:val="22"/>
                <w:szCs w:val="22"/>
              </w:rPr>
              <w:t xml:space="preserve"> of </w:t>
            </w:r>
            <w:r w:rsidRPr="00407FFD">
              <w:rPr>
                <w:rFonts w:ascii="Arial" w:hAnsi="Arial" w:cs="Arial"/>
                <w:b/>
                <w:bCs/>
                <w:sz w:val="22"/>
                <w:szCs w:val="22"/>
              </w:rPr>
              <w:fldChar w:fldCharType="begin"/>
            </w:r>
            <w:r w:rsidRPr="00407FFD">
              <w:rPr>
                <w:rFonts w:ascii="Arial" w:hAnsi="Arial" w:cs="Arial"/>
                <w:b/>
                <w:bCs/>
                <w:sz w:val="22"/>
                <w:szCs w:val="22"/>
              </w:rPr>
              <w:instrText xml:space="preserve"> NUMPAGES  </w:instrText>
            </w:r>
            <w:r w:rsidRPr="00407FFD">
              <w:rPr>
                <w:rFonts w:ascii="Arial" w:hAnsi="Arial" w:cs="Arial"/>
                <w:b/>
                <w:bCs/>
                <w:sz w:val="22"/>
                <w:szCs w:val="22"/>
              </w:rPr>
              <w:fldChar w:fldCharType="separate"/>
            </w:r>
            <w:r w:rsidRPr="00407FFD">
              <w:rPr>
                <w:rFonts w:ascii="Arial" w:hAnsi="Arial" w:cs="Arial"/>
                <w:b/>
                <w:bCs/>
                <w:noProof/>
                <w:sz w:val="22"/>
                <w:szCs w:val="22"/>
              </w:rPr>
              <w:t>2</w:t>
            </w:r>
            <w:r w:rsidRPr="00407FFD">
              <w:rPr>
                <w:rFonts w:ascii="Arial" w:hAnsi="Arial" w:cs="Arial"/>
                <w:b/>
                <w:bCs/>
                <w:sz w:val="22"/>
                <w:szCs w:val="22"/>
              </w:rPr>
              <w:fldChar w:fldCharType="end"/>
            </w:r>
          </w:p>
        </w:sdtContent>
      </w:sdt>
    </w:sdtContent>
  </w:sdt>
  <w:p w14:paraId="03EAE879" w14:textId="77777777" w:rsidR="00D543AB" w:rsidRDefault="00D54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B4FD" w14:textId="4028B15D" w:rsidR="00800899" w:rsidRDefault="008008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C3AD" w14:textId="143314A1" w:rsidR="00D543AB" w:rsidRPr="004B1240" w:rsidRDefault="00D543AB">
    <w:pPr>
      <w:pStyle w:val="Footer"/>
      <w:jc w:val="center"/>
      <w:rPr>
        <w:rFonts w:ascii="Arial" w:hAnsi="Arial" w:cs="Arial"/>
      </w:rPr>
    </w:pPr>
  </w:p>
  <w:p w14:paraId="74B4FE21" w14:textId="77777777" w:rsidR="00D543AB" w:rsidRPr="004B1240" w:rsidRDefault="00D543AB">
    <w:pPr>
      <w:pStyle w:val="Footer"/>
      <w:jc w:val="center"/>
      <w:rPr>
        <w:rFonts w:ascii="Arial" w:hAnsi="Arial" w:cs="Arial"/>
      </w:rPr>
    </w:pPr>
    <w:r w:rsidRPr="004B1240">
      <w:rPr>
        <w:rFonts w:ascii="Arial" w:hAnsi="Arial" w:cs="Arial"/>
      </w:rPr>
      <w:t xml:space="preserve">Page </w:t>
    </w:r>
    <w:r w:rsidRPr="004B1240">
      <w:rPr>
        <w:rFonts w:ascii="Arial" w:hAnsi="Arial" w:cs="Arial"/>
        <w:bCs/>
      </w:rPr>
      <w:fldChar w:fldCharType="begin"/>
    </w:r>
    <w:r w:rsidRPr="004B1240">
      <w:rPr>
        <w:rFonts w:ascii="Arial" w:hAnsi="Arial" w:cs="Arial"/>
        <w:bCs/>
      </w:rPr>
      <w:instrText xml:space="preserve"> PAGE </w:instrText>
    </w:r>
    <w:r w:rsidRPr="004B1240">
      <w:rPr>
        <w:rFonts w:ascii="Arial" w:hAnsi="Arial" w:cs="Arial"/>
        <w:bCs/>
      </w:rPr>
      <w:fldChar w:fldCharType="separate"/>
    </w:r>
    <w:r>
      <w:rPr>
        <w:rFonts w:ascii="Arial" w:hAnsi="Arial" w:cs="Arial"/>
        <w:bCs/>
        <w:noProof/>
      </w:rPr>
      <w:t>56</w:t>
    </w:r>
    <w:r w:rsidRPr="004B1240">
      <w:rPr>
        <w:rFonts w:ascii="Arial" w:hAnsi="Arial" w:cs="Arial"/>
        <w:bCs/>
      </w:rPr>
      <w:fldChar w:fldCharType="end"/>
    </w:r>
    <w:r w:rsidRPr="004B1240">
      <w:rPr>
        <w:rFonts w:ascii="Arial" w:hAnsi="Arial" w:cs="Arial"/>
      </w:rPr>
      <w:t xml:space="preserve"> of </w:t>
    </w:r>
    <w:r w:rsidRPr="004B1240">
      <w:rPr>
        <w:rFonts w:ascii="Arial" w:hAnsi="Arial" w:cs="Arial"/>
        <w:bCs/>
      </w:rPr>
      <w:fldChar w:fldCharType="begin"/>
    </w:r>
    <w:r w:rsidRPr="004B1240">
      <w:rPr>
        <w:rFonts w:ascii="Arial" w:hAnsi="Arial" w:cs="Arial"/>
        <w:bCs/>
      </w:rPr>
      <w:instrText xml:space="preserve"> NUMPAGES  </w:instrText>
    </w:r>
    <w:r w:rsidRPr="004B1240">
      <w:rPr>
        <w:rFonts w:ascii="Arial" w:hAnsi="Arial" w:cs="Arial"/>
        <w:bCs/>
      </w:rPr>
      <w:fldChar w:fldCharType="separate"/>
    </w:r>
    <w:r>
      <w:rPr>
        <w:rFonts w:ascii="Arial" w:hAnsi="Arial" w:cs="Arial"/>
        <w:bCs/>
        <w:noProof/>
      </w:rPr>
      <w:t>67</w:t>
    </w:r>
    <w:r w:rsidRPr="004B1240">
      <w:rPr>
        <w:rFonts w:ascii="Arial" w:hAnsi="Arial" w:cs="Arial"/>
        <w:bCs/>
      </w:rPr>
      <w:fldChar w:fldCharType="end"/>
    </w:r>
  </w:p>
  <w:p w14:paraId="1A81A302" w14:textId="77777777" w:rsidR="00D543AB" w:rsidRDefault="00D543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5B9A" w14:textId="73A34846" w:rsidR="00800899" w:rsidRDefault="008008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074D" w14:textId="26AF01ED" w:rsidR="00800899" w:rsidRDefault="008008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B1F0" w14:textId="2F14A84C" w:rsidR="00800899" w:rsidRDefault="008008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E90D" w14:textId="41F5F1F7" w:rsidR="00800899" w:rsidRDefault="00800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3716" w14:textId="77777777" w:rsidR="00686B2B" w:rsidRDefault="00686B2B">
      <w:r>
        <w:separator/>
      </w:r>
    </w:p>
  </w:footnote>
  <w:footnote w:type="continuationSeparator" w:id="0">
    <w:p w14:paraId="1ED1F770" w14:textId="77777777" w:rsidR="00686B2B" w:rsidRDefault="00686B2B">
      <w:r>
        <w:continuationSeparator/>
      </w:r>
    </w:p>
    <w:p w14:paraId="780E336A" w14:textId="77777777" w:rsidR="00686B2B" w:rsidRDefault="00686B2B"/>
  </w:footnote>
  <w:footnote w:type="continuationNotice" w:id="1">
    <w:p w14:paraId="084D3052" w14:textId="77777777" w:rsidR="00686B2B" w:rsidRDefault="00686B2B"/>
    <w:p w14:paraId="14437549" w14:textId="77777777" w:rsidR="00686B2B" w:rsidRDefault="00686B2B"/>
    <w:p w14:paraId="7AF72D89" w14:textId="77777777" w:rsidR="00686B2B" w:rsidRDefault="00686B2B"/>
  </w:footnote>
  <w:footnote w:id="2">
    <w:p w14:paraId="4A4117F5" w14:textId="103C183F" w:rsidR="00A867FA" w:rsidRPr="0009767F" w:rsidRDefault="00A867FA" w:rsidP="00A867FA">
      <w:pPr>
        <w:pStyle w:val="FootnoteText"/>
        <w:rPr>
          <w:rFonts w:ascii="Arial" w:hAnsi="Arial" w:cs="Arial"/>
        </w:rPr>
      </w:pPr>
      <w:r w:rsidRPr="0009767F">
        <w:rPr>
          <w:rFonts w:ascii="Arial" w:hAnsi="Arial" w:cs="Arial"/>
        </w:rPr>
        <w:footnoteRef/>
      </w:r>
      <w:r w:rsidRPr="0009767F">
        <w:rPr>
          <w:rFonts w:ascii="Arial" w:hAnsi="Arial" w:cs="Arial"/>
        </w:rPr>
        <w:t xml:space="preserve"> </w:t>
      </w:r>
      <w:hyperlink r:id="rId1" w:history="1">
        <w:r w:rsidRPr="005E1085">
          <w:rPr>
            <w:rStyle w:val="Hyperlink"/>
            <w:rFonts w:ascii="Arial" w:hAnsi="Arial" w:cs="Arial"/>
          </w:rPr>
          <w:t>sepa.org.uk/about-us/how-we-work/our-board/</w:t>
        </w:r>
      </w:hyperlink>
      <w:r w:rsidRPr="0009767F">
        <w:rPr>
          <w:rFonts w:ascii="Arial" w:hAnsi="Arial" w:cs="Arial"/>
        </w:rPr>
        <w:t xml:space="preserve"> </w:t>
      </w:r>
    </w:p>
  </w:footnote>
  <w:footnote w:id="3">
    <w:p w14:paraId="5188B8A0" w14:textId="675DB02A" w:rsidR="00DF2C47" w:rsidRDefault="00DF2C47" w:rsidP="00DF2C47">
      <w:pPr>
        <w:pStyle w:val="FootnoteText"/>
      </w:pPr>
      <w:r w:rsidRPr="006E6948">
        <w:rPr>
          <w:rStyle w:val="FootnoteReference"/>
          <w:rFonts w:ascii="Arial" w:hAnsi="Arial" w:cs="Arial"/>
          <w:vertAlign w:val="baseline"/>
        </w:rPr>
        <w:footnoteRef/>
      </w:r>
      <w:r w:rsidRPr="002059C2">
        <w:rPr>
          <w:rStyle w:val="Hyperlink"/>
          <w:rFonts w:ascii="Arial" w:hAnsi="Arial" w:cs="Arial"/>
        </w:rPr>
        <w:t xml:space="preserve"> </w:t>
      </w:r>
      <w:hyperlink r:id="rId2" w:history="1">
        <w:r w:rsidRPr="002059C2">
          <w:rPr>
            <w:rStyle w:val="Hyperlink"/>
            <w:rFonts w:ascii="Arial" w:hAnsi="Arial" w:cs="Arial"/>
          </w:rPr>
          <w:t>SEPA engages innovative modelling techniques to help Scotland better prepare for future increased flooding | Media | Scottish Environment Protection Agency (SEPA)</w:t>
        </w:r>
      </w:hyperlink>
    </w:p>
  </w:footnote>
  <w:footnote w:id="4">
    <w:p w14:paraId="1086A1F8" w14:textId="515F3813" w:rsidR="009442E1" w:rsidRDefault="009442E1">
      <w:pPr>
        <w:pStyle w:val="FootnoteText"/>
      </w:pPr>
      <w:r w:rsidRPr="009442E1">
        <w:rPr>
          <w:rStyle w:val="FootnoteReference"/>
          <w:rFonts w:ascii="Arial" w:hAnsi="Arial" w:cs="Arial"/>
          <w:vertAlign w:val="baseline"/>
        </w:rPr>
        <w:footnoteRef/>
      </w:r>
      <w:r w:rsidRPr="009442E1">
        <w:rPr>
          <w:rStyle w:val="FootnoteReference"/>
          <w:rFonts w:ascii="Arial" w:hAnsi="Arial" w:cs="Arial"/>
          <w:vertAlign w:val="baseline"/>
        </w:rPr>
        <w:t xml:space="preserve"> </w:t>
      </w:r>
      <w:hyperlink r:id="rId3" w:history="1">
        <w:r w:rsidRPr="009442E1">
          <w:rPr>
            <w:rStyle w:val="Hyperlink"/>
            <w:rFonts w:ascii="Arial" w:hAnsi="Arial" w:cs="Arial"/>
          </w:rPr>
          <w:t>The State of the UK Climate 2020 Report, Met Office</w:t>
        </w:r>
      </w:hyperlink>
      <w:r w:rsidRPr="009442E1">
        <w:rPr>
          <w:rStyle w:val="FootnoteReference"/>
          <w:rFonts w:ascii="Arial" w:hAnsi="Arial" w:cs="Arial"/>
          <w:vertAlign w:val="baseline"/>
        </w:rPr>
        <w:t>.</w:t>
      </w:r>
    </w:p>
  </w:footnote>
  <w:footnote w:id="5">
    <w:p w14:paraId="26BF20F6" w14:textId="58665F8A" w:rsidR="0050152F" w:rsidRPr="0083555E" w:rsidRDefault="0050152F" w:rsidP="004739A3">
      <w:pPr>
        <w:pStyle w:val="FootnoteText"/>
        <w:rPr>
          <w:rFonts w:ascii="Arial" w:hAnsi="Arial" w:cs="Arial"/>
        </w:rPr>
      </w:pPr>
      <w:r w:rsidRPr="0083555E">
        <w:rPr>
          <w:rStyle w:val="FootnoteReference"/>
          <w:rFonts w:ascii="Arial" w:hAnsi="Arial" w:cs="Arial"/>
          <w:vertAlign w:val="baseline"/>
        </w:rPr>
        <w:footnoteRef/>
      </w:r>
      <w:r w:rsidRPr="0083555E">
        <w:rPr>
          <w:rStyle w:val="FootnoteReference"/>
          <w:rFonts w:ascii="Arial" w:hAnsi="Arial" w:cs="Arial"/>
          <w:vertAlign w:val="baseline"/>
        </w:rPr>
        <w:t xml:space="preserve">  A daily, national flood guidance statement issued to Category 1 and 2 agencies, such as emergency responders, local authorities</w:t>
      </w:r>
      <w:r w:rsidR="00E42ED8">
        <w:rPr>
          <w:rFonts w:ascii="Arial" w:hAnsi="Arial" w:cs="Arial"/>
        </w:rPr>
        <w:t>,</w:t>
      </w:r>
      <w:r w:rsidRPr="0083555E">
        <w:rPr>
          <w:rStyle w:val="FootnoteReference"/>
          <w:rFonts w:ascii="Arial" w:hAnsi="Arial" w:cs="Arial"/>
          <w:vertAlign w:val="baseline"/>
        </w:rPr>
        <w:t xml:space="preserve"> and other organisations with flooding management duties. Each daily statement gives an assessment of the risk of flooding for the next five days and provides organisations with valuable time to put preparations in place to reduce the impact of flooding.</w:t>
      </w:r>
      <w:r w:rsidRPr="0083555E">
        <w:rPr>
          <w:rFonts w:ascii="Arial" w:hAnsi="Arial" w:cs="Arial"/>
          <w:sz w:val="18"/>
          <w:szCs w:val="18"/>
          <w:shd w:val="clear" w:color="auto" w:fill="FFFFFF"/>
        </w:rPr>
        <w:t> </w:t>
      </w:r>
    </w:p>
  </w:footnote>
  <w:footnote w:id="6">
    <w:p w14:paraId="7DCCF7C4" w14:textId="52FFA740" w:rsidR="00247D3F" w:rsidRDefault="00247D3F">
      <w:pPr>
        <w:pStyle w:val="FootnoteText"/>
      </w:pPr>
      <w:r w:rsidRPr="00605987">
        <w:rPr>
          <w:rStyle w:val="FootnoteReference"/>
          <w:rFonts w:ascii="Arial" w:hAnsi="Arial" w:cs="Arial"/>
          <w:vertAlign w:val="baseline"/>
        </w:rPr>
        <w:footnoteRef/>
      </w:r>
      <w:r w:rsidRPr="00605987">
        <w:rPr>
          <w:rFonts w:ascii="Arial" w:hAnsi="Arial" w:cs="Arial"/>
        </w:rPr>
        <w:t xml:space="preserve"> </w:t>
      </w:r>
      <w:r w:rsidR="00605987" w:rsidRPr="00247D3F">
        <w:rPr>
          <w:rFonts w:ascii="Arial" w:hAnsi="Arial" w:cs="Arial"/>
        </w:rPr>
        <w:t>Inspections of the outstanding two Pollution Prevention and Control and three Control of Major Accidental Hazards sites will be undertaken in early 2022 -2023.</w:t>
      </w:r>
    </w:p>
  </w:footnote>
  <w:footnote w:id="7">
    <w:p w14:paraId="33EF5F6F" w14:textId="7C286991" w:rsidR="00D32974" w:rsidRDefault="00D32974">
      <w:pPr>
        <w:pStyle w:val="FootnoteText"/>
      </w:pPr>
      <w:r w:rsidRPr="00D32974">
        <w:rPr>
          <w:rStyle w:val="FootnoteReference"/>
          <w:rFonts w:ascii="Arial" w:hAnsi="Arial" w:cs="Arial"/>
          <w:vertAlign w:val="baseline"/>
        </w:rPr>
        <w:footnoteRef/>
      </w:r>
      <w:r w:rsidRPr="00D32974">
        <w:rPr>
          <w:rFonts w:ascii="Arial" w:hAnsi="Arial" w:cs="Arial"/>
        </w:rPr>
        <w:t xml:space="preserve"> </w:t>
      </w:r>
      <w:r>
        <w:rPr>
          <w:rFonts w:ascii="Arial" w:hAnsi="Arial" w:cs="Arial"/>
        </w:rPr>
        <w:t xml:space="preserve">This comprises 68 significantly non-compliant sites and 32 sites of community impact. </w:t>
      </w:r>
    </w:p>
  </w:footnote>
  <w:footnote w:id="8">
    <w:p w14:paraId="7C4075AA" w14:textId="7FC91BEF" w:rsidR="00613F23" w:rsidRPr="00613F23" w:rsidRDefault="00613F23">
      <w:pPr>
        <w:pStyle w:val="FootnoteText"/>
        <w:rPr>
          <w:rFonts w:ascii="Arial" w:hAnsi="Arial" w:cs="Arial"/>
        </w:rPr>
      </w:pPr>
      <w:r w:rsidRPr="00613F23">
        <w:rPr>
          <w:rStyle w:val="FootnoteReference"/>
          <w:rFonts w:ascii="Arial" w:hAnsi="Arial" w:cs="Arial"/>
          <w:vertAlign w:val="baseline"/>
        </w:rPr>
        <w:footnoteRef/>
      </w:r>
      <w:r w:rsidRPr="00613F23">
        <w:rPr>
          <w:rFonts w:ascii="Arial" w:hAnsi="Arial" w:cs="Arial"/>
        </w:rPr>
        <w:t xml:space="preserve"> </w:t>
      </w:r>
      <w:r w:rsidRPr="00613F23">
        <w:rPr>
          <w:rFonts w:ascii="Arial" w:hAnsi="Arial" w:cs="Arial"/>
          <w:bCs/>
          <w:color w:val="000000" w:themeColor="text1"/>
        </w:rPr>
        <w:t>The staff costs shown in this table include the costs that score against cash DEL £59,988k plus cash utilised for unfunded pensions £14</w:t>
      </w:r>
      <w:r w:rsidR="00DD7573">
        <w:rPr>
          <w:rFonts w:ascii="Arial" w:hAnsi="Arial" w:cs="Arial"/>
          <w:bCs/>
          <w:color w:val="000000" w:themeColor="text1"/>
        </w:rPr>
        <w:t>1</w:t>
      </w:r>
      <w:r w:rsidRPr="00613F23">
        <w:rPr>
          <w:rFonts w:ascii="Arial" w:hAnsi="Arial" w:cs="Arial"/>
          <w:bCs/>
          <w:color w:val="000000" w:themeColor="text1"/>
        </w:rPr>
        <w:t>k and the life assurance benefit £83k.</w:t>
      </w:r>
    </w:p>
  </w:footnote>
  <w:footnote w:id="9">
    <w:p w14:paraId="144667D5" w14:textId="7F846135" w:rsidR="006915DF" w:rsidRDefault="006915DF">
      <w:pPr>
        <w:pStyle w:val="FootnoteText"/>
      </w:pPr>
      <w:r w:rsidRPr="008801BB">
        <w:rPr>
          <w:rStyle w:val="FootnoteReference"/>
          <w:rFonts w:ascii="Arial" w:hAnsi="Arial" w:cs="Arial"/>
          <w:vertAlign w:val="baseline"/>
        </w:rPr>
        <w:footnoteRef/>
      </w:r>
      <w:r w:rsidRPr="008801BB">
        <w:rPr>
          <w:rStyle w:val="FootnoteReference"/>
          <w:rFonts w:ascii="Arial" w:hAnsi="Arial" w:cs="Arial"/>
          <w:vertAlign w:val="baseline"/>
        </w:rPr>
        <w:t xml:space="preserve"> </w:t>
      </w:r>
      <w:r w:rsidR="0080459C" w:rsidRPr="008801BB">
        <w:rPr>
          <w:rStyle w:val="FootnoteReference"/>
          <w:rFonts w:ascii="Arial" w:hAnsi="Arial" w:cs="Arial"/>
          <w:vertAlign w:val="baseline"/>
        </w:rPr>
        <w:t>In Financial Year 2022/23, 8 voluntary severance applications were accepted</w:t>
      </w:r>
      <w:r w:rsidR="008801BB" w:rsidRPr="008801BB">
        <w:rPr>
          <w:rStyle w:val="FootnoteReference"/>
          <w:rFonts w:ascii="Arial" w:hAnsi="Arial" w:cs="Arial"/>
          <w:vertAlign w:val="baseline"/>
        </w:rPr>
        <w:t>.</w:t>
      </w:r>
    </w:p>
  </w:footnote>
  <w:footnote w:id="10">
    <w:p w14:paraId="2D0F319D" w14:textId="1008F589" w:rsidR="009B70A9" w:rsidRPr="009B70A9" w:rsidRDefault="009B70A9">
      <w:pPr>
        <w:pStyle w:val="FootnoteText"/>
        <w:rPr>
          <w:rFonts w:ascii="Arial" w:hAnsi="Arial" w:cs="Arial"/>
        </w:rPr>
      </w:pPr>
      <w:r w:rsidRPr="00B97D86">
        <w:rPr>
          <w:rStyle w:val="FootnoteReference"/>
          <w:rFonts w:ascii="Arial" w:hAnsi="Arial" w:cs="Arial"/>
          <w:vertAlign w:val="baseline"/>
        </w:rPr>
        <w:footnoteRef/>
      </w:r>
      <w:r w:rsidRPr="009B70A9">
        <w:rPr>
          <w:rFonts w:ascii="Arial" w:hAnsi="Arial" w:cs="Arial"/>
        </w:rPr>
        <w:t xml:space="preserve"> </w:t>
      </w:r>
      <w:r>
        <w:rPr>
          <w:rFonts w:ascii="Arial" w:hAnsi="Arial" w:cs="Arial"/>
        </w:rPr>
        <w:t>This publication / approach is now extant and is no longer available on SEPA’s website</w:t>
      </w:r>
    </w:p>
  </w:footnote>
  <w:footnote w:id="11">
    <w:p w14:paraId="59FD0042" w14:textId="3E569C72" w:rsidR="009E235A" w:rsidRPr="005221A6" w:rsidRDefault="009E235A">
      <w:pPr>
        <w:pStyle w:val="FootnoteText"/>
        <w:rPr>
          <w:rFonts w:ascii="Arial" w:hAnsi="Arial" w:cs="Arial"/>
        </w:rPr>
      </w:pPr>
      <w:r w:rsidRPr="00B97D86">
        <w:rPr>
          <w:rStyle w:val="FootnoteReference"/>
          <w:rFonts w:ascii="Arial" w:hAnsi="Arial" w:cs="Arial"/>
          <w:vertAlign w:val="baseline"/>
        </w:rPr>
        <w:footnoteRef/>
      </w:r>
      <w:r w:rsidRPr="005221A6">
        <w:rPr>
          <w:rFonts w:ascii="Arial" w:hAnsi="Arial" w:cs="Arial"/>
        </w:rPr>
        <w:t xml:space="preserve"> </w:t>
      </w:r>
      <w:r w:rsidR="005221A6">
        <w:rPr>
          <w:rFonts w:ascii="Arial" w:hAnsi="Arial" w:cs="Arial"/>
        </w:rPr>
        <w:t>This publication</w:t>
      </w:r>
      <w:r w:rsidR="009B70A9">
        <w:rPr>
          <w:rFonts w:ascii="Arial" w:hAnsi="Arial" w:cs="Arial"/>
        </w:rPr>
        <w:t xml:space="preserve"> / approach</w:t>
      </w:r>
      <w:r w:rsidR="005221A6">
        <w:rPr>
          <w:rFonts w:ascii="Arial" w:hAnsi="Arial" w:cs="Arial"/>
        </w:rPr>
        <w:t xml:space="preserve"> is now </w:t>
      </w:r>
      <w:r w:rsidR="009B70A9">
        <w:rPr>
          <w:rFonts w:ascii="Arial" w:hAnsi="Arial" w:cs="Arial"/>
        </w:rPr>
        <w:t>extant and is no longer available on SEPA’s website</w:t>
      </w:r>
    </w:p>
  </w:footnote>
  <w:footnote w:id="12">
    <w:p w14:paraId="521F3B47" w14:textId="77777777" w:rsidR="00D543AB" w:rsidRPr="006B08EF" w:rsidRDefault="00D543AB" w:rsidP="00461152">
      <w:pPr>
        <w:pStyle w:val="FootnoteText"/>
        <w:rPr>
          <w:rFonts w:ascii="Arial" w:hAnsi="Arial" w:cs="Arial"/>
          <w:vertAlign w:val="subscript"/>
        </w:rPr>
      </w:pPr>
      <w:r w:rsidRPr="006B08EF">
        <w:rPr>
          <w:rFonts w:ascii="Arial" w:hAnsi="Arial" w:cs="Arial"/>
        </w:rPr>
        <w:footnoteRef/>
      </w:r>
      <w:r w:rsidRPr="006B08EF">
        <w:rPr>
          <w:rFonts w:ascii="Arial" w:hAnsi="Arial" w:cs="Arial"/>
        </w:rPr>
        <w:t xml:space="preserve"> CETV - Cash equivalent transfer value</w:t>
      </w:r>
    </w:p>
  </w:footnote>
  <w:footnote w:id="13">
    <w:p w14:paraId="10823F8A" w14:textId="36F4E8BB" w:rsidR="00A32711" w:rsidRPr="006B08EF" w:rsidRDefault="00932357" w:rsidP="00932357">
      <w:pPr>
        <w:pStyle w:val="FootnoteText"/>
        <w:rPr>
          <w:rFonts w:ascii="Arial" w:hAnsi="Arial" w:cs="Arial"/>
        </w:rPr>
      </w:pPr>
      <w:r w:rsidRPr="006B08EF">
        <w:rPr>
          <w:rFonts w:ascii="Arial" w:hAnsi="Arial" w:cs="Arial"/>
        </w:rPr>
        <w:footnoteRef/>
      </w:r>
      <w:r w:rsidRPr="006B08EF">
        <w:rPr>
          <w:rFonts w:ascii="Arial" w:hAnsi="Arial" w:cs="Arial"/>
        </w:rPr>
        <w:t xml:space="preserve"> This table does not include seconded members to AMT.</w:t>
      </w:r>
    </w:p>
  </w:footnote>
  <w:footnote w:id="14">
    <w:p w14:paraId="52E6FD54" w14:textId="0BEA2503" w:rsidR="00FC30C5" w:rsidRDefault="00FC30C5">
      <w:pPr>
        <w:pStyle w:val="FootnoteText"/>
      </w:pPr>
      <w:r w:rsidRPr="006A4408">
        <w:rPr>
          <w:rFonts w:ascii="Arial" w:hAnsi="Arial" w:cs="Arial"/>
        </w:rPr>
        <w:footnoteRef/>
      </w:r>
      <w:r w:rsidRPr="006A4408">
        <w:rPr>
          <w:rFonts w:ascii="Arial" w:hAnsi="Arial" w:cs="Arial"/>
        </w:rPr>
        <w:t xml:space="preserve"> </w:t>
      </w:r>
      <w:r w:rsidR="006A4408" w:rsidRPr="006B08EF">
        <w:rPr>
          <w:rFonts w:ascii="Arial" w:hAnsi="Arial" w:cs="Arial"/>
        </w:rPr>
        <w:t>CETV - Cash equivalent transfer value</w:t>
      </w:r>
    </w:p>
  </w:footnote>
  <w:footnote w:id="15">
    <w:p w14:paraId="50D97A09" w14:textId="42BE0571" w:rsidR="003B2F34" w:rsidRDefault="003B2F34">
      <w:pPr>
        <w:pStyle w:val="FootnoteText"/>
      </w:pPr>
      <w:r w:rsidRPr="002818C2">
        <w:rPr>
          <w:rStyle w:val="FootnoteReference"/>
          <w:rFonts w:ascii="Arial" w:hAnsi="Arial" w:cs="Arial"/>
          <w:vertAlign w:val="baseline"/>
        </w:rPr>
        <w:footnoteRef/>
      </w:r>
      <w:r w:rsidRPr="002818C2">
        <w:rPr>
          <w:rStyle w:val="FootnoteReference"/>
          <w:rFonts w:ascii="Arial" w:hAnsi="Arial" w:cs="Arial"/>
          <w:vertAlign w:val="baseline"/>
        </w:rPr>
        <w:t xml:space="preserve"> The information contained in this table is not subject to audit.</w:t>
      </w:r>
    </w:p>
  </w:footnote>
  <w:footnote w:id="16">
    <w:p w14:paraId="5107ABD6" w14:textId="10AFF437" w:rsidR="005079B8" w:rsidRPr="0017654B" w:rsidRDefault="005079B8">
      <w:pPr>
        <w:pStyle w:val="FootnoteText"/>
        <w:rPr>
          <w:rFonts w:ascii="Arial" w:hAnsi="Arial" w:cs="Arial"/>
        </w:rPr>
      </w:pPr>
      <w:r w:rsidRPr="0017654B">
        <w:rPr>
          <w:rStyle w:val="FootnoteReference"/>
          <w:rFonts w:ascii="Arial" w:hAnsi="Arial" w:cs="Arial"/>
          <w:vertAlign w:val="baseline"/>
        </w:rPr>
        <w:footnoteRef/>
      </w:r>
      <w:r w:rsidRPr="0017654B">
        <w:rPr>
          <w:rFonts w:ascii="Arial" w:hAnsi="Arial" w:cs="Arial"/>
        </w:rPr>
        <w:t xml:space="preserve"> Total excludes Board but includes the </w:t>
      </w:r>
      <w:r w:rsidR="00583852">
        <w:rPr>
          <w:rFonts w:ascii="Arial" w:hAnsi="Arial" w:cs="Arial"/>
        </w:rPr>
        <w:t>Agency Management Team.</w:t>
      </w:r>
    </w:p>
  </w:footnote>
  <w:footnote w:id="17">
    <w:p w14:paraId="3C353415" w14:textId="7EE1CF5B" w:rsidR="00877FE2" w:rsidRDefault="00877FE2">
      <w:pPr>
        <w:pStyle w:val="FootnoteText"/>
        <w:rPr>
          <w:rFonts w:ascii="Arial" w:hAnsi="Arial" w:cs="Arial"/>
        </w:rPr>
      </w:pPr>
      <w:r w:rsidRPr="00877FE2">
        <w:rPr>
          <w:rStyle w:val="FootnoteReference"/>
          <w:rFonts w:ascii="Arial" w:hAnsi="Arial" w:cs="Arial"/>
          <w:vertAlign w:val="baseline"/>
        </w:rPr>
        <w:footnoteRef/>
      </w:r>
      <w:r w:rsidRPr="00877FE2">
        <w:rPr>
          <w:rFonts w:ascii="Arial" w:hAnsi="Arial" w:cs="Arial"/>
        </w:rPr>
        <w:t xml:space="preserve"> </w:t>
      </w:r>
      <w:r>
        <w:rPr>
          <w:rFonts w:ascii="Arial" w:hAnsi="Arial" w:cs="Arial"/>
        </w:rPr>
        <w:t>Includes the Chief Executive</w:t>
      </w:r>
      <w:r w:rsidR="00DF5B1C">
        <w:rPr>
          <w:rFonts w:ascii="Arial" w:hAnsi="Arial" w:cs="Arial"/>
        </w:rPr>
        <w:t>.</w:t>
      </w:r>
    </w:p>
    <w:p w14:paraId="26CFD2DC" w14:textId="289E9AC7" w:rsidR="00061EFF" w:rsidRPr="00877FE2" w:rsidRDefault="00061EFF">
      <w:pPr>
        <w:pStyle w:val="FootnoteText"/>
        <w:rPr>
          <w:rFonts w:ascii="Arial" w:hAnsi="Arial" w:cs="Arial"/>
        </w:rPr>
      </w:pPr>
    </w:p>
  </w:footnote>
  <w:footnote w:id="18">
    <w:p w14:paraId="715DF223" w14:textId="0F04E60B" w:rsidR="0012476B" w:rsidRPr="00E10C03" w:rsidRDefault="0012476B">
      <w:pPr>
        <w:pStyle w:val="FootnoteText"/>
        <w:rPr>
          <w:rFonts w:ascii="Arial" w:hAnsi="Arial" w:cs="Arial"/>
        </w:rPr>
      </w:pPr>
      <w:r w:rsidRPr="00E10C03">
        <w:rPr>
          <w:rFonts w:ascii="Arial" w:hAnsi="Arial" w:cs="Arial"/>
        </w:rPr>
        <w:footnoteRef/>
      </w:r>
      <w:r w:rsidRPr="00E10C03">
        <w:rPr>
          <w:rFonts w:ascii="Arial" w:hAnsi="Arial" w:cs="Arial"/>
        </w:rPr>
        <w:t xml:space="preserve"> </w:t>
      </w:r>
      <w:r w:rsidR="004421A8" w:rsidRPr="00E10C03">
        <w:rPr>
          <w:rFonts w:ascii="Arial" w:hAnsi="Arial" w:cs="Arial"/>
        </w:rPr>
        <w:t>Industrial relations are not subject to audit</w:t>
      </w:r>
    </w:p>
  </w:footnote>
  <w:footnote w:id="19">
    <w:p w14:paraId="69DC12AF" w14:textId="77777777" w:rsidR="00D543AB" w:rsidRPr="009420C4" w:rsidRDefault="00D543AB" w:rsidP="009420C4">
      <w:pPr>
        <w:pStyle w:val="FootnoteText"/>
        <w:rPr>
          <w:rFonts w:ascii="Arial" w:hAnsi="Arial" w:cs="Arial"/>
        </w:rPr>
      </w:pPr>
      <w:r w:rsidRPr="009420C4">
        <w:rPr>
          <w:rFonts w:ascii="Arial" w:hAnsi="Arial" w:cs="Arial"/>
        </w:rPr>
        <w:footnoteRef/>
      </w:r>
      <w:r w:rsidRPr="009420C4">
        <w:rPr>
          <w:rFonts w:ascii="Arial" w:hAnsi="Arial" w:cs="Arial"/>
        </w:rPr>
        <w:t xml:space="preserve"> 'Red Book' Valuations are those that meet the criteria set out by the Royal Institution of Chartered Surveyors (RICS). It sets out the mandatory rules and standard guidelines for RICS Registered valuers to follow when they are undertaking valuations.</w:t>
      </w:r>
    </w:p>
  </w:footnote>
  <w:footnote w:id="20">
    <w:p w14:paraId="3AC5BA7C" w14:textId="77777777" w:rsidR="00A10103" w:rsidRPr="006B08EF" w:rsidRDefault="00A10103" w:rsidP="00E26D69">
      <w:pPr>
        <w:rPr>
          <w:sz w:val="20"/>
        </w:rPr>
      </w:pPr>
    </w:p>
  </w:footnote>
  <w:footnote w:id="21">
    <w:p w14:paraId="4E900B00" w14:textId="394955DB" w:rsidR="00A10103" w:rsidRPr="006B08EF" w:rsidRDefault="00A10103" w:rsidP="003C087F">
      <w:pPr>
        <w:pStyle w:val="FootnoteText"/>
        <w:ind w:left="-709"/>
        <w:rPr>
          <w:rFonts w:ascii="Arial" w:hAnsi="Arial" w:cs="Arial"/>
        </w:rPr>
      </w:pPr>
      <w:r w:rsidRPr="00DF48F9">
        <w:rPr>
          <w:rFonts w:ascii="Arial" w:hAnsi="Arial" w:cs="Arial"/>
        </w:rPr>
        <w:footnoteRef/>
      </w:r>
      <w:r w:rsidRPr="00DF48F9">
        <w:rPr>
          <w:rFonts w:ascii="Arial" w:hAnsi="Arial" w:cs="Arial"/>
        </w:rPr>
        <w:t xml:space="preserve"> The current service cost includes an allowance for administration expenses of 0.</w:t>
      </w:r>
      <w:r w:rsidR="007D114E" w:rsidRPr="00DF48F9">
        <w:rPr>
          <w:rFonts w:ascii="Arial" w:hAnsi="Arial" w:cs="Arial"/>
        </w:rPr>
        <w:t>3</w:t>
      </w:r>
      <w:r w:rsidRPr="00DF48F9">
        <w:rPr>
          <w:rFonts w:ascii="Arial" w:hAnsi="Arial" w:cs="Arial"/>
        </w:rPr>
        <w:t>% of payroll.</w:t>
      </w:r>
    </w:p>
  </w:footnote>
  <w:footnote w:id="22">
    <w:p w14:paraId="0702E4AE" w14:textId="77777777" w:rsidR="00D543AB" w:rsidRPr="00D61CEE" w:rsidRDefault="00D543AB" w:rsidP="00E26D69">
      <w:pPr>
        <w:pStyle w:val="01dFootnote"/>
        <w:rPr>
          <w:sz w:val="20"/>
        </w:rPr>
      </w:pPr>
      <w:r w:rsidRPr="00D61CEE">
        <w:rPr>
          <w:sz w:val="20"/>
        </w:rPr>
        <w:footnoteRef/>
      </w:r>
      <w:r w:rsidRPr="00D61CEE">
        <w:rPr>
          <w:sz w:val="20"/>
        </w:rPr>
        <w:t xml:space="preserve"> All footnotes on this page refer to information taken from HM government Supporting Guidance for the Trade Union (Facility Time Publication Requirements) Regulations 2017.</w:t>
      </w:r>
    </w:p>
  </w:footnote>
  <w:footnote w:id="23">
    <w:p w14:paraId="150BAD59" w14:textId="77777777" w:rsidR="00D543AB" w:rsidRPr="00D61CEE" w:rsidRDefault="00D543AB" w:rsidP="00E26D69">
      <w:pPr>
        <w:pStyle w:val="01dFootnote"/>
        <w:rPr>
          <w:sz w:val="20"/>
        </w:rPr>
      </w:pPr>
      <w:r w:rsidRPr="00D61CEE">
        <w:rPr>
          <w:sz w:val="20"/>
        </w:rPr>
        <w:footnoteRef/>
      </w:r>
      <w:r w:rsidRPr="00D61CEE">
        <w:rPr>
          <w:sz w:val="20"/>
        </w:rPr>
        <w:t xml:space="preserve"> TU activities – means time taken off under section 170(1) (b) of the 1992 Act.  TULR(C) A section 170.  There is no statutory entitlement to paid time off to undertake TU activities.  However, TU representatives are entitled to be granted reasonable unpaid time off to participate in TU activities.</w:t>
      </w:r>
    </w:p>
  </w:footnote>
  <w:footnote w:id="24">
    <w:p w14:paraId="7C05E367" w14:textId="77777777" w:rsidR="00D543AB" w:rsidRPr="00343DC1" w:rsidRDefault="00D543AB" w:rsidP="00E26D69">
      <w:pPr>
        <w:pStyle w:val="01dFootnote"/>
        <w:rPr>
          <w:sz w:val="20"/>
        </w:rPr>
      </w:pPr>
      <w:r w:rsidRPr="00D61CEE">
        <w:rPr>
          <w:sz w:val="20"/>
        </w:rPr>
        <w:footnoteRef/>
      </w:r>
      <w:r w:rsidRPr="00D61CEE">
        <w:rPr>
          <w:sz w:val="20"/>
        </w:rPr>
        <w:t xml:space="preserve"> Total paid facility time hours – total number of hours spent on facility time by TU representatives during a relevant period.  Does not include hours attributable to time taken off under section 170(1) (b) of the 1992 Act in respect of which a TU representative does not receive wages.</w:t>
      </w:r>
    </w:p>
  </w:footnote>
  <w:footnote w:id="25">
    <w:p w14:paraId="08F1EFD7" w14:textId="57EA9FF8" w:rsidR="00D543AB" w:rsidRPr="009420C4" w:rsidRDefault="00D543AB" w:rsidP="00E26D69">
      <w:pPr>
        <w:pStyle w:val="01dFootnote"/>
        <w:rPr>
          <w:sz w:val="20"/>
        </w:rPr>
      </w:pPr>
      <w:r w:rsidRPr="00D61CEE">
        <w:rPr>
          <w:sz w:val="20"/>
        </w:rPr>
        <w:footnoteRef/>
      </w:r>
      <w:r w:rsidRPr="00D61CEE">
        <w:rPr>
          <w:sz w:val="20"/>
        </w:rPr>
        <w:t xml:space="preserve"> Paid TU activities – time taken off for TU activities under section 170 (1) (b) of the 1992 Act in respect of which a TU representative receives wages from the relevant public sector employer.  There is no statutory entitlement to paid time off to undertake activities</w:t>
      </w:r>
      <w:r w:rsidR="00D44514" w:rsidRPr="00D61CEE">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470E" w14:textId="3B26CB74" w:rsidR="00D543AB" w:rsidRDefault="0006441F">
    <w:pPr>
      <w:pStyle w:val="Header"/>
    </w:pPr>
    <w:r>
      <w:rPr>
        <w:noProof/>
      </w:rPr>
      <mc:AlternateContent>
        <mc:Choice Requires="wps">
          <w:drawing>
            <wp:anchor distT="0" distB="0" distL="114300" distR="114300" simplePos="0" relativeHeight="251658240" behindDoc="0" locked="0" layoutInCell="0" allowOverlap="1" wp14:anchorId="169FF465" wp14:editId="350C193C">
              <wp:simplePos x="0" y="0"/>
              <wp:positionH relativeFrom="page">
                <wp:align>center</wp:align>
              </wp:positionH>
              <wp:positionV relativeFrom="page">
                <wp:align>top</wp:align>
              </wp:positionV>
              <wp:extent cx="7772400" cy="463550"/>
              <wp:effectExtent l="0" t="0" r="0" b="12700"/>
              <wp:wrapNone/>
              <wp:docPr id="14" name="Text Box 14" descr="{&quot;HashCode&quot;:-12882004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89627B" w14:textId="565702FF" w:rsidR="0006441F" w:rsidRPr="004B2192" w:rsidRDefault="004B2192" w:rsidP="004B2192">
                          <w:pPr>
                            <w:jc w:val="center"/>
                            <w:rPr>
                              <w:rFonts w:ascii="Calibri" w:hAnsi="Calibri" w:cs="Calibri"/>
                              <w:color w:val="0000FF"/>
                              <w:sz w:val="20"/>
                            </w:rPr>
                          </w:pPr>
                          <w:r w:rsidRPr="004B2192">
                            <w:rPr>
                              <w:rFonts w:ascii="Calibri" w:hAnsi="Calibri" w:cs="Calibri"/>
                              <w:color w:val="0000FF"/>
                              <w:sz w:val="20"/>
                            </w:rPr>
                            <w:t>OFFICIAL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169FF465" id="_x0000_t202" coordsize="21600,21600" o:spt="202" path="m,l,21600r21600,l21600,xe">
              <v:stroke joinstyle="miter"/>
              <v:path gradientshapeok="t" o:connecttype="rect"/>
            </v:shapetype>
            <v:shape id="Text Box 14" o:spid="_x0000_s1027" type="#_x0000_t202" alt="{&quot;HashCode&quot;:-128820049,&quot;Height&quot;:9999999.0,&quot;Width&quot;:9999999.0,&quot;Placement&quot;:&quot;Header&quot;,&quot;Index&quot;:&quot;Primary&quot;,&quot;Section&quot;:1,&quot;Top&quot;:0.0,&quot;Left&quot;:0.0}" style="position:absolute;margin-left:0;margin-top:0;width:612pt;height:36.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5S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" o:allowincell="f" filled="f" stroked="f" strokeweight=".5pt">
              <v:textbox inset=",0,20pt,0">
                <w:txbxContent>
                  <w:p w14:paraId="7B89627B" w14:textId="565702FF" w:rsidR="0006441F" w:rsidRPr="004B2192" w:rsidRDefault="004B2192" w:rsidP="004B2192">
                    <w:pPr>
                      <w:jc w:val="center"/>
                      <w:rPr>
                        <w:rFonts w:ascii="Calibri" w:hAnsi="Calibri" w:cs="Calibri"/>
                        <w:color w:val="0000FF"/>
                        <w:sz w:val="20"/>
                      </w:rPr>
                    </w:pPr>
                    <w:r w:rsidRPr="004B2192">
                      <w:rPr>
                        <w:rFonts w:ascii="Calibri" w:hAnsi="Calibri" w:cs="Calibri"/>
                        <w:color w:val="0000FF"/>
                        <w:sz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5AD" w14:textId="56249140" w:rsidR="00800899" w:rsidRDefault="0080089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CEC3" w14:textId="5A99734E" w:rsidR="00D543AB" w:rsidRDefault="00D54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0772" w14:textId="24C58B1D" w:rsidR="00D543AB" w:rsidRDefault="0006441F">
    <w:pPr>
      <w:pStyle w:val="Header"/>
    </w:pPr>
    <w:r>
      <w:rPr>
        <w:noProof/>
      </w:rPr>
      <mc:AlternateContent>
        <mc:Choice Requires="wps">
          <w:drawing>
            <wp:anchor distT="0" distB="0" distL="114300" distR="114300" simplePos="0" relativeHeight="251658242" behindDoc="0" locked="0" layoutInCell="0" allowOverlap="1" wp14:anchorId="49769281" wp14:editId="7E73A650">
              <wp:simplePos x="0" y="0"/>
              <wp:positionH relativeFrom="page">
                <wp:align>center</wp:align>
              </wp:positionH>
              <wp:positionV relativeFrom="page">
                <wp:align>top</wp:align>
              </wp:positionV>
              <wp:extent cx="7772400" cy="463550"/>
              <wp:effectExtent l="0" t="0" r="0" b="12700"/>
              <wp:wrapNone/>
              <wp:docPr id="15" name="Text Box 15" descr="{&quot;HashCode&quot;:-12882004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47464B" w14:textId="7E9B1D3F" w:rsidR="0006441F" w:rsidRPr="004B2192" w:rsidRDefault="004B2192" w:rsidP="004B2192">
                          <w:pPr>
                            <w:jc w:val="center"/>
                            <w:rPr>
                              <w:rFonts w:ascii="Calibri" w:hAnsi="Calibri" w:cs="Calibri"/>
                              <w:color w:val="0000FF"/>
                              <w:sz w:val="20"/>
                            </w:rPr>
                          </w:pPr>
                          <w:r w:rsidRPr="004B2192">
                            <w:rPr>
                              <w:rFonts w:ascii="Calibri" w:hAnsi="Calibri" w:cs="Calibri"/>
                              <w:color w:val="0000FF"/>
                              <w:sz w:val="20"/>
                            </w:rPr>
                            <w:t>OFFICIAL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49769281" id="_x0000_t202" coordsize="21600,21600" o:spt="202" path="m,l,21600r21600,l21600,xe">
              <v:stroke joinstyle="miter"/>
              <v:path gradientshapeok="t" o:connecttype="rect"/>
            </v:shapetype>
            <v:shape id="Text Box 15" o:spid="_x0000_s1028" type="#_x0000_t202" alt="{&quot;HashCode&quot;:-128820049,&quot;Height&quot;:9999999.0,&quot;Width&quot;:9999999.0,&quot;Placement&quot;:&quot;Header&quot;,&quot;Index&quot;:&quot;FirstPage&quot;,&quot;Section&quot;:1,&quot;Top&quot;:0.0,&quot;Left&quot;:0.0}" style="position:absolute;margin-left:0;margin-top:0;width:612pt;height:36.5pt;z-index:2516582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kA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" o:allowincell="f" filled="f" stroked="f" strokeweight=".5pt">
              <v:textbox inset=",0,20pt,0">
                <w:txbxContent>
                  <w:p w14:paraId="6247464B" w14:textId="7E9B1D3F" w:rsidR="0006441F" w:rsidRPr="004B2192" w:rsidRDefault="004B2192" w:rsidP="004B2192">
                    <w:pPr>
                      <w:jc w:val="center"/>
                      <w:rPr>
                        <w:rFonts w:ascii="Calibri" w:hAnsi="Calibri" w:cs="Calibri"/>
                        <w:color w:val="0000FF"/>
                        <w:sz w:val="20"/>
                      </w:rPr>
                    </w:pPr>
                    <w:r w:rsidRPr="004B2192">
                      <w:rPr>
                        <w:rFonts w:ascii="Calibri" w:hAnsi="Calibri" w:cs="Calibri"/>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8D9F" w14:textId="282B3129" w:rsidR="00800899" w:rsidRDefault="008008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0638" w14:textId="046BE13C" w:rsidR="00800899" w:rsidRDefault="0006441F">
    <w:pPr>
      <w:pStyle w:val="Header"/>
    </w:pPr>
    <w:r>
      <w:rPr>
        <w:noProof/>
      </w:rPr>
      <mc:AlternateContent>
        <mc:Choice Requires="wps">
          <w:drawing>
            <wp:anchor distT="0" distB="0" distL="114300" distR="114300" simplePos="0" relativeHeight="251658241" behindDoc="0" locked="0" layoutInCell="0" allowOverlap="1" wp14:anchorId="25B75155" wp14:editId="2ECB35E2">
              <wp:simplePos x="0" y="0"/>
              <wp:positionH relativeFrom="page">
                <wp:align>center</wp:align>
              </wp:positionH>
              <wp:positionV relativeFrom="page">
                <wp:align>top</wp:align>
              </wp:positionV>
              <wp:extent cx="7772400" cy="463550"/>
              <wp:effectExtent l="0" t="0" r="0" b="12700"/>
              <wp:wrapNone/>
              <wp:docPr id="16" name="Text Box 16" descr="{&quot;HashCode&quot;:-128820049,&quot;Height&quot;:9999999.0,&quot;Width&quot;:9999999.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6257A" w14:textId="481D6338" w:rsidR="0006441F" w:rsidRPr="00EF3771" w:rsidRDefault="00EF3771" w:rsidP="00EF3771">
                          <w:pPr>
                            <w:jc w:val="center"/>
                            <w:rPr>
                              <w:rFonts w:ascii="Calibri" w:hAnsi="Calibri" w:cs="Calibri"/>
                              <w:color w:val="0000FF"/>
                              <w:sz w:val="20"/>
                            </w:rPr>
                          </w:pPr>
                          <w:r w:rsidRPr="00EF3771">
                            <w:rPr>
                              <w:rFonts w:ascii="Calibri" w:hAnsi="Calibri" w:cs="Calibri"/>
                              <w:color w:val="0000FF"/>
                              <w:sz w:val="20"/>
                            </w:rPr>
                            <w:t>OFFICIAL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5B75155" id="_x0000_t202" coordsize="21600,21600" o:spt="202" path="m,l,21600r21600,l21600,xe">
              <v:stroke joinstyle="miter"/>
              <v:path gradientshapeok="t" o:connecttype="rect"/>
            </v:shapetype>
            <v:shape id="Text Box 16" o:spid="_x0000_s1029" type="#_x0000_t202" alt="{&quot;HashCode&quot;:-128820049,&quot;Height&quot;:9999999.0,&quot;Width&quot;:9999999.0,&quot;Placement&quot;:&quot;Header&quot;,&quot;Index&quot;:&quot;Primary&quot;,&quot;Section&quot;:9,&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P0jGG4cAgAALgQAAA4AAAAAAAAAAAAAAAAALgIAAGRycy9lMm9Eb2MueG1sUEsBAi0AFAAG&#10;AAgAAAAhAM++O6HaAAAABQEAAA8AAAAAAAAAAAAAAAAAdgQAAGRycy9kb3ducmV2LnhtbFBLBQYA&#10;AAAABAAEAPMAAAB9BQAAAAA=&#10;" o:allowincell="f" filled="f" stroked="f" strokeweight=".5pt">
              <v:textbox inset=",0,20pt,0">
                <w:txbxContent>
                  <w:p w14:paraId="2196257A" w14:textId="481D6338" w:rsidR="0006441F" w:rsidRPr="00EF3771" w:rsidRDefault="00EF3771" w:rsidP="00EF3771">
                    <w:pPr>
                      <w:jc w:val="center"/>
                      <w:rPr>
                        <w:rFonts w:ascii="Calibri" w:hAnsi="Calibri" w:cs="Calibri"/>
                        <w:color w:val="0000FF"/>
                        <w:sz w:val="20"/>
                      </w:rPr>
                    </w:pPr>
                    <w:r w:rsidRPr="00EF3771">
                      <w:rPr>
                        <w:rFonts w:ascii="Calibri" w:hAnsi="Calibri" w:cs="Calibri"/>
                        <w:color w:val="0000FF"/>
                        <w:sz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2B30" w14:textId="6B867485" w:rsidR="00800899" w:rsidRDefault="0006441F">
    <w:pPr>
      <w:pStyle w:val="Header"/>
    </w:pPr>
    <w:r>
      <w:rPr>
        <w:noProof/>
      </w:rPr>
      <mc:AlternateContent>
        <mc:Choice Requires="wps">
          <w:drawing>
            <wp:anchor distT="0" distB="0" distL="114300" distR="114300" simplePos="0" relativeHeight="251658243" behindDoc="0" locked="0" layoutInCell="0" allowOverlap="1" wp14:anchorId="20310EA0" wp14:editId="2B82C6FA">
              <wp:simplePos x="0" y="190500"/>
              <wp:positionH relativeFrom="page">
                <wp:align>center</wp:align>
              </wp:positionH>
              <wp:positionV relativeFrom="page">
                <wp:align>top</wp:align>
              </wp:positionV>
              <wp:extent cx="7772400" cy="463550"/>
              <wp:effectExtent l="0" t="0" r="0" b="12700"/>
              <wp:wrapNone/>
              <wp:docPr id="19" name="Text Box 19" descr="{&quot;HashCode&quot;:-128820049,&quot;Height&quot;:9999999.0,&quot;Width&quot;:9999999.0,&quot;Placement&quot;:&quot;Header&quot;,&quot;Index&quot;:&quot;FirstPage&quot;,&quot;Section&quot;:9,&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F8A5DB" w14:textId="25F1EF7E" w:rsidR="0006441F" w:rsidRPr="00EF3771" w:rsidRDefault="00EF3771" w:rsidP="00EF3771">
                          <w:pPr>
                            <w:jc w:val="center"/>
                            <w:rPr>
                              <w:rFonts w:ascii="Calibri" w:hAnsi="Calibri" w:cs="Calibri"/>
                              <w:color w:val="0000FF"/>
                              <w:sz w:val="20"/>
                            </w:rPr>
                          </w:pPr>
                          <w:r w:rsidRPr="00EF3771">
                            <w:rPr>
                              <w:rFonts w:ascii="Calibri" w:hAnsi="Calibri" w:cs="Calibri"/>
                              <w:color w:val="0000FF"/>
                              <w:sz w:val="20"/>
                            </w:rPr>
                            <w:t>OFFICIAL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0310EA0" id="_x0000_t202" coordsize="21600,21600" o:spt="202" path="m,l,21600r21600,l21600,xe">
              <v:stroke joinstyle="miter"/>
              <v:path gradientshapeok="t" o:connecttype="rect"/>
            </v:shapetype>
            <v:shape id="Text Box 19" o:spid="_x0000_s1030" type="#_x0000_t202" alt="{&quot;HashCode&quot;:-128820049,&quot;Height&quot;:9999999.0,&quot;Width&quot;:9999999.0,&quot;Placement&quot;:&quot;Header&quot;,&quot;Index&quot;:&quot;FirstPage&quot;,&quot;Section&quot;:9,&quot;Top&quot;:0.0,&quot;Left&quot;:0.0}" style="position:absolute;margin-left:0;margin-top:0;width:612pt;height:36.5pt;z-index:25165824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j9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fB5Pp3HXkoKCS8Jkhhih&#10;thvM5tA8AK7lGH+I5UmMwUEPonTQvOF6r2I5dDHDsWhJeXCD8hD6XcYPwsVqlcJwsSwLG7O1PCaP&#10;gEZwX7s35uyZgYDcPcGwX6x4R0Qf21OxOgSQKrEUIe4BPSOPS5nIO3+guPW/6ynq+s2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JdneP0cAgAALgQAAA4AAAAAAAAAAAAAAAAALgIAAGRycy9lMm9Eb2MueG1sUEsBAi0AFAAG&#10;AAgAAAAhAM++O6HaAAAABQEAAA8AAAAAAAAAAAAAAAAAdgQAAGRycy9kb3ducmV2LnhtbFBLBQYA&#10;AAAABAAEAPMAAAB9BQAAAAA=&#10;" o:allowincell="f" filled="f" stroked="f" strokeweight=".5pt">
              <v:textbox inset=",0,20pt,0">
                <w:txbxContent>
                  <w:p w14:paraId="5AF8A5DB" w14:textId="25F1EF7E" w:rsidR="0006441F" w:rsidRPr="00EF3771" w:rsidRDefault="00EF3771" w:rsidP="00EF3771">
                    <w:pPr>
                      <w:jc w:val="center"/>
                      <w:rPr>
                        <w:rFonts w:ascii="Calibri" w:hAnsi="Calibri" w:cs="Calibri"/>
                        <w:color w:val="0000FF"/>
                        <w:sz w:val="20"/>
                      </w:rPr>
                    </w:pPr>
                    <w:r w:rsidRPr="00EF3771">
                      <w:rPr>
                        <w:rFonts w:ascii="Calibri" w:hAnsi="Calibri" w:cs="Calibri"/>
                        <w:color w:val="0000FF"/>
                        <w:sz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E06A" w14:textId="10A2BE56" w:rsidR="00800899" w:rsidRDefault="008008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7007" w14:textId="593CD147" w:rsidR="00800899" w:rsidRDefault="008008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9696" w14:textId="66A673A1" w:rsidR="00D543AB" w:rsidRDefault="00D543A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CDAB" w14:textId="5CF7DB0A" w:rsidR="00800899" w:rsidRDefault="00800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0A41EA"/>
    <w:lvl w:ilvl="0">
      <w:start w:val="1"/>
      <w:numFmt w:val="decimal"/>
      <w:pStyle w:val="ListNumber5"/>
      <w:lvlText w:val="%1."/>
      <w:lvlJc w:val="left"/>
      <w:pPr>
        <w:tabs>
          <w:tab w:val="num" w:pos="5745"/>
        </w:tabs>
        <w:ind w:left="5745" w:hanging="360"/>
      </w:pPr>
    </w:lvl>
  </w:abstractNum>
  <w:abstractNum w:abstractNumId="1" w15:restartNumberingAfterBreak="0">
    <w:nsid w:val="FFFFFF7D"/>
    <w:multiLevelType w:val="singleLevel"/>
    <w:tmpl w:val="2B3E6F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48F2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704E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E686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0CEEBB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CC26B16"/>
    <w:lvl w:ilvl="0">
      <w:start w:val="1"/>
      <w:numFmt w:val="decimal"/>
      <w:pStyle w:val="ListNumber"/>
      <w:lvlText w:val="%1."/>
      <w:lvlJc w:val="left"/>
      <w:pPr>
        <w:tabs>
          <w:tab w:val="num" w:pos="360"/>
        </w:tabs>
        <w:ind w:left="360" w:hanging="360"/>
      </w:pPr>
    </w:lvl>
  </w:abstractNum>
  <w:abstractNum w:abstractNumId="7" w15:restartNumberingAfterBreak="0">
    <w:nsid w:val="001A217B"/>
    <w:multiLevelType w:val="hybridMultilevel"/>
    <w:tmpl w:val="66BCC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157257"/>
    <w:multiLevelType w:val="multilevel"/>
    <w:tmpl w:val="6F989AA4"/>
    <w:lvl w:ilvl="0">
      <w:start w:val="1"/>
      <w:numFmt w:val="bullet"/>
      <w:lvlText w:val="n"/>
      <w:lvlJc w:val="left"/>
      <w:pPr>
        <w:tabs>
          <w:tab w:val="num" w:pos="720"/>
        </w:tabs>
        <w:ind w:left="720" w:hanging="360"/>
      </w:pPr>
      <w:rPr>
        <w:rFonts w:ascii="Wingdings" w:hAnsi="Wingdings" w:hint="default"/>
        <w:color w:val="73AE5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C248E6"/>
    <w:multiLevelType w:val="hybridMultilevel"/>
    <w:tmpl w:val="DFD6D64C"/>
    <w:lvl w:ilvl="0" w:tplc="84867920">
      <w:start w:val="1"/>
      <w:numFmt w:val="bullet"/>
      <w:lvlText w:val="n"/>
      <w:lvlJc w:val="left"/>
      <w:pPr>
        <w:ind w:left="1004" w:hanging="360"/>
      </w:pPr>
      <w:rPr>
        <w:rFonts w:ascii="Wingdings" w:hAnsi="Wingdings" w:hint="default"/>
        <w:color w:val="73AE57"/>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0804263F"/>
    <w:multiLevelType w:val="hybridMultilevel"/>
    <w:tmpl w:val="CBE21B5A"/>
    <w:lvl w:ilvl="0" w:tplc="84867920">
      <w:start w:val="1"/>
      <w:numFmt w:val="bullet"/>
      <w:lvlText w:val="n"/>
      <w:lvlJc w:val="left"/>
      <w:pPr>
        <w:ind w:left="927" w:hanging="360"/>
      </w:pPr>
      <w:rPr>
        <w:rFonts w:ascii="Wingdings" w:hAnsi="Wingdings" w:hint="default"/>
        <w:color w:val="73AE57"/>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2615016"/>
    <w:multiLevelType w:val="multilevel"/>
    <w:tmpl w:val="194A6F4E"/>
    <w:lvl w:ilvl="0">
      <w:start w:val="1"/>
      <w:numFmt w:val="bullet"/>
      <w:lvlText w:val="n"/>
      <w:lvlJc w:val="left"/>
      <w:pPr>
        <w:tabs>
          <w:tab w:val="left" w:pos="8924"/>
        </w:tabs>
        <w:ind w:left="9356"/>
      </w:pPr>
      <w:rPr>
        <w:rFonts w:ascii="Wingdings" w:hAnsi="Wingdings" w:hint="default"/>
        <w:b/>
        <w:strike w:val="0"/>
        <w:color w:val="73AE57"/>
        <w:spacing w:val="7"/>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B23B6A"/>
    <w:multiLevelType w:val="hybridMultilevel"/>
    <w:tmpl w:val="3B4E7646"/>
    <w:lvl w:ilvl="0" w:tplc="FFFFFFFF">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DF1022"/>
    <w:multiLevelType w:val="hybridMultilevel"/>
    <w:tmpl w:val="1A2ECCF6"/>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E2CA8"/>
    <w:multiLevelType w:val="hybridMultilevel"/>
    <w:tmpl w:val="17F0B6FE"/>
    <w:lvl w:ilvl="0" w:tplc="9DA426F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CF1D0B"/>
    <w:multiLevelType w:val="multilevel"/>
    <w:tmpl w:val="36E42DD4"/>
    <w:lvl w:ilvl="0">
      <w:start w:val="1"/>
      <w:numFmt w:val="bullet"/>
      <w:lvlText w:val="n"/>
      <w:lvlJc w:val="left"/>
      <w:pPr>
        <w:tabs>
          <w:tab w:val="num" w:pos="720"/>
        </w:tabs>
        <w:ind w:left="720" w:hanging="360"/>
      </w:pPr>
      <w:rPr>
        <w:rFonts w:ascii="Wingdings" w:hAnsi="Wingdings" w:hint="default"/>
        <w:color w:val="73AE57"/>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DB05C9"/>
    <w:multiLevelType w:val="multilevel"/>
    <w:tmpl w:val="792AA540"/>
    <w:styleLink w:val="01cSubsubheader"/>
    <w:lvl w:ilvl="0">
      <w:start w:val="6"/>
      <w:numFmt w:val="none"/>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D307E5"/>
    <w:multiLevelType w:val="hybridMultilevel"/>
    <w:tmpl w:val="077A3DE0"/>
    <w:lvl w:ilvl="0" w:tplc="84867920">
      <w:start w:val="1"/>
      <w:numFmt w:val="bullet"/>
      <w:lvlText w:val="n"/>
      <w:lvlJc w:val="left"/>
      <w:pPr>
        <w:tabs>
          <w:tab w:val="num" w:pos="720"/>
        </w:tabs>
        <w:ind w:left="720" w:hanging="360"/>
      </w:pPr>
      <w:rPr>
        <w:rFonts w:ascii="Wingdings" w:hAnsi="Wingdings" w:hint="default"/>
        <w:color w:val="73AE57"/>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46F0B"/>
    <w:multiLevelType w:val="hybridMultilevel"/>
    <w:tmpl w:val="2746176C"/>
    <w:lvl w:ilvl="0" w:tplc="84867920">
      <w:start w:val="1"/>
      <w:numFmt w:val="bullet"/>
      <w:lvlText w:val="n"/>
      <w:lvlJc w:val="left"/>
      <w:pPr>
        <w:ind w:left="720" w:hanging="360"/>
      </w:pPr>
      <w:rPr>
        <w:rFonts w:ascii="Wingdings" w:hAnsi="Wingdings" w:hint="default"/>
        <w:color w:val="73AE5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D34845"/>
    <w:multiLevelType w:val="multilevel"/>
    <w:tmpl w:val="AC0CF400"/>
    <w:lvl w:ilvl="0">
      <w:start w:val="1"/>
      <w:numFmt w:val="bullet"/>
      <w:pStyle w:val="AS-P08-Bullet1"/>
      <w:lvlText w:val=""/>
      <w:lvlJc w:val="left"/>
      <w:pPr>
        <w:ind w:left="567" w:hanging="283"/>
      </w:pPr>
      <w:rPr>
        <w:rFonts w:ascii="Symbol" w:hAnsi="Symbol" w:hint="default"/>
        <w:color w:val="006B8D"/>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3BB13AC7"/>
    <w:multiLevelType w:val="multilevel"/>
    <w:tmpl w:val="6BEA8F40"/>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FB0166D"/>
    <w:multiLevelType w:val="hybridMultilevel"/>
    <w:tmpl w:val="BF50FD48"/>
    <w:lvl w:ilvl="0" w:tplc="84867920">
      <w:start w:val="1"/>
      <w:numFmt w:val="bullet"/>
      <w:lvlText w:val="n"/>
      <w:lvlJc w:val="left"/>
      <w:pPr>
        <w:ind w:left="720" w:hanging="360"/>
      </w:pPr>
      <w:rPr>
        <w:rFonts w:ascii="Wingdings" w:hAnsi="Wingdings" w:hint="default"/>
        <w:color w:val="73AE5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2D33B3"/>
    <w:multiLevelType w:val="hybridMultilevel"/>
    <w:tmpl w:val="5B18FFA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54B0D53"/>
    <w:multiLevelType w:val="hybridMultilevel"/>
    <w:tmpl w:val="AEF22452"/>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30659"/>
    <w:multiLevelType w:val="hybridMultilevel"/>
    <w:tmpl w:val="4F2A58EC"/>
    <w:lvl w:ilvl="0" w:tplc="84867920">
      <w:start w:val="1"/>
      <w:numFmt w:val="bullet"/>
      <w:lvlText w:val="n"/>
      <w:lvlJc w:val="left"/>
      <w:pPr>
        <w:tabs>
          <w:tab w:val="num" w:pos="720"/>
        </w:tabs>
        <w:ind w:left="720" w:hanging="360"/>
      </w:pPr>
      <w:rPr>
        <w:rFonts w:ascii="Wingdings" w:hAnsi="Wingdings" w:hint="default"/>
        <w:color w:val="73AE57"/>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24D99"/>
    <w:multiLevelType w:val="hybridMultilevel"/>
    <w:tmpl w:val="E4D69CCC"/>
    <w:lvl w:ilvl="0" w:tplc="61149F12">
      <w:start w:val="202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886C6D"/>
    <w:multiLevelType w:val="multilevel"/>
    <w:tmpl w:val="DC54FBA2"/>
    <w:lvl w:ilvl="0">
      <w:start w:val="1"/>
      <w:numFmt w:val="decimal"/>
      <w:pStyle w:val="08Bodynumber1"/>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b w:val="0"/>
        <w:i w:val="0"/>
        <w:sz w:val="20"/>
      </w:rPr>
    </w:lvl>
    <w:lvl w:ilvl="2">
      <w:start w:val="1"/>
      <w:numFmt w:val="decimal"/>
      <w:lvlText w:val="%1.%2.%3."/>
      <w:lvlJc w:val="left"/>
      <w:pPr>
        <w:tabs>
          <w:tab w:val="num" w:pos="1474"/>
        </w:tabs>
        <w:ind w:left="147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4260D4A"/>
    <w:multiLevelType w:val="hybridMultilevel"/>
    <w:tmpl w:val="B256236E"/>
    <w:lvl w:ilvl="0" w:tplc="8A3EF19C">
      <w:start w:val="1"/>
      <w:numFmt w:val="decimal"/>
      <w:lvlText w:val="Note %1."/>
      <w:lvlJc w:val="right"/>
      <w:pPr>
        <w:ind w:left="7731" w:hanging="360"/>
      </w:pPr>
      <w:rPr>
        <w:rFonts w:ascii="Arial Bold" w:hAnsi="Arial Bold" w:hint="default"/>
        <w:b/>
        <w:i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6C783E"/>
    <w:multiLevelType w:val="hybridMultilevel"/>
    <w:tmpl w:val="8F4A9E7E"/>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C35E58"/>
    <w:multiLevelType w:val="hybridMultilevel"/>
    <w:tmpl w:val="BDA2A7F0"/>
    <w:lvl w:ilvl="0" w:tplc="35429D5E">
      <w:start w:val="14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B12B3B"/>
    <w:multiLevelType w:val="hybridMultilevel"/>
    <w:tmpl w:val="53EE5DBA"/>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045C4E"/>
    <w:multiLevelType w:val="hybridMultilevel"/>
    <w:tmpl w:val="2744D7AA"/>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1A1D34"/>
    <w:multiLevelType w:val="multilevel"/>
    <w:tmpl w:val="C65E769C"/>
    <w:lvl w:ilvl="0">
      <w:start w:val="2"/>
      <w:numFmt w:val="decimal"/>
      <w:lvlText w:val="%1.0"/>
      <w:lvlJc w:val="left"/>
      <w:pPr>
        <w:ind w:left="720" w:hanging="720"/>
      </w:pPr>
      <w:rPr>
        <w:rFonts w:hint="default"/>
      </w:rPr>
    </w:lvl>
    <w:lvl w:ilvl="1">
      <w:start w:val="1"/>
      <w:numFmt w:val="decimal"/>
      <w:pStyle w:val="01cSubsubheader0"/>
      <w:lvlText w:val="%1.%2"/>
      <w:lvlJc w:val="left"/>
      <w:pPr>
        <w:ind w:left="256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47118E5"/>
    <w:multiLevelType w:val="hybridMultilevel"/>
    <w:tmpl w:val="721C132C"/>
    <w:lvl w:ilvl="0" w:tplc="84867920">
      <w:start w:val="1"/>
      <w:numFmt w:val="bullet"/>
      <w:lvlText w:val="n"/>
      <w:lvlJc w:val="left"/>
      <w:pPr>
        <w:ind w:left="720" w:hanging="360"/>
      </w:pPr>
      <w:rPr>
        <w:rFonts w:ascii="Wingdings" w:hAnsi="Wingdings" w:hint="default"/>
        <w:color w:val="73AE57"/>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841AED"/>
    <w:multiLevelType w:val="multilevel"/>
    <w:tmpl w:val="94AC081A"/>
    <w:lvl w:ilvl="0">
      <w:start w:val="1"/>
      <w:numFmt w:val="bullet"/>
      <w:lvlText w:val="·"/>
      <w:lvlJc w:val="left"/>
      <w:pPr>
        <w:tabs>
          <w:tab w:val="left" w:pos="1065"/>
        </w:tabs>
        <w:ind w:left="1641"/>
      </w:pPr>
      <w:rPr>
        <w:rFonts w:ascii="Symbol" w:eastAsia="Symbol" w:hAnsi="Symbol"/>
        <w:strike w:val="0"/>
        <w:color w:val="auto"/>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B823A0"/>
    <w:multiLevelType w:val="hybridMultilevel"/>
    <w:tmpl w:val="C0DC724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5043A8"/>
    <w:multiLevelType w:val="multilevel"/>
    <w:tmpl w:val="A5869808"/>
    <w:lvl w:ilvl="0">
      <w:start w:val="1"/>
      <w:numFmt w:val="decimal"/>
      <w:lvlText w:val="%1"/>
      <w:lvlJc w:val="left"/>
      <w:pPr>
        <w:ind w:left="645" w:hanging="645"/>
      </w:pPr>
      <w:rPr>
        <w:rFonts w:hint="default"/>
      </w:rPr>
    </w:lvl>
    <w:lvl w:ilvl="1">
      <w:start w:val="4"/>
      <w:numFmt w:val="decimal"/>
      <w:lvlText w:val="%1.%2"/>
      <w:lvlJc w:val="left"/>
      <w:pPr>
        <w:ind w:left="1080" w:hanging="720"/>
      </w:pPr>
      <w:rPr>
        <w:rFonts w:hint="default"/>
      </w:rPr>
    </w:lvl>
    <w:lvl w:ilvl="2">
      <w:start w:val="2"/>
      <w:numFmt w:val="decimal"/>
      <w:lvlText w:val="%1.%2.%3"/>
      <w:lvlJc w:val="left"/>
      <w:pPr>
        <w:ind w:left="624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12F67CB"/>
    <w:multiLevelType w:val="hybridMultilevel"/>
    <w:tmpl w:val="320EC626"/>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2E6C08"/>
    <w:multiLevelType w:val="hybridMultilevel"/>
    <w:tmpl w:val="84BA4194"/>
    <w:lvl w:ilvl="0" w:tplc="84867920">
      <w:start w:val="1"/>
      <w:numFmt w:val="bullet"/>
      <w:lvlText w:val="n"/>
      <w:lvlJc w:val="left"/>
      <w:pPr>
        <w:ind w:left="720" w:hanging="360"/>
      </w:pPr>
      <w:rPr>
        <w:rFonts w:ascii="Wingdings" w:hAnsi="Wingdings" w:hint="default"/>
        <w:color w:val="73AE57"/>
      </w:rPr>
    </w:lvl>
    <w:lvl w:ilvl="1" w:tplc="CB6A54B4">
      <w:start w:val="1"/>
      <w:numFmt w:val="bullet"/>
      <w:lvlText w:val="o"/>
      <w:lvlJc w:val="left"/>
      <w:pPr>
        <w:ind w:left="1440" w:hanging="360"/>
      </w:pPr>
      <w:rPr>
        <w:rFonts w:ascii="Courier New" w:hAnsi="Courier New" w:hint="default"/>
      </w:rPr>
    </w:lvl>
    <w:lvl w:ilvl="2" w:tplc="FB86CE94">
      <w:start w:val="1"/>
      <w:numFmt w:val="bullet"/>
      <w:lvlText w:val=""/>
      <w:lvlJc w:val="left"/>
      <w:pPr>
        <w:ind w:left="2160" w:hanging="360"/>
      </w:pPr>
      <w:rPr>
        <w:rFonts w:ascii="Wingdings" w:hAnsi="Wingdings" w:hint="default"/>
      </w:rPr>
    </w:lvl>
    <w:lvl w:ilvl="3" w:tplc="A588C11E">
      <w:start w:val="1"/>
      <w:numFmt w:val="bullet"/>
      <w:lvlText w:val=""/>
      <w:lvlJc w:val="left"/>
      <w:pPr>
        <w:ind w:left="2880" w:hanging="360"/>
      </w:pPr>
      <w:rPr>
        <w:rFonts w:ascii="Symbol" w:hAnsi="Symbol" w:hint="default"/>
      </w:rPr>
    </w:lvl>
    <w:lvl w:ilvl="4" w:tplc="3D3EBDD2">
      <w:start w:val="1"/>
      <w:numFmt w:val="bullet"/>
      <w:lvlText w:val="o"/>
      <w:lvlJc w:val="left"/>
      <w:pPr>
        <w:ind w:left="3600" w:hanging="360"/>
      </w:pPr>
      <w:rPr>
        <w:rFonts w:ascii="Courier New" w:hAnsi="Courier New" w:hint="default"/>
      </w:rPr>
    </w:lvl>
    <w:lvl w:ilvl="5" w:tplc="B134AF62">
      <w:start w:val="1"/>
      <w:numFmt w:val="bullet"/>
      <w:lvlText w:val=""/>
      <w:lvlJc w:val="left"/>
      <w:pPr>
        <w:ind w:left="4320" w:hanging="360"/>
      </w:pPr>
      <w:rPr>
        <w:rFonts w:ascii="Wingdings" w:hAnsi="Wingdings" w:hint="default"/>
      </w:rPr>
    </w:lvl>
    <w:lvl w:ilvl="6" w:tplc="BC324A10">
      <w:start w:val="1"/>
      <w:numFmt w:val="bullet"/>
      <w:lvlText w:val=""/>
      <w:lvlJc w:val="left"/>
      <w:pPr>
        <w:ind w:left="5040" w:hanging="360"/>
      </w:pPr>
      <w:rPr>
        <w:rFonts w:ascii="Symbol" w:hAnsi="Symbol" w:hint="default"/>
      </w:rPr>
    </w:lvl>
    <w:lvl w:ilvl="7" w:tplc="972AB5F6">
      <w:start w:val="1"/>
      <w:numFmt w:val="bullet"/>
      <w:lvlText w:val="o"/>
      <w:lvlJc w:val="left"/>
      <w:pPr>
        <w:ind w:left="5760" w:hanging="360"/>
      </w:pPr>
      <w:rPr>
        <w:rFonts w:ascii="Courier New" w:hAnsi="Courier New" w:hint="default"/>
      </w:rPr>
    </w:lvl>
    <w:lvl w:ilvl="8" w:tplc="2F041CE8">
      <w:start w:val="1"/>
      <w:numFmt w:val="bullet"/>
      <w:lvlText w:val=""/>
      <w:lvlJc w:val="left"/>
      <w:pPr>
        <w:ind w:left="6480" w:hanging="360"/>
      </w:pPr>
      <w:rPr>
        <w:rFonts w:ascii="Wingdings" w:hAnsi="Wingdings" w:hint="default"/>
      </w:rPr>
    </w:lvl>
  </w:abstractNum>
  <w:abstractNum w:abstractNumId="39" w15:restartNumberingAfterBreak="0">
    <w:nsid w:val="7422071E"/>
    <w:multiLevelType w:val="multilevel"/>
    <w:tmpl w:val="984C238C"/>
    <w:lvl w:ilvl="0">
      <w:start w:val="1"/>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46B4EB1"/>
    <w:multiLevelType w:val="hybridMultilevel"/>
    <w:tmpl w:val="F8989750"/>
    <w:lvl w:ilvl="0" w:tplc="54804DDE">
      <w:start w:val="1"/>
      <w:numFmt w:val="bullet"/>
      <w:lvlText w:val="n"/>
      <w:lvlJc w:val="left"/>
      <w:pPr>
        <w:ind w:left="720" w:hanging="360"/>
      </w:pPr>
      <w:rPr>
        <w:rFonts w:ascii="Wingdings" w:hAnsi="Wingdings" w:hint="default"/>
      </w:rPr>
    </w:lvl>
    <w:lvl w:ilvl="1" w:tplc="CFBA8762">
      <w:start w:val="1"/>
      <w:numFmt w:val="bullet"/>
      <w:lvlText w:val="o"/>
      <w:lvlJc w:val="left"/>
      <w:pPr>
        <w:ind w:left="1440" w:hanging="360"/>
      </w:pPr>
      <w:rPr>
        <w:rFonts w:ascii="Courier New" w:hAnsi="Courier New" w:hint="default"/>
      </w:rPr>
    </w:lvl>
    <w:lvl w:ilvl="2" w:tplc="2EC8338A">
      <w:start w:val="1"/>
      <w:numFmt w:val="bullet"/>
      <w:lvlText w:val=""/>
      <w:lvlJc w:val="left"/>
      <w:pPr>
        <w:ind w:left="2160" w:hanging="360"/>
      </w:pPr>
      <w:rPr>
        <w:rFonts w:ascii="Wingdings" w:hAnsi="Wingdings" w:hint="default"/>
      </w:rPr>
    </w:lvl>
    <w:lvl w:ilvl="3" w:tplc="97DE92E4">
      <w:start w:val="1"/>
      <w:numFmt w:val="bullet"/>
      <w:lvlText w:val=""/>
      <w:lvlJc w:val="left"/>
      <w:pPr>
        <w:ind w:left="2880" w:hanging="360"/>
      </w:pPr>
      <w:rPr>
        <w:rFonts w:ascii="Symbol" w:hAnsi="Symbol" w:hint="default"/>
      </w:rPr>
    </w:lvl>
    <w:lvl w:ilvl="4" w:tplc="AE2437B6">
      <w:start w:val="1"/>
      <w:numFmt w:val="bullet"/>
      <w:lvlText w:val="o"/>
      <w:lvlJc w:val="left"/>
      <w:pPr>
        <w:ind w:left="3600" w:hanging="360"/>
      </w:pPr>
      <w:rPr>
        <w:rFonts w:ascii="Courier New" w:hAnsi="Courier New" w:hint="default"/>
      </w:rPr>
    </w:lvl>
    <w:lvl w:ilvl="5" w:tplc="A2D6851E">
      <w:start w:val="1"/>
      <w:numFmt w:val="bullet"/>
      <w:lvlText w:val=""/>
      <w:lvlJc w:val="left"/>
      <w:pPr>
        <w:ind w:left="4320" w:hanging="360"/>
      </w:pPr>
      <w:rPr>
        <w:rFonts w:ascii="Wingdings" w:hAnsi="Wingdings" w:hint="default"/>
      </w:rPr>
    </w:lvl>
    <w:lvl w:ilvl="6" w:tplc="4ADEBA0A">
      <w:start w:val="1"/>
      <w:numFmt w:val="bullet"/>
      <w:lvlText w:val=""/>
      <w:lvlJc w:val="left"/>
      <w:pPr>
        <w:ind w:left="5040" w:hanging="360"/>
      </w:pPr>
      <w:rPr>
        <w:rFonts w:ascii="Symbol" w:hAnsi="Symbol" w:hint="default"/>
      </w:rPr>
    </w:lvl>
    <w:lvl w:ilvl="7" w:tplc="B07C1CAE">
      <w:start w:val="1"/>
      <w:numFmt w:val="bullet"/>
      <w:lvlText w:val="o"/>
      <w:lvlJc w:val="left"/>
      <w:pPr>
        <w:ind w:left="5760" w:hanging="360"/>
      </w:pPr>
      <w:rPr>
        <w:rFonts w:ascii="Courier New" w:hAnsi="Courier New" w:hint="default"/>
      </w:rPr>
    </w:lvl>
    <w:lvl w:ilvl="8" w:tplc="9D7AE7FC">
      <w:start w:val="1"/>
      <w:numFmt w:val="bullet"/>
      <w:lvlText w:val=""/>
      <w:lvlJc w:val="left"/>
      <w:pPr>
        <w:ind w:left="6480" w:hanging="360"/>
      </w:pPr>
      <w:rPr>
        <w:rFonts w:ascii="Wingdings" w:hAnsi="Wingdings" w:hint="default"/>
      </w:rPr>
    </w:lvl>
  </w:abstractNum>
  <w:abstractNum w:abstractNumId="41" w15:restartNumberingAfterBreak="0">
    <w:nsid w:val="754227BE"/>
    <w:multiLevelType w:val="hybridMultilevel"/>
    <w:tmpl w:val="BE24F5E8"/>
    <w:lvl w:ilvl="0" w:tplc="FFFFFFFF">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76514F80"/>
    <w:multiLevelType w:val="hybridMultilevel"/>
    <w:tmpl w:val="6ACA656A"/>
    <w:lvl w:ilvl="0" w:tplc="84867920">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390743"/>
    <w:multiLevelType w:val="hybridMultilevel"/>
    <w:tmpl w:val="A926B118"/>
    <w:lvl w:ilvl="0" w:tplc="84867920">
      <w:start w:val="1"/>
      <w:numFmt w:val="bullet"/>
      <w:lvlText w:val="n"/>
      <w:lvlJc w:val="left"/>
      <w:pPr>
        <w:ind w:left="720" w:hanging="360"/>
      </w:pPr>
      <w:rPr>
        <w:rFonts w:ascii="Wingdings" w:hAnsi="Wingdings" w:hint="default"/>
        <w:color w:val="73AE57"/>
      </w:rPr>
    </w:lvl>
    <w:lvl w:ilvl="1" w:tplc="1B4211B2">
      <w:start w:val="1"/>
      <w:numFmt w:val="bullet"/>
      <w:lvlText w:val="o"/>
      <w:lvlJc w:val="left"/>
      <w:pPr>
        <w:ind w:left="1440" w:hanging="360"/>
      </w:pPr>
      <w:rPr>
        <w:rFonts w:ascii="Courier New" w:hAnsi="Courier New" w:hint="default"/>
      </w:rPr>
    </w:lvl>
    <w:lvl w:ilvl="2" w:tplc="468AACD4">
      <w:start w:val="1"/>
      <w:numFmt w:val="bullet"/>
      <w:lvlText w:val=""/>
      <w:lvlJc w:val="left"/>
      <w:pPr>
        <w:ind w:left="2160" w:hanging="360"/>
      </w:pPr>
      <w:rPr>
        <w:rFonts w:ascii="Wingdings" w:hAnsi="Wingdings" w:hint="default"/>
      </w:rPr>
    </w:lvl>
    <w:lvl w:ilvl="3" w:tplc="E9EEF010">
      <w:start w:val="1"/>
      <w:numFmt w:val="bullet"/>
      <w:lvlText w:val=""/>
      <w:lvlJc w:val="left"/>
      <w:pPr>
        <w:ind w:left="2880" w:hanging="360"/>
      </w:pPr>
      <w:rPr>
        <w:rFonts w:ascii="Symbol" w:hAnsi="Symbol" w:hint="default"/>
      </w:rPr>
    </w:lvl>
    <w:lvl w:ilvl="4" w:tplc="47CCD134">
      <w:start w:val="1"/>
      <w:numFmt w:val="bullet"/>
      <w:lvlText w:val="o"/>
      <w:lvlJc w:val="left"/>
      <w:pPr>
        <w:ind w:left="3600" w:hanging="360"/>
      </w:pPr>
      <w:rPr>
        <w:rFonts w:ascii="Courier New" w:hAnsi="Courier New" w:hint="default"/>
      </w:rPr>
    </w:lvl>
    <w:lvl w:ilvl="5" w:tplc="566282F4">
      <w:start w:val="1"/>
      <w:numFmt w:val="bullet"/>
      <w:lvlText w:val=""/>
      <w:lvlJc w:val="left"/>
      <w:pPr>
        <w:ind w:left="4320" w:hanging="360"/>
      </w:pPr>
      <w:rPr>
        <w:rFonts w:ascii="Wingdings" w:hAnsi="Wingdings" w:hint="default"/>
      </w:rPr>
    </w:lvl>
    <w:lvl w:ilvl="6" w:tplc="54CC9042">
      <w:start w:val="1"/>
      <w:numFmt w:val="bullet"/>
      <w:lvlText w:val=""/>
      <w:lvlJc w:val="left"/>
      <w:pPr>
        <w:ind w:left="5040" w:hanging="360"/>
      </w:pPr>
      <w:rPr>
        <w:rFonts w:ascii="Symbol" w:hAnsi="Symbol" w:hint="default"/>
      </w:rPr>
    </w:lvl>
    <w:lvl w:ilvl="7" w:tplc="C7EE91C6">
      <w:start w:val="1"/>
      <w:numFmt w:val="bullet"/>
      <w:lvlText w:val="o"/>
      <w:lvlJc w:val="left"/>
      <w:pPr>
        <w:ind w:left="5760" w:hanging="360"/>
      </w:pPr>
      <w:rPr>
        <w:rFonts w:ascii="Courier New" w:hAnsi="Courier New" w:hint="default"/>
      </w:rPr>
    </w:lvl>
    <w:lvl w:ilvl="8" w:tplc="CCECFE60">
      <w:start w:val="1"/>
      <w:numFmt w:val="bullet"/>
      <w:lvlText w:val=""/>
      <w:lvlJc w:val="left"/>
      <w:pPr>
        <w:ind w:left="6480" w:hanging="360"/>
      </w:pPr>
      <w:rPr>
        <w:rFonts w:ascii="Wingdings" w:hAnsi="Wingdings" w:hint="default"/>
      </w:rPr>
    </w:lvl>
  </w:abstractNum>
  <w:abstractNum w:abstractNumId="44" w15:restartNumberingAfterBreak="0">
    <w:nsid w:val="790165BB"/>
    <w:multiLevelType w:val="hybridMultilevel"/>
    <w:tmpl w:val="E14EEF00"/>
    <w:lvl w:ilvl="0" w:tplc="08090001">
      <w:start w:val="9"/>
      <w:numFmt w:val="decimal"/>
      <w:pStyle w:val="06Bullet1"/>
      <w:lvlText w:val="%1."/>
      <w:lvlJc w:val="left"/>
      <w:pPr>
        <w:tabs>
          <w:tab w:val="num" w:pos="72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5" w15:restartNumberingAfterBreak="0">
    <w:nsid w:val="7AB94F6B"/>
    <w:multiLevelType w:val="hybridMultilevel"/>
    <w:tmpl w:val="EDF46288"/>
    <w:lvl w:ilvl="0" w:tplc="98D49500">
      <w:start w:val="1"/>
      <w:numFmt w:val="bullet"/>
      <w:pStyle w:val="11-Bullet1"/>
      <w:lvlText w:val=""/>
      <w:lvlJc w:val="left"/>
      <w:pPr>
        <w:ind w:left="1174" w:hanging="360"/>
      </w:pPr>
      <w:rPr>
        <w:rFonts w:ascii="Symbol" w:hAnsi="Symbol" w:hint="default"/>
        <w:color w:val="00607A"/>
      </w:rPr>
    </w:lvl>
    <w:lvl w:ilvl="1" w:tplc="08090003">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46" w15:restartNumberingAfterBreak="0">
    <w:nsid w:val="7D25415E"/>
    <w:multiLevelType w:val="hybridMultilevel"/>
    <w:tmpl w:val="01708870"/>
    <w:lvl w:ilvl="0" w:tplc="FFFFFFFF">
      <w:start w:val="1"/>
      <w:numFmt w:val="bullet"/>
      <w:lvlText w:val="n"/>
      <w:lvlJc w:val="left"/>
      <w:pPr>
        <w:ind w:left="720" w:hanging="360"/>
      </w:pPr>
      <w:rPr>
        <w:rFonts w:ascii="Wingdings" w:hAnsi="Wingdings" w:hint="default"/>
        <w:color w:val="73AE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356B94"/>
    <w:multiLevelType w:val="hybridMultilevel"/>
    <w:tmpl w:val="D87C93DC"/>
    <w:lvl w:ilvl="0" w:tplc="84867920">
      <w:start w:val="1"/>
      <w:numFmt w:val="bullet"/>
      <w:lvlText w:val="n"/>
      <w:lvlJc w:val="left"/>
      <w:pPr>
        <w:ind w:left="720" w:hanging="360"/>
      </w:pPr>
      <w:rPr>
        <w:rFonts w:ascii="Wingdings" w:hAnsi="Wingdings" w:hint="default"/>
        <w:color w:val="73AE57"/>
      </w:rPr>
    </w:lvl>
    <w:lvl w:ilvl="1" w:tplc="672C5C44">
      <w:start w:val="1"/>
      <w:numFmt w:val="bullet"/>
      <w:lvlText w:val="o"/>
      <w:lvlJc w:val="left"/>
      <w:pPr>
        <w:ind w:left="1440" w:hanging="360"/>
      </w:pPr>
      <w:rPr>
        <w:rFonts w:ascii="Courier New" w:hAnsi="Courier New" w:hint="default"/>
      </w:rPr>
    </w:lvl>
    <w:lvl w:ilvl="2" w:tplc="28B4F2D4">
      <w:start w:val="1"/>
      <w:numFmt w:val="bullet"/>
      <w:lvlText w:val=""/>
      <w:lvlJc w:val="left"/>
      <w:pPr>
        <w:ind w:left="2160" w:hanging="360"/>
      </w:pPr>
      <w:rPr>
        <w:rFonts w:ascii="Wingdings" w:hAnsi="Wingdings" w:hint="default"/>
      </w:rPr>
    </w:lvl>
    <w:lvl w:ilvl="3" w:tplc="71DA159E">
      <w:start w:val="1"/>
      <w:numFmt w:val="bullet"/>
      <w:lvlText w:val=""/>
      <w:lvlJc w:val="left"/>
      <w:pPr>
        <w:ind w:left="2880" w:hanging="360"/>
      </w:pPr>
      <w:rPr>
        <w:rFonts w:ascii="Symbol" w:hAnsi="Symbol" w:hint="default"/>
      </w:rPr>
    </w:lvl>
    <w:lvl w:ilvl="4" w:tplc="998AAF52">
      <w:start w:val="1"/>
      <w:numFmt w:val="bullet"/>
      <w:lvlText w:val="o"/>
      <w:lvlJc w:val="left"/>
      <w:pPr>
        <w:ind w:left="3600" w:hanging="360"/>
      </w:pPr>
      <w:rPr>
        <w:rFonts w:ascii="Courier New" w:hAnsi="Courier New" w:hint="default"/>
      </w:rPr>
    </w:lvl>
    <w:lvl w:ilvl="5" w:tplc="7F7EA2C2">
      <w:start w:val="1"/>
      <w:numFmt w:val="bullet"/>
      <w:lvlText w:val=""/>
      <w:lvlJc w:val="left"/>
      <w:pPr>
        <w:ind w:left="4320" w:hanging="360"/>
      </w:pPr>
      <w:rPr>
        <w:rFonts w:ascii="Wingdings" w:hAnsi="Wingdings" w:hint="default"/>
      </w:rPr>
    </w:lvl>
    <w:lvl w:ilvl="6" w:tplc="7632EC2C">
      <w:start w:val="1"/>
      <w:numFmt w:val="bullet"/>
      <w:lvlText w:val=""/>
      <w:lvlJc w:val="left"/>
      <w:pPr>
        <w:ind w:left="5040" w:hanging="360"/>
      </w:pPr>
      <w:rPr>
        <w:rFonts w:ascii="Symbol" w:hAnsi="Symbol" w:hint="default"/>
      </w:rPr>
    </w:lvl>
    <w:lvl w:ilvl="7" w:tplc="1AE2A12A">
      <w:start w:val="1"/>
      <w:numFmt w:val="bullet"/>
      <w:lvlText w:val="o"/>
      <w:lvlJc w:val="left"/>
      <w:pPr>
        <w:ind w:left="5760" w:hanging="360"/>
      </w:pPr>
      <w:rPr>
        <w:rFonts w:ascii="Courier New" w:hAnsi="Courier New" w:hint="default"/>
      </w:rPr>
    </w:lvl>
    <w:lvl w:ilvl="8" w:tplc="3A842AE2">
      <w:start w:val="1"/>
      <w:numFmt w:val="bullet"/>
      <w:lvlText w:val=""/>
      <w:lvlJc w:val="left"/>
      <w:pPr>
        <w:ind w:left="6480" w:hanging="360"/>
      </w:pPr>
      <w:rPr>
        <w:rFonts w:ascii="Wingdings" w:hAnsi="Wingdings" w:hint="default"/>
      </w:rPr>
    </w:lvl>
  </w:abstractNum>
  <w:num w:numId="1" w16cid:durableId="288048874">
    <w:abstractNumId w:val="40"/>
  </w:num>
  <w:num w:numId="2" w16cid:durableId="364839796">
    <w:abstractNumId w:val="44"/>
  </w:num>
  <w:num w:numId="3" w16cid:durableId="451244325">
    <w:abstractNumId w:val="26"/>
  </w:num>
  <w:num w:numId="4" w16cid:durableId="492454527">
    <w:abstractNumId w:val="45"/>
  </w:num>
  <w:num w:numId="5" w16cid:durableId="308439218">
    <w:abstractNumId w:val="16"/>
  </w:num>
  <w:num w:numId="6" w16cid:durableId="1915698571">
    <w:abstractNumId w:val="5"/>
  </w:num>
  <w:num w:numId="7" w16cid:durableId="1840383028">
    <w:abstractNumId w:val="4"/>
  </w:num>
  <w:num w:numId="8" w16cid:durableId="1840533944">
    <w:abstractNumId w:val="6"/>
  </w:num>
  <w:num w:numId="9" w16cid:durableId="955133688">
    <w:abstractNumId w:val="3"/>
  </w:num>
  <w:num w:numId="10" w16cid:durableId="1683897269">
    <w:abstractNumId w:val="2"/>
  </w:num>
  <w:num w:numId="11" w16cid:durableId="1441561919">
    <w:abstractNumId w:val="1"/>
  </w:num>
  <w:num w:numId="12" w16cid:durableId="1631746159">
    <w:abstractNumId w:val="0"/>
  </w:num>
  <w:num w:numId="13" w16cid:durableId="1506942831">
    <w:abstractNumId w:val="32"/>
  </w:num>
  <w:num w:numId="14" w16cid:durableId="295843642">
    <w:abstractNumId w:val="11"/>
  </w:num>
  <w:num w:numId="15" w16cid:durableId="48303928">
    <w:abstractNumId w:val="34"/>
  </w:num>
  <w:num w:numId="16" w16cid:durableId="303581379">
    <w:abstractNumId w:val="7"/>
  </w:num>
  <w:num w:numId="17" w16cid:durableId="2042776080">
    <w:abstractNumId w:val="30"/>
  </w:num>
  <w:num w:numId="18" w16cid:durableId="806095323">
    <w:abstractNumId w:val="10"/>
  </w:num>
  <w:num w:numId="19" w16cid:durableId="210924260">
    <w:abstractNumId w:val="27"/>
  </w:num>
  <w:num w:numId="20" w16cid:durableId="71775662">
    <w:abstractNumId w:val="35"/>
    <w:lvlOverride w:ilvl="0">
      <w:startOverride w:val="1"/>
    </w:lvlOverride>
    <w:lvlOverride w:ilvl="1"/>
    <w:lvlOverride w:ilvl="2"/>
    <w:lvlOverride w:ilvl="3"/>
    <w:lvlOverride w:ilvl="4"/>
    <w:lvlOverride w:ilvl="5"/>
    <w:lvlOverride w:ilvl="6"/>
    <w:lvlOverride w:ilvl="7"/>
    <w:lvlOverride w:ilvl="8"/>
  </w:num>
  <w:num w:numId="21" w16cid:durableId="1539119384">
    <w:abstractNumId w:val="31"/>
  </w:num>
  <w:num w:numId="22" w16cid:durableId="2102487700">
    <w:abstractNumId w:val="47"/>
  </w:num>
  <w:num w:numId="23" w16cid:durableId="575551996">
    <w:abstractNumId w:val="43"/>
  </w:num>
  <w:num w:numId="24" w16cid:durableId="1031610347">
    <w:abstractNumId w:val="38"/>
  </w:num>
  <w:num w:numId="25" w16cid:durableId="1716345898">
    <w:abstractNumId w:val="13"/>
  </w:num>
  <w:num w:numId="26" w16cid:durableId="75176419">
    <w:abstractNumId w:val="9"/>
  </w:num>
  <w:num w:numId="27" w16cid:durableId="1149514380">
    <w:abstractNumId w:val="8"/>
  </w:num>
  <w:num w:numId="28" w16cid:durableId="708724155">
    <w:abstractNumId w:val="28"/>
  </w:num>
  <w:num w:numId="29" w16cid:durableId="1440101136">
    <w:abstractNumId w:val="33"/>
  </w:num>
  <w:num w:numId="30" w16cid:durableId="733814999">
    <w:abstractNumId w:val="24"/>
  </w:num>
  <w:num w:numId="31" w16cid:durableId="342053807">
    <w:abstractNumId w:val="37"/>
  </w:num>
  <w:num w:numId="32" w16cid:durableId="1663853585">
    <w:abstractNumId w:val="17"/>
  </w:num>
  <w:num w:numId="33" w16cid:durableId="28773011">
    <w:abstractNumId w:val="20"/>
  </w:num>
  <w:num w:numId="34" w16cid:durableId="1537935830">
    <w:abstractNumId w:val="39"/>
  </w:num>
  <w:num w:numId="35" w16cid:durableId="1813717306">
    <w:abstractNumId w:val="36"/>
  </w:num>
  <w:num w:numId="36" w16cid:durableId="297030786">
    <w:abstractNumId w:val="12"/>
  </w:num>
  <w:num w:numId="37" w16cid:durableId="1322152713">
    <w:abstractNumId w:val="46"/>
  </w:num>
  <w:num w:numId="38" w16cid:durableId="1272712411">
    <w:abstractNumId w:val="18"/>
  </w:num>
  <w:num w:numId="39" w16cid:durableId="1482649890">
    <w:abstractNumId w:val="21"/>
  </w:num>
  <w:num w:numId="40" w16cid:durableId="592322539">
    <w:abstractNumId w:val="23"/>
  </w:num>
  <w:num w:numId="41" w16cid:durableId="1771659901">
    <w:abstractNumId w:val="15"/>
  </w:num>
  <w:num w:numId="42" w16cid:durableId="170029116">
    <w:abstractNumId w:val="42"/>
  </w:num>
  <w:num w:numId="43" w16cid:durableId="867378012">
    <w:abstractNumId w:val="22"/>
    <w:lvlOverride w:ilvl="0">
      <w:startOverride w:val="1"/>
    </w:lvlOverride>
    <w:lvlOverride w:ilvl="1"/>
    <w:lvlOverride w:ilvl="2"/>
    <w:lvlOverride w:ilvl="3"/>
    <w:lvlOverride w:ilvl="4"/>
    <w:lvlOverride w:ilvl="5"/>
    <w:lvlOverride w:ilvl="6"/>
    <w:lvlOverride w:ilvl="7"/>
    <w:lvlOverride w:ilvl="8"/>
  </w:num>
  <w:num w:numId="44" w16cid:durableId="1052581622">
    <w:abstractNumId w:val="41"/>
  </w:num>
  <w:num w:numId="45" w16cid:durableId="1655255560">
    <w:abstractNumId w:val="32"/>
  </w:num>
  <w:num w:numId="46" w16cid:durableId="2029092700">
    <w:abstractNumId w:val="32"/>
  </w:num>
  <w:num w:numId="47" w16cid:durableId="2017460734">
    <w:abstractNumId w:val="32"/>
  </w:num>
  <w:num w:numId="48" w16cid:durableId="1683361266">
    <w:abstractNumId w:val="25"/>
  </w:num>
  <w:num w:numId="49" w16cid:durableId="568463341">
    <w:abstractNumId w:val="29"/>
  </w:num>
  <w:num w:numId="50" w16cid:durableId="572130825">
    <w:abstractNumId w:val="19"/>
  </w:num>
  <w:num w:numId="51" w16cid:durableId="36013298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4B7"/>
    <w:rsid w:val="0000036F"/>
    <w:rsid w:val="0000050A"/>
    <w:rsid w:val="00000674"/>
    <w:rsid w:val="00000831"/>
    <w:rsid w:val="00000AFF"/>
    <w:rsid w:val="00000C59"/>
    <w:rsid w:val="00000D53"/>
    <w:rsid w:val="00000D6D"/>
    <w:rsid w:val="00000EA5"/>
    <w:rsid w:val="000016F4"/>
    <w:rsid w:val="000017F6"/>
    <w:rsid w:val="00001AC8"/>
    <w:rsid w:val="00002506"/>
    <w:rsid w:val="00002512"/>
    <w:rsid w:val="00002614"/>
    <w:rsid w:val="00002695"/>
    <w:rsid w:val="00002EB5"/>
    <w:rsid w:val="00002FA4"/>
    <w:rsid w:val="0000310B"/>
    <w:rsid w:val="00003199"/>
    <w:rsid w:val="00003319"/>
    <w:rsid w:val="00003611"/>
    <w:rsid w:val="00003919"/>
    <w:rsid w:val="00003AED"/>
    <w:rsid w:val="00003F90"/>
    <w:rsid w:val="000042C7"/>
    <w:rsid w:val="000043B9"/>
    <w:rsid w:val="0000453B"/>
    <w:rsid w:val="00004625"/>
    <w:rsid w:val="00004A48"/>
    <w:rsid w:val="00004A86"/>
    <w:rsid w:val="00004C49"/>
    <w:rsid w:val="00004CA3"/>
    <w:rsid w:val="00004F0F"/>
    <w:rsid w:val="00004FD7"/>
    <w:rsid w:val="000053E5"/>
    <w:rsid w:val="000055D5"/>
    <w:rsid w:val="0000567F"/>
    <w:rsid w:val="00005935"/>
    <w:rsid w:val="00005E12"/>
    <w:rsid w:val="00006009"/>
    <w:rsid w:val="0000602C"/>
    <w:rsid w:val="00006097"/>
    <w:rsid w:val="000060B9"/>
    <w:rsid w:val="00006593"/>
    <w:rsid w:val="0000665D"/>
    <w:rsid w:val="0000693F"/>
    <w:rsid w:val="00007067"/>
    <w:rsid w:val="00007080"/>
    <w:rsid w:val="000076D6"/>
    <w:rsid w:val="000077FB"/>
    <w:rsid w:val="000079D4"/>
    <w:rsid w:val="00007B91"/>
    <w:rsid w:val="00007C2E"/>
    <w:rsid w:val="0001065B"/>
    <w:rsid w:val="000106AF"/>
    <w:rsid w:val="00010E3C"/>
    <w:rsid w:val="00011220"/>
    <w:rsid w:val="0001135E"/>
    <w:rsid w:val="0001177F"/>
    <w:rsid w:val="00011A26"/>
    <w:rsid w:val="00011B1D"/>
    <w:rsid w:val="00011D27"/>
    <w:rsid w:val="00011E44"/>
    <w:rsid w:val="00012711"/>
    <w:rsid w:val="00012906"/>
    <w:rsid w:val="00012935"/>
    <w:rsid w:val="00012B78"/>
    <w:rsid w:val="00012BB3"/>
    <w:rsid w:val="0001300E"/>
    <w:rsid w:val="000132CC"/>
    <w:rsid w:val="00013309"/>
    <w:rsid w:val="00013509"/>
    <w:rsid w:val="00013739"/>
    <w:rsid w:val="000137F6"/>
    <w:rsid w:val="000138EB"/>
    <w:rsid w:val="00013B6F"/>
    <w:rsid w:val="00013C5F"/>
    <w:rsid w:val="00013E26"/>
    <w:rsid w:val="000140A2"/>
    <w:rsid w:val="0001413E"/>
    <w:rsid w:val="00014686"/>
    <w:rsid w:val="000147AA"/>
    <w:rsid w:val="00014914"/>
    <w:rsid w:val="00014ABB"/>
    <w:rsid w:val="00014B04"/>
    <w:rsid w:val="00015163"/>
    <w:rsid w:val="000153E8"/>
    <w:rsid w:val="00015573"/>
    <w:rsid w:val="00015DB9"/>
    <w:rsid w:val="0001603A"/>
    <w:rsid w:val="00016158"/>
    <w:rsid w:val="000163FD"/>
    <w:rsid w:val="000167CE"/>
    <w:rsid w:val="00016DC7"/>
    <w:rsid w:val="000170BE"/>
    <w:rsid w:val="000172E0"/>
    <w:rsid w:val="0001760D"/>
    <w:rsid w:val="000177BC"/>
    <w:rsid w:val="000178C1"/>
    <w:rsid w:val="00017D19"/>
    <w:rsid w:val="00020365"/>
    <w:rsid w:val="0002054A"/>
    <w:rsid w:val="000205E2"/>
    <w:rsid w:val="000208CA"/>
    <w:rsid w:val="00020DFA"/>
    <w:rsid w:val="00021103"/>
    <w:rsid w:val="0002173A"/>
    <w:rsid w:val="0002193E"/>
    <w:rsid w:val="00021AE3"/>
    <w:rsid w:val="000224BB"/>
    <w:rsid w:val="0002265F"/>
    <w:rsid w:val="00022A93"/>
    <w:rsid w:val="00023070"/>
    <w:rsid w:val="00023643"/>
    <w:rsid w:val="0002390A"/>
    <w:rsid w:val="00023D38"/>
    <w:rsid w:val="00023DF5"/>
    <w:rsid w:val="00023E9F"/>
    <w:rsid w:val="00023EDA"/>
    <w:rsid w:val="000240EF"/>
    <w:rsid w:val="0002410C"/>
    <w:rsid w:val="00024337"/>
    <w:rsid w:val="0002448B"/>
    <w:rsid w:val="0002466E"/>
    <w:rsid w:val="00024D89"/>
    <w:rsid w:val="00025155"/>
    <w:rsid w:val="00025164"/>
    <w:rsid w:val="00025420"/>
    <w:rsid w:val="000254AD"/>
    <w:rsid w:val="000256BF"/>
    <w:rsid w:val="00025C02"/>
    <w:rsid w:val="00025E48"/>
    <w:rsid w:val="00026186"/>
    <w:rsid w:val="000264C0"/>
    <w:rsid w:val="000266FF"/>
    <w:rsid w:val="00026783"/>
    <w:rsid w:val="00026B08"/>
    <w:rsid w:val="00027036"/>
    <w:rsid w:val="000271C0"/>
    <w:rsid w:val="00027781"/>
    <w:rsid w:val="00027E25"/>
    <w:rsid w:val="00030149"/>
    <w:rsid w:val="000302E7"/>
    <w:rsid w:val="0003032D"/>
    <w:rsid w:val="000304DD"/>
    <w:rsid w:val="00030A49"/>
    <w:rsid w:val="00031242"/>
    <w:rsid w:val="00031617"/>
    <w:rsid w:val="000316F3"/>
    <w:rsid w:val="00031A9E"/>
    <w:rsid w:val="000323EB"/>
    <w:rsid w:val="000327A6"/>
    <w:rsid w:val="00032BA5"/>
    <w:rsid w:val="00032D5F"/>
    <w:rsid w:val="00032DB5"/>
    <w:rsid w:val="00032F0D"/>
    <w:rsid w:val="00032FD1"/>
    <w:rsid w:val="0003316F"/>
    <w:rsid w:val="000331CB"/>
    <w:rsid w:val="00033379"/>
    <w:rsid w:val="000334AE"/>
    <w:rsid w:val="00033551"/>
    <w:rsid w:val="000338CC"/>
    <w:rsid w:val="000339BF"/>
    <w:rsid w:val="00033B25"/>
    <w:rsid w:val="00033CE5"/>
    <w:rsid w:val="00033E87"/>
    <w:rsid w:val="00033F01"/>
    <w:rsid w:val="00033F0D"/>
    <w:rsid w:val="00034273"/>
    <w:rsid w:val="000346A2"/>
    <w:rsid w:val="00034E49"/>
    <w:rsid w:val="000350DF"/>
    <w:rsid w:val="00035255"/>
    <w:rsid w:val="00035B44"/>
    <w:rsid w:val="00035C49"/>
    <w:rsid w:val="00035DEB"/>
    <w:rsid w:val="00036C07"/>
    <w:rsid w:val="00036C1C"/>
    <w:rsid w:val="00036E67"/>
    <w:rsid w:val="000371D6"/>
    <w:rsid w:val="000374D9"/>
    <w:rsid w:val="0003796D"/>
    <w:rsid w:val="00037FBA"/>
    <w:rsid w:val="00040897"/>
    <w:rsid w:val="00040BAF"/>
    <w:rsid w:val="00040CE1"/>
    <w:rsid w:val="0004109B"/>
    <w:rsid w:val="000410D3"/>
    <w:rsid w:val="00041587"/>
    <w:rsid w:val="00041A3D"/>
    <w:rsid w:val="00041F49"/>
    <w:rsid w:val="00042088"/>
    <w:rsid w:val="00042145"/>
    <w:rsid w:val="000421C9"/>
    <w:rsid w:val="00042354"/>
    <w:rsid w:val="000424F5"/>
    <w:rsid w:val="0004284D"/>
    <w:rsid w:val="000428F9"/>
    <w:rsid w:val="00042D8E"/>
    <w:rsid w:val="00043354"/>
    <w:rsid w:val="0004385D"/>
    <w:rsid w:val="00043B59"/>
    <w:rsid w:val="00043C20"/>
    <w:rsid w:val="00043D32"/>
    <w:rsid w:val="0004435E"/>
    <w:rsid w:val="00044704"/>
    <w:rsid w:val="000447CA"/>
    <w:rsid w:val="00044B2F"/>
    <w:rsid w:val="00044BA3"/>
    <w:rsid w:val="00044D00"/>
    <w:rsid w:val="00044F09"/>
    <w:rsid w:val="000450BC"/>
    <w:rsid w:val="000450F9"/>
    <w:rsid w:val="00045369"/>
    <w:rsid w:val="000453C7"/>
    <w:rsid w:val="000453E4"/>
    <w:rsid w:val="0004558A"/>
    <w:rsid w:val="0004578B"/>
    <w:rsid w:val="00045D5F"/>
    <w:rsid w:val="00045E12"/>
    <w:rsid w:val="00045E33"/>
    <w:rsid w:val="00045F12"/>
    <w:rsid w:val="000462A9"/>
    <w:rsid w:val="00046B9A"/>
    <w:rsid w:val="00047337"/>
    <w:rsid w:val="00047346"/>
    <w:rsid w:val="0004743F"/>
    <w:rsid w:val="0004765D"/>
    <w:rsid w:val="00047901"/>
    <w:rsid w:val="0005043A"/>
    <w:rsid w:val="000504C7"/>
    <w:rsid w:val="0005067D"/>
    <w:rsid w:val="000506B6"/>
    <w:rsid w:val="00050FA1"/>
    <w:rsid w:val="00051AE2"/>
    <w:rsid w:val="00051BFE"/>
    <w:rsid w:val="00051C04"/>
    <w:rsid w:val="00051D77"/>
    <w:rsid w:val="00051DCC"/>
    <w:rsid w:val="00052084"/>
    <w:rsid w:val="000521A3"/>
    <w:rsid w:val="00052254"/>
    <w:rsid w:val="00052CFA"/>
    <w:rsid w:val="0005300D"/>
    <w:rsid w:val="000531A8"/>
    <w:rsid w:val="000535EF"/>
    <w:rsid w:val="000536C6"/>
    <w:rsid w:val="000540F3"/>
    <w:rsid w:val="00054785"/>
    <w:rsid w:val="000547EC"/>
    <w:rsid w:val="00054817"/>
    <w:rsid w:val="00054D58"/>
    <w:rsid w:val="00054FA6"/>
    <w:rsid w:val="00055287"/>
    <w:rsid w:val="00055335"/>
    <w:rsid w:val="00055D75"/>
    <w:rsid w:val="00055FDF"/>
    <w:rsid w:val="00056447"/>
    <w:rsid w:val="00056540"/>
    <w:rsid w:val="00056A33"/>
    <w:rsid w:val="00056AFD"/>
    <w:rsid w:val="00056D98"/>
    <w:rsid w:val="0005726C"/>
    <w:rsid w:val="00057436"/>
    <w:rsid w:val="0005765A"/>
    <w:rsid w:val="000576EA"/>
    <w:rsid w:val="000576FE"/>
    <w:rsid w:val="000578C5"/>
    <w:rsid w:val="00057B25"/>
    <w:rsid w:val="00057F82"/>
    <w:rsid w:val="00060037"/>
    <w:rsid w:val="0006056F"/>
    <w:rsid w:val="0006070B"/>
    <w:rsid w:val="0006075A"/>
    <w:rsid w:val="00060802"/>
    <w:rsid w:val="0006095E"/>
    <w:rsid w:val="00060A4C"/>
    <w:rsid w:val="00061224"/>
    <w:rsid w:val="00061232"/>
    <w:rsid w:val="000613EB"/>
    <w:rsid w:val="000614FF"/>
    <w:rsid w:val="000616E1"/>
    <w:rsid w:val="00061CB8"/>
    <w:rsid w:val="00061D49"/>
    <w:rsid w:val="00061E78"/>
    <w:rsid w:val="00061EFF"/>
    <w:rsid w:val="00061F4B"/>
    <w:rsid w:val="00062076"/>
    <w:rsid w:val="00062245"/>
    <w:rsid w:val="000622F2"/>
    <w:rsid w:val="0006237F"/>
    <w:rsid w:val="0006281E"/>
    <w:rsid w:val="00062B4F"/>
    <w:rsid w:val="00062FF6"/>
    <w:rsid w:val="00063183"/>
    <w:rsid w:val="000633A2"/>
    <w:rsid w:val="000633B9"/>
    <w:rsid w:val="00063423"/>
    <w:rsid w:val="0006346D"/>
    <w:rsid w:val="000635C8"/>
    <w:rsid w:val="0006365B"/>
    <w:rsid w:val="00063743"/>
    <w:rsid w:val="00063ADA"/>
    <w:rsid w:val="00063B77"/>
    <w:rsid w:val="00063D28"/>
    <w:rsid w:val="00063D51"/>
    <w:rsid w:val="0006405D"/>
    <w:rsid w:val="00064180"/>
    <w:rsid w:val="00064245"/>
    <w:rsid w:val="00064326"/>
    <w:rsid w:val="0006441F"/>
    <w:rsid w:val="0006446A"/>
    <w:rsid w:val="000647D0"/>
    <w:rsid w:val="0006497C"/>
    <w:rsid w:val="00064B4E"/>
    <w:rsid w:val="00064BEE"/>
    <w:rsid w:val="00064FFA"/>
    <w:rsid w:val="00065119"/>
    <w:rsid w:val="00065512"/>
    <w:rsid w:val="000657EC"/>
    <w:rsid w:val="0006582F"/>
    <w:rsid w:val="0006587E"/>
    <w:rsid w:val="00065B63"/>
    <w:rsid w:val="00065E86"/>
    <w:rsid w:val="00066116"/>
    <w:rsid w:val="0006657D"/>
    <w:rsid w:val="00066B7F"/>
    <w:rsid w:val="00066EFA"/>
    <w:rsid w:val="00067CD0"/>
    <w:rsid w:val="00067D6B"/>
    <w:rsid w:val="0007053C"/>
    <w:rsid w:val="000705C9"/>
    <w:rsid w:val="000705D5"/>
    <w:rsid w:val="000706F7"/>
    <w:rsid w:val="00070A7E"/>
    <w:rsid w:val="00070AFD"/>
    <w:rsid w:val="00070D84"/>
    <w:rsid w:val="00070E84"/>
    <w:rsid w:val="00071A71"/>
    <w:rsid w:val="00071D33"/>
    <w:rsid w:val="00071E38"/>
    <w:rsid w:val="000727D6"/>
    <w:rsid w:val="000728C4"/>
    <w:rsid w:val="00072947"/>
    <w:rsid w:val="00072E58"/>
    <w:rsid w:val="00073086"/>
    <w:rsid w:val="0007342D"/>
    <w:rsid w:val="0007358B"/>
    <w:rsid w:val="000735BF"/>
    <w:rsid w:val="00073737"/>
    <w:rsid w:val="000738F2"/>
    <w:rsid w:val="00073A54"/>
    <w:rsid w:val="00073AC6"/>
    <w:rsid w:val="00073B57"/>
    <w:rsid w:val="00073DC3"/>
    <w:rsid w:val="00073F4E"/>
    <w:rsid w:val="00074140"/>
    <w:rsid w:val="0007429D"/>
    <w:rsid w:val="000742C3"/>
    <w:rsid w:val="000742ED"/>
    <w:rsid w:val="0007479C"/>
    <w:rsid w:val="000747DF"/>
    <w:rsid w:val="00074B4F"/>
    <w:rsid w:val="00074D45"/>
    <w:rsid w:val="00075152"/>
    <w:rsid w:val="000752ED"/>
    <w:rsid w:val="00075594"/>
    <w:rsid w:val="00075746"/>
    <w:rsid w:val="00075CAA"/>
    <w:rsid w:val="00075E62"/>
    <w:rsid w:val="0007603D"/>
    <w:rsid w:val="000761D7"/>
    <w:rsid w:val="0007655A"/>
    <w:rsid w:val="00076813"/>
    <w:rsid w:val="00076AF3"/>
    <w:rsid w:val="00076D80"/>
    <w:rsid w:val="00076EB7"/>
    <w:rsid w:val="0007763E"/>
    <w:rsid w:val="000778E8"/>
    <w:rsid w:val="00077A51"/>
    <w:rsid w:val="00077B2A"/>
    <w:rsid w:val="00077CB1"/>
    <w:rsid w:val="00077D3D"/>
    <w:rsid w:val="00077D59"/>
    <w:rsid w:val="00080317"/>
    <w:rsid w:val="00080A4F"/>
    <w:rsid w:val="00080DA5"/>
    <w:rsid w:val="000810C0"/>
    <w:rsid w:val="00081179"/>
    <w:rsid w:val="000813BB"/>
    <w:rsid w:val="00081633"/>
    <w:rsid w:val="00081B34"/>
    <w:rsid w:val="00081CFE"/>
    <w:rsid w:val="00081F32"/>
    <w:rsid w:val="0008216F"/>
    <w:rsid w:val="000826A1"/>
    <w:rsid w:val="00082714"/>
    <w:rsid w:val="00082A40"/>
    <w:rsid w:val="00082B6F"/>
    <w:rsid w:val="00082BED"/>
    <w:rsid w:val="00082BEF"/>
    <w:rsid w:val="00082E3E"/>
    <w:rsid w:val="00082E96"/>
    <w:rsid w:val="00082F80"/>
    <w:rsid w:val="000834EA"/>
    <w:rsid w:val="0008379D"/>
    <w:rsid w:val="000838CC"/>
    <w:rsid w:val="00083980"/>
    <w:rsid w:val="00083A4E"/>
    <w:rsid w:val="00083B2B"/>
    <w:rsid w:val="00083B30"/>
    <w:rsid w:val="00083B8E"/>
    <w:rsid w:val="00083BD5"/>
    <w:rsid w:val="00083E74"/>
    <w:rsid w:val="000845C9"/>
    <w:rsid w:val="000847F6"/>
    <w:rsid w:val="00084D09"/>
    <w:rsid w:val="00084F81"/>
    <w:rsid w:val="00085C2D"/>
    <w:rsid w:val="00085E21"/>
    <w:rsid w:val="00085EE1"/>
    <w:rsid w:val="00086060"/>
    <w:rsid w:val="00086635"/>
    <w:rsid w:val="00086BF3"/>
    <w:rsid w:val="00086C0A"/>
    <w:rsid w:val="00086E82"/>
    <w:rsid w:val="000870BA"/>
    <w:rsid w:val="000870E3"/>
    <w:rsid w:val="00087157"/>
    <w:rsid w:val="000872CE"/>
    <w:rsid w:val="000877C5"/>
    <w:rsid w:val="00087A6B"/>
    <w:rsid w:val="00087B3F"/>
    <w:rsid w:val="00087B58"/>
    <w:rsid w:val="00087BD9"/>
    <w:rsid w:val="00087BDD"/>
    <w:rsid w:val="00087C54"/>
    <w:rsid w:val="00090192"/>
    <w:rsid w:val="0009023B"/>
    <w:rsid w:val="00090264"/>
    <w:rsid w:val="000906B6"/>
    <w:rsid w:val="00090708"/>
    <w:rsid w:val="00090769"/>
    <w:rsid w:val="00090914"/>
    <w:rsid w:val="00090C7A"/>
    <w:rsid w:val="00091111"/>
    <w:rsid w:val="00091390"/>
    <w:rsid w:val="00091765"/>
    <w:rsid w:val="00091B8E"/>
    <w:rsid w:val="00091E5B"/>
    <w:rsid w:val="000921DE"/>
    <w:rsid w:val="00092294"/>
    <w:rsid w:val="00092A4B"/>
    <w:rsid w:val="00092A8D"/>
    <w:rsid w:val="0009327E"/>
    <w:rsid w:val="000936DE"/>
    <w:rsid w:val="0009383E"/>
    <w:rsid w:val="00093A38"/>
    <w:rsid w:val="00093A69"/>
    <w:rsid w:val="00093C8A"/>
    <w:rsid w:val="00093D98"/>
    <w:rsid w:val="00093DB9"/>
    <w:rsid w:val="00093EAC"/>
    <w:rsid w:val="0009446A"/>
    <w:rsid w:val="000945FA"/>
    <w:rsid w:val="0009505B"/>
    <w:rsid w:val="000953FA"/>
    <w:rsid w:val="000954C9"/>
    <w:rsid w:val="00095A98"/>
    <w:rsid w:val="00095F4D"/>
    <w:rsid w:val="0009618B"/>
    <w:rsid w:val="0009624D"/>
    <w:rsid w:val="000963D1"/>
    <w:rsid w:val="000965ED"/>
    <w:rsid w:val="00096672"/>
    <w:rsid w:val="00096762"/>
    <w:rsid w:val="00096A54"/>
    <w:rsid w:val="00096A73"/>
    <w:rsid w:val="00096A9E"/>
    <w:rsid w:val="00096B58"/>
    <w:rsid w:val="00096D22"/>
    <w:rsid w:val="00096E26"/>
    <w:rsid w:val="000972BF"/>
    <w:rsid w:val="000972D8"/>
    <w:rsid w:val="000972EA"/>
    <w:rsid w:val="00097552"/>
    <w:rsid w:val="00097667"/>
    <w:rsid w:val="0009767F"/>
    <w:rsid w:val="00097CA2"/>
    <w:rsid w:val="00097ED3"/>
    <w:rsid w:val="000A0241"/>
    <w:rsid w:val="000A068D"/>
    <w:rsid w:val="000A06AF"/>
    <w:rsid w:val="000A0ACF"/>
    <w:rsid w:val="000A0BE9"/>
    <w:rsid w:val="000A109E"/>
    <w:rsid w:val="000A12E1"/>
    <w:rsid w:val="000A17B2"/>
    <w:rsid w:val="000A188A"/>
    <w:rsid w:val="000A1D9E"/>
    <w:rsid w:val="000A1F17"/>
    <w:rsid w:val="000A21C7"/>
    <w:rsid w:val="000A2266"/>
    <w:rsid w:val="000A23A0"/>
    <w:rsid w:val="000A2443"/>
    <w:rsid w:val="000A319C"/>
    <w:rsid w:val="000A31BB"/>
    <w:rsid w:val="000A3281"/>
    <w:rsid w:val="000A3283"/>
    <w:rsid w:val="000A3498"/>
    <w:rsid w:val="000A3762"/>
    <w:rsid w:val="000A3810"/>
    <w:rsid w:val="000A387F"/>
    <w:rsid w:val="000A39BF"/>
    <w:rsid w:val="000A3CDC"/>
    <w:rsid w:val="000A3D89"/>
    <w:rsid w:val="000A3EB3"/>
    <w:rsid w:val="000A400C"/>
    <w:rsid w:val="000A404D"/>
    <w:rsid w:val="000A40F8"/>
    <w:rsid w:val="000A482D"/>
    <w:rsid w:val="000A4EA0"/>
    <w:rsid w:val="000A4EA8"/>
    <w:rsid w:val="000A514D"/>
    <w:rsid w:val="000A52D2"/>
    <w:rsid w:val="000A552D"/>
    <w:rsid w:val="000A558E"/>
    <w:rsid w:val="000A587F"/>
    <w:rsid w:val="000A5965"/>
    <w:rsid w:val="000A5FAC"/>
    <w:rsid w:val="000A61FD"/>
    <w:rsid w:val="000A658C"/>
    <w:rsid w:val="000A65CA"/>
    <w:rsid w:val="000A6882"/>
    <w:rsid w:val="000A6B13"/>
    <w:rsid w:val="000A6FF1"/>
    <w:rsid w:val="000A714E"/>
    <w:rsid w:val="000A73AD"/>
    <w:rsid w:val="000A78C0"/>
    <w:rsid w:val="000A78CE"/>
    <w:rsid w:val="000A7B42"/>
    <w:rsid w:val="000A7E00"/>
    <w:rsid w:val="000B02A8"/>
    <w:rsid w:val="000B0654"/>
    <w:rsid w:val="000B0C2A"/>
    <w:rsid w:val="000B0EC9"/>
    <w:rsid w:val="000B0EE9"/>
    <w:rsid w:val="000B1263"/>
    <w:rsid w:val="000B177D"/>
    <w:rsid w:val="000B17EC"/>
    <w:rsid w:val="000B1F26"/>
    <w:rsid w:val="000B20A2"/>
    <w:rsid w:val="000B2657"/>
    <w:rsid w:val="000B299F"/>
    <w:rsid w:val="000B2C71"/>
    <w:rsid w:val="000B33BB"/>
    <w:rsid w:val="000B38D5"/>
    <w:rsid w:val="000B3F64"/>
    <w:rsid w:val="000B3FFD"/>
    <w:rsid w:val="000B4516"/>
    <w:rsid w:val="000B4676"/>
    <w:rsid w:val="000B48F9"/>
    <w:rsid w:val="000B4A0B"/>
    <w:rsid w:val="000B4A30"/>
    <w:rsid w:val="000B4DE6"/>
    <w:rsid w:val="000B593B"/>
    <w:rsid w:val="000B5FE4"/>
    <w:rsid w:val="000B6743"/>
    <w:rsid w:val="000B6BEA"/>
    <w:rsid w:val="000B6E72"/>
    <w:rsid w:val="000B7046"/>
    <w:rsid w:val="000B7181"/>
    <w:rsid w:val="000B718B"/>
    <w:rsid w:val="000B71A1"/>
    <w:rsid w:val="000B735E"/>
    <w:rsid w:val="000B73A3"/>
    <w:rsid w:val="000B7620"/>
    <w:rsid w:val="000B78FD"/>
    <w:rsid w:val="000B79A4"/>
    <w:rsid w:val="000B7C20"/>
    <w:rsid w:val="000C0128"/>
    <w:rsid w:val="000C0467"/>
    <w:rsid w:val="000C06B0"/>
    <w:rsid w:val="000C091F"/>
    <w:rsid w:val="000C0E0C"/>
    <w:rsid w:val="000C0F80"/>
    <w:rsid w:val="000C10E9"/>
    <w:rsid w:val="000C17A1"/>
    <w:rsid w:val="000C1886"/>
    <w:rsid w:val="000C1C5D"/>
    <w:rsid w:val="000C20A1"/>
    <w:rsid w:val="000C219C"/>
    <w:rsid w:val="000C2697"/>
    <w:rsid w:val="000C2B33"/>
    <w:rsid w:val="000C2DEA"/>
    <w:rsid w:val="000C2E1D"/>
    <w:rsid w:val="000C3030"/>
    <w:rsid w:val="000C3093"/>
    <w:rsid w:val="000C30EF"/>
    <w:rsid w:val="000C32CE"/>
    <w:rsid w:val="000C34ED"/>
    <w:rsid w:val="000C3549"/>
    <w:rsid w:val="000C41E9"/>
    <w:rsid w:val="000C4358"/>
    <w:rsid w:val="000C43E8"/>
    <w:rsid w:val="000C4425"/>
    <w:rsid w:val="000C467C"/>
    <w:rsid w:val="000C4731"/>
    <w:rsid w:val="000C4761"/>
    <w:rsid w:val="000C47CB"/>
    <w:rsid w:val="000C4B3F"/>
    <w:rsid w:val="000C4D34"/>
    <w:rsid w:val="000C5101"/>
    <w:rsid w:val="000C5297"/>
    <w:rsid w:val="000C5459"/>
    <w:rsid w:val="000C5642"/>
    <w:rsid w:val="000C5689"/>
    <w:rsid w:val="000C5A4E"/>
    <w:rsid w:val="000C5DEE"/>
    <w:rsid w:val="000C6535"/>
    <w:rsid w:val="000C6600"/>
    <w:rsid w:val="000C75C5"/>
    <w:rsid w:val="000C7767"/>
    <w:rsid w:val="000C7777"/>
    <w:rsid w:val="000C7B8C"/>
    <w:rsid w:val="000C7C2F"/>
    <w:rsid w:val="000C7F06"/>
    <w:rsid w:val="000C7FAC"/>
    <w:rsid w:val="000D00AB"/>
    <w:rsid w:val="000D00AC"/>
    <w:rsid w:val="000D01BD"/>
    <w:rsid w:val="000D0553"/>
    <w:rsid w:val="000D05A9"/>
    <w:rsid w:val="000D05B0"/>
    <w:rsid w:val="000D0692"/>
    <w:rsid w:val="000D093F"/>
    <w:rsid w:val="000D0AF8"/>
    <w:rsid w:val="000D1073"/>
    <w:rsid w:val="000D112A"/>
    <w:rsid w:val="000D120D"/>
    <w:rsid w:val="000D1214"/>
    <w:rsid w:val="000D12F4"/>
    <w:rsid w:val="000D12F8"/>
    <w:rsid w:val="000D150F"/>
    <w:rsid w:val="000D23FE"/>
    <w:rsid w:val="000D2572"/>
    <w:rsid w:val="000D25A2"/>
    <w:rsid w:val="000D29C4"/>
    <w:rsid w:val="000D2E3D"/>
    <w:rsid w:val="000D2E57"/>
    <w:rsid w:val="000D2EA4"/>
    <w:rsid w:val="000D2F0D"/>
    <w:rsid w:val="000D3306"/>
    <w:rsid w:val="000D3376"/>
    <w:rsid w:val="000D33B9"/>
    <w:rsid w:val="000D3C37"/>
    <w:rsid w:val="000D3FC8"/>
    <w:rsid w:val="000D41C8"/>
    <w:rsid w:val="000D4603"/>
    <w:rsid w:val="000D4844"/>
    <w:rsid w:val="000D4973"/>
    <w:rsid w:val="000D4E2F"/>
    <w:rsid w:val="000D4EDC"/>
    <w:rsid w:val="000D519D"/>
    <w:rsid w:val="000D527F"/>
    <w:rsid w:val="000D543F"/>
    <w:rsid w:val="000D5CFB"/>
    <w:rsid w:val="000D6090"/>
    <w:rsid w:val="000D6281"/>
    <w:rsid w:val="000D636F"/>
    <w:rsid w:val="000D63D9"/>
    <w:rsid w:val="000D63DC"/>
    <w:rsid w:val="000D683A"/>
    <w:rsid w:val="000D6977"/>
    <w:rsid w:val="000D69CB"/>
    <w:rsid w:val="000D6C36"/>
    <w:rsid w:val="000D6D71"/>
    <w:rsid w:val="000D6D85"/>
    <w:rsid w:val="000D6EA3"/>
    <w:rsid w:val="000D6FC0"/>
    <w:rsid w:val="000D6FD3"/>
    <w:rsid w:val="000D7273"/>
    <w:rsid w:val="000D777D"/>
    <w:rsid w:val="000D7965"/>
    <w:rsid w:val="000D7B5F"/>
    <w:rsid w:val="000D7C9F"/>
    <w:rsid w:val="000D7CD6"/>
    <w:rsid w:val="000D7F03"/>
    <w:rsid w:val="000D7FF9"/>
    <w:rsid w:val="000E0533"/>
    <w:rsid w:val="000E05D1"/>
    <w:rsid w:val="000E081E"/>
    <w:rsid w:val="000E0841"/>
    <w:rsid w:val="000E0882"/>
    <w:rsid w:val="000E0A17"/>
    <w:rsid w:val="000E0E28"/>
    <w:rsid w:val="000E0F5A"/>
    <w:rsid w:val="000E0FFA"/>
    <w:rsid w:val="000E1226"/>
    <w:rsid w:val="000E1AA0"/>
    <w:rsid w:val="000E1EAB"/>
    <w:rsid w:val="000E3269"/>
    <w:rsid w:val="000E3321"/>
    <w:rsid w:val="000E3353"/>
    <w:rsid w:val="000E33EB"/>
    <w:rsid w:val="000E376F"/>
    <w:rsid w:val="000E3994"/>
    <w:rsid w:val="000E39C4"/>
    <w:rsid w:val="000E3F09"/>
    <w:rsid w:val="000E4097"/>
    <w:rsid w:val="000E418A"/>
    <w:rsid w:val="000E4226"/>
    <w:rsid w:val="000E43DD"/>
    <w:rsid w:val="000E47AA"/>
    <w:rsid w:val="000E48E4"/>
    <w:rsid w:val="000E4B5E"/>
    <w:rsid w:val="000E4D4E"/>
    <w:rsid w:val="000E4ED1"/>
    <w:rsid w:val="000E5198"/>
    <w:rsid w:val="000E51C2"/>
    <w:rsid w:val="000E51F0"/>
    <w:rsid w:val="000E5339"/>
    <w:rsid w:val="000E5671"/>
    <w:rsid w:val="000E5729"/>
    <w:rsid w:val="000E5770"/>
    <w:rsid w:val="000E58CC"/>
    <w:rsid w:val="000E594E"/>
    <w:rsid w:val="000E5E37"/>
    <w:rsid w:val="000E62E2"/>
    <w:rsid w:val="000E63DB"/>
    <w:rsid w:val="000E6603"/>
    <w:rsid w:val="000E6964"/>
    <w:rsid w:val="000E6A89"/>
    <w:rsid w:val="000E6C18"/>
    <w:rsid w:val="000E6E2E"/>
    <w:rsid w:val="000E7022"/>
    <w:rsid w:val="000E70CF"/>
    <w:rsid w:val="000E7242"/>
    <w:rsid w:val="000E73DB"/>
    <w:rsid w:val="000E7421"/>
    <w:rsid w:val="000E7A61"/>
    <w:rsid w:val="000E7AAC"/>
    <w:rsid w:val="000E7B03"/>
    <w:rsid w:val="000E7D58"/>
    <w:rsid w:val="000E7F98"/>
    <w:rsid w:val="000E7FA3"/>
    <w:rsid w:val="000F042C"/>
    <w:rsid w:val="000F06D2"/>
    <w:rsid w:val="000F0AF6"/>
    <w:rsid w:val="000F0C25"/>
    <w:rsid w:val="000F1576"/>
    <w:rsid w:val="000F1BD3"/>
    <w:rsid w:val="000F1BFA"/>
    <w:rsid w:val="000F1FDC"/>
    <w:rsid w:val="000F2072"/>
    <w:rsid w:val="000F22BD"/>
    <w:rsid w:val="000F22CF"/>
    <w:rsid w:val="000F25FE"/>
    <w:rsid w:val="000F2ABD"/>
    <w:rsid w:val="000F2CEC"/>
    <w:rsid w:val="000F2D5E"/>
    <w:rsid w:val="000F302D"/>
    <w:rsid w:val="000F3306"/>
    <w:rsid w:val="000F3396"/>
    <w:rsid w:val="000F34BC"/>
    <w:rsid w:val="000F362A"/>
    <w:rsid w:val="000F373B"/>
    <w:rsid w:val="000F38CD"/>
    <w:rsid w:val="000F3AC1"/>
    <w:rsid w:val="000F416D"/>
    <w:rsid w:val="000F44FF"/>
    <w:rsid w:val="000F49A8"/>
    <w:rsid w:val="000F4B86"/>
    <w:rsid w:val="000F4BF2"/>
    <w:rsid w:val="000F4CDC"/>
    <w:rsid w:val="000F4EAC"/>
    <w:rsid w:val="000F5391"/>
    <w:rsid w:val="000F5405"/>
    <w:rsid w:val="000F54F7"/>
    <w:rsid w:val="000F5627"/>
    <w:rsid w:val="000F59BF"/>
    <w:rsid w:val="000F5A96"/>
    <w:rsid w:val="000F5C87"/>
    <w:rsid w:val="000F5DEC"/>
    <w:rsid w:val="000F5E41"/>
    <w:rsid w:val="000F6070"/>
    <w:rsid w:val="000F6097"/>
    <w:rsid w:val="000F6306"/>
    <w:rsid w:val="000F63F4"/>
    <w:rsid w:val="000F66D4"/>
    <w:rsid w:val="000F6A7B"/>
    <w:rsid w:val="000F6BF5"/>
    <w:rsid w:val="000F6E45"/>
    <w:rsid w:val="000F6EE3"/>
    <w:rsid w:val="000F7C1A"/>
    <w:rsid w:val="000F7DF7"/>
    <w:rsid w:val="000F7EB5"/>
    <w:rsid w:val="00100181"/>
    <w:rsid w:val="00100604"/>
    <w:rsid w:val="001006D7"/>
    <w:rsid w:val="00100711"/>
    <w:rsid w:val="00100720"/>
    <w:rsid w:val="001007CE"/>
    <w:rsid w:val="00100906"/>
    <w:rsid w:val="00100A10"/>
    <w:rsid w:val="001013F0"/>
    <w:rsid w:val="0010165C"/>
    <w:rsid w:val="00101A39"/>
    <w:rsid w:val="001020BD"/>
    <w:rsid w:val="001020E8"/>
    <w:rsid w:val="0010218F"/>
    <w:rsid w:val="00102457"/>
    <w:rsid w:val="001025AE"/>
    <w:rsid w:val="0010280B"/>
    <w:rsid w:val="00102F98"/>
    <w:rsid w:val="00103071"/>
    <w:rsid w:val="001031C0"/>
    <w:rsid w:val="0010328D"/>
    <w:rsid w:val="00103370"/>
    <w:rsid w:val="00103843"/>
    <w:rsid w:val="001038CA"/>
    <w:rsid w:val="001044C0"/>
    <w:rsid w:val="00104CB6"/>
    <w:rsid w:val="00104D53"/>
    <w:rsid w:val="00104DDD"/>
    <w:rsid w:val="00105088"/>
    <w:rsid w:val="001050BA"/>
    <w:rsid w:val="001051C0"/>
    <w:rsid w:val="001051E8"/>
    <w:rsid w:val="0010551A"/>
    <w:rsid w:val="0010566A"/>
    <w:rsid w:val="0010587A"/>
    <w:rsid w:val="00105A45"/>
    <w:rsid w:val="00105D0B"/>
    <w:rsid w:val="00105DF9"/>
    <w:rsid w:val="001061EC"/>
    <w:rsid w:val="001065DD"/>
    <w:rsid w:val="00106826"/>
    <w:rsid w:val="00106A2E"/>
    <w:rsid w:val="00106AB9"/>
    <w:rsid w:val="00106DEA"/>
    <w:rsid w:val="00106F3E"/>
    <w:rsid w:val="0010773A"/>
    <w:rsid w:val="00107779"/>
    <w:rsid w:val="0010782D"/>
    <w:rsid w:val="00107A06"/>
    <w:rsid w:val="00107A49"/>
    <w:rsid w:val="00107B95"/>
    <w:rsid w:val="00107BEF"/>
    <w:rsid w:val="00107FCD"/>
    <w:rsid w:val="001104C9"/>
    <w:rsid w:val="00110C6D"/>
    <w:rsid w:val="00110EE3"/>
    <w:rsid w:val="001112A8"/>
    <w:rsid w:val="00111379"/>
    <w:rsid w:val="0011190F"/>
    <w:rsid w:val="001119ED"/>
    <w:rsid w:val="00111C1A"/>
    <w:rsid w:val="00112471"/>
    <w:rsid w:val="0011249E"/>
    <w:rsid w:val="0011269B"/>
    <w:rsid w:val="001127DA"/>
    <w:rsid w:val="00112B30"/>
    <w:rsid w:val="00112E46"/>
    <w:rsid w:val="0011353D"/>
    <w:rsid w:val="00113758"/>
    <w:rsid w:val="0011379F"/>
    <w:rsid w:val="00113BAD"/>
    <w:rsid w:val="00113F6E"/>
    <w:rsid w:val="00113FF2"/>
    <w:rsid w:val="00114629"/>
    <w:rsid w:val="0011467F"/>
    <w:rsid w:val="001147FA"/>
    <w:rsid w:val="00114933"/>
    <w:rsid w:val="001149E4"/>
    <w:rsid w:val="00114A14"/>
    <w:rsid w:val="0011558E"/>
    <w:rsid w:val="0011563B"/>
    <w:rsid w:val="00115921"/>
    <w:rsid w:val="001159BC"/>
    <w:rsid w:val="00115C28"/>
    <w:rsid w:val="00115D0F"/>
    <w:rsid w:val="001161DF"/>
    <w:rsid w:val="00116425"/>
    <w:rsid w:val="001164AE"/>
    <w:rsid w:val="001164D6"/>
    <w:rsid w:val="00116618"/>
    <w:rsid w:val="0011676B"/>
    <w:rsid w:val="00116791"/>
    <w:rsid w:val="00116989"/>
    <w:rsid w:val="001169AF"/>
    <w:rsid w:val="00116D51"/>
    <w:rsid w:val="00116D8C"/>
    <w:rsid w:val="00116E8E"/>
    <w:rsid w:val="00117161"/>
    <w:rsid w:val="0011718C"/>
    <w:rsid w:val="001172FB"/>
    <w:rsid w:val="00117BD7"/>
    <w:rsid w:val="001201A7"/>
    <w:rsid w:val="00120213"/>
    <w:rsid w:val="0012084B"/>
    <w:rsid w:val="00120C10"/>
    <w:rsid w:val="00120D77"/>
    <w:rsid w:val="00120DB7"/>
    <w:rsid w:val="00120ED8"/>
    <w:rsid w:val="00121056"/>
    <w:rsid w:val="001214E9"/>
    <w:rsid w:val="00121CA1"/>
    <w:rsid w:val="00121E16"/>
    <w:rsid w:val="00121F05"/>
    <w:rsid w:val="0012204C"/>
    <w:rsid w:val="00122226"/>
    <w:rsid w:val="00122251"/>
    <w:rsid w:val="001222EA"/>
    <w:rsid w:val="001223DC"/>
    <w:rsid w:val="001223E5"/>
    <w:rsid w:val="00122A3B"/>
    <w:rsid w:val="00122C89"/>
    <w:rsid w:val="00122CFB"/>
    <w:rsid w:val="00122E2C"/>
    <w:rsid w:val="001230EB"/>
    <w:rsid w:val="001231BC"/>
    <w:rsid w:val="001231E3"/>
    <w:rsid w:val="001231FB"/>
    <w:rsid w:val="0012328E"/>
    <w:rsid w:val="00123375"/>
    <w:rsid w:val="001233EA"/>
    <w:rsid w:val="00123556"/>
    <w:rsid w:val="00123857"/>
    <w:rsid w:val="001240C6"/>
    <w:rsid w:val="0012428D"/>
    <w:rsid w:val="00124391"/>
    <w:rsid w:val="001244D2"/>
    <w:rsid w:val="0012476B"/>
    <w:rsid w:val="00124BE5"/>
    <w:rsid w:val="00124DCB"/>
    <w:rsid w:val="00124E5C"/>
    <w:rsid w:val="00124EA6"/>
    <w:rsid w:val="00125291"/>
    <w:rsid w:val="00125423"/>
    <w:rsid w:val="00125578"/>
    <w:rsid w:val="0012587B"/>
    <w:rsid w:val="00125EFF"/>
    <w:rsid w:val="0012625C"/>
    <w:rsid w:val="00126369"/>
    <w:rsid w:val="0012652F"/>
    <w:rsid w:val="001268A6"/>
    <w:rsid w:val="0012692B"/>
    <w:rsid w:val="00126EFD"/>
    <w:rsid w:val="00126FB2"/>
    <w:rsid w:val="001271B3"/>
    <w:rsid w:val="0012764E"/>
    <w:rsid w:val="001278CF"/>
    <w:rsid w:val="00127914"/>
    <w:rsid w:val="00127BC8"/>
    <w:rsid w:val="00127C14"/>
    <w:rsid w:val="00127C69"/>
    <w:rsid w:val="00127DFA"/>
    <w:rsid w:val="00127F21"/>
    <w:rsid w:val="00130120"/>
    <w:rsid w:val="001302BA"/>
    <w:rsid w:val="0013068E"/>
    <w:rsid w:val="001308DE"/>
    <w:rsid w:val="00130B49"/>
    <w:rsid w:val="00130C24"/>
    <w:rsid w:val="00130C66"/>
    <w:rsid w:val="00130C87"/>
    <w:rsid w:val="00130CE7"/>
    <w:rsid w:val="00130F6F"/>
    <w:rsid w:val="00130F8A"/>
    <w:rsid w:val="0013137E"/>
    <w:rsid w:val="00131DC8"/>
    <w:rsid w:val="0013200E"/>
    <w:rsid w:val="001326F7"/>
    <w:rsid w:val="0013276B"/>
    <w:rsid w:val="00132947"/>
    <w:rsid w:val="00132A7C"/>
    <w:rsid w:val="00132CBA"/>
    <w:rsid w:val="00132EA6"/>
    <w:rsid w:val="001333B5"/>
    <w:rsid w:val="001335FE"/>
    <w:rsid w:val="001339C3"/>
    <w:rsid w:val="00133ADE"/>
    <w:rsid w:val="00134376"/>
    <w:rsid w:val="001348C8"/>
    <w:rsid w:val="00134F22"/>
    <w:rsid w:val="00134F79"/>
    <w:rsid w:val="00134FA8"/>
    <w:rsid w:val="00135153"/>
    <w:rsid w:val="001351E4"/>
    <w:rsid w:val="0013525C"/>
    <w:rsid w:val="00135287"/>
    <w:rsid w:val="00135322"/>
    <w:rsid w:val="0013545D"/>
    <w:rsid w:val="0013576A"/>
    <w:rsid w:val="00135BC5"/>
    <w:rsid w:val="0013616B"/>
    <w:rsid w:val="00136406"/>
    <w:rsid w:val="00136718"/>
    <w:rsid w:val="0013674A"/>
    <w:rsid w:val="00136DC8"/>
    <w:rsid w:val="001372E0"/>
    <w:rsid w:val="0013732F"/>
    <w:rsid w:val="0013747E"/>
    <w:rsid w:val="0013749D"/>
    <w:rsid w:val="00137509"/>
    <w:rsid w:val="00137814"/>
    <w:rsid w:val="00137B3C"/>
    <w:rsid w:val="00137BE1"/>
    <w:rsid w:val="00137DA2"/>
    <w:rsid w:val="00140281"/>
    <w:rsid w:val="001408FA"/>
    <w:rsid w:val="00140A70"/>
    <w:rsid w:val="00140B0D"/>
    <w:rsid w:val="00140C2C"/>
    <w:rsid w:val="00140D19"/>
    <w:rsid w:val="00141077"/>
    <w:rsid w:val="001411D8"/>
    <w:rsid w:val="001417B1"/>
    <w:rsid w:val="00141DF8"/>
    <w:rsid w:val="00142401"/>
    <w:rsid w:val="00142413"/>
    <w:rsid w:val="00142540"/>
    <w:rsid w:val="001429E4"/>
    <w:rsid w:val="00142AA8"/>
    <w:rsid w:val="00142AEF"/>
    <w:rsid w:val="00142BDA"/>
    <w:rsid w:val="00142D6C"/>
    <w:rsid w:val="00142F16"/>
    <w:rsid w:val="00142F8A"/>
    <w:rsid w:val="001435CA"/>
    <w:rsid w:val="001439BB"/>
    <w:rsid w:val="00143CCA"/>
    <w:rsid w:val="00143E3D"/>
    <w:rsid w:val="00143E69"/>
    <w:rsid w:val="0014483F"/>
    <w:rsid w:val="00144972"/>
    <w:rsid w:val="00144D0B"/>
    <w:rsid w:val="001454AD"/>
    <w:rsid w:val="001458A0"/>
    <w:rsid w:val="001459A0"/>
    <w:rsid w:val="00145A80"/>
    <w:rsid w:val="00145DBF"/>
    <w:rsid w:val="00146154"/>
    <w:rsid w:val="00146383"/>
    <w:rsid w:val="00146648"/>
    <w:rsid w:val="0014684E"/>
    <w:rsid w:val="001468A0"/>
    <w:rsid w:val="001470E2"/>
    <w:rsid w:val="0014712A"/>
    <w:rsid w:val="00147439"/>
    <w:rsid w:val="00147872"/>
    <w:rsid w:val="0015046C"/>
    <w:rsid w:val="00150913"/>
    <w:rsid w:val="00150CDB"/>
    <w:rsid w:val="00150E2F"/>
    <w:rsid w:val="00151153"/>
    <w:rsid w:val="001511A0"/>
    <w:rsid w:val="00151343"/>
    <w:rsid w:val="001513E7"/>
    <w:rsid w:val="0015158A"/>
    <w:rsid w:val="00151901"/>
    <w:rsid w:val="00151E0D"/>
    <w:rsid w:val="001522A9"/>
    <w:rsid w:val="001524FF"/>
    <w:rsid w:val="001527D4"/>
    <w:rsid w:val="00152877"/>
    <w:rsid w:val="00152B80"/>
    <w:rsid w:val="00152DF1"/>
    <w:rsid w:val="001530EF"/>
    <w:rsid w:val="00153176"/>
    <w:rsid w:val="00153245"/>
    <w:rsid w:val="0015328E"/>
    <w:rsid w:val="001539CA"/>
    <w:rsid w:val="00153E27"/>
    <w:rsid w:val="00153F24"/>
    <w:rsid w:val="00154740"/>
    <w:rsid w:val="00154C12"/>
    <w:rsid w:val="001550B9"/>
    <w:rsid w:val="00155103"/>
    <w:rsid w:val="00155220"/>
    <w:rsid w:val="00155B77"/>
    <w:rsid w:val="001564C7"/>
    <w:rsid w:val="00156538"/>
    <w:rsid w:val="00156AF5"/>
    <w:rsid w:val="00156B10"/>
    <w:rsid w:val="001575F0"/>
    <w:rsid w:val="00157620"/>
    <w:rsid w:val="0015784C"/>
    <w:rsid w:val="001578CD"/>
    <w:rsid w:val="001578F7"/>
    <w:rsid w:val="00157946"/>
    <w:rsid w:val="00157B20"/>
    <w:rsid w:val="00157F2E"/>
    <w:rsid w:val="00157F96"/>
    <w:rsid w:val="00160858"/>
    <w:rsid w:val="00160CDF"/>
    <w:rsid w:val="00161032"/>
    <w:rsid w:val="001613A8"/>
    <w:rsid w:val="0016141A"/>
    <w:rsid w:val="0016153B"/>
    <w:rsid w:val="001619E0"/>
    <w:rsid w:val="00161A3A"/>
    <w:rsid w:val="00161BE4"/>
    <w:rsid w:val="00161DFB"/>
    <w:rsid w:val="00161E3A"/>
    <w:rsid w:val="00161F10"/>
    <w:rsid w:val="0016202C"/>
    <w:rsid w:val="00162232"/>
    <w:rsid w:val="001623C3"/>
    <w:rsid w:val="00162425"/>
    <w:rsid w:val="001624CF"/>
    <w:rsid w:val="0016277A"/>
    <w:rsid w:val="00162889"/>
    <w:rsid w:val="0016299F"/>
    <w:rsid w:val="00162A9F"/>
    <w:rsid w:val="00162AC0"/>
    <w:rsid w:val="00162B16"/>
    <w:rsid w:val="00162D7B"/>
    <w:rsid w:val="00162E54"/>
    <w:rsid w:val="00162FDF"/>
    <w:rsid w:val="001632D6"/>
    <w:rsid w:val="00163667"/>
    <w:rsid w:val="001636E4"/>
    <w:rsid w:val="00163AF3"/>
    <w:rsid w:val="00164400"/>
    <w:rsid w:val="001644AF"/>
    <w:rsid w:val="00164630"/>
    <w:rsid w:val="00164897"/>
    <w:rsid w:val="00164966"/>
    <w:rsid w:val="00164A32"/>
    <w:rsid w:val="00164CBE"/>
    <w:rsid w:val="001656C1"/>
    <w:rsid w:val="00165B35"/>
    <w:rsid w:val="00165DED"/>
    <w:rsid w:val="00165E28"/>
    <w:rsid w:val="00165FDA"/>
    <w:rsid w:val="00166183"/>
    <w:rsid w:val="00166261"/>
    <w:rsid w:val="00166403"/>
    <w:rsid w:val="00166429"/>
    <w:rsid w:val="001665A8"/>
    <w:rsid w:val="00166995"/>
    <w:rsid w:val="00166A48"/>
    <w:rsid w:val="00166ABC"/>
    <w:rsid w:val="00166DE7"/>
    <w:rsid w:val="00166F3B"/>
    <w:rsid w:val="00167102"/>
    <w:rsid w:val="001671C9"/>
    <w:rsid w:val="00167426"/>
    <w:rsid w:val="00167866"/>
    <w:rsid w:val="0016788C"/>
    <w:rsid w:val="00167A7B"/>
    <w:rsid w:val="00167F79"/>
    <w:rsid w:val="001708E6"/>
    <w:rsid w:val="00170CA6"/>
    <w:rsid w:val="0017120C"/>
    <w:rsid w:val="00171218"/>
    <w:rsid w:val="00171714"/>
    <w:rsid w:val="001719B2"/>
    <w:rsid w:val="00171A91"/>
    <w:rsid w:val="00171C22"/>
    <w:rsid w:val="001724A2"/>
    <w:rsid w:val="00172589"/>
    <w:rsid w:val="00172A7C"/>
    <w:rsid w:val="00172AC1"/>
    <w:rsid w:val="00172B62"/>
    <w:rsid w:val="00172CE5"/>
    <w:rsid w:val="0017326A"/>
    <w:rsid w:val="001733ED"/>
    <w:rsid w:val="00173829"/>
    <w:rsid w:val="00173CBB"/>
    <w:rsid w:val="00173E8E"/>
    <w:rsid w:val="00173F20"/>
    <w:rsid w:val="00173FF4"/>
    <w:rsid w:val="0017400C"/>
    <w:rsid w:val="00174258"/>
    <w:rsid w:val="0017460F"/>
    <w:rsid w:val="00174928"/>
    <w:rsid w:val="0017492E"/>
    <w:rsid w:val="00174A57"/>
    <w:rsid w:val="00174BCB"/>
    <w:rsid w:val="001750F6"/>
    <w:rsid w:val="0017563B"/>
    <w:rsid w:val="00175712"/>
    <w:rsid w:val="0017583D"/>
    <w:rsid w:val="0017597E"/>
    <w:rsid w:val="00175A8B"/>
    <w:rsid w:val="00175E1C"/>
    <w:rsid w:val="00175E29"/>
    <w:rsid w:val="00176218"/>
    <w:rsid w:val="0017638A"/>
    <w:rsid w:val="00176533"/>
    <w:rsid w:val="0017654B"/>
    <w:rsid w:val="001765AD"/>
    <w:rsid w:val="0017662B"/>
    <w:rsid w:val="001767A5"/>
    <w:rsid w:val="00176A6C"/>
    <w:rsid w:val="00176AF3"/>
    <w:rsid w:val="00176CFB"/>
    <w:rsid w:val="001772BF"/>
    <w:rsid w:val="00177706"/>
    <w:rsid w:val="00177840"/>
    <w:rsid w:val="00180054"/>
    <w:rsid w:val="001803A9"/>
    <w:rsid w:val="0018059D"/>
    <w:rsid w:val="00180A2E"/>
    <w:rsid w:val="00180A90"/>
    <w:rsid w:val="00180AEF"/>
    <w:rsid w:val="00180EAC"/>
    <w:rsid w:val="001810F2"/>
    <w:rsid w:val="001811DC"/>
    <w:rsid w:val="0018182E"/>
    <w:rsid w:val="00181BFD"/>
    <w:rsid w:val="00181ECD"/>
    <w:rsid w:val="00182146"/>
    <w:rsid w:val="00182B4E"/>
    <w:rsid w:val="00182D56"/>
    <w:rsid w:val="001837EC"/>
    <w:rsid w:val="001839F8"/>
    <w:rsid w:val="00183A4E"/>
    <w:rsid w:val="00183DC9"/>
    <w:rsid w:val="0018401A"/>
    <w:rsid w:val="00184296"/>
    <w:rsid w:val="00184BB1"/>
    <w:rsid w:val="0018517B"/>
    <w:rsid w:val="00185258"/>
    <w:rsid w:val="00185330"/>
    <w:rsid w:val="0018560E"/>
    <w:rsid w:val="001856DB"/>
    <w:rsid w:val="0018597B"/>
    <w:rsid w:val="00185BD3"/>
    <w:rsid w:val="00185E85"/>
    <w:rsid w:val="001861AA"/>
    <w:rsid w:val="00186364"/>
    <w:rsid w:val="001863FD"/>
    <w:rsid w:val="00186830"/>
    <w:rsid w:val="00186932"/>
    <w:rsid w:val="00186CB1"/>
    <w:rsid w:val="001871C9"/>
    <w:rsid w:val="0018722C"/>
    <w:rsid w:val="00187843"/>
    <w:rsid w:val="0018797A"/>
    <w:rsid w:val="00187988"/>
    <w:rsid w:val="00187A11"/>
    <w:rsid w:val="00187D36"/>
    <w:rsid w:val="00187E91"/>
    <w:rsid w:val="00190113"/>
    <w:rsid w:val="00190140"/>
    <w:rsid w:val="00190246"/>
    <w:rsid w:val="0019025B"/>
    <w:rsid w:val="00190525"/>
    <w:rsid w:val="001905E5"/>
    <w:rsid w:val="00190832"/>
    <w:rsid w:val="0019098F"/>
    <w:rsid w:val="00190F6C"/>
    <w:rsid w:val="00191043"/>
    <w:rsid w:val="0019113E"/>
    <w:rsid w:val="001911C5"/>
    <w:rsid w:val="001911D1"/>
    <w:rsid w:val="0019138D"/>
    <w:rsid w:val="00191478"/>
    <w:rsid w:val="0019149D"/>
    <w:rsid w:val="001915D7"/>
    <w:rsid w:val="00191C2E"/>
    <w:rsid w:val="00191CC0"/>
    <w:rsid w:val="00191E80"/>
    <w:rsid w:val="00192024"/>
    <w:rsid w:val="0019238D"/>
    <w:rsid w:val="00192397"/>
    <w:rsid w:val="00192442"/>
    <w:rsid w:val="001924B2"/>
    <w:rsid w:val="00192FD8"/>
    <w:rsid w:val="00193005"/>
    <w:rsid w:val="0019302C"/>
    <w:rsid w:val="00193224"/>
    <w:rsid w:val="001933B3"/>
    <w:rsid w:val="001933D0"/>
    <w:rsid w:val="00193633"/>
    <w:rsid w:val="00193794"/>
    <w:rsid w:val="0019399C"/>
    <w:rsid w:val="00194001"/>
    <w:rsid w:val="00194375"/>
    <w:rsid w:val="001947DD"/>
    <w:rsid w:val="00194A8C"/>
    <w:rsid w:val="00194BC7"/>
    <w:rsid w:val="00194DF3"/>
    <w:rsid w:val="00194E0A"/>
    <w:rsid w:val="00194E78"/>
    <w:rsid w:val="00194F10"/>
    <w:rsid w:val="00194FB2"/>
    <w:rsid w:val="00195173"/>
    <w:rsid w:val="00195773"/>
    <w:rsid w:val="00195A25"/>
    <w:rsid w:val="00195DD2"/>
    <w:rsid w:val="00196659"/>
    <w:rsid w:val="0019689B"/>
    <w:rsid w:val="001968EB"/>
    <w:rsid w:val="00196B2B"/>
    <w:rsid w:val="00196B2D"/>
    <w:rsid w:val="00196B5E"/>
    <w:rsid w:val="00196C14"/>
    <w:rsid w:val="00196F59"/>
    <w:rsid w:val="00197133"/>
    <w:rsid w:val="0019722F"/>
    <w:rsid w:val="0019758E"/>
    <w:rsid w:val="001978FA"/>
    <w:rsid w:val="001979BB"/>
    <w:rsid w:val="00197B47"/>
    <w:rsid w:val="00197D7E"/>
    <w:rsid w:val="00197DEC"/>
    <w:rsid w:val="001A0836"/>
    <w:rsid w:val="001A08E6"/>
    <w:rsid w:val="001A09F1"/>
    <w:rsid w:val="001A0C0E"/>
    <w:rsid w:val="001A0E18"/>
    <w:rsid w:val="001A0F40"/>
    <w:rsid w:val="001A109C"/>
    <w:rsid w:val="001A1385"/>
    <w:rsid w:val="001A161A"/>
    <w:rsid w:val="001A19AA"/>
    <w:rsid w:val="001A1AB0"/>
    <w:rsid w:val="001A1AB8"/>
    <w:rsid w:val="001A1B06"/>
    <w:rsid w:val="001A1FD9"/>
    <w:rsid w:val="001A216C"/>
    <w:rsid w:val="001A22B0"/>
    <w:rsid w:val="001A23A0"/>
    <w:rsid w:val="001A25CF"/>
    <w:rsid w:val="001A261B"/>
    <w:rsid w:val="001A26C7"/>
    <w:rsid w:val="001A278C"/>
    <w:rsid w:val="001A29E3"/>
    <w:rsid w:val="001A2AA3"/>
    <w:rsid w:val="001A2AB8"/>
    <w:rsid w:val="001A2FEF"/>
    <w:rsid w:val="001A342A"/>
    <w:rsid w:val="001A3889"/>
    <w:rsid w:val="001A3917"/>
    <w:rsid w:val="001A39D6"/>
    <w:rsid w:val="001A3CB7"/>
    <w:rsid w:val="001A3FF7"/>
    <w:rsid w:val="001A3FFE"/>
    <w:rsid w:val="001A459D"/>
    <w:rsid w:val="001A46AC"/>
    <w:rsid w:val="001A4804"/>
    <w:rsid w:val="001A48E4"/>
    <w:rsid w:val="001A4B55"/>
    <w:rsid w:val="001A51C1"/>
    <w:rsid w:val="001A53A2"/>
    <w:rsid w:val="001A54EB"/>
    <w:rsid w:val="001A5615"/>
    <w:rsid w:val="001A5768"/>
    <w:rsid w:val="001A5B51"/>
    <w:rsid w:val="001A5C58"/>
    <w:rsid w:val="001A62AD"/>
    <w:rsid w:val="001A62C7"/>
    <w:rsid w:val="001A6346"/>
    <w:rsid w:val="001A63E8"/>
    <w:rsid w:val="001A64D0"/>
    <w:rsid w:val="001A66DA"/>
    <w:rsid w:val="001A6750"/>
    <w:rsid w:val="001A69AC"/>
    <w:rsid w:val="001A6B4F"/>
    <w:rsid w:val="001A6F04"/>
    <w:rsid w:val="001A71DE"/>
    <w:rsid w:val="001A7501"/>
    <w:rsid w:val="001A772A"/>
    <w:rsid w:val="001A7DF2"/>
    <w:rsid w:val="001A7E6E"/>
    <w:rsid w:val="001A7EA7"/>
    <w:rsid w:val="001A7FE9"/>
    <w:rsid w:val="001B0139"/>
    <w:rsid w:val="001B068C"/>
    <w:rsid w:val="001B095C"/>
    <w:rsid w:val="001B0B7D"/>
    <w:rsid w:val="001B0C5D"/>
    <w:rsid w:val="001B0CB9"/>
    <w:rsid w:val="001B0CF2"/>
    <w:rsid w:val="001B0F0B"/>
    <w:rsid w:val="001B1046"/>
    <w:rsid w:val="001B1061"/>
    <w:rsid w:val="001B129E"/>
    <w:rsid w:val="001B171D"/>
    <w:rsid w:val="001B1B1E"/>
    <w:rsid w:val="001B1C8A"/>
    <w:rsid w:val="001B1D1C"/>
    <w:rsid w:val="001B24E4"/>
    <w:rsid w:val="001B2754"/>
    <w:rsid w:val="001B28BE"/>
    <w:rsid w:val="001B28DC"/>
    <w:rsid w:val="001B2B8F"/>
    <w:rsid w:val="001B2CFB"/>
    <w:rsid w:val="001B2D40"/>
    <w:rsid w:val="001B30AE"/>
    <w:rsid w:val="001B3180"/>
    <w:rsid w:val="001B318D"/>
    <w:rsid w:val="001B3451"/>
    <w:rsid w:val="001B3496"/>
    <w:rsid w:val="001B397A"/>
    <w:rsid w:val="001B39EF"/>
    <w:rsid w:val="001B3C33"/>
    <w:rsid w:val="001B3E3B"/>
    <w:rsid w:val="001B435C"/>
    <w:rsid w:val="001B4373"/>
    <w:rsid w:val="001B43B0"/>
    <w:rsid w:val="001B459E"/>
    <w:rsid w:val="001B4602"/>
    <w:rsid w:val="001B48E7"/>
    <w:rsid w:val="001B4B96"/>
    <w:rsid w:val="001B4C88"/>
    <w:rsid w:val="001B4D74"/>
    <w:rsid w:val="001B4EAE"/>
    <w:rsid w:val="001B4F92"/>
    <w:rsid w:val="001B51D8"/>
    <w:rsid w:val="001B5221"/>
    <w:rsid w:val="001B5355"/>
    <w:rsid w:val="001B55E4"/>
    <w:rsid w:val="001B568C"/>
    <w:rsid w:val="001B5711"/>
    <w:rsid w:val="001B5AA4"/>
    <w:rsid w:val="001B5F52"/>
    <w:rsid w:val="001B6022"/>
    <w:rsid w:val="001B628E"/>
    <w:rsid w:val="001B634A"/>
    <w:rsid w:val="001B63D3"/>
    <w:rsid w:val="001B64C8"/>
    <w:rsid w:val="001B68B2"/>
    <w:rsid w:val="001B6B5B"/>
    <w:rsid w:val="001B6C2E"/>
    <w:rsid w:val="001B6DE6"/>
    <w:rsid w:val="001B6F29"/>
    <w:rsid w:val="001B72F2"/>
    <w:rsid w:val="001B7378"/>
    <w:rsid w:val="001B75F0"/>
    <w:rsid w:val="001B7609"/>
    <w:rsid w:val="001B78F2"/>
    <w:rsid w:val="001B7D82"/>
    <w:rsid w:val="001C030C"/>
    <w:rsid w:val="001C04AC"/>
    <w:rsid w:val="001C0AFE"/>
    <w:rsid w:val="001C0B5F"/>
    <w:rsid w:val="001C0BB3"/>
    <w:rsid w:val="001C0C95"/>
    <w:rsid w:val="001C0E83"/>
    <w:rsid w:val="001C113F"/>
    <w:rsid w:val="001C125B"/>
    <w:rsid w:val="001C1822"/>
    <w:rsid w:val="001C21CA"/>
    <w:rsid w:val="001C2F35"/>
    <w:rsid w:val="001C37CC"/>
    <w:rsid w:val="001C3A56"/>
    <w:rsid w:val="001C3D66"/>
    <w:rsid w:val="001C3DBB"/>
    <w:rsid w:val="001C3DBC"/>
    <w:rsid w:val="001C3F59"/>
    <w:rsid w:val="001C4622"/>
    <w:rsid w:val="001C47B2"/>
    <w:rsid w:val="001C4AD6"/>
    <w:rsid w:val="001C4D7A"/>
    <w:rsid w:val="001C4E03"/>
    <w:rsid w:val="001C5521"/>
    <w:rsid w:val="001C56F7"/>
    <w:rsid w:val="001C5B2E"/>
    <w:rsid w:val="001C608C"/>
    <w:rsid w:val="001C64E2"/>
    <w:rsid w:val="001C6578"/>
    <w:rsid w:val="001C6AD3"/>
    <w:rsid w:val="001C6B84"/>
    <w:rsid w:val="001C7102"/>
    <w:rsid w:val="001C7595"/>
    <w:rsid w:val="001C7913"/>
    <w:rsid w:val="001C792E"/>
    <w:rsid w:val="001C7971"/>
    <w:rsid w:val="001C7A0C"/>
    <w:rsid w:val="001C7C6D"/>
    <w:rsid w:val="001C7CD2"/>
    <w:rsid w:val="001D0164"/>
    <w:rsid w:val="001D0E60"/>
    <w:rsid w:val="001D0EA6"/>
    <w:rsid w:val="001D14AD"/>
    <w:rsid w:val="001D15E4"/>
    <w:rsid w:val="001D177C"/>
    <w:rsid w:val="001D1806"/>
    <w:rsid w:val="001D20FF"/>
    <w:rsid w:val="001D2141"/>
    <w:rsid w:val="001D21D4"/>
    <w:rsid w:val="001D2296"/>
    <w:rsid w:val="001D2365"/>
    <w:rsid w:val="001D26B5"/>
    <w:rsid w:val="001D26EC"/>
    <w:rsid w:val="001D27C2"/>
    <w:rsid w:val="001D3330"/>
    <w:rsid w:val="001D34A4"/>
    <w:rsid w:val="001D34D9"/>
    <w:rsid w:val="001D38DA"/>
    <w:rsid w:val="001D392B"/>
    <w:rsid w:val="001D3ACD"/>
    <w:rsid w:val="001D3AD5"/>
    <w:rsid w:val="001D3F3C"/>
    <w:rsid w:val="001D4445"/>
    <w:rsid w:val="001D4977"/>
    <w:rsid w:val="001D4E41"/>
    <w:rsid w:val="001D4F58"/>
    <w:rsid w:val="001D5B6F"/>
    <w:rsid w:val="001D61B6"/>
    <w:rsid w:val="001D6257"/>
    <w:rsid w:val="001D656C"/>
    <w:rsid w:val="001D675F"/>
    <w:rsid w:val="001D6E42"/>
    <w:rsid w:val="001D6E7D"/>
    <w:rsid w:val="001D6F38"/>
    <w:rsid w:val="001D700D"/>
    <w:rsid w:val="001D702E"/>
    <w:rsid w:val="001D7086"/>
    <w:rsid w:val="001D72D5"/>
    <w:rsid w:val="001D746D"/>
    <w:rsid w:val="001D74F9"/>
    <w:rsid w:val="001D7661"/>
    <w:rsid w:val="001D7792"/>
    <w:rsid w:val="001D7922"/>
    <w:rsid w:val="001D7F77"/>
    <w:rsid w:val="001E0290"/>
    <w:rsid w:val="001E0380"/>
    <w:rsid w:val="001E0481"/>
    <w:rsid w:val="001E0A1A"/>
    <w:rsid w:val="001E0BFF"/>
    <w:rsid w:val="001E0CE8"/>
    <w:rsid w:val="001E0D01"/>
    <w:rsid w:val="001E10CB"/>
    <w:rsid w:val="001E124C"/>
    <w:rsid w:val="001E13D1"/>
    <w:rsid w:val="001E14AD"/>
    <w:rsid w:val="001E16F5"/>
    <w:rsid w:val="001E1842"/>
    <w:rsid w:val="001E19AF"/>
    <w:rsid w:val="001E1DFF"/>
    <w:rsid w:val="001E21D6"/>
    <w:rsid w:val="001E224A"/>
    <w:rsid w:val="001E2407"/>
    <w:rsid w:val="001E2AE4"/>
    <w:rsid w:val="001E2BF2"/>
    <w:rsid w:val="001E2E82"/>
    <w:rsid w:val="001E2ED6"/>
    <w:rsid w:val="001E2F2C"/>
    <w:rsid w:val="001E32E9"/>
    <w:rsid w:val="001E332C"/>
    <w:rsid w:val="001E3958"/>
    <w:rsid w:val="001E39E4"/>
    <w:rsid w:val="001E3D72"/>
    <w:rsid w:val="001E3F79"/>
    <w:rsid w:val="001E42B6"/>
    <w:rsid w:val="001E43AD"/>
    <w:rsid w:val="001E43DF"/>
    <w:rsid w:val="001E43EA"/>
    <w:rsid w:val="001E4C2E"/>
    <w:rsid w:val="001E4CBB"/>
    <w:rsid w:val="001E4EC2"/>
    <w:rsid w:val="001E4F65"/>
    <w:rsid w:val="001E510D"/>
    <w:rsid w:val="001E52B6"/>
    <w:rsid w:val="001E53E0"/>
    <w:rsid w:val="001E555D"/>
    <w:rsid w:val="001E5790"/>
    <w:rsid w:val="001E581B"/>
    <w:rsid w:val="001E5BA6"/>
    <w:rsid w:val="001E5F14"/>
    <w:rsid w:val="001E61C5"/>
    <w:rsid w:val="001E636E"/>
    <w:rsid w:val="001E6BD2"/>
    <w:rsid w:val="001E6CF8"/>
    <w:rsid w:val="001E71BE"/>
    <w:rsid w:val="001E750E"/>
    <w:rsid w:val="001E7DBB"/>
    <w:rsid w:val="001F05D7"/>
    <w:rsid w:val="001F0A2B"/>
    <w:rsid w:val="001F0BD1"/>
    <w:rsid w:val="001F0E8D"/>
    <w:rsid w:val="001F0FD9"/>
    <w:rsid w:val="001F144E"/>
    <w:rsid w:val="001F1665"/>
    <w:rsid w:val="001F183E"/>
    <w:rsid w:val="001F1910"/>
    <w:rsid w:val="001F1A3D"/>
    <w:rsid w:val="001F1B57"/>
    <w:rsid w:val="001F1C92"/>
    <w:rsid w:val="001F1D1A"/>
    <w:rsid w:val="001F1DA1"/>
    <w:rsid w:val="001F208F"/>
    <w:rsid w:val="001F24C8"/>
    <w:rsid w:val="001F25E5"/>
    <w:rsid w:val="001F2812"/>
    <w:rsid w:val="001F287A"/>
    <w:rsid w:val="001F2910"/>
    <w:rsid w:val="001F2B53"/>
    <w:rsid w:val="001F2CFF"/>
    <w:rsid w:val="001F3109"/>
    <w:rsid w:val="001F31DE"/>
    <w:rsid w:val="001F3409"/>
    <w:rsid w:val="001F36C8"/>
    <w:rsid w:val="001F3FF0"/>
    <w:rsid w:val="001F47E1"/>
    <w:rsid w:val="001F4E72"/>
    <w:rsid w:val="001F5658"/>
    <w:rsid w:val="001F57C0"/>
    <w:rsid w:val="001F58AF"/>
    <w:rsid w:val="001F5A7A"/>
    <w:rsid w:val="001F643D"/>
    <w:rsid w:val="001F660B"/>
    <w:rsid w:val="001F6652"/>
    <w:rsid w:val="001F6664"/>
    <w:rsid w:val="001F6A72"/>
    <w:rsid w:val="001F6BD1"/>
    <w:rsid w:val="001F7623"/>
    <w:rsid w:val="001F77AD"/>
    <w:rsid w:val="001F7A2C"/>
    <w:rsid w:val="001F7BDC"/>
    <w:rsid w:val="001F7F58"/>
    <w:rsid w:val="001F7FEF"/>
    <w:rsid w:val="0020001D"/>
    <w:rsid w:val="00200091"/>
    <w:rsid w:val="0020069C"/>
    <w:rsid w:val="00200F09"/>
    <w:rsid w:val="00201553"/>
    <w:rsid w:val="002016EA"/>
    <w:rsid w:val="002019ED"/>
    <w:rsid w:val="00201A8E"/>
    <w:rsid w:val="00202570"/>
    <w:rsid w:val="00202949"/>
    <w:rsid w:val="002029A1"/>
    <w:rsid w:val="00202BC5"/>
    <w:rsid w:val="00202DBC"/>
    <w:rsid w:val="00202FF6"/>
    <w:rsid w:val="002031DA"/>
    <w:rsid w:val="0020333E"/>
    <w:rsid w:val="002034A8"/>
    <w:rsid w:val="002036C9"/>
    <w:rsid w:val="00203CA3"/>
    <w:rsid w:val="00203D12"/>
    <w:rsid w:val="00204490"/>
    <w:rsid w:val="00204533"/>
    <w:rsid w:val="00204593"/>
    <w:rsid w:val="002049DA"/>
    <w:rsid w:val="00204B0C"/>
    <w:rsid w:val="00205497"/>
    <w:rsid w:val="002054D9"/>
    <w:rsid w:val="002059C2"/>
    <w:rsid w:val="00205D55"/>
    <w:rsid w:val="002064EF"/>
    <w:rsid w:val="0020650A"/>
    <w:rsid w:val="0020663E"/>
    <w:rsid w:val="0020685E"/>
    <w:rsid w:val="00206A04"/>
    <w:rsid w:val="00206C19"/>
    <w:rsid w:val="00206C84"/>
    <w:rsid w:val="002070E2"/>
    <w:rsid w:val="002071FE"/>
    <w:rsid w:val="0020762C"/>
    <w:rsid w:val="00207813"/>
    <w:rsid w:val="00207978"/>
    <w:rsid w:val="00207C54"/>
    <w:rsid w:val="00210051"/>
    <w:rsid w:val="00210097"/>
    <w:rsid w:val="00210783"/>
    <w:rsid w:val="00210805"/>
    <w:rsid w:val="00210881"/>
    <w:rsid w:val="00211092"/>
    <w:rsid w:val="002110E5"/>
    <w:rsid w:val="00211417"/>
    <w:rsid w:val="00211972"/>
    <w:rsid w:val="00211B1C"/>
    <w:rsid w:val="00211B72"/>
    <w:rsid w:val="00211EBC"/>
    <w:rsid w:val="00211F2E"/>
    <w:rsid w:val="0021206E"/>
    <w:rsid w:val="0021238D"/>
    <w:rsid w:val="00212645"/>
    <w:rsid w:val="002128F5"/>
    <w:rsid w:val="00212ADD"/>
    <w:rsid w:val="00212B93"/>
    <w:rsid w:val="00212C2C"/>
    <w:rsid w:val="00212ECC"/>
    <w:rsid w:val="00212EFB"/>
    <w:rsid w:val="002131F6"/>
    <w:rsid w:val="00213572"/>
    <w:rsid w:val="0021362F"/>
    <w:rsid w:val="00213BAA"/>
    <w:rsid w:val="00213C77"/>
    <w:rsid w:val="002142F2"/>
    <w:rsid w:val="0021448E"/>
    <w:rsid w:val="002147D6"/>
    <w:rsid w:val="00214AF8"/>
    <w:rsid w:val="00214CEE"/>
    <w:rsid w:val="00214F7C"/>
    <w:rsid w:val="002156B7"/>
    <w:rsid w:val="002158F8"/>
    <w:rsid w:val="00215CE5"/>
    <w:rsid w:val="00215D59"/>
    <w:rsid w:val="00216420"/>
    <w:rsid w:val="002165A7"/>
    <w:rsid w:val="00216758"/>
    <w:rsid w:val="0021697B"/>
    <w:rsid w:val="00216A8B"/>
    <w:rsid w:val="00216C26"/>
    <w:rsid w:val="002171F5"/>
    <w:rsid w:val="00217C49"/>
    <w:rsid w:val="00217FB9"/>
    <w:rsid w:val="002200E2"/>
    <w:rsid w:val="00220282"/>
    <w:rsid w:val="00220542"/>
    <w:rsid w:val="002207AF"/>
    <w:rsid w:val="00220921"/>
    <w:rsid w:val="00220C77"/>
    <w:rsid w:val="00220CC2"/>
    <w:rsid w:val="00220D73"/>
    <w:rsid w:val="00220D89"/>
    <w:rsid w:val="00220E8A"/>
    <w:rsid w:val="002210EB"/>
    <w:rsid w:val="00221119"/>
    <w:rsid w:val="00221351"/>
    <w:rsid w:val="00221791"/>
    <w:rsid w:val="00221951"/>
    <w:rsid w:val="002219EF"/>
    <w:rsid w:val="00221C23"/>
    <w:rsid w:val="00221F8A"/>
    <w:rsid w:val="0022205F"/>
    <w:rsid w:val="00222270"/>
    <w:rsid w:val="00222803"/>
    <w:rsid w:val="00222EA5"/>
    <w:rsid w:val="0022321C"/>
    <w:rsid w:val="002232E0"/>
    <w:rsid w:val="0022341E"/>
    <w:rsid w:val="0022395D"/>
    <w:rsid w:val="00223C36"/>
    <w:rsid w:val="00223CE4"/>
    <w:rsid w:val="0022481C"/>
    <w:rsid w:val="002248AB"/>
    <w:rsid w:val="00225472"/>
    <w:rsid w:val="002254D7"/>
    <w:rsid w:val="002256A4"/>
    <w:rsid w:val="00225B4C"/>
    <w:rsid w:val="00225F2A"/>
    <w:rsid w:val="0022608B"/>
    <w:rsid w:val="0022621F"/>
    <w:rsid w:val="002264CE"/>
    <w:rsid w:val="00226788"/>
    <w:rsid w:val="00226882"/>
    <w:rsid w:val="00226889"/>
    <w:rsid w:val="002268EE"/>
    <w:rsid w:val="002268EF"/>
    <w:rsid w:val="00226C78"/>
    <w:rsid w:val="00226EF3"/>
    <w:rsid w:val="0022704F"/>
    <w:rsid w:val="0022721E"/>
    <w:rsid w:val="002276C0"/>
    <w:rsid w:val="0022790A"/>
    <w:rsid w:val="00227957"/>
    <w:rsid w:val="00227C02"/>
    <w:rsid w:val="00227D9F"/>
    <w:rsid w:val="00227ECC"/>
    <w:rsid w:val="00230193"/>
    <w:rsid w:val="00230717"/>
    <w:rsid w:val="0023079E"/>
    <w:rsid w:val="002307BD"/>
    <w:rsid w:val="002308CB"/>
    <w:rsid w:val="00230DE5"/>
    <w:rsid w:val="00230DF3"/>
    <w:rsid w:val="0023113C"/>
    <w:rsid w:val="00231223"/>
    <w:rsid w:val="0023135E"/>
    <w:rsid w:val="00231577"/>
    <w:rsid w:val="00232290"/>
    <w:rsid w:val="002323D0"/>
    <w:rsid w:val="0023240D"/>
    <w:rsid w:val="0023260F"/>
    <w:rsid w:val="002329DD"/>
    <w:rsid w:val="00232BE6"/>
    <w:rsid w:val="00232D89"/>
    <w:rsid w:val="00232E96"/>
    <w:rsid w:val="00233047"/>
    <w:rsid w:val="002332B6"/>
    <w:rsid w:val="00233346"/>
    <w:rsid w:val="00233CAC"/>
    <w:rsid w:val="00233D6E"/>
    <w:rsid w:val="00234090"/>
    <w:rsid w:val="0023419F"/>
    <w:rsid w:val="002343E3"/>
    <w:rsid w:val="002348B7"/>
    <w:rsid w:val="00235028"/>
    <w:rsid w:val="0023522E"/>
    <w:rsid w:val="0023524E"/>
    <w:rsid w:val="0023533D"/>
    <w:rsid w:val="00235570"/>
    <w:rsid w:val="002357CC"/>
    <w:rsid w:val="002358E9"/>
    <w:rsid w:val="00236033"/>
    <w:rsid w:val="0023637E"/>
    <w:rsid w:val="0023688B"/>
    <w:rsid w:val="00236B90"/>
    <w:rsid w:val="00236EB4"/>
    <w:rsid w:val="00237069"/>
    <w:rsid w:val="00237986"/>
    <w:rsid w:val="00240330"/>
    <w:rsid w:val="00240400"/>
    <w:rsid w:val="00240BB0"/>
    <w:rsid w:val="00240DF7"/>
    <w:rsid w:val="00240EF7"/>
    <w:rsid w:val="00241287"/>
    <w:rsid w:val="0024151E"/>
    <w:rsid w:val="0024194E"/>
    <w:rsid w:val="00241D5C"/>
    <w:rsid w:val="00241F8C"/>
    <w:rsid w:val="0024201A"/>
    <w:rsid w:val="00242039"/>
    <w:rsid w:val="00242434"/>
    <w:rsid w:val="00242A9B"/>
    <w:rsid w:val="00242E21"/>
    <w:rsid w:val="002431C9"/>
    <w:rsid w:val="00243388"/>
    <w:rsid w:val="00243539"/>
    <w:rsid w:val="00243594"/>
    <w:rsid w:val="00243AAF"/>
    <w:rsid w:val="00243CC3"/>
    <w:rsid w:val="00243D18"/>
    <w:rsid w:val="00244155"/>
    <w:rsid w:val="002443AF"/>
    <w:rsid w:val="0024471C"/>
    <w:rsid w:val="002448A2"/>
    <w:rsid w:val="00244C0D"/>
    <w:rsid w:val="00244D7B"/>
    <w:rsid w:val="00244FE3"/>
    <w:rsid w:val="00245D63"/>
    <w:rsid w:val="00245F03"/>
    <w:rsid w:val="002460AC"/>
    <w:rsid w:val="0024639E"/>
    <w:rsid w:val="002466BF"/>
    <w:rsid w:val="00246854"/>
    <w:rsid w:val="002472CD"/>
    <w:rsid w:val="002475F1"/>
    <w:rsid w:val="002475F6"/>
    <w:rsid w:val="00247796"/>
    <w:rsid w:val="00247AE8"/>
    <w:rsid w:val="00247C79"/>
    <w:rsid w:val="00247C92"/>
    <w:rsid w:val="00247D3F"/>
    <w:rsid w:val="002507DB"/>
    <w:rsid w:val="00250845"/>
    <w:rsid w:val="00250BF0"/>
    <w:rsid w:val="00250C30"/>
    <w:rsid w:val="00250E11"/>
    <w:rsid w:val="002514DD"/>
    <w:rsid w:val="002517E0"/>
    <w:rsid w:val="0025180D"/>
    <w:rsid w:val="00251877"/>
    <w:rsid w:val="00251A61"/>
    <w:rsid w:val="00251B35"/>
    <w:rsid w:val="00251CC7"/>
    <w:rsid w:val="00251EB2"/>
    <w:rsid w:val="00251F58"/>
    <w:rsid w:val="002521DC"/>
    <w:rsid w:val="002522F2"/>
    <w:rsid w:val="0025256E"/>
    <w:rsid w:val="0025327C"/>
    <w:rsid w:val="002536AE"/>
    <w:rsid w:val="00253B26"/>
    <w:rsid w:val="00253CEE"/>
    <w:rsid w:val="00253F33"/>
    <w:rsid w:val="002541D2"/>
    <w:rsid w:val="0025425C"/>
    <w:rsid w:val="0025486F"/>
    <w:rsid w:val="00254B7D"/>
    <w:rsid w:val="00254E90"/>
    <w:rsid w:val="00255583"/>
    <w:rsid w:val="00255718"/>
    <w:rsid w:val="00255BD0"/>
    <w:rsid w:val="00255CC7"/>
    <w:rsid w:val="00255DEA"/>
    <w:rsid w:val="00256306"/>
    <w:rsid w:val="00256380"/>
    <w:rsid w:val="00256394"/>
    <w:rsid w:val="00256401"/>
    <w:rsid w:val="00256475"/>
    <w:rsid w:val="00256537"/>
    <w:rsid w:val="0025692E"/>
    <w:rsid w:val="00256D56"/>
    <w:rsid w:val="0025700B"/>
    <w:rsid w:val="00257163"/>
    <w:rsid w:val="00257323"/>
    <w:rsid w:val="00257545"/>
    <w:rsid w:val="002577D2"/>
    <w:rsid w:val="00257A2E"/>
    <w:rsid w:val="00257B91"/>
    <w:rsid w:val="00257E28"/>
    <w:rsid w:val="00257ED8"/>
    <w:rsid w:val="00260456"/>
    <w:rsid w:val="00260BD5"/>
    <w:rsid w:val="00260C6A"/>
    <w:rsid w:val="00260E61"/>
    <w:rsid w:val="00261011"/>
    <w:rsid w:val="00261A0D"/>
    <w:rsid w:val="00261ADF"/>
    <w:rsid w:val="00261D46"/>
    <w:rsid w:val="0026206B"/>
    <w:rsid w:val="0026298B"/>
    <w:rsid w:val="00262A09"/>
    <w:rsid w:val="00262F2E"/>
    <w:rsid w:val="00262F55"/>
    <w:rsid w:val="0026318B"/>
    <w:rsid w:val="002631BD"/>
    <w:rsid w:val="002634CE"/>
    <w:rsid w:val="0026367B"/>
    <w:rsid w:val="0026367D"/>
    <w:rsid w:val="00263822"/>
    <w:rsid w:val="00263963"/>
    <w:rsid w:val="002639C2"/>
    <w:rsid w:val="00263B6D"/>
    <w:rsid w:val="00263D31"/>
    <w:rsid w:val="00263EFB"/>
    <w:rsid w:val="00264679"/>
    <w:rsid w:val="00264769"/>
    <w:rsid w:val="0026489D"/>
    <w:rsid w:val="00264CEE"/>
    <w:rsid w:val="002658CA"/>
    <w:rsid w:val="00265CBB"/>
    <w:rsid w:val="00266280"/>
    <w:rsid w:val="002662EF"/>
    <w:rsid w:val="00266319"/>
    <w:rsid w:val="002663F2"/>
    <w:rsid w:val="00266D97"/>
    <w:rsid w:val="00266E2A"/>
    <w:rsid w:val="00266EFE"/>
    <w:rsid w:val="002673E4"/>
    <w:rsid w:val="002679E9"/>
    <w:rsid w:val="00267AFE"/>
    <w:rsid w:val="00270081"/>
    <w:rsid w:val="00270211"/>
    <w:rsid w:val="0027038E"/>
    <w:rsid w:val="002708FE"/>
    <w:rsid w:val="00270A14"/>
    <w:rsid w:val="00270D71"/>
    <w:rsid w:val="00270DE3"/>
    <w:rsid w:val="00270DE7"/>
    <w:rsid w:val="00270F06"/>
    <w:rsid w:val="002710B8"/>
    <w:rsid w:val="00271529"/>
    <w:rsid w:val="002716D0"/>
    <w:rsid w:val="00271A9B"/>
    <w:rsid w:val="002721C4"/>
    <w:rsid w:val="002721F8"/>
    <w:rsid w:val="00272297"/>
    <w:rsid w:val="00272413"/>
    <w:rsid w:val="0027323C"/>
    <w:rsid w:val="002732A5"/>
    <w:rsid w:val="002736A3"/>
    <w:rsid w:val="00273C21"/>
    <w:rsid w:val="00273F71"/>
    <w:rsid w:val="00273FD8"/>
    <w:rsid w:val="002740A7"/>
    <w:rsid w:val="00274625"/>
    <w:rsid w:val="002748CA"/>
    <w:rsid w:val="0027494F"/>
    <w:rsid w:val="002749C4"/>
    <w:rsid w:val="00274A30"/>
    <w:rsid w:val="0027503E"/>
    <w:rsid w:val="00275345"/>
    <w:rsid w:val="0027542E"/>
    <w:rsid w:val="00275585"/>
    <w:rsid w:val="00275E60"/>
    <w:rsid w:val="00275FC8"/>
    <w:rsid w:val="0027607A"/>
    <w:rsid w:val="0027631F"/>
    <w:rsid w:val="00276408"/>
    <w:rsid w:val="002764B4"/>
    <w:rsid w:val="00276B4B"/>
    <w:rsid w:val="00276BBF"/>
    <w:rsid w:val="00276D2A"/>
    <w:rsid w:val="00276E58"/>
    <w:rsid w:val="00277086"/>
    <w:rsid w:val="00277536"/>
    <w:rsid w:val="0027771A"/>
    <w:rsid w:val="00277A5F"/>
    <w:rsid w:val="00277BC2"/>
    <w:rsid w:val="00277E07"/>
    <w:rsid w:val="00277EB3"/>
    <w:rsid w:val="00277EE4"/>
    <w:rsid w:val="002800A5"/>
    <w:rsid w:val="00280161"/>
    <w:rsid w:val="00280405"/>
    <w:rsid w:val="00280576"/>
    <w:rsid w:val="002805A0"/>
    <w:rsid w:val="0028085B"/>
    <w:rsid w:val="00280A4B"/>
    <w:rsid w:val="00280C38"/>
    <w:rsid w:val="00280F3C"/>
    <w:rsid w:val="002811D8"/>
    <w:rsid w:val="002812AD"/>
    <w:rsid w:val="00281492"/>
    <w:rsid w:val="002818C2"/>
    <w:rsid w:val="00281922"/>
    <w:rsid w:val="00281AC0"/>
    <w:rsid w:val="00281AF1"/>
    <w:rsid w:val="00281B58"/>
    <w:rsid w:val="00281B78"/>
    <w:rsid w:val="00281E80"/>
    <w:rsid w:val="00281FDC"/>
    <w:rsid w:val="002820BA"/>
    <w:rsid w:val="002820F7"/>
    <w:rsid w:val="002822A7"/>
    <w:rsid w:val="00282344"/>
    <w:rsid w:val="002823B9"/>
    <w:rsid w:val="00282669"/>
    <w:rsid w:val="002827C3"/>
    <w:rsid w:val="00282A17"/>
    <w:rsid w:val="00282CA4"/>
    <w:rsid w:val="00282FEF"/>
    <w:rsid w:val="00283086"/>
    <w:rsid w:val="00283100"/>
    <w:rsid w:val="0028323B"/>
    <w:rsid w:val="00283362"/>
    <w:rsid w:val="002833A3"/>
    <w:rsid w:val="0028360E"/>
    <w:rsid w:val="002837E9"/>
    <w:rsid w:val="00283865"/>
    <w:rsid w:val="00283A5A"/>
    <w:rsid w:val="00283B2E"/>
    <w:rsid w:val="00283B97"/>
    <w:rsid w:val="00283FDB"/>
    <w:rsid w:val="002841A8"/>
    <w:rsid w:val="0028448F"/>
    <w:rsid w:val="00284763"/>
    <w:rsid w:val="00284E53"/>
    <w:rsid w:val="00284EFC"/>
    <w:rsid w:val="00284F2A"/>
    <w:rsid w:val="00285252"/>
    <w:rsid w:val="00285260"/>
    <w:rsid w:val="0028533F"/>
    <w:rsid w:val="002858F4"/>
    <w:rsid w:val="002859AC"/>
    <w:rsid w:val="00285D28"/>
    <w:rsid w:val="00285E7B"/>
    <w:rsid w:val="00286335"/>
    <w:rsid w:val="002863A4"/>
    <w:rsid w:val="002864B0"/>
    <w:rsid w:val="00286574"/>
    <w:rsid w:val="00286D6A"/>
    <w:rsid w:val="0028729B"/>
    <w:rsid w:val="00287470"/>
    <w:rsid w:val="0028761E"/>
    <w:rsid w:val="0028789D"/>
    <w:rsid w:val="002902F5"/>
    <w:rsid w:val="00290335"/>
    <w:rsid w:val="00290433"/>
    <w:rsid w:val="002904C4"/>
    <w:rsid w:val="0029077A"/>
    <w:rsid w:val="0029079A"/>
    <w:rsid w:val="00290996"/>
    <w:rsid w:val="002909E6"/>
    <w:rsid w:val="00290A32"/>
    <w:rsid w:val="00290C38"/>
    <w:rsid w:val="00290EE4"/>
    <w:rsid w:val="00291111"/>
    <w:rsid w:val="00291153"/>
    <w:rsid w:val="00291392"/>
    <w:rsid w:val="00291A27"/>
    <w:rsid w:val="00291B90"/>
    <w:rsid w:val="00291BE5"/>
    <w:rsid w:val="00291CE2"/>
    <w:rsid w:val="00291F10"/>
    <w:rsid w:val="00292261"/>
    <w:rsid w:val="00292270"/>
    <w:rsid w:val="00292774"/>
    <w:rsid w:val="00292874"/>
    <w:rsid w:val="00292BA4"/>
    <w:rsid w:val="00292FF3"/>
    <w:rsid w:val="00293A6B"/>
    <w:rsid w:val="00293B1D"/>
    <w:rsid w:val="00293CC2"/>
    <w:rsid w:val="00293DF9"/>
    <w:rsid w:val="00293EF5"/>
    <w:rsid w:val="00294358"/>
    <w:rsid w:val="002943DC"/>
    <w:rsid w:val="00294421"/>
    <w:rsid w:val="00294549"/>
    <w:rsid w:val="0029466E"/>
    <w:rsid w:val="002946A8"/>
    <w:rsid w:val="0029476D"/>
    <w:rsid w:val="00294A1B"/>
    <w:rsid w:val="00294AC0"/>
    <w:rsid w:val="00294EEA"/>
    <w:rsid w:val="0029512C"/>
    <w:rsid w:val="002958EA"/>
    <w:rsid w:val="002959F9"/>
    <w:rsid w:val="00295CAB"/>
    <w:rsid w:val="00295CFC"/>
    <w:rsid w:val="00295D1A"/>
    <w:rsid w:val="00295D52"/>
    <w:rsid w:val="00295F69"/>
    <w:rsid w:val="0029609A"/>
    <w:rsid w:val="002961CD"/>
    <w:rsid w:val="0029626D"/>
    <w:rsid w:val="00296604"/>
    <w:rsid w:val="00296832"/>
    <w:rsid w:val="00296AE5"/>
    <w:rsid w:val="00296C62"/>
    <w:rsid w:val="00296D16"/>
    <w:rsid w:val="00296FA4"/>
    <w:rsid w:val="002972B8"/>
    <w:rsid w:val="002972D1"/>
    <w:rsid w:val="00297476"/>
    <w:rsid w:val="00297798"/>
    <w:rsid w:val="00297838"/>
    <w:rsid w:val="0029784C"/>
    <w:rsid w:val="00297C5F"/>
    <w:rsid w:val="00297E02"/>
    <w:rsid w:val="00297E49"/>
    <w:rsid w:val="00297F06"/>
    <w:rsid w:val="002A0784"/>
    <w:rsid w:val="002A08CF"/>
    <w:rsid w:val="002A0B22"/>
    <w:rsid w:val="002A0B58"/>
    <w:rsid w:val="002A10E8"/>
    <w:rsid w:val="002A115C"/>
    <w:rsid w:val="002A1317"/>
    <w:rsid w:val="002A153A"/>
    <w:rsid w:val="002A15F0"/>
    <w:rsid w:val="002A1914"/>
    <w:rsid w:val="002A196C"/>
    <w:rsid w:val="002A1AD8"/>
    <w:rsid w:val="002A1B4F"/>
    <w:rsid w:val="002A1C86"/>
    <w:rsid w:val="002A201C"/>
    <w:rsid w:val="002A2058"/>
    <w:rsid w:val="002A26E4"/>
    <w:rsid w:val="002A30FC"/>
    <w:rsid w:val="002A3502"/>
    <w:rsid w:val="002A363C"/>
    <w:rsid w:val="002A3819"/>
    <w:rsid w:val="002A39B7"/>
    <w:rsid w:val="002A4433"/>
    <w:rsid w:val="002A44D2"/>
    <w:rsid w:val="002A465C"/>
    <w:rsid w:val="002A4795"/>
    <w:rsid w:val="002A4A8A"/>
    <w:rsid w:val="002A4BA3"/>
    <w:rsid w:val="002A4D4F"/>
    <w:rsid w:val="002A5305"/>
    <w:rsid w:val="002A5A53"/>
    <w:rsid w:val="002A5C2E"/>
    <w:rsid w:val="002A5D12"/>
    <w:rsid w:val="002A5DB0"/>
    <w:rsid w:val="002A63E7"/>
    <w:rsid w:val="002A6427"/>
    <w:rsid w:val="002A6599"/>
    <w:rsid w:val="002A6706"/>
    <w:rsid w:val="002A673C"/>
    <w:rsid w:val="002A6C15"/>
    <w:rsid w:val="002A7014"/>
    <w:rsid w:val="002A713C"/>
    <w:rsid w:val="002A71D5"/>
    <w:rsid w:val="002A7391"/>
    <w:rsid w:val="002A74E8"/>
    <w:rsid w:val="002A7580"/>
    <w:rsid w:val="002A7890"/>
    <w:rsid w:val="002A7A28"/>
    <w:rsid w:val="002A7B68"/>
    <w:rsid w:val="002A7E7D"/>
    <w:rsid w:val="002A7F0F"/>
    <w:rsid w:val="002A7FF8"/>
    <w:rsid w:val="002B01AE"/>
    <w:rsid w:val="002B0523"/>
    <w:rsid w:val="002B0550"/>
    <w:rsid w:val="002B070A"/>
    <w:rsid w:val="002B0B58"/>
    <w:rsid w:val="002B0C8C"/>
    <w:rsid w:val="002B0E2E"/>
    <w:rsid w:val="002B11BC"/>
    <w:rsid w:val="002B13E2"/>
    <w:rsid w:val="002B171F"/>
    <w:rsid w:val="002B17D7"/>
    <w:rsid w:val="002B17FC"/>
    <w:rsid w:val="002B189A"/>
    <w:rsid w:val="002B1A9C"/>
    <w:rsid w:val="002B1B51"/>
    <w:rsid w:val="002B27F4"/>
    <w:rsid w:val="002B2800"/>
    <w:rsid w:val="002B281A"/>
    <w:rsid w:val="002B29C7"/>
    <w:rsid w:val="002B2D8D"/>
    <w:rsid w:val="002B3061"/>
    <w:rsid w:val="002B3501"/>
    <w:rsid w:val="002B3D6D"/>
    <w:rsid w:val="002B3FA5"/>
    <w:rsid w:val="002B41E2"/>
    <w:rsid w:val="002B4333"/>
    <w:rsid w:val="002B49C3"/>
    <w:rsid w:val="002B4B47"/>
    <w:rsid w:val="002B4EEA"/>
    <w:rsid w:val="002B4F91"/>
    <w:rsid w:val="002B5015"/>
    <w:rsid w:val="002B508D"/>
    <w:rsid w:val="002B5093"/>
    <w:rsid w:val="002B50F6"/>
    <w:rsid w:val="002B554C"/>
    <w:rsid w:val="002B5721"/>
    <w:rsid w:val="002B57EA"/>
    <w:rsid w:val="002B58A5"/>
    <w:rsid w:val="002B5AC1"/>
    <w:rsid w:val="002B621B"/>
    <w:rsid w:val="002B695B"/>
    <w:rsid w:val="002B696F"/>
    <w:rsid w:val="002B6A27"/>
    <w:rsid w:val="002B6B8F"/>
    <w:rsid w:val="002B6BFB"/>
    <w:rsid w:val="002B6BFD"/>
    <w:rsid w:val="002B6FDA"/>
    <w:rsid w:val="002B70EE"/>
    <w:rsid w:val="002B76B7"/>
    <w:rsid w:val="002B7B4F"/>
    <w:rsid w:val="002B7C71"/>
    <w:rsid w:val="002C01CD"/>
    <w:rsid w:val="002C02EF"/>
    <w:rsid w:val="002C036C"/>
    <w:rsid w:val="002C0479"/>
    <w:rsid w:val="002C07C7"/>
    <w:rsid w:val="002C0A95"/>
    <w:rsid w:val="002C0B4F"/>
    <w:rsid w:val="002C0BEE"/>
    <w:rsid w:val="002C0E05"/>
    <w:rsid w:val="002C11C8"/>
    <w:rsid w:val="002C1297"/>
    <w:rsid w:val="002C12CE"/>
    <w:rsid w:val="002C1459"/>
    <w:rsid w:val="002C14B2"/>
    <w:rsid w:val="002C16C5"/>
    <w:rsid w:val="002C1713"/>
    <w:rsid w:val="002C1AE6"/>
    <w:rsid w:val="002C23D2"/>
    <w:rsid w:val="002C242E"/>
    <w:rsid w:val="002C24AD"/>
    <w:rsid w:val="002C284B"/>
    <w:rsid w:val="002C2E21"/>
    <w:rsid w:val="002C2FA2"/>
    <w:rsid w:val="002C30FA"/>
    <w:rsid w:val="002C3896"/>
    <w:rsid w:val="002C3EB6"/>
    <w:rsid w:val="002C402B"/>
    <w:rsid w:val="002C406D"/>
    <w:rsid w:val="002C40A4"/>
    <w:rsid w:val="002C45DE"/>
    <w:rsid w:val="002C4603"/>
    <w:rsid w:val="002C46FA"/>
    <w:rsid w:val="002C4D31"/>
    <w:rsid w:val="002C4DF2"/>
    <w:rsid w:val="002C4E95"/>
    <w:rsid w:val="002C4F21"/>
    <w:rsid w:val="002C5001"/>
    <w:rsid w:val="002C524E"/>
    <w:rsid w:val="002C5353"/>
    <w:rsid w:val="002C5D83"/>
    <w:rsid w:val="002C5FEE"/>
    <w:rsid w:val="002C60EF"/>
    <w:rsid w:val="002C61D0"/>
    <w:rsid w:val="002C6361"/>
    <w:rsid w:val="002C6758"/>
    <w:rsid w:val="002C68F7"/>
    <w:rsid w:val="002C6938"/>
    <w:rsid w:val="002C6CD4"/>
    <w:rsid w:val="002C6EDC"/>
    <w:rsid w:val="002C7012"/>
    <w:rsid w:val="002C7690"/>
    <w:rsid w:val="002C783D"/>
    <w:rsid w:val="002C7C57"/>
    <w:rsid w:val="002D015D"/>
    <w:rsid w:val="002D01D5"/>
    <w:rsid w:val="002D04C8"/>
    <w:rsid w:val="002D0601"/>
    <w:rsid w:val="002D08A7"/>
    <w:rsid w:val="002D0B3D"/>
    <w:rsid w:val="002D0D32"/>
    <w:rsid w:val="002D103A"/>
    <w:rsid w:val="002D1064"/>
    <w:rsid w:val="002D10CF"/>
    <w:rsid w:val="002D114D"/>
    <w:rsid w:val="002D120B"/>
    <w:rsid w:val="002D14FC"/>
    <w:rsid w:val="002D1DDA"/>
    <w:rsid w:val="002D1EEB"/>
    <w:rsid w:val="002D27C8"/>
    <w:rsid w:val="002D2C02"/>
    <w:rsid w:val="002D2C14"/>
    <w:rsid w:val="002D2DF2"/>
    <w:rsid w:val="002D2E88"/>
    <w:rsid w:val="002D3270"/>
    <w:rsid w:val="002D33C3"/>
    <w:rsid w:val="002D364E"/>
    <w:rsid w:val="002D368C"/>
    <w:rsid w:val="002D372C"/>
    <w:rsid w:val="002D3780"/>
    <w:rsid w:val="002D37ED"/>
    <w:rsid w:val="002D3B7B"/>
    <w:rsid w:val="002D3C2C"/>
    <w:rsid w:val="002D3C87"/>
    <w:rsid w:val="002D3C97"/>
    <w:rsid w:val="002D3D35"/>
    <w:rsid w:val="002D4472"/>
    <w:rsid w:val="002D476F"/>
    <w:rsid w:val="002D48FF"/>
    <w:rsid w:val="002D4CE2"/>
    <w:rsid w:val="002D4D83"/>
    <w:rsid w:val="002D4D99"/>
    <w:rsid w:val="002D4EAE"/>
    <w:rsid w:val="002D5029"/>
    <w:rsid w:val="002D5172"/>
    <w:rsid w:val="002D56C7"/>
    <w:rsid w:val="002D5845"/>
    <w:rsid w:val="002D5917"/>
    <w:rsid w:val="002D59AD"/>
    <w:rsid w:val="002D5C62"/>
    <w:rsid w:val="002D5C69"/>
    <w:rsid w:val="002D5E5A"/>
    <w:rsid w:val="002D62E0"/>
    <w:rsid w:val="002D6891"/>
    <w:rsid w:val="002D68DF"/>
    <w:rsid w:val="002D6B29"/>
    <w:rsid w:val="002D6BB7"/>
    <w:rsid w:val="002D6FE0"/>
    <w:rsid w:val="002D730D"/>
    <w:rsid w:val="002D73BA"/>
    <w:rsid w:val="002D755F"/>
    <w:rsid w:val="002D79A4"/>
    <w:rsid w:val="002D7C26"/>
    <w:rsid w:val="002D7C4A"/>
    <w:rsid w:val="002E0420"/>
    <w:rsid w:val="002E0EE2"/>
    <w:rsid w:val="002E1448"/>
    <w:rsid w:val="002E148B"/>
    <w:rsid w:val="002E181B"/>
    <w:rsid w:val="002E200A"/>
    <w:rsid w:val="002E21C6"/>
    <w:rsid w:val="002E22FB"/>
    <w:rsid w:val="002E2618"/>
    <w:rsid w:val="002E2B55"/>
    <w:rsid w:val="002E2C92"/>
    <w:rsid w:val="002E353D"/>
    <w:rsid w:val="002E3593"/>
    <w:rsid w:val="002E3CA1"/>
    <w:rsid w:val="002E3CF5"/>
    <w:rsid w:val="002E3DF3"/>
    <w:rsid w:val="002E40B5"/>
    <w:rsid w:val="002E40C8"/>
    <w:rsid w:val="002E4352"/>
    <w:rsid w:val="002E4397"/>
    <w:rsid w:val="002E447F"/>
    <w:rsid w:val="002E47BE"/>
    <w:rsid w:val="002E4884"/>
    <w:rsid w:val="002E49CA"/>
    <w:rsid w:val="002E5016"/>
    <w:rsid w:val="002E555F"/>
    <w:rsid w:val="002E55F1"/>
    <w:rsid w:val="002E5632"/>
    <w:rsid w:val="002E58D2"/>
    <w:rsid w:val="002E5CB5"/>
    <w:rsid w:val="002E5CD9"/>
    <w:rsid w:val="002E5E46"/>
    <w:rsid w:val="002E6167"/>
    <w:rsid w:val="002E653A"/>
    <w:rsid w:val="002E6621"/>
    <w:rsid w:val="002E662B"/>
    <w:rsid w:val="002E69E1"/>
    <w:rsid w:val="002E6CC9"/>
    <w:rsid w:val="002E6E5F"/>
    <w:rsid w:val="002E709F"/>
    <w:rsid w:val="002E7AA3"/>
    <w:rsid w:val="002E7DCB"/>
    <w:rsid w:val="002E7DE9"/>
    <w:rsid w:val="002E7F8C"/>
    <w:rsid w:val="002F0240"/>
    <w:rsid w:val="002F0267"/>
    <w:rsid w:val="002F0366"/>
    <w:rsid w:val="002F037C"/>
    <w:rsid w:val="002F0C03"/>
    <w:rsid w:val="002F0E48"/>
    <w:rsid w:val="002F11B1"/>
    <w:rsid w:val="002F1282"/>
    <w:rsid w:val="002F1286"/>
    <w:rsid w:val="002F13FF"/>
    <w:rsid w:val="002F17DF"/>
    <w:rsid w:val="002F196A"/>
    <w:rsid w:val="002F1AFD"/>
    <w:rsid w:val="002F1C98"/>
    <w:rsid w:val="002F2000"/>
    <w:rsid w:val="002F2343"/>
    <w:rsid w:val="002F2364"/>
    <w:rsid w:val="002F285D"/>
    <w:rsid w:val="002F2882"/>
    <w:rsid w:val="002F2B9D"/>
    <w:rsid w:val="002F2C29"/>
    <w:rsid w:val="002F2CD9"/>
    <w:rsid w:val="002F31E3"/>
    <w:rsid w:val="002F3420"/>
    <w:rsid w:val="002F3538"/>
    <w:rsid w:val="002F3750"/>
    <w:rsid w:val="002F388D"/>
    <w:rsid w:val="002F38AE"/>
    <w:rsid w:val="002F38FC"/>
    <w:rsid w:val="002F429F"/>
    <w:rsid w:val="002F43EE"/>
    <w:rsid w:val="002F4743"/>
    <w:rsid w:val="002F4E14"/>
    <w:rsid w:val="002F4E3E"/>
    <w:rsid w:val="002F5556"/>
    <w:rsid w:val="002F5702"/>
    <w:rsid w:val="002F5B03"/>
    <w:rsid w:val="002F5C29"/>
    <w:rsid w:val="002F5C70"/>
    <w:rsid w:val="002F5CFF"/>
    <w:rsid w:val="002F5D2F"/>
    <w:rsid w:val="002F6769"/>
    <w:rsid w:val="002F67B3"/>
    <w:rsid w:val="002F6E48"/>
    <w:rsid w:val="002F6E52"/>
    <w:rsid w:val="002F7116"/>
    <w:rsid w:val="002F71B8"/>
    <w:rsid w:val="002F754E"/>
    <w:rsid w:val="002F7602"/>
    <w:rsid w:val="002F7D79"/>
    <w:rsid w:val="0030006B"/>
    <w:rsid w:val="003001BD"/>
    <w:rsid w:val="00300445"/>
    <w:rsid w:val="00300BCD"/>
    <w:rsid w:val="00300C02"/>
    <w:rsid w:val="0030113E"/>
    <w:rsid w:val="003011AE"/>
    <w:rsid w:val="0030174D"/>
    <w:rsid w:val="00301782"/>
    <w:rsid w:val="00301AB1"/>
    <w:rsid w:val="00301BE9"/>
    <w:rsid w:val="00301C2C"/>
    <w:rsid w:val="00301EA5"/>
    <w:rsid w:val="003024A6"/>
    <w:rsid w:val="003029EF"/>
    <w:rsid w:val="00303351"/>
    <w:rsid w:val="003034AE"/>
    <w:rsid w:val="003035B3"/>
    <w:rsid w:val="00303797"/>
    <w:rsid w:val="0030426E"/>
    <w:rsid w:val="00304300"/>
    <w:rsid w:val="003044AA"/>
    <w:rsid w:val="0030479B"/>
    <w:rsid w:val="003047F4"/>
    <w:rsid w:val="00304878"/>
    <w:rsid w:val="00304ADD"/>
    <w:rsid w:val="00304D07"/>
    <w:rsid w:val="00304DBB"/>
    <w:rsid w:val="00304E16"/>
    <w:rsid w:val="00304E76"/>
    <w:rsid w:val="003052C1"/>
    <w:rsid w:val="0030530E"/>
    <w:rsid w:val="00305332"/>
    <w:rsid w:val="00305339"/>
    <w:rsid w:val="00305625"/>
    <w:rsid w:val="00305861"/>
    <w:rsid w:val="0030597F"/>
    <w:rsid w:val="00305A3B"/>
    <w:rsid w:val="003066A5"/>
    <w:rsid w:val="00306D1E"/>
    <w:rsid w:val="00306F2A"/>
    <w:rsid w:val="00306F38"/>
    <w:rsid w:val="00306F86"/>
    <w:rsid w:val="00307002"/>
    <w:rsid w:val="0030720E"/>
    <w:rsid w:val="0030740E"/>
    <w:rsid w:val="0030750E"/>
    <w:rsid w:val="003077A3"/>
    <w:rsid w:val="00307976"/>
    <w:rsid w:val="00307ADF"/>
    <w:rsid w:val="00307C72"/>
    <w:rsid w:val="00307D8D"/>
    <w:rsid w:val="003103D2"/>
    <w:rsid w:val="00310882"/>
    <w:rsid w:val="00310933"/>
    <w:rsid w:val="0031158F"/>
    <w:rsid w:val="003115A1"/>
    <w:rsid w:val="003117D1"/>
    <w:rsid w:val="00311CE6"/>
    <w:rsid w:val="00311D1B"/>
    <w:rsid w:val="00311FBF"/>
    <w:rsid w:val="0031204A"/>
    <w:rsid w:val="003120A7"/>
    <w:rsid w:val="00312128"/>
    <w:rsid w:val="0031262C"/>
    <w:rsid w:val="003129A6"/>
    <w:rsid w:val="00313072"/>
    <w:rsid w:val="0031321E"/>
    <w:rsid w:val="003132C3"/>
    <w:rsid w:val="00313991"/>
    <w:rsid w:val="003139AF"/>
    <w:rsid w:val="00313A1A"/>
    <w:rsid w:val="00313FCE"/>
    <w:rsid w:val="00314058"/>
    <w:rsid w:val="00314362"/>
    <w:rsid w:val="003145CD"/>
    <w:rsid w:val="00314C27"/>
    <w:rsid w:val="00314DE0"/>
    <w:rsid w:val="0031554D"/>
    <w:rsid w:val="00315F75"/>
    <w:rsid w:val="0031600C"/>
    <w:rsid w:val="0031607D"/>
    <w:rsid w:val="003161CE"/>
    <w:rsid w:val="00316775"/>
    <w:rsid w:val="00316808"/>
    <w:rsid w:val="00316A55"/>
    <w:rsid w:val="00317008"/>
    <w:rsid w:val="0031713F"/>
    <w:rsid w:val="00317AE0"/>
    <w:rsid w:val="00317B3E"/>
    <w:rsid w:val="00317C47"/>
    <w:rsid w:val="00317E2F"/>
    <w:rsid w:val="003202AB"/>
    <w:rsid w:val="00320580"/>
    <w:rsid w:val="00320638"/>
    <w:rsid w:val="00320BA0"/>
    <w:rsid w:val="00320F02"/>
    <w:rsid w:val="00320F9E"/>
    <w:rsid w:val="003216F0"/>
    <w:rsid w:val="00321CC5"/>
    <w:rsid w:val="00321DC2"/>
    <w:rsid w:val="00321E89"/>
    <w:rsid w:val="003221B5"/>
    <w:rsid w:val="0032243B"/>
    <w:rsid w:val="00322491"/>
    <w:rsid w:val="0032249A"/>
    <w:rsid w:val="003228F4"/>
    <w:rsid w:val="00322E25"/>
    <w:rsid w:val="00322FC6"/>
    <w:rsid w:val="003231E8"/>
    <w:rsid w:val="003231ED"/>
    <w:rsid w:val="00323658"/>
    <w:rsid w:val="00323734"/>
    <w:rsid w:val="00323877"/>
    <w:rsid w:val="00323BA9"/>
    <w:rsid w:val="00323DBB"/>
    <w:rsid w:val="00323F2B"/>
    <w:rsid w:val="00323F6D"/>
    <w:rsid w:val="00324086"/>
    <w:rsid w:val="00324214"/>
    <w:rsid w:val="0032434D"/>
    <w:rsid w:val="003246AB"/>
    <w:rsid w:val="00324777"/>
    <w:rsid w:val="0032489F"/>
    <w:rsid w:val="00324ACD"/>
    <w:rsid w:val="00324C0A"/>
    <w:rsid w:val="00324D12"/>
    <w:rsid w:val="00324DA3"/>
    <w:rsid w:val="003250CA"/>
    <w:rsid w:val="0032552E"/>
    <w:rsid w:val="003255A1"/>
    <w:rsid w:val="0032564A"/>
    <w:rsid w:val="003256FB"/>
    <w:rsid w:val="0032573E"/>
    <w:rsid w:val="00325DA4"/>
    <w:rsid w:val="00326561"/>
    <w:rsid w:val="00326719"/>
    <w:rsid w:val="0032683F"/>
    <w:rsid w:val="00326915"/>
    <w:rsid w:val="003269B7"/>
    <w:rsid w:val="00326CC9"/>
    <w:rsid w:val="00326F10"/>
    <w:rsid w:val="00326FCA"/>
    <w:rsid w:val="003272C6"/>
    <w:rsid w:val="00327379"/>
    <w:rsid w:val="00327659"/>
    <w:rsid w:val="0032781C"/>
    <w:rsid w:val="00327D56"/>
    <w:rsid w:val="00327E12"/>
    <w:rsid w:val="00327FC2"/>
    <w:rsid w:val="00327FCF"/>
    <w:rsid w:val="00330099"/>
    <w:rsid w:val="00330213"/>
    <w:rsid w:val="0033028D"/>
    <w:rsid w:val="00330692"/>
    <w:rsid w:val="003308DD"/>
    <w:rsid w:val="00330A4E"/>
    <w:rsid w:val="00330CC7"/>
    <w:rsid w:val="00330EFE"/>
    <w:rsid w:val="00331046"/>
    <w:rsid w:val="003311B9"/>
    <w:rsid w:val="00331981"/>
    <w:rsid w:val="00331D9C"/>
    <w:rsid w:val="00332083"/>
    <w:rsid w:val="00332164"/>
    <w:rsid w:val="00332179"/>
    <w:rsid w:val="003324E4"/>
    <w:rsid w:val="003327A1"/>
    <w:rsid w:val="003327C0"/>
    <w:rsid w:val="003327D1"/>
    <w:rsid w:val="00332A2A"/>
    <w:rsid w:val="00332A69"/>
    <w:rsid w:val="0033308E"/>
    <w:rsid w:val="00333247"/>
    <w:rsid w:val="00333372"/>
    <w:rsid w:val="00333519"/>
    <w:rsid w:val="00333583"/>
    <w:rsid w:val="00333596"/>
    <w:rsid w:val="003335C4"/>
    <w:rsid w:val="0033366D"/>
    <w:rsid w:val="003336EF"/>
    <w:rsid w:val="003337F8"/>
    <w:rsid w:val="0033394B"/>
    <w:rsid w:val="00333AFF"/>
    <w:rsid w:val="003340D9"/>
    <w:rsid w:val="00334699"/>
    <w:rsid w:val="003346B5"/>
    <w:rsid w:val="00334908"/>
    <w:rsid w:val="00335643"/>
    <w:rsid w:val="003358E0"/>
    <w:rsid w:val="00335C74"/>
    <w:rsid w:val="00335CE4"/>
    <w:rsid w:val="00335E74"/>
    <w:rsid w:val="00335F48"/>
    <w:rsid w:val="0033617F"/>
    <w:rsid w:val="003366EC"/>
    <w:rsid w:val="00336882"/>
    <w:rsid w:val="00336C09"/>
    <w:rsid w:val="00336C29"/>
    <w:rsid w:val="00336CBA"/>
    <w:rsid w:val="00336D25"/>
    <w:rsid w:val="003370EB"/>
    <w:rsid w:val="00337DB7"/>
    <w:rsid w:val="0034038B"/>
    <w:rsid w:val="00340432"/>
    <w:rsid w:val="00340890"/>
    <w:rsid w:val="00340C5F"/>
    <w:rsid w:val="00340CBC"/>
    <w:rsid w:val="003411FF"/>
    <w:rsid w:val="00341335"/>
    <w:rsid w:val="00341375"/>
    <w:rsid w:val="0034193D"/>
    <w:rsid w:val="0034195D"/>
    <w:rsid w:val="00342077"/>
    <w:rsid w:val="003421E1"/>
    <w:rsid w:val="003423E5"/>
    <w:rsid w:val="0034240E"/>
    <w:rsid w:val="00342901"/>
    <w:rsid w:val="00342A19"/>
    <w:rsid w:val="00342FCC"/>
    <w:rsid w:val="00343195"/>
    <w:rsid w:val="003434C5"/>
    <w:rsid w:val="003435B8"/>
    <w:rsid w:val="0034371D"/>
    <w:rsid w:val="00343DC1"/>
    <w:rsid w:val="00344193"/>
    <w:rsid w:val="00344391"/>
    <w:rsid w:val="0034459C"/>
    <w:rsid w:val="003445AE"/>
    <w:rsid w:val="003446B3"/>
    <w:rsid w:val="003448E1"/>
    <w:rsid w:val="003449F2"/>
    <w:rsid w:val="00344ADD"/>
    <w:rsid w:val="00344AE1"/>
    <w:rsid w:val="00345011"/>
    <w:rsid w:val="0034502D"/>
    <w:rsid w:val="00345415"/>
    <w:rsid w:val="00345489"/>
    <w:rsid w:val="003454B1"/>
    <w:rsid w:val="00345871"/>
    <w:rsid w:val="003458FF"/>
    <w:rsid w:val="00345B2B"/>
    <w:rsid w:val="00345BC6"/>
    <w:rsid w:val="00345BE1"/>
    <w:rsid w:val="00345F55"/>
    <w:rsid w:val="0034645B"/>
    <w:rsid w:val="00346496"/>
    <w:rsid w:val="00346511"/>
    <w:rsid w:val="00346543"/>
    <w:rsid w:val="00347567"/>
    <w:rsid w:val="003477E5"/>
    <w:rsid w:val="003477FA"/>
    <w:rsid w:val="0034790A"/>
    <w:rsid w:val="00347FDE"/>
    <w:rsid w:val="003504FF"/>
    <w:rsid w:val="00350665"/>
    <w:rsid w:val="00350BA7"/>
    <w:rsid w:val="003512A2"/>
    <w:rsid w:val="003512D3"/>
    <w:rsid w:val="00351469"/>
    <w:rsid w:val="003515BC"/>
    <w:rsid w:val="00351AAF"/>
    <w:rsid w:val="00351C85"/>
    <w:rsid w:val="00351C8F"/>
    <w:rsid w:val="00351D70"/>
    <w:rsid w:val="00351F0E"/>
    <w:rsid w:val="00352175"/>
    <w:rsid w:val="00352642"/>
    <w:rsid w:val="0035270C"/>
    <w:rsid w:val="00352A03"/>
    <w:rsid w:val="00352A35"/>
    <w:rsid w:val="00352AFD"/>
    <w:rsid w:val="00352E18"/>
    <w:rsid w:val="00352EEA"/>
    <w:rsid w:val="00352F57"/>
    <w:rsid w:val="003536B4"/>
    <w:rsid w:val="003538C8"/>
    <w:rsid w:val="00353A56"/>
    <w:rsid w:val="00353A6A"/>
    <w:rsid w:val="00353E32"/>
    <w:rsid w:val="003544F4"/>
    <w:rsid w:val="00354637"/>
    <w:rsid w:val="00354E9B"/>
    <w:rsid w:val="0035546C"/>
    <w:rsid w:val="00355580"/>
    <w:rsid w:val="003565C9"/>
    <w:rsid w:val="0035666E"/>
    <w:rsid w:val="0035675F"/>
    <w:rsid w:val="003567DE"/>
    <w:rsid w:val="0035702F"/>
    <w:rsid w:val="00357052"/>
    <w:rsid w:val="003570A5"/>
    <w:rsid w:val="0035711D"/>
    <w:rsid w:val="00357279"/>
    <w:rsid w:val="0035748A"/>
    <w:rsid w:val="003578F6"/>
    <w:rsid w:val="00357AAD"/>
    <w:rsid w:val="00357DAB"/>
    <w:rsid w:val="00360035"/>
    <w:rsid w:val="0036015F"/>
    <w:rsid w:val="0036043B"/>
    <w:rsid w:val="003605AE"/>
    <w:rsid w:val="00360E71"/>
    <w:rsid w:val="003617B3"/>
    <w:rsid w:val="00361A1B"/>
    <w:rsid w:val="00361AB9"/>
    <w:rsid w:val="00361E4D"/>
    <w:rsid w:val="00362246"/>
    <w:rsid w:val="0036248D"/>
    <w:rsid w:val="00362622"/>
    <w:rsid w:val="00362701"/>
    <w:rsid w:val="00362D3A"/>
    <w:rsid w:val="00362F23"/>
    <w:rsid w:val="0036318E"/>
    <w:rsid w:val="00363587"/>
    <w:rsid w:val="003635C1"/>
    <w:rsid w:val="0036369E"/>
    <w:rsid w:val="00363D18"/>
    <w:rsid w:val="00363DA1"/>
    <w:rsid w:val="00363EFD"/>
    <w:rsid w:val="0036403C"/>
    <w:rsid w:val="003641E7"/>
    <w:rsid w:val="003642AB"/>
    <w:rsid w:val="003643A9"/>
    <w:rsid w:val="003644B3"/>
    <w:rsid w:val="00364516"/>
    <w:rsid w:val="00364588"/>
    <w:rsid w:val="00364A53"/>
    <w:rsid w:val="00364C09"/>
    <w:rsid w:val="00364EDF"/>
    <w:rsid w:val="003650C4"/>
    <w:rsid w:val="003651B7"/>
    <w:rsid w:val="0036561B"/>
    <w:rsid w:val="00365B0B"/>
    <w:rsid w:val="00365E3B"/>
    <w:rsid w:val="00366047"/>
    <w:rsid w:val="003660E5"/>
    <w:rsid w:val="00366292"/>
    <w:rsid w:val="00366602"/>
    <w:rsid w:val="003668D2"/>
    <w:rsid w:val="00367306"/>
    <w:rsid w:val="00367333"/>
    <w:rsid w:val="003673FD"/>
    <w:rsid w:val="0036741E"/>
    <w:rsid w:val="00367446"/>
    <w:rsid w:val="00367905"/>
    <w:rsid w:val="00367A74"/>
    <w:rsid w:val="00367F7B"/>
    <w:rsid w:val="00370059"/>
    <w:rsid w:val="003700CB"/>
    <w:rsid w:val="003700E3"/>
    <w:rsid w:val="0037045F"/>
    <w:rsid w:val="00370C67"/>
    <w:rsid w:val="0037118D"/>
    <w:rsid w:val="003714E9"/>
    <w:rsid w:val="00371614"/>
    <w:rsid w:val="00371615"/>
    <w:rsid w:val="00371891"/>
    <w:rsid w:val="003718C6"/>
    <w:rsid w:val="0037219A"/>
    <w:rsid w:val="00372620"/>
    <w:rsid w:val="00372B94"/>
    <w:rsid w:val="00372D7A"/>
    <w:rsid w:val="00372D7F"/>
    <w:rsid w:val="00372EE2"/>
    <w:rsid w:val="003732AC"/>
    <w:rsid w:val="003733D0"/>
    <w:rsid w:val="003734E7"/>
    <w:rsid w:val="003735D5"/>
    <w:rsid w:val="003738AC"/>
    <w:rsid w:val="00373FBF"/>
    <w:rsid w:val="003741C0"/>
    <w:rsid w:val="0037446E"/>
    <w:rsid w:val="00374D82"/>
    <w:rsid w:val="00374E44"/>
    <w:rsid w:val="00375019"/>
    <w:rsid w:val="00375688"/>
    <w:rsid w:val="003756C2"/>
    <w:rsid w:val="003759C0"/>
    <w:rsid w:val="00375C38"/>
    <w:rsid w:val="00375CC1"/>
    <w:rsid w:val="00375E87"/>
    <w:rsid w:val="00376036"/>
    <w:rsid w:val="0037665E"/>
    <w:rsid w:val="00376C0E"/>
    <w:rsid w:val="00376F7F"/>
    <w:rsid w:val="00376FBD"/>
    <w:rsid w:val="003771A1"/>
    <w:rsid w:val="00377512"/>
    <w:rsid w:val="00377C67"/>
    <w:rsid w:val="00380351"/>
    <w:rsid w:val="00380B36"/>
    <w:rsid w:val="00380C5D"/>
    <w:rsid w:val="00380D5F"/>
    <w:rsid w:val="00380F01"/>
    <w:rsid w:val="0038119E"/>
    <w:rsid w:val="00381597"/>
    <w:rsid w:val="003816DF"/>
    <w:rsid w:val="0038175D"/>
    <w:rsid w:val="00381B61"/>
    <w:rsid w:val="00381DFE"/>
    <w:rsid w:val="003820CF"/>
    <w:rsid w:val="003823E7"/>
    <w:rsid w:val="00382644"/>
    <w:rsid w:val="0038270D"/>
    <w:rsid w:val="003827DD"/>
    <w:rsid w:val="00382C52"/>
    <w:rsid w:val="00382D69"/>
    <w:rsid w:val="00382E4B"/>
    <w:rsid w:val="003830A2"/>
    <w:rsid w:val="00383184"/>
    <w:rsid w:val="0038326D"/>
    <w:rsid w:val="003832DE"/>
    <w:rsid w:val="0038335A"/>
    <w:rsid w:val="0038339B"/>
    <w:rsid w:val="00383648"/>
    <w:rsid w:val="00383ABB"/>
    <w:rsid w:val="00383AFB"/>
    <w:rsid w:val="00383B49"/>
    <w:rsid w:val="00383B87"/>
    <w:rsid w:val="00383BD1"/>
    <w:rsid w:val="00383F1F"/>
    <w:rsid w:val="0038413C"/>
    <w:rsid w:val="00384271"/>
    <w:rsid w:val="00384394"/>
    <w:rsid w:val="003844F2"/>
    <w:rsid w:val="00384507"/>
    <w:rsid w:val="00384560"/>
    <w:rsid w:val="0038463C"/>
    <w:rsid w:val="003848B2"/>
    <w:rsid w:val="003849CD"/>
    <w:rsid w:val="00384C9A"/>
    <w:rsid w:val="00384D1A"/>
    <w:rsid w:val="00384D1D"/>
    <w:rsid w:val="003853FE"/>
    <w:rsid w:val="0038561A"/>
    <w:rsid w:val="0038577C"/>
    <w:rsid w:val="00386028"/>
    <w:rsid w:val="003860BB"/>
    <w:rsid w:val="003863E8"/>
    <w:rsid w:val="003865C3"/>
    <w:rsid w:val="003866F4"/>
    <w:rsid w:val="00386824"/>
    <w:rsid w:val="003869E2"/>
    <w:rsid w:val="00386DEF"/>
    <w:rsid w:val="00386E25"/>
    <w:rsid w:val="003870D7"/>
    <w:rsid w:val="00387222"/>
    <w:rsid w:val="00387495"/>
    <w:rsid w:val="003875B5"/>
    <w:rsid w:val="00387784"/>
    <w:rsid w:val="003877C5"/>
    <w:rsid w:val="003877E9"/>
    <w:rsid w:val="00387B2F"/>
    <w:rsid w:val="00387C43"/>
    <w:rsid w:val="00387F58"/>
    <w:rsid w:val="00387F69"/>
    <w:rsid w:val="00387FB5"/>
    <w:rsid w:val="003900F5"/>
    <w:rsid w:val="003901C1"/>
    <w:rsid w:val="0039035B"/>
    <w:rsid w:val="00390408"/>
    <w:rsid w:val="003904DD"/>
    <w:rsid w:val="00390849"/>
    <w:rsid w:val="00390BCD"/>
    <w:rsid w:val="00391011"/>
    <w:rsid w:val="00391066"/>
    <w:rsid w:val="003911EA"/>
    <w:rsid w:val="0039180B"/>
    <w:rsid w:val="00391F20"/>
    <w:rsid w:val="00391FF3"/>
    <w:rsid w:val="003921C6"/>
    <w:rsid w:val="00392350"/>
    <w:rsid w:val="003924A9"/>
    <w:rsid w:val="0039295D"/>
    <w:rsid w:val="003929F4"/>
    <w:rsid w:val="00392AD4"/>
    <w:rsid w:val="00392DE9"/>
    <w:rsid w:val="0039326A"/>
    <w:rsid w:val="0039343B"/>
    <w:rsid w:val="003936BE"/>
    <w:rsid w:val="0039375A"/>
    <w:rsid w:val="00393952"/>
    <w:rsid w:val="00393D8F"/>
    <w:rsid w:val="00394F5E"/>
    <w:rsid w:val="003951FC"/>
    <w:rsid w:val="0039587F"/>
    <w:rsid w:val="00395916"/>
    <w:rsid w:val="0039593C"/>
    <w:rsid w:val="00395E25"/>
    <w:rsid w:val="00395E8B"/>
    <w:rsid w:val="0039625F"/>
    <w:rsid w:val="003965FB"/>
    <w:rsid w:val="00396A63"/>
    <w:rsid w:val="00396FA7"/>
    <w:rsid w:val="0039700F"/>
    <w:rsid w:val="00397027"/>
    <w:rsid w:val="003972C6"/>
    <w:rsid w:val="003972D4"/>
    <w:rsid w:val="003972DF"/>
    <w:rsid w:val="003973E3"/>
    <w:rsid w:val="003976EC"/>
    <w:rsid w:val="003977DB"/>
    <w:rsid w:val="00397976"/>
    <w:rsid w:val="00397C5E"/>
    <w:rsid w:val="00397ED1"/>
    <w:rsid w:val="003A0157"/>
    <w:rsid w:val="003A04C7"/>
    <w:rsid w:val="003A05DC"/>
    <w:rsid w:val="003A0BAF"/>
    <w:rsid w:val="003A0FFF"/>
    <w:rsid w:val="003A141B"/>
    <w:rsid w:val="003A18DD"/>
    <w:rsid w:val="003A1A88"/>
    <w:rsid w:val="003A1B4A"/>
    <w:rsid w:val="003A20DC"/>
    <w:rsid w:val="003A20EB"/>
    <w:rsid w:val="003A237D"/>
    <w:rsid w:val="003A2417"/>
    <w:rsid w:val="003A26CF"/>
    <w:rsid w:val="003A26D0"/>
    <w:rsid w:val="003A278D"/>
    <w:rsid w:val="003A2A8D"/>
    <w:rsid w:val="003A3214"/>
    <w:rsid w:val="003A33F9"/>
    <w:rsid w:val="003A3447"/>
    <w:rsid w:val="003A368A"/>
    <w:rsid w:val="003A3922"/>
    <w:rsid w:val="003A395B"/>
    <w:rsid w:val="003A3976"/>
    <w:rsid w:val="003A41EA"/>
    <w:rsid w:val="003A4552"/>
    <w:rsid w:val="003A45E3"/>
    <w:rsid w:val="003A4793"/>
    <w:rsid w:val="003A4BC6"/>
    <w:rsid w:val="003A4BE2"/>
    <w:rsid w:val="003A4C96"/>
    <w:rsid w:val="003A4E0B"/>
    <w:rsid w:val="003A51E9"/>
    <w:rsid w:val="003A5565"/>
    <w:rsid w:val="003A5B03"/>
    <w:rsid w:val="003A5BEE"/>
    <w:rsid w:val="003A5F21"/>
    <w:rsid w:val="003A63FD"/>
    <w:rsid w:val="003A6592"/>
    <w:rsid w:val="003A66D8"/>
    <w:rsid w:val="003A673A"/>
    <w:rsid w:val="003A6C0F"/>
    <w:rsid w:val="003A6D63"/>
    <w:rsid w:val="003A7119"/>
    <w:rsid w:val="003A724A"/>
    <w:rsid w:val="003A7816"/>
    <w:rsid w:val="003A7EE9"/>
    <w:rsid w:val="003B048A"/>
    <w:rsid w:val="003B04ED"/>
    <w:rsid w:val="003B09CD"/>
    <w:rsid w:val="003B1426"/>
    <w:rsid w:val="003B1909"/>
    <w:rsid w:val="003B1B0D"/>
    <w:rsid w:val="003B1D70"/>
    <w:rsid w:val="003B1E18"/>
    <w:rsid w:val="003B2133"/>
    <w:rsid w:val="003B2BD6"/>
    <w:rsid w:val="003B2CA1"/>
    <w:rsid w:val="003B2CE5"/>
    <w:rsid w:val="003B2DC0"/>
    <w:rsid w:val="003B2F34"/>
    <w:rsid w:val="003B30B3"/>
    <w:rsid w:val="003B325B"/>
    <w:rsid w:val="003B3BA1"/>
    <w:rsid w:val="003B4253"/>
    <w:rsid w:val="003B474B"/>
    <w:rsid w:val="003B47F7"/>
    <w:rsid w:val="003B4954"/>
    <w:rsid w:val="003B49BD"/>
    <w:rsid w:val="003B4BCD"/>
    <w:rsid w:val="003B4BE0"/>
    <w:rsid w:val="003B4C7E"/>
    <w:rsid w:val="003B530D"/>
    <w:rsid w:val="003B5956"/>
    <w:rsid w:val="003B59A8"/>
    <w:rsid w:val="003B5D61"/>
    <w:rsid w:val="003B5F24"/>
    <w:rsid w:val="003B609D"/>
    <w:rsid w:val="003B6AD8"/>
    <w:rsid w:val="003B6AEA"/>
    <w:rsid w:val="003B6DFC"/>
    <w:rsid w:val="003B6E76"/>
    <w:rsid w:val="003B73B7"/>
    <w:rsid w:val="003B77ED"/>
    <w:rsid w:val="003B7B17"/>
    <w:rsid w:val="003C0626"/>
    <w:rsid w:val="003C087F"/>
    <w:rsid w:val="003C09D5"/>
    <w:rsid w:val="003C0DAD"/>
    <w:rsid w:val="003C0E0B"/>
    <w:rsid w:val="003C0F5F"/>
    <w:rsid w:val="003C11EA"/>
    <w:rsid w:val="003C1378"/>
    <w:rsid w:val="003C138F"/>
    <w:rsid w:val="003C15CA"/>
    <w:rsid w:val="003C1827"/>
    <w:rsid w:val="003C191E"/>
    <w:rsid w:val="003C1C07"/>
    <w:rsid w:val="003C1C96"/>
    <w:rsid w:val="003C1E0F"/>
    <w:rsid w:val="003C21A5"/>
    <w:rsid w:val="003C2374"/>
    <w:rsid w:val="003C2460"/>
    <w:rsid w:val="003C266F"/>
    <w:rsid w:val="003C2A6C"/>
    <w:rsid w:val="003C2D23"/>
    <w:rsid w:val="003C2E71"/>
    <w:rsid w:val="003C2F40"/>
    <w:rsid w:val="003C3029"/>
    <w:rsid w:val="003C306F"/>
    <w:rsid w:val="003C35A4"/>
    <w:rsid w:val="003C3B47"/>
    <w:rsid w:val="003C3E9C"/>
    <w:rsid w:val="003C3F02"/>
    <w:rsid w:val="003C443A"/>
    <w:rsid w:val="003C4606"/>
    <w:rsid w:val="003C4C2B"/>
    <w:rsid w:val="003C4CE3"/>
    <w:rsid w:val="003C4D1B"/>
    <w:rsid w:val="003C4D57"/>
    <w:rsid w:val="003C4F0C"/>
    <w:rsid w:val="003C50A1"/>
    <w:rsid w:val="003C516E"/>
    <w:rsid w:val="003C55A9"/>
    <w:rsid w:val="003C56EE"/>
    <w:rsid w:val="003C56F0"/>
    <w:rsid w:val="003C5844"/>
    <w:rsid w:val="003C58E4"/>
    <w:rsid w:val="003C5C54"/>
    <w:rsid w:val="003C5EB6"/>
    <w:rsid w:val="003C60F5"/>
    <w:rsid w:val="003C6329"/>
    <w:rsid w:val="003C675D"/>
    <w:rsid w:val="003C716C"/>
    <w:rsid w:val="003C71ED"/>
    <w:rsid w:val="003C73E4"/>
    <w:rsid w:val="003C7650"/>
    <w:rsid w:val="003C768A"/>
    <w:rsid w:val="003C7B11"/>
    <w:rsid w:val="003C7CBE"/>
    <w:rsid w:val="003C7D3D"/>
    <w:rsid w:val="003C7F21"/>
    <w:rsid w:val="003C7F55"/>
    <w:rsid w:val="003C7FB0"/>
    <w:rsid w:val="003D0397"/>
    <w:rsid w:val="003D0515"/>
    <w:rsid w:val="003D0517"/>
    <w:rsid w:val="003D059D"/>
    <w:rsid w:val="003D05C8"/>
    <w:rsid w:val="003D0AC0"/>
    <w:rsid w:val="003D1BD9"/>
    <w:rsid w:val="003D1CA0"/>
    <w:rsid w:val="003D202C"/>
    <w:rsid w:val="003D21AE"/>
    <w:rsid w:val="003D2402"/>
    <w:rsid w:val="003D26A1"/>
    <w:rsid w:val="003D26C5"/>
    <w:rsid w:val="003D274C"/>
    <w:rsid w:val="003D2D77"/>
    <w:rsid w:val="003D2EF8"/>
    <w:rsid w:val="003D2FB7"/>
    <w:rsid w:val="003D3633"/>
    <w:rsid w:val="003D38D0"/>
    <w:rsid w:val="003D3B1F"/>
    <w:rsid w:val="003D3B5B"/>
    <w:rsid w:val="003D44CB"/>
    <w:rsid w:val="003D4735"/>
    <w:rsid w:val="003D4809"/>
    <w:rsid w:val="003D4A8E"/>
    <w:rsid w:val="003D4B89"/>
    <w:rsid w:val="003D4CA3"/>
    <w:rsid w:val="003D4DBF"/>
    <w:rsid w:val="003D4E44"/>
    <w:rsid w:val="003D4ED7"/>
    <w:rsid w:val="003D507D"/>
    <w:rsid w:val="003D568F"/>
    <w:rsid w:val="003D5786"/>
    <w:rsid w:val="003D5808"/>
    <w:rsid w:val="003D5C6D"/>
    <w:rsid w:val="003D5DA3"/>
    <w:rsid w:val="003D6164"/>
    <w:rsid w:val="003D6238"/>
    <w:rsid w:val="003D63E3"/>
    <w:rsid w:val="003D681F"/>
    <w:rsid w:val="003D68C8"/>
    <w:rsid w:val="003D6AFF"/>
    <w:rsid w:val="003D6B3F"/>
    <w:rsid w:val="003D72E9"/>
    <w:rsid w:val="003D763C"/>
    <w:rsid w:val="003D78A3"/>
    <w:rsid w:val="003D7ABE"/>
    <w:rsid w:val="003D7EA5"/>
    <w:rsid w:val="003E0377"/>
    <w:rsid w:val="003E08B1"/>
    <w:rsid w:val="003E0907"/>
    <w:rsid w:val="003E0914"/>
    <w:rsid w:val="003E09ED"/>
    <w:rsid w:val="003E09F1"/>
    <w:rsid w:val="003E0A3F"/>
    <w:rsid w:val="003E0A5B"/>
    <w:rsid w:val="003E0BC2"/>
    <w:rsid w:val="003E0C99"/>
    <w:rsid w:val="003E10DA"/>
    <w:rsid w:val="003E1118"/>
    <w:rsid w:val="003E115E"/>
    <w:rsid w:val="003E1317"/>
    <w:rsid w:val="003E13D8"/>
    <w:rsid w:val="003E143B"/>
    <w:rsid w:val="003E1845"/>
    <w:rsid w:val="003E1AF8"/>
    <w:rsid w:val="003E1D35"/>
    <w:rsid w:val="003E1D75"/>
    <w:rsid w:val="003E1FE3"/>
    <w:rsid w:val="003E1FF2"/>
    <w:rsid w:val="003E2211"/>
    <w:rsid w:val="003E22AC"/>
    <w:rsid w:val="003E2901"/>
    <w:rsid w:val="003E2A84"/>
    <w:rsid w:val="003E2BA6"/>
    <w:rsid w:val="003E2F25"/>
    <w:rsid w:val="003E321C"/>
    <w:rsid w:val="003E35D0"/>
    <w:rsid w:val="003E3D5A"/>
    <w:rsid w:val="003E3DCD"/>
    <w:rsid w:val="003E3DD4"/>
    <w:rsid w:val="003E4257"/>
    <w:rsid w:val="003E4441"/>
    <w:rsid w:val="003E4909"/>
    <w:rsid w:val="003E4AB5"/>
    <w:rsid w:val="003E4C67"/>
    <w:rsid w:val="003E4E29"/>
    <w:rsid w:val="003E5227"/>
    <w:rsid w:val="003E5302"/>
    <w:rsid w:val="003E5634"/>
    <w:rsid w:val="003E5B54"/>
    <w:rsid w:val="003E5D05"/>
    <w:rsid w:val="003E5E47"/>
    <w:rsid w:val="003E5FC8"/>
    <w:rsid w:val="003E6367"/>
    <w:rsid w:val="003E69BF"/>
    <w:rsid w:val="003E6C66"/>
    <w:rsid w:val="003E6D10"/>
    <w:rsid w:val="003E6DAA"/>
    <w:rsid w:val="003E6DE7"/>
    <w:rsid w:val="003E6DF8"/>
    <w:rsid w:val="003E7445"/>
    <w:rsid w:val="003E7807"/>
    <w:rsid w:val="003E781D"/>
    <w:rsid w:val="003E7916"/>
    <w:rsid w:val="003E7996"/>
    <w:rsid w:val="003E7DBE"/>
    <w:rsid w:val="003E7EEC"/>
    <w:rsid w:val="003F0249"/>
    <w:rsid w:val="003F03C0"/>
    <w:rsid w:val="003F051B"/>
    <w:rsid w:val="003F097D"/>
    <w:rsid w:val="003F0E73"/>
    <w:rsid w:val="003F1231"/>
    <w:rsid w:val="003F1397"/>
    <w:rsid w:val="003F1549"/>
    <w:rsid w:val="003F1795"/>
    <w:rsid w:val="003F17BB"/>
    <w:rsid w:val="003F1871"/>
    <w:rsid w:val="003F1BE2"/>
    <w:rsid w:val="003F1F3C"/>
    <w:rsid w:val="003F224A"/>
    <w:rsid w:val="003F22F5"/>
    <w:rsid w:val="003F23A4"/>
    <w:rsid w:val="003F2401"/>
    <w:rsid w:val="003F24AB"/>
    <w:rsid w:val="003F2825"/>
    <w:rsid w:val="003F2958"/>
    <w:rsid w:val="003F2A42"/>
    <w:rsid w:val="003F35AA"/>
    <w:rsid w:val="003F3A66"/>
    <w:rsid w:val="003F3AC6"/>
    <w:rsid w:val="003F3D6A"/>
    <w:rsid w:val="003F3DA1"/>
    <w:rsid w:val="003F3DC0"/>
    <w:rsid w:val="003F3EF1"/>
    <w:rsid w:val="003F4246"/>
    <w:rsid w:val="003F48F2"/>
    <w:rsid w:val="003F4A83"/>
    <w:rsid w:val="003F4D3C"/>
    <w:rsid w:val="003F5066"/>
    <w:rsid w:val="003F5075"/>
    <w:rsid w:val="003F519E"/>
    <w:rsid w:val="003F5241"/>
    <w:rsid w:val="003F56C2"/>
    <w:rsid w:val="003F5711"/>
    <w:rsid w:val="003F5ABC"/>
    <w:rsid w:val="003F5AC2"/>
    <w:rsid w:val="003F5F69"/>
    <w:rsid w:val="003F60BC"/>
    <w:rsid w:val="003F628C"/>
    <w:rsid w:val="003F65DA"/>
    <w:rsid w:val="003F67F4"/>
    <w:rsid w:val="003F68E0"/>
    <w:rsid w:val="003F729D"/>
    <w:rsid w:val="003F7643"/>
    <w:rsid w:val="003F782C"/>
    <w:rsid w:val="003F7EAF"/>
    <w:rsid w:val="00400A05"/>
    <w:rsid w:val="00400D3C"/>
    <w:rsid w:val="00401140"/>
    <w:rsid w:val="004012CB"/>
    <w:rsid w:val="0040130C"/>
    <w:rsid w:val="00401311"/>
    <w:rsid w:val="0040132C"/>
    <w:rsid w:val="004013BC"/>
    <w:rsid w:val="00401407"/>
    <w:rsid w:val="00401530"/>
    <w:rsid w:val="00402738"/>
    <w:rsid w:val="004028B0"/>
    <w:rsid w:val="004029CD"/>
    <w:rsid w:val="00402BC8"/>
    <w:rsid w:val="00402C5A"/>
    <w:rsid w:val="00402E23"/>
    <w:rsid w:val="00402E7C"/>
    <w:rsid w:val="0040300E"/>
    <w:rsid w:val="00403986"/>
    <w:rsid w:val="00403D05"/>
    <w:rsid w:val="00403D37"/>
    <w:rsid w:val="00403E80"/>
    <w:rsid w:val="00403F37"/>
    <w:rsid w:val="00403F8F"/>
    <w:rsid w:val="004040C3"/>
    <w:rsid w:val="004042DA"/>
    <w:rsid w:val="004042DD"/>
    <w:rsid w:val="00404505"/>
    <w:rsid w:val="00404713"/>
    <w:rsid w:val="00404955"/>
    <w:rsid w:val="00405697"/>
    <w:rsid w:val="0040585B"/>
    <w:rsid w:val="00405889"/>
    <w:rsid w:val="00405C1D"/>
    <w:rsid w:val="00405F89"/>
    <w:rsid w:val="00406003"/>
    <w:rsid w:val="00406502"/>
    <w:rsid w:val="004069E6"/>
    <w:rsid w:val="00406ACB"/>
    <w:rsid w:val="00406F77"/>
    <w:rsid w:val="004074DC"/>
    <w:rsid w:val="00407607"/>
    <w:rsid w:val="004077BE"/>
    <w:rsid w:val="004077C4"/>
    <w:rsid w:val="004077FA"/>
    <w:rsid w:val="00407876"/>
    <w:rsid w:val="00407E7B"/>
    <w:rsid w:val="00407FFD"/>
    <w:rsid w:val="004100FA"/>
    <w:rsid w:val="00410964"/>
    <w:rsid w:val="00411057"/>
    <w:rsid w:val="00412431"/>
    <w:rsid w:val="00412487"/>
    <w:rsid w:val="0041319B"/>
    <w:rsid w:val="004136BF"/>
    <w:rsid w:val="00413BCF"/>
    <w:rsid w:val="00413E77"/>
    <w:rsid w:val="00413F13"/>
    <w:rsid w:val="004140EC"/>
    <w:rsid w:val="004141C1"/>
    <w:rsid w:val="004147D6"/>
    <w:rsid w:val="004149F7"/>
    <w:rsid w:val="00414A35"/>
    <w:rsid w:val="00415485"/>
    <w:rsid w:val="00415635"/>
    <w:rsid w:val="00415B2A"/>
    <w:rsid w:val="00415C0E"/>
    <w:rsid w:val="00415CAF"/>
    <w:rsid w:val="00415CCB"/>
    <w:rsid w:val="00415E75"/>
    <w:rsid w:val="00415E81"/>
    <w:rsid w:val="00415E9E"/>
    <w:rsid w:val="004160C4"/>
    <w:rsid w:val="0041618D"/>
    <w:rsid w:val="004163E5"/>
    <w:rsid w:val="00416533"/>
    <w:rsid w:val="004165E4"/>
    <w:rsid w:val="00416679"/>
    <w:rsid w:val="00416C96"/>
    <w:rsid w:val="00417160"/>
    <w:rsid w:val="004172FC"/>
    <w:rsid w:val="00417823"/>
    <w:rsid w:val="00417E52"/>
    <w:rsid w:val="00417E59"/>
    <w:rsid w:val="00417F64"/>
    <w:rsid w:val="00420108"/>
    <w:rsid w:val="0042046A"/>
    <w:rsid w:val="00420494"/>
    <w:rsid w:val="0042065C"/>
    <w:rsid w:val="00420818"/>
    <w:rsid w:val="004208D9"/>
    <w:rsid w:val="00420DC7"/>
    <w:rsid w:val="00420E4B"/>
    <w:rsid w:val="00420EFB"/>
    <w:rsid w:val="00421486"/>
    <w:rsid w:val="00421AA4"/>
    <w:rsid w:val="00421F4B"/>
    <w:rsid w:val="004222DC"/>
    <w:rsid w:val="00422384"/>
    <w:rsid w:val="00422640"/>
    <w:rsid w:val="00422BA1"/>
    <w:rsid w:val="00422BF9"/>
    <w:rsid w:val="00422E63"/>
    <w:rsid w:val="004232DD"/>
    <w:rsid w:val="0042344B"/>
    <w:rsid w:val="004234BF"/>
    <w:rsid w:val="004236FB"/>
    <w:rsid w:val="00423887"/>
    <w:rsid w:val="00423A22"/>
    <w:rsid w:val="00423A99"/>
    <w:rsid w:val="00423AAB"/>
    <w:rsid w:val="00423C9F"/>
    <w:rsid w:val="00423CE2"/>
    <w:rsid w:val="00423EF0"/>
    <w:rsid w:val="00424C65"/>
    <w:rsid w:val="00424C99"/>
    <w:rsid w:val="00424E0B"/>
    <w:rsid w:val="00425546"/>
    <w:rsid w:val="004257C2"/>
    <w:rsid w:val="004258BA"/>
    <w:rsid w:val="004258CD"/>
    <w:rsid w:val="00425949"/>
    <w:rsid w:val="00425BBD"/>
    <w:rsid w:val="00425D10"/>
    <w:rsid w:val="00425DB6"/>
    <w:rsid w:val="00425F55"/>
    <w:rsid w:val="00426574"/>
    <w:rsid w:val="004266DC"/>
    <w:rsid w:val="004267BC"/>
    <w:rsid w:val="00426B63"/>
    <w:rsid w:val="00426CEB"/>
    <w:rsid w:val="00426D21"/>
    <w:rsid w:val="00426D30"/>
    <w:rsid w:val="00426E04"/>
    <w:rsid w:val="00426EC4"/>
    <w:rsid w:val="00427079"/>
    <w:rsid w:val="00427457"/>
    <w:rsid w:val="00427DFA"/>
    <w:rsid w:val="00427E31"/>
    <w:rsid w:val="004303FF"/>
    <w:rsid w:val="00430456"/>
    <w:rsid w:val="004304BE"/>
    <w:rsid w:val="00430511"/>
    <w:rsid w:val="00430D06"/>
    <w:rsid w:val="00430F8B"/>
    <w:rsid w:val="00431239"/>
    <w:rsid w:val="00431306"/>
    <w:rsid w:val="00431420"/>
    <w:rsid w:val="00431432"/>
    <w:rsid w:val="004317E8"/>
    <w:rsid w:val="00431A81"/>
    <w:rsid w:val="00431ACE"/>
    <w:rsid w:val="00431C88"/>
    <w:rsid w:val="00431CE6"/>
    <w:rsid w:val="00432094"/>
    <w:rsid w:val="004324AE"/>
    <w:rsid w:val="004324FF"/>
    <w:rsid w:val="00432536"/>
    <w:rsid w:val="004326A9"/>
    <w:rsid w:val="00432E9C"/>
    <w:rsid w:val="00432F58"/>
    <w:rsid w:val="004331C9"/>
    <w:rsid w:val="00433447"/>
    <w:rsid w:val="00433711"/>
    <w:rsid w:val="004337F1"/>
    <w:rsid w:val="00433925"/>
    <w:rsid w:val="004339DD"/>
    <w:rsid w:val="00433AAF"/>
    <w:rsid w:val="00433B33"/>
    <w:rsid w:val="00433D29"/>
    <w:rsid w:val="00433E44"/>
    <w:rsid w:val="00433ED9"/>
    <w:rsid w:val="0043450D"/>
    <w:rsid w:val="00434A35"/>
    <w:rsid w:val="00434D05"/>
    <w:rsid w:val="00434D1F"/>
    <w:rsid w:val="00434D63"/>
    <w:rsid w:val="00434DCB"/>
    <w:rsid w:val="00434E0A"/>
    <w:rsid w:val="0043521A"/>
    <w:rsid w:val="00435269"/>
    <w:rsid w:val="004355B8"/>
    <w:rsid w:val="00435ADE"/>
    <w:rsid w:val="0043606D"/>
    <w:rsid w:val="00436266"/>
    <w:rsid w:val="0043632C"/>
    <w:rsid w:val="0043650D"/>
    <w:rsid w:val="00436C6A"/>
    <w:rsid w:val="00436D55"/>
    <w:rsid w:val="00437061"/>
    <w:rsid w:val="00437100"/>
    <w:rsid w:val="004372B9"/>
    <w:rsid w:val="004372D9"/>
    <w:rsid w:val="004373CE"/>
    <w:rsid w:val="00437578"/>
    <w:rsid w:val="00437995"/>
    <w:rsid w:val="00437B30"/>
    <w:rsid w:val="00437C5D"/>
    <w:rsid w:val="004401E5"/>
    <w:rsid w:val="00440428"/>
    <w:rsid w:val="00440600"/>
    <w:rsid w:val="00440772"/>
    <w:rsid w:val="00440994"/>
    <w:rsid w:val="004409FC"/>
    <w:rsid w:val="00440A35"/>
    <w:rsid w:val="00440A9A"/>
    <w:rsid w:val="00440D92"/>
    <w:rsid w:val="00441488"/>
    <w:rsid w:val="00441490"/>
    <w:rsid w:val="0044172A"/>
    <w:rsid w:val="00441792"/>
    <w:rsid w:val="00441927"/>
    <w:rsid w:val="004419AF"/>
    <w:rsid w:val="00441C3E"/>
    <w:rsid w:val="00441DE6"/>
    <w:rsid w:val="00441E93"/>
    <w:rsid w:val="00441F61"/>
    <w:rsid w:val="00441F6B"/>
    <w:rsid w:val="00441FD3"/>
    <w:rsid w:val="00442059"/>
    <w:rsid w:val="0044209C"/>
    <w:rsid w:val="004421A8"/>
    <w:rsid w:val="0044229C"/>
    <w:rsid w:val="004425AB"/>
    <w:rsid w:val="0044283E"/>
    <w:rsid w:val="00442A92"/>
    <w:rsid w:val="00442D14"/>
    <w:rsid w:val="00442FA2"/>
    <w:rsid w:val="00443215"/>
    <w:rsid w:val="00443B42"/>
    <w:rsid w:val="00444165"/>
    <w:rsid w:val="004441E6"/>
    <w:rsid w:val="0044428E"/>
    <w:rsid w:val="004445A4"/>
    <w:rsid w:val="00444BBF"/>
    <w:rsid w:val="00445208"/>
    <w:rsid w:val="0044528F"/>
    <w:rsid w:val="004452E0"/>
    <w:rsid w:val="0044542B"/>
    <w:rsid w:val="0044550B"/>
    <w:rsid w:val="0044592C"/>
    <w:rsid w:val="004459C0"/>
    <w:rsid w:val="00445CE9"/>
    <w:rsid w:val="00445FEE"/>
    <w:rsid w:val="004461C5"/>
    <w:rsid w:val="004463FE"/>
    <w:rsid w:val="00446633"/>
    <w:rsid w:val="0044674E"/>
    <w:rsid w:val="004467B8"/>
    <w:rsid w:val="00446B82"/>
    <w:rsid w:val="00446DF3"/>
    <w:rsid w:val="00447014"/>
    <w:rsid w:val="0044711F"/>
    <w:rsid w:val="00447170"/>
    <w:rsid w:val="004471B5"/>
    <w:rsid w:val="00447565"/>
    <w:rsid w:val="00447810"/>
    <w:rsid w:val="00447916"/>
    <w:rsid w:val="00447B05"/>
    <w:rsid w:val="00447B3A"/>
    <w:rsid w:val="00450544"/>
    <w:rsid w:val="00450612"/>
    <w:rsid w:val="004506B0"/>
    <w:rsid w:val="0045095E"/>
    <w:rsid w:val="00450B3A"/>
    <w:rsid w:val="00450E14"/>
    <w:rsid w:val="00451059"/>
    <w:rsid w:val="00451138"/>
    <w:rsid w:val="00451404"/>
    <w:rsid w:val="00451547"/>
    <w:rsid w:val="004516E5"/>
    <w:rsid w:val="00451AE8"/>
    <w:rsid w:val="00451B6E"/>
    <w:rsid w:val="00451E23"/>
    <w:rsid w:val="004521A1"/>
    <w:rsid w:val="00452259"/>
    <w:rsid w:val="004525E5"/>
    <w:rsid w:val="00452727"/>
    <w:rsid w:val="00452B30"/>
    <w:rsid w:val="00452D4B"/>
    <w:rsid w:val="0045348D"/>
    <w:rsid w:val="004534AB"/>
    <w:rsid w:val="00453520"/>
    <w:rsid w:val="004538C2"/>
    <w:rsid w:val="00453AC8"/>
    <w:rsid w:val="00453CB6"/>
    <w:rsid w:val="00453D40"/>
    <w:rsid w:val="00453F06"/>
    <w:rsid w:val="00454605"/>
    <w:rsid w:val="004546C9"/>
    <w:rsid w:val="00454A65"/>
    <w:rsid w:val="00454C28"/>
    <w:rsid w:val="00454FDA"/>
    <w:rsid w:val="0045535A"/>
    <w:rsid w:val="00455377"/>
    <w:rsid w:val="00455442"/>
    <w:rsid w:val="00455827"/>
    <w:rsid w:val="00455908"/>
    <w:rsid w:val="00455974"/>
    <w:rsid w:val="00455B2E"/>
    <w:rsid w:val="00455CC3"/>
    <w:rsid w:val="00455E9A"/>
    <w:rsid w:val="00455F11"/>
    <w:rsid w:val="0045612E"/>
    <w:rsid w:val="004561C0"/>
    <w:rsid w:val="004564A0"/>
    <w:rsid w:val="00456A83"/>
    <w:rsid w:val="00456E06"/>
    <w:rsid w:val="00456FF0"/>
    <w:rsid w:val="00457068"/>
    <w:rsid w:val="00457193"/>
    <w:rsid w:val="00457458"/>
    <w:rsid w:val="00457614"/>
    <w:rsid w:val="00457856"/>
    <w:rsid w:val="00457F36"/>
    <w:rsid w:val="00460036"/>
    <w:rsid w:val="00460143"/>
    <w:rsid w:val="004601AE"/>
    <w:rsid w:val="00460771"/>
    <w:rsid w:val="0046095D"/>
    <w:rsid w:val="00460A91"/>
    <w:rsid w:val="00460B33"/>
    <w:rsid w:val="00460CA1"/>
    <w:rsid w:val="00460CE7"/>
    <w:rsid w:val="00460E0E"/>
    <w:rsid w:val="00460EFA"/>
    <w:rsid w:val="00460F24"/>
    <w:rsid w:val="00460F74"/>
    <w:rsid w:val="00460FCB"/>
    <w:rsid w:val="004610D2"/>
    <w:rsid w:val="00461152"/>
    <w:rsid w:val="00461237"/>
    <w:rsid w:val="004612FA"/>
    <w:rsid w:val="00461421"/>
    <w:rsid w:val="004614D9"/>
    <w:rsid w:val="00461A60"/>
    <w:rsid w:val="00461A78"/>
    <w:rsid w:val="00461E7F"/>
    <w:rsid w:val="00461FF0"/>
    <w:rsid w:val="0046213B"/>
    <w:rsid w:val="004629CC"/>
    <w:rsid w:val="00462F81"/>
    <w:rsid w:val="00462FFC"/>
    <w:rsid w:val="00463168"/>
    <w:rsid w:val="0046316A"/>
    <w:rsid w:val="0046341A"/>
    <w:rsid w:val="00463476"/>
    <w:rsid w:val="0046348B"/>
    <w:rsid w:val="0046391E"/>
    <w:rsid w:val="00463A73"/>
    <w:rsid w:val="00463B5A"/>
    <w:rsid w:val="00463BFA"/>
    <w:rsid w:val="00463C0C"/>
    <w:rsid w:val="00464366"/>
    <w:rsid w:val="004643B4"/>
    <w:rsid w:val="004643B6"/>
    <w:rsid w:val="0046486B"/>
    <w:rsid w:val="004648B7"/>
    <w:rsid w:val="0046497C"/>
    <w:rsid w:val="00464C9C"/>
    <w:rsid w:val="00464D0C"/>
    <w:rsid w:val="00464F33"/>
    <w:rsid w:val="00465096"/>
    <w:rsid w:val="00465250"/>
    <w:rsid w:val="004654CF"/>
    <w:rsid w:val="00465552"/>
    <w:rsid w:val="00465647"/>
    <w:rsid w:val="00465D38"/>
    <w:rsid w:val="00465E68"/>
    <w:rsid w:val="00466748"/>
    <w:rsid w:val="004667E9"/>
    <w:rsid w:val="00466A1B"/>
    <w:rsid w:val="00466AF0"/>
    <w:rsid w:val="00466EE9"/>
    <w:rsid w:val="00467148"/>
    <w:rsid w:val="0046719B"/>
    <w:rsid w:val="00467316"/>
    <w:rsid w:val="004679FC"/>
    <w:rsid w:val="00467DB9"/>
    <w:rsid w:val="004705E8"/>
    <w:rsid w:val="0047088D"/>
    <w:rsid w:val="00470917"/>
    <w:rsid w:val="004709A5"/>
    <w:rsid w:val="00470AE6"/>
    <w:rsid w:val="00470BD6"/>
    <w:rsid w:val="00470CDE"/>
    <w:rsid w:val="00470DF2"/>
    <w:rsid w:val="0047123C"/>
    <w:rsid w:val="004712C1"/>
    <w:rsid w:val="00471456"/>
    <w:rsid w:val="00471720"/>
    <w:rsid w:val="004718C4"/>
    <w:rsid w:val="00471F2C"/>
    <w:rsid w:val="00472065"/>
    <w:rsid w:val="004722A3"/>
    <w:rsid w:val="0047287F"/>
    <w:rsid w:val="00472A03"/>
    <w:rsid w:val="00472B35"/>
    <w:rsid w:val="00472CA7"/>
    <w:rsid w:val="00472D0A"/>
    <w:rsid w:val="00472E92"/>
    <w:rsid w:val="004731E2"/>
    <w:rsid w:val="004735CC"/>
    <w:rsid w:val="00473792"/>
    <w:rsid w:val="004739A3"/>
    <w:rsid w:val="00473ECC"/>
    <w:rsid w:val="00473EED"/>
    <w:rsid w:val="00474275"/>
    <w:rsid w:val="004742DE"/>
    <w:rsid w:val="00474613"/>
    <w:rsid w:val="00474FE9"/>
    <w:rsid w:val="0047511D"/>
    <w:rsid w:val="0047555C"/>
    <w:rsid w:val="004756FB"/>
    <w:rsid w:val="00475ACB"/>
    <w:rsid w:val="00475C1D"/>
    <w:rsid w:val="00475DE5"/>
    <w:rsid w:val="0047623C"/>
    <w:rsid w:val="00476C72"/>
    <w:rsid w:val="00476D5C"/>
    <w:rsid w:val="00477083"/>
    <w:rsid w:val="00477432"/>
    <w:rsid w:val="004776C3"/>
    <w:rsid w:val="00477988"/>
    <w:rsid w:val="00477B0E"/>
    <w:rsid w:val="00477C16"/>
    <w:rsid w:val="004800B6"/>
    <w:rsid w:val="0048026E"/>
    <w:rsid w:val="004802E9"/>
    <w:rsid w:val="004806E0"/>
    <w:rsid w:val="00480B3F"/>
    <w:rsid w:val="00480BC7"/>
    <w:rsid w:val="00480C12"/>
    <w:rsid w:val="004813D7"/>
    <w:rsid w:val="0048165F"/>
    <w:rsid w:val="0048171C"/>
    <w:rsid w:val="00481FBA"/>
    <w:rsid w:val="00482285"/>
    <w:rsid w:val="00482428"/>
    <w:rsid w:val="004826F2"/>
    <w:rsid w:val="00482928"/>
    <w:rsid w:val="004829EE"/>
    <w:rsid w:val="00482CFC"/>
    <w:rsid w:val="00482E1D"/>
    <w:rsid w:val="00483433"/>
    <w:rsid w:val="004837D8"/>
    <w:rsid w:val="0048399D"/>
    <w:rsid w:val="00483F3B"/>
    <w:rsid w:val="00484300"/>
    <w:rsid w:val="0048445C"/>
    <w:rsid w:val="004849E2"/>
    <w:rsid w:val="00484F9A"/>
    <w:rsid w:val="004853E9"/>
    <w:rsid w:val="0048540F"/>
    <w:rsid w:val="004856A6"/>
    <w:rsid w:val="004858DC"/>
    <w:rsid w:val="00485AD9"/>
    <w:rsid w:val="00485E7E"/>
    <w:rsid w:val="00485FB6"/>
    <w:rsid w:val="0048628D"/>
    <w:rsid w:val="00486369"/>
    <w:rsid w:val="0048650A"/>
    <w:rsid w:val="00486AD0"/>
    <w:rsid w:val="00486B7D"/>
    <w:rsid w:val="00486CDA"/>
    <w:rsid w:val="00486F05"/>
    <w:rsid w:val="0048706A"/>
    <w:rsid w:val="004871E8"/>
    <w:rsid w:val="00487205"/>
    <w:rsid w:val="004873C6"/>
    <w:rsid w:val="00487523"/>
    <w:rsid w:val="0048762C"/>
    <w:rsid w:val="0048787F"/>
    <w:rsid w:val="00487A68"/>
    <w:rsid w:val="00487C2F"/>
    <w:rsid w:val="00487F8C"/>
    <w:rsid w:val="004901C1"/>
    <w:rsid w:val="00490298"/>
    <w:rsid w:val="004907E4"/>
    <w:rsid w:val="00490834"/>
    <w:rsid w:val="0049087B"/>
    <w:rsid w:val="00490974"/>
    <w:rsid w:val="004909C6"/>
    <w:rsid w:val="00490ACC"/>
    <w:rsid w:val="00490FA9"/>
    <w:rsid w:val="004911C0"/>
    <w:rsid w:val="0049140F"/>
    <w:rsid w:val="00491648"/>
    <w:rsid w:val="0049182F"/>
    <w:rsid w:val="004918CB"/>
    <w:rsid w:val="00491F35"/>
    <w:rsid w:val="004925F8"/>
    <w:rsid w:val="00492660"/>
    <w:rsid w:val="004926D6"/>
    <w:rsid w:val="00492AA1"/>
    <w:rsid w:val="00492EBB"/>
    <w:rsid w:val="00492FBC"/>
    <w:rsid w:val="0049329C"/>
    <w:rsid w:val="00493449"/>
    <w:rsid w:val="00493B3C"/>
    <w:rsid w:val="00493C91"/>
    <w:rsid w:val="00493E99"/>
    <w:rsid w:val="0049409D"/>
    <w:rsid w:val="0049413A"/>
    <w:rsid w:val="004944DF"/>
    <w:rsid w:val="004947C1"/>
    <w:rsid w:val="00494C36"/>
    <w:rsid w:val="00494ED4"/>
    <w:rsid w:val="004958E7"/>
    <w:rsid w:val="00496025"/>
    <w:rsid w:val="004960C8"/>
    <w:rsid w:val="00496751"/>
    <w:rsid w:val="004969F4"/>
    <w:rsid w:val="00496CC4"/>
    <w:rsid w:val="00496FF8"/>
    <w:rsid w:val="0049724E"/>
    <w:rsid w:val="004972D6"/>
    <w:rsid w:val="004973E9"/>
    <w:rsid w:val="00497705"/>
    <w:rsid w:val="00497816"/>
    <w:rsid w:val="004978C5"/>
    <w:rsid w:val="00497A1E"/>
    <w:rsid w:val="00497DDD"/>
    <w:rsid w:val="004A0255"/>
    <w:rsid w:val="004A0291"/>
    <w:rsid w:val="004A02D4"/>
    <w:rsid w:val="004A036A"/>
    <w:rsid w:val="004A0811"/>
    <w:rsid w:val="004A08C7"/>
    <w:rsid w:val="004A0956"/>
    <w:rsid w:val="004A0A64"/>
    <w:rsid w:val="004A13A5"/>
    <w:rsid w:val="004A13AB"/>
    <w:rsid w:val="004A1C1C"/>
    <w:rsid w:val="004A1E90"/>
    <w:rsid w:val="004A2117"/>
    <w:rsid w:val="004A25BA"/>
    <w:rsid w:val="004A2BAD"/>
    <w:rsid w:val="004A2F52"/>
    <w:rsid w:val="004A320B"/>
    <w:rsid w:val="004A322E"/>
    <w:rsid w:val="004A33D6"/>
    <w:rsid w:val="004A3468"/>
    <w:rsid w:val="004A3869"/>
    <w:rsid w:val="004A39A2"/>
    <w:rsid w:val="004A3B74"/>
    <w:rsid w:val="004A3C5F"/>
    <w:rsid w:val="004A3F7D"/>
    <w:rsid w:val="004A435E"/>
    <w:rsid w:val="004A45F9"/>
    <w:rsid w:val="004A494E"/>
    <w:rsid w:val="004A4A07"/>
    <w:rsid w:val="004A4B54"/>
    <w:rsid w:val="004A4B87"/>
    <w:rsid w:val="004A4BE0"/>
    <w:rsid w:val="004A4D85"/>
    <w:rsid w:val="004A4E5D"/>
    <w:rsid w:val="004A4F42"/>
    <w:rsid w:val="004A5227"/>
    <w:rsid w:val="004A5567"/>
    <w:rsid w:val="004A5775"/>
    <w:rsid w:val="004A58A7"/>
    <w:rsid w:val="004A5A6B"/>
    <w:rsid w:val="004A5B2A"/>
    <w:rsid w:val="004A6041"/>
    <w:rsid w:val="004A62AC"/>
    <w:rsid w:val="004A6A5D"/>
    <w:rsid w:val="004A72FC"/>
    <w:rsid w:val="004A7357"/>
    <w:rsid w:val="004A7DD3"/>
    <w:rsid w:val="004A7F11"/>
    <w:rsid w:val="004B05D9"/>
    <w:rsid w:val="004B07FF"/>
    <w:rsid w:val="004B0904"/>
    <w:rsid w:val="004B0D11"/>
    <w:rsid w:val="004B14C6"/>
    <w:rsid w:val="004B17FB"/>
    <w:rsid w:val="004B1BE7"/>
    <w:rsid w:val="004B1C3E"/>
    <w:rsid w:val="004B1E5E"/>
    <w:rsid w:val="004B1E83"/>
    <w:rsid w:val="004B2192"/>
    <w:rsid w:val="004B292B"/>
    <w:rsid w:val="004B2AA4"/>
    <w:rsid w:val="004B2B76"/>
    <w:rsid w:val="004B2DA1"/>
    <w:rsid w:val="004B30C5"/>
    <w:rsid w:val="004B3439"/>
    <w:rsid w:val="004B35E0"/>
    <w:rsid w:val="004B38B4"/>
    <w:rsid w:val="004B38BA"/>
    <w:rsid w:val="004B3F76"/>
    <w:rsid w:val="004B404E"/>
    <w:rsid w:val="004B41BD"/>
    <w:rsid w:val="004B4494"/>
    <w:rsid w:val="004B480D"/>
    <w:rsid w:val="004B481E"/>
    <w:rsid w:val="004B4D8B"/>
    <w:rsid w:val="004B53B2"/>
    <w:rsid w:val="004B565E"/>
    <w:rsid w:val="004B56CE"/>
    <w:rsid w:val="004B5A9C"/>
    <w:rsid w:val="004B5ABD"/>
    <w:rsid w:val="004B5B79"/>
    <w:rsid w:val="004B5CE0"/>
    <w:rsid w:val="004B5E45"/>
    <w:rsid w:val="004B5FCD"/>
    <w:rsid w:val="004B68AE"/>
    <w:rsid w:val="004B706D"/>
    <w:rsid w:val="004B71A6"/>
    <w:rsid w:val="004B72EB"/>
    <w:rsid w:val="004B733E"/>
    <w:rsid w:val="004B7455"/>
    <w:rsid w:val="004B758D"/>
    <w:rsid w:val="004B77FD"/>
    <w:rsid w:val="004B794F"/>
    <w:rsid w:val="004B7A4E"/>
    <w:rsid w:val="004B7B36"/>
    <w:rsid w:val="004B7C4B"/>
    <w:rsid w:val="004B7EC3"/>
    <w:rsid w:val="004C0124"/>
    <w:rsid w:val="004C0308"/>
    <w:rsid w:val="004C0681"/>
    <w:rsid w:val="004C0717"/>
    <w:rsid w:val="004C088F"/>
    <w:rsid w:val="004C0D50"/>
    <w:rsid w:val="004C0E84"/>
    <w:rsid w:val="004C11B0"/>
    <w:rsid w:val="004C12E6"/>
    <w:rsid w:val="004C137B"/>
    <w:rsid w:val="004C19B3"/>
    <w:rsid w:val="004C19B7"/>
    <w:rsid w:val="004C19E7"/>
    <w:rsid w:val="004C1CBF"/>
    <w:rsid w:val="004C1CC8"/>
    <w:rsid w:val="004C1F44"/>
    <w:rsid w:val="004C2014"/>
    <w:rsid w:val="004C2264"/>
    <w:rsid w:val="004C23C1"/>
    <w:rsid w:val="004C2C0B"/>
    <w:rsid w:val="004C2C43"/>
    <w:rsid w:val="004C32F1"/>
    <w:rsid w:val="004C3A62"/>
    <w:rsid w:val="004C3BD9"/>
    <w:rsid w:val="004C3C44"/>
    <w:rsid w:val="004C3F4F"/>
    <w:rsid w:val="004C4254"/>
    <w:rsid w:val="004C42FE"/>
    <w:rsid w:val="004C4702"/>
    <w:rsid w:val="004C475D"/>
    <w:rsid w:val="004C5E1B"/>
    <w:rsid w:val="004C6247"/>
    <w:rsid w:val="004C6708"/>
    <w:rsid w:val="004C6735"/>
    <w:rsid w:val="004C68B9"/>
    <w:rsid w:val="004C68C2"/>
    <w:rsid w:val="004C6B99"/>
    <w:rsid w:val="004C7514"/>
    <w:rsid w:val="004C7957"/>
    <w:rsid w:val="004C7E16"/>
    <w:rsid w:val="004D00CE"/>
    <w:rsid w:val="004D04AE"/>
    <w:rsid w:val="004D097F"/>
    <w:rsid w:val="004D0C84"/>
    <w:rsid w:val="004D0E78"/>
    <w:rsid w:val="004D109B"/>
    <w:rsid w:val="004D113E"/>
    <w:rsid w:val="004D1737"/>
    <w:rsid w:val="004D175B"/>
    <w:rsid w:val="004D1811"/>
    <w:rsid w:val="004D1D51"/>
    <w:rsid w:val="004D1E00"/>
    <w:rsid w:val="004D20E0"/>
    <w:rsid w:val="004D21B6"/>
    <w:rsid w:val="004D21C0"/>
    <w:rsid w:val="004D2206"/>
    <w:rsid w:val="004D2708"/>
    <w:rsid w:val="004D2842"/>
    <w:rsid w:val="004D2992"/>
    <w:rsid w:val="004D29EB"/>
    <w:rsid w:val="004D2E68"/>
    <w:rsid w:val="004D3370"/>
    <w:rsid w:val="004D358F"/>
    <w:rsid w:val="004D3776"/>
    <w:rsid w:val="004D3950"/>
    <w:rsid w:val="004D3A76"/>
    <w:rsid w:val="004D40CE"/>
    <w:rsid w:val="004D4775"/>
    <w:rsid w:val="004D48A2"/>
    <w:rsid w:val="004D5004"/>
    <w:rsid w:val="004D5029"/>
    <w:rsid w:val="004D528A"/>
    <w:rsid w:val="004D5338"/>
    <w:rsid w:val="004D62CC"/>
    <w:rsid w:val="004D689E"/>
    <w:rsid w:val="004D6ACD"/>
    <w:rsid w:val="004D6B4C"/>
    <w:rsid w:val="004D6BE2"/>
    <w:rsid w:val="004D6D03"/>
    <w:rsid w:val="004D6E8D"/>
    <w:rsid w:val="004D7746"/>
    <w:rsid w:val="004D77FF"/>
    <w:rsid w:val="004D7A59"/>
    <w:rsid w:val="004D7D90"/>
    <w:rsid w:val="004D7DF8"/>
    <w:rsid w:val="004D7E3E"/>
    <w:rsid w:val="004D7F08"/>
    <w:rsid w:val="004E0145"/>
    <w:rsid w:val="004E0181"/>
    <w:rsid w:val="004E042F"/>
    <w:rsid w:val="004E0613"/>
    <w:rsid w:val="004E079A"/>
    <w:rsid w:val="004E090C"/>
    <w:rsid w:val="004E0A08"/>
    <w:rsid w:val="004E0EE7"/>
    <w:rsid w:val="004E0EFB"/>
    <w:rsid w:val="004E13A3"/>
    <w:rsid w:val="004E144D"/>
    <w:rsid w:val="004E1583"/>
    <w:rsid w:val="004E1DA6"/>
    <w:rsid w:val="004E22B2"/>
    <w:rsid w:val="004E23C7"/>
    <w:rsid w:val="004E24A3"/>
    <w:rsid w:val="004E24F3"/>
    <w:rsid w:val="004E28FE"/>
    <w:rsid w:val="004E2EB0"/>
    <w:rsid w:val="004E30D0"/>
    <w:rsid w:val="004E329E"/>
    <w:rsid w:val="004E33EE"/>
    <w:rsid w:val="004E3838"/>
    <w:rsid w:val="004E38B7"/>
    <w:rsid w:val="004E4118"/>
    <w:rsid w:val="004E41B6"/>
    <w:rsid w:val="004E4275"/>
    <w:rsid w:val="004E43E3"/>
    <w:rsid w:val="004E4493"/>
    <w:rsid w:val="004E44CE"/>
    <w:rsid w:val="004E4512"/>
    <w:rsid w:val="004E4534"/>
    <w:rsid w:val="004E45E1"/>
    <w:rsid w:val="004E4804"/>
    <w:rsid w:val="004E4B71"/>
    <w:rsid w:val="004E4DDD"/>
    <w:rsid w:val="004E5097"/>
    <w:rsid w:val="004E512E"/>
    <w:rsid w:val="004E512F"/>
    <w:rsid w:val="004E5B44"/>
    <w:rsid w:val="004E5F76"/>
    <w:rsid w:val="004E601C"/>
    <w:rsid w:val="004E60B3"/>
    <w:rsid w:val="004E61FA"/>
    <w:rsid w:val="004E6420"/>
    <w:rsid w:val="004E670C"/>
    <w:rsid w:val="004E67FB"/>
    <w:rsid w:val="004E6C05"/>
    <w:rsid w:val="004E6EFE"/>
    <w:rsid w:val="004E7644"/>
    <w:rsid w:val="004E7693"/>
    <w:rsid w:val="004E7711"/>
    <w:rsid w:val="004E78F8"/>
    <w:rsid w:val="004E7914"/>
    <w:rsid w:val="004F01CC"/>
    <w:rsid w:val="004F0425"/>
    <w:rsid w:val="004F048A"/>
    <w:rsid w:val="004F0B88"/>
    <w:rsid w:val="004F0C01"/>
    <w:rsid w:val="004F0E83"/>
    <w:rsid w:val="004F10F4"/>
    <w:rsid w:val="004F1285"/>
    <w:rsid w:val="004F1B03"/>
    <w:rsid w:val="004F1D5E"/>
    <w:rsid w:val="004F23F5"/>
    <w:rsid w:val="004F2849"/>
    <w:rsid w:val="004F2901"/>
    <w:rsid w:val="004F2EDF"/>
    <w:rsid w:val="004F2FE1"/>
    <w:rsid w:val="004F31F9"/>
    <w:rsid w:val="004F34E3"/>
    <w:rsid w:val="004F38B0"/>
    <w:rsid w:val="004F3DA8"/>
    <w:rsid w:val="004F3E78"/>
    <w:rsid w:val="004F3E7D"/>
    <w:rsid w:val="004F40A0"/>
    <w:rsid w:val="004F45D4"/>
    <w:rsid w:val="004F5034"/>
    <w:rsid w:val="004F5176"/>
    <w:rsid w:val="004F51CC"/>
    <w:rsid w:val="004F551B"/>
    <w:rsid w:val="004F5573"/>
    <w:rsid w:val="004F57DD"/>
    <w:rsid w:val="004F5DA9"/>
    <w:rsid w:val="004F641B"/>
    <w:rsid w:val="004F666A"/>
    <w:rsid w:val="004F6785"/>
    <w:rsid w:val="004F68DE"/>
    <w:rsid w:val="004F6A2E"/>
    <w:rsid w:val="004F6B05"/>
    <w:rsid w:val="004F6B60"/>
    <w:rsid w:val="004F6C63"/>
    <w:rsid w:val="004F768D"/>
    <w:rsid w:val="004F76BB"/>
    <w:rsid w:val="004F793C"/>
    <w:rsid w:val="005005ED"/>
    <w:rsid w:val="00500C26"/>
    <w:rsid w:val="00500D33"/>
    <w:rsid w:val="00500E0A"/>
    <w:rsid w:val="00500F96"/>
    <w:rsid w:val="00500FC4"/>
    <w:rsid w:val="005013F3"/>
    <w:rsid w:val="00501437"/>
    <w:rsid w:val="0050152F"/>
    <w:rsid w:val="00501CB0"/>
    <w:rsid w:val="00501CF1"/>
    <w:rsid w:val="00501FD0"/>
    <w:rsid w:val="0050240A"/>
    <w:rsid w:val="00502454"/>
    <w:rsid w:val="00502BFB"/>
    <w:rsid w:val="00502C98"/>
    <w:rsid w:val="00502DEE"/>
    <w:rsid w:val="00503176"/>
    <w:rsid w:val="00503380"/>
    <w:rsid w:val="00503418"/>
    <w:rsid w:val="00503425"/>
    <w:rsid w:val="005036A1"/>
    <w:rsid w:val="005037BF"/>
    <w:rsid w:val="0050396A"/>
    <w:rsid w:val="00503C2F"/>
    <w:rsid w:val="00503CE8"/>
    <w:rsid w:val="00503DC3"/>
    <w:rsid w:val="00503FA5"/>
    <w:rsid w:val="005040FD"/>
    <w:rsid w:val="005043E5"/>
    <w:rsid w:val="0050456D"/>
    <w:rsid w:val="005050FE"/>
    <w:rsid w:val="00505401"/>
    <w:rsid w:val="005058B6"/>
    <w:rsid w:val="005058F8"/>
    <w:rsid w:val="00505A35"/>
    <w:rsid w:val="00505A83"/>
    <w:rsid w:val="00505CDA"/>
    <w:rsid w:val="00506579"/>
    <w:rsid w:val="005067EB"/>
    <w:rsid w:val="005068BA"/>
    <w:rsid w:val="00506BD9"/>
    <w:rsid w:val="00507082"/>
    <w:rsid w:val="00507290"/>
    <w:rsid w:val="005074E4"/>
    <w:rsid w:val="00507675"/>
    <w:rsid w:val="0050769D"/>
    <w:rsid w:val="00507892"/>
    <w:rsid w:val="005079AE"/>
    <w:rsid w:val="005079B8"/>
    <w:rsid w:val="00507CEE"/>
    <w:rsid w:val="00507DE7"/>
    <w:rsid w:val="00507EB9"/>
    <w:rsid w:val="005100D7"/>
    <w:rsid w:val="00510DC2"/>
    <w:rsid w:val="0051105A"/>
    <w:rsid w:val="005111F6"/>
    <w:rsid w:val="00511315"/>
    <w:rsid w:val="005115CF"/>
    <w:rsid w:val="005117E7"/>
    <w:rsid w:val="005117F8"/>
    <w:rsid w:val="00511850"/>
    <w:rsid w:val="00511898"/>
    <w:rsid w:val="00511D8B"/>
    <w:rsid w:val="00511E2D"/>
    <w:rsid w:val="00511E6B"/>
    <w:rsid w:val="00512016"/>
    <w:rsid w:val="00512196"/>
    <w:rsid w:val="00512815"/>
    <w:rsid w:val="00512DBF"/>
    <w:rsid w:val="00513082"/>
    <w:rsid w:val="005131BC"/>
    <w:rsid w:val="00513B3A"/>
    <w:rsid w:val="00513F9C"/>
    <w:rsid w:val="00514291"/>
    <w:rsid w:val="00514349"/>
    <w:rsid w:val="00514394"/>
    <w:rsid w:val="00515111"/>
    <w:rsid w:val="00515258"/>
    <w:rsid w:val="005153AE"/>
    <w:rsid w:val="00515A4C"/>
    <w:rsid w:val="00515B98"/>
    <w:rsid w:val="00515C59"/>
    <w:rsid w:val="00515DFA"/>
    <w:rsid w:val="00515E52"/>
    <w:rsid w:val="00515EB1"/>
    <w:rsid w:val="0051605B"/>
    <w:rsid w:val="0051636A"/>
    <w:rsid w:val="005163B5"/>
    <w:rsid w:val="005166BB"/>
    <w:rsid w:val="00516CCC"/>
    <w:rsid w:val="0051725E"/>
    <w:rsid w:val="00517315"/>
    <w:rsid w:val="00517711"/>
    <w:rsid w:val="005178A3"/>
    <w:rsid w:val="005179BE"/>
    <w:rsid w:val="00517B7A"/>
    <w:rsid w:val="00517CC2"/>
    <w:rsid w:val="0052019D"/>
    <w:rsid w:val="00520265"/>
    <w:rsid w:val="00520651"/>
    <w:rsid w:val="005208C7"/>
    <w:rsid w:val="0052095A"/>
    <w:rsid w:val="00520B03"/>
    <w:rsid w:val="00520CE8"/>
    <w:rsid w:val="005211EE"/>
    <w:rsid w:val="005216DC"/>
    <w:rsid w:val="0052181A"/>
    <w:rsid w:val="00521A52"/>
    <w:rsid w:val="00521F68"/>
    <w:rsid w:val="005221A6"/>
    <w:rsid w:val="005221D2"/>
    <w:rsid w:val="00522263"/>
    <w:rsid w:val="0052269E"/>
    <w:rsid w:val="005229CD"/>
    <w:rsid w:val="005231B1"/>
    <w:rsid w:val="0052328A"/>
    <w:rsid w:val="0052347B"/>
    <w:rsid w:val="00523DC0"/>
    <w:rsid w:val="005240E5"/>
    <w:rsid w:val="005243F7"/>
    <w:rsid w:val="005243FD"/>
    <w:rsid w:val="00524659"/>
    <w:rsid w:val="00524767"/>
    <w:rsid w:val="00524CCA"/>
    <w:rsid w:val="00525832"/>
    <w:rsid w:val="00525B78"/>
    <w:rsid w:val="00525CCA"/>
    <w:rsid w:val="00525DC7"/>
    <w:rsid w:val="00525F3C"/>
    <w:rsid w:val="00526481"/>
    <w:rsid w:val="00526657"/>
    <w:rsid w:val="00526796"/>
    <w:rsid w:val="005267EE"/>
    <w:rsid w:val="00526C47"/>
    <w:rsid w:val="00526D1C"/>
    <w:rsid w:val="00526EBE"/>
    <w:rsid w:val="005273C3"/>
    <w:rsid w:val="005275D4"/>
    <w:rsid w:val="0052792B"/>
    <w:rsid w:val="00527983"/>
    <w:rsid w:val="005279CF"/>
    <w:rsid w:val="005300BA"/>
    <w:rsid w:val="0053055C"/>
    <w:rsid w:val="0053083F"/>
    <w:rsid w:val="00530969"/>
    <w:rsid w:val="00530B82"/>
    <w:rsid w:val="0053112C"/>
    <w:rsid w:val="005313EC"/>
    <w:rsid w:val="00531AA2"/>
    <w:rsid w:val="00531D47"/>
    <w:rsid w:val="00531E0C"/>
    <w:rsid w:val="00531FAC"/>
    <w:rsid w:val="00532286"/>
    <w:rsid w:val="00532539"/>
    <w:rsid w:val="005327FD"/>
    <w:rsid w:val="00532C6D"/>
    <w:rsid w:val="00532C81"/>
    <w:rsid w:val="00532F13"/>
    <w:rsid w:val="00533095"/>
    <w:rsid w:val="005330F2"/>
    <w:rsid w:val="005331A8"/>
    <w:rsid w:val="0053381A"/>
    <w:rsid w:val="00533A8A"/>
    <w:rsid w:val="00533CF4"/>
    <w:rsid w:val="00533ED4"/>
    <w:rsid w:val="00534129"/>
    <w:rsid w:val="0053447C"/>
    <w:rsid w:val="0053479E"/>
    <w:rsid w:val="005349D3"/>
    <w:rsid w:val="00534CE0"/>
    <w:rsid w:val="00534FEC"/>
    <w:rsid w:val="0053563B"/>
    <w:rsid w:val="005356FE"/>
    <w:rsid w:val="00535AF8"/>
    <w:rsid w:val="00535D97"/>
    <w:rsid w:val="005361AE"/>
    <w:rsid w:val="005363E1"/>
    <w:rsid w:val="00536707"/>
    <w:rsid w:val="00536ABD"/>
    <w:rsid w:val="00536C08"/>
    <w:rsid w:val="00536C3C"/>
    <w:rsid w:val="00536EDC"/>
    <w:rsid w:val="00536FBD"/>
    <w:rsid w:val="0053742D"/>
    <w:rsid w:val="005374C6"/>
    <w:rsid w:val="00537915"/>
    <w:rsid w:val="005401AF"/>
    <w:rsid w:val="005407A2"/>
    <w:rsid w:val="005408B4"/>
    <w:rsid w:val="005409A9"/>
    <w:rsid w:val="00540A36"/>
    <w:rsid w:val="00540A98"/>
    <w:rsid w:val="0054195E"/>
    <w:rsid w:val="00541975"/>
    <w:rsid w:val="00541BE4"/>
    <w:rsid w:val="00541C73"/>
    <w:rsid w:val="00541C78"/>
    <w:rsid w:val="00541FA5"/>
    <w:rsid w:val="005421BF"/>
    <w:rsid w:val="00542234"/>
    <w:rsid w:val="00542290"/>
    <w:rsid w:val="00542721"/>
    <w:rsid w:val="00542815"/>
    <w:rsid w:val="00542B48"/>
    <w:rsid w:val="0054331A"/>
    <w:rsid w:val="0054335C"/>
    <w:rsid w:val="005433B6"/>
    <w:rsid w:val="0054372C"/>
    <w:rsid w:val="00543A78"/>
    <w:rsid w:val="00543ABD"/>
    <w:rsid w:val="0054409B"/>
    <w:rsid w:val="00544488"/>
    <w:rsid w:val="005444B1"/>
    <w:rsid w:val="0054476B"/>
    <w:rsid w:val="0054495C"/>
    <w:rsid w:val="00544A44"/>
    <w:rsid w:val="00544AF6"/>
    <w:rsid w:val="00544E8A"/>
    <w:rsid w:val="00545459"/>
    <w:rsid w:val="00545490"/>
    <w:rsid w:val="00545710"/>
    <w:rsid w:val="0054571D"/>
    <w:rsid w:val="00545849"/>
    <w:rsid w:val="0054598F"/>
    <w:rsid w:val="00545FA5"/>
    <w:rsid w:val="005460FA"/>
    <w:rsid w:val="00546E82"/>
    <w:rsid w:val="00546FB6"/>
    <w:rsid w:val="00547473"/>
    <w:rsid w:val="005476D6"/>
    <w:rsid w:val="00547746"/>
    <w:rsid w:val="005478C9"/>
    <w:rsid w:val="0054799D"/>
    <w:rsid w:val="00547B38"/>
    <w:rsid w:val="00547E64"/>
    <w:rsid w:val="005502D0"/>
    <w:rsid w:val="005510D6"/>
    <w:rsid w:val="00551F16"/>
    <w:rsid w:val="0055235B"/>
    <w:rsid w:val="005524B9"/>
    <w:rsid w:val="00552AB3"/>
    <w:rsid w:val="00552B0D"/>
    <w:rsid w:val="00552F3C"/>
    <w:rsid w:val="005532A2"/>
    <w:rsid w:val="00553A13"/>
    <w:rsid w:val="00553C8C"/>
    <w:rsid w:val="00553D7D"/>
    <w:rsid w:val="00554547"/>
    <w:rsid w:val="00554600"/>
    <w:rsid w:val="00554612"/>
    <w:rsid w:val="00554885"/>
    <w:rsid w:val="00554AA2"/>
    <w:rsid w:val="00554BEE"/>
    <w:rsid w:val="00554BFB"/>
    <w:rsid w:val="005554E6"/>
    <w:rsid w:val="00555A44"/>
    <w:rsid w:val="00555C17"/>
    <w:rsid w:val="005563B9"/>
    <w:rsid w:val="005563D0"/>
    <w:rsid w:val="0055681A"/>
    <w:rsid w:val="00556AF2"/>
    <w:rsid w:val="00556B5A"/>
    <w:rsid w:val="00556D62"/>
    <w:rsid w:val="005573E9"/>
    <w:rsid w:val="005579D1"/>
    <w:rsid w:val="00557DFB"/>
    <w:rsid w:val="00560039"/>
    <w:rsid w:val="00560528"/>
    <w:rsid w:val="00560595"/>
    <w:rsid w:val="005606C7"/>
    <w:rsid w:val="00560763"/>
    <w:rsid w:val="0056083B"/>
    <w:rsid w:val="00560B18"/>
    <w:rsid w:val="00560B23"/>
    <w:rsid w:val="00560D58"/>
    <w:rsid w:val="00561686"/>
    <w:rsid w:val="00561AF8"/>
    <w:rsid w:val="00561D42"/>
    <w:rsid w:val="00561E8B"/>
    <w:rsid w:val="00562663"/>
    <w:rsid w:val="0056284B"/>
    <w:rsid w:val="00562877"/>
    <w:rsid w:val="00562A27"/>
    <w:rsid w:val="00562AD2"/>
    <w:rsid w:val="00562C0C"/>
    <w:rsid w:val="00562C7A"/>
    <w:rsid w:val="00562DFC"/>
    <w:rsid w:val="00562F95"/>
    <w:rsid w:val="00562FDF"/>
    <w:rsid w:val="00563318"/>
    <w:rsid w:val="00563784"/>
    <w:rsid w:val="00563A38"/>
    <w:rsid w:val="00563B7C"/>
    <w:rsid w:val="00563C4B"/>
    <w:rsid w:val="005640C2"/>
    <w:rsid w:val="00564923"/>
    <w:rsid w:val="005652D6"/>
    <w:rsid w:val="0056567E"/>
    <w:rsid w:val="00565715"/>
    <w:rsid w:val="005657E5"/>
    <w:rsid w:val="00565802"/>
    <w:rsid w:val="005658BF"/>
    <w:rsid w:val="00565F54"/>
    <w:rsid w:val="00566090"/>
    <w:rsid w:val="005662A2"/>
    <w:rsid w:val="00566392"/>
    <w:rsid w:val="00566486"/>
    <w:rsid w:val="0056653D"/>
    <w:rsid w:val="0056699D"/>
    <w:rsid w:val="00566B94"/>
    <w:rsid w:val="00566CD3"/>
    <w:rsid w:val="00566D9F"/>
    <w:rsid w:val="00566F16"/>
    <w:rsid w:val="0056781D"/>
    <w:rsid w:val="00567AC0"/>
    <w:rsid w:val="00567EBE"/>
    <w:rsid w:val="005709FD"/>
    <w:rsid w:val="00570BD1"/>
    <w:rsid w:val="00570C01"/>
    <w:rsid w:val="00570D29"/>
    <w:rsid w:val="00571064"/>
    <w:rsid w:val="00571627"/>
    <w:rsid w:val="00571722"/>
    <w:rsid w:val="00571961"/>
    <w:rsid w:val="00571972"/>
    <w:rsid w:val="00571A27"/>
    <w:rsid w:val="00571CFE"/>
    <w:rsid w:val="00571F1B"/>
    <w:rsid w:val="005722D0"/>
    <w:rsid w:val="005723F3"/>
    <w:rsid w:val="0057283A"/>
    <w:rsid w:val="00572D6F"/>
    <w:rsid w:val="005732F8"/>
    <w:rsid w:val="005735AF"/>
    <w:rsid w:val="0057373A"/>
    <w:rsid w:val="005737DE"/>
    <w:rsid w:val="00573947"/>
    <w:rsid w:val="00573AA4"/>
    <w:rsid w:val="00573BEE"/>
    <w:rsid w:val="00573D8B"/>
    <w:rsid w:val="00573E11"/>
    <w:rsid w:val="00573F30"/>
    <w:rsid w:val="0057413A"/>
    <w:rsid w:val="005743DD"/>
    <w:rsid w:val="00574758"/>
    <w:rsid w:val="00574818"/>
    <w:rsid w:val="00574E65"/>
    <w:rsid w:val="00575127"/>
    <w:rsid w:val="00575630"/>
    <w:rsid w:val="00575AC7"/>
    <w:rsid w:val="00575B47"/>
    <w:rsid w:val="00576168"/>
    <w:rsid w:val="0057678F"/>
    <w:rsid w:val="005769F6"/>
    <w:rsid w:val="00576CC1"/>
    <w:rsid w:val="00576F5F"/>
    <w:rsid w:val="00576FC2"/>
    <w:rsid w:val="00577133"/>
    <w:rsid w:val="00577282"/>
    <w:rsid w:val="005772AB"/>
    <w:rsid w:val="005772CE"/>
    <w:rsid w:val="00577454"/>
    <w:rsid w:val="00577528"/>
    <w:rsid w:val="00577553"/>
    <w:rsid w:val="00577C96"/>
    <w:rsid w:val="00577C98"/>
    <w:rsid w:val="005803EE"/>
    <w:rsid w:val="00580556"/>
    <w:rsid w:val="005806C6"/>
    <w:rsid w:val="00580914"/>
    <w:rsid w:val="00580B47"/>
    <w:rsid w:val="00581428"/>
    <w:rsid w:val="0058172B"/>
    <w:rsid w:val="0058189B"/>
    <w:rsid w:val="00581FDF"/>
    <w:rsid w:val="005820B9"/>
    <w:rsid w:val="005821E2"/>
    <w:rsid w:val="00582455"/>
    <w:rsid w:val="005827D2"/>
    <w:rsid w:val="005829DE"/>
    <w:rsid w:val="00582D4D"/>
    <w:rsid w:val="005831A8"/>
    <w:rsid w:val="005836EB"/>
    <w:rsid w:val="00583752"/>
    <w:rsid w:val="00583852"/>
    <w:rsid w:val="00583B70"/>
    <w:rsid w:val="00583EFC"/>
    <w:rsid w:val="00583F28"/>
    <w:rsid w:val="00584127"/>
    <w:rsid w:val="00584157"/>
    <w:rsid w:val="00584274"/>
    <w:rsid w:val="00584384"/>
    <w:rsid w:val="0058459A"/>
    <w:rsid w:val="00584693"/>
    <w:rsid w:val="00584705"/>
    <w:rsid w:val="00584AC3"/>
    <w:rsid w:val="00584AF5"/>
    <w:rsid w:val="00584C2B"/>
    <w:rsid w:val="00584DF9"/>
    <w:rsid w:val="00584EE9"/>
    <w:rsid w:val="00584F7F"/>
    <w:rsid w:val="00584FC1"/>
    <w:rsid w:val="00584FDF"/>
    <w:rsid w:val="0058509E"/>
    <w:rsid w:val="005852E1"/>
    <w:rsid w:val="0058575B"/>
    <w:rsid w:val="00585B44"/>
    <w:rsid w:val="00585B68"/>
    <w:rsid w:val="0058617D"/>
    <w:rsid w:val="0058634C"/>
    <w:rsid w:val="00586367"/>
    <w:rsid w:val="0058641A"/>
    <w:rsid w:val="00586818"/>
    <w:rsid w:val="00586940"/>
    <w:rsid w:val="005869E2"/>
    <w:rsid w:val="00586E14"/>
    <w:rsid w:val="0058702B"/>
    <w:rsid w:val="00587275"/>
    <w:rsid w:val="0059002D"/>
    <w:rsid w:val="00590213"/>
    <w:rsid w:val="00590441"/>
    <w:rsid w:val="00590A25"/>
    <w:rsid w:val="00590ABB"/>
    <w:rsid w:val="00590AFA"/>
    <w:rsid w:val="00590C36"/>
    <w:rsid w:val="00590C7A"/>
    <w:rsid w:val="00590EA9"/>
    <w:rsid w:val="00590F10"/>
    <w:rsid w:val="0059160A"/>
    <w:rsid w:val="00591A4B"/>
    <w:rsid w:val="00591B98"/>
    <w:rsid w:val="00592573"/>
    <w:rsid w:val="00592919"/>
    <w:rsid w:val="00592983"/>
    <w:rsid w:val="00592BEA"/>
    <w:rsid w:val="00593370"/>
    <w:rsid w:val="0059397D"/>
    <w:rsid w:val="00593CBE"/>
    <w:rsid w:val="00593DB2"/>
    <w:rsid w:val="0059402F"/>
    <w:rsid w:val="005941AA"/>
    <w:rsid w:val="005941CC"/>
    <w:rsid w:val="0059427A"/>
    <w:rsid w:val="005942DE"/>
    <w:rsid w:val="00594509"/>
    <w:rsid w:val="0059463B"/>
    <w:rsid w:val="00594B50"/>
    <w:rsid w:val="00594BA7"/>
    <w:rsid w:val="00596415"/>
    <w:rsid w:val="00596645"/>
    <w:rsid w:val="00596A9B"/>
    <w:rsid w:val="005972BF"/>
    <w:rsid w:val="00597C16"/>
    <w:rsid w:val="005A023D"/>
    <w:rsid w:val="005A027C"/>
    <w:rsid w:val="005A0313"/>
    <w:rsid w:val="005A0650"/>
    <w:rsid w:val="005A085F"/>
    <w:rsid w:val="005A08B9"/>
    <w:rsid w:val="005A0B5F"/>
    <w:rsid w:val="005A0BE2"/>
    <w:rsid w:val="005A0C30"/>
    <w:rsid w:val="005A0D80"/>
    <w:rsid w:val="005A0F3D"/>
    <w:rsid w:val="005A0FD4"/>
    <w:rsid w:val="005A10F5"/>
    <w:rsid w:val="005A1100"/>
    <w:rsid w:val="005A18B3"/>
    <w:rsid w:val="005A1D40"/>
    <w:rsid w:val="005A1DD9"/>
    <w:rsid w:val="005A2027"/>
    <w:rsid w:val="005A2105"/>
    <w:rsid w:val="005A221B"/>
    <w:rsid w:val="005A274F"/>
    <w:rsid w:val="005A28AF"/>
    <w:rsid w:val="005A29EA"/>
    <w:rsid w:val="005A3E8F"/>
    <w:rsid w:val="005A4491"/>
    <w:rsid w:val="005A483F"/>
    <w:rsid w:val="005A4876"/>
    <w:rsid w:val="005A48F8"/>
    <w:rsid w:val="005A490E"/>
    <w:rsid w:val="005A49DD"/>
    <w:rsid w:val="005A4AC3"/>
    <w:rsid w:val="005A525B"/>
    <w:rsid w:val="005A5611"/>
    <w:rsid w:val="005A5740"/>
    <w:rsid w:val="005A5A19"/>
    <w:rsid w:val="005A5B81"/>
    <w:rsid w:val="005A5E8C"/>
    <w:rsid w:val="005A5FBF"/>
    <w:rsid w:val="005A60CE"/>
    <w:rsid w:val="005A63E7"/>
    <w:rsid w:val="005A6BF9"/>
    <w:rsid w:val="005A6C4D"/>
    <w:rsid w:val="005A6D15"/>
    <w:rsid w:val="005A6DDC"/>
    <w:rsid w:val="005A7220"/>
    <w:rsid w:val="005A737B"/>
    <w:rsid w:val="005A7469"/>
    <w:rsid w:val="005A74BC"/>
    <w:rsid w:val="005A76A9"/>
    <w:rsid w:val="005A7981"/>
    <w:rsid w:val="005A7B00"/>
    <w:rsid w:val="005A7C8F"/>
    <w:rsid w:val="005A7F93"/>
    <w:rsid w:val="005B0161"/>
    <w:rsid w:val="005B0245"/>
    <w:rsid w:val="005B0247"/>
    <w:rsid w:val="005B06B7"/>
    <w:rsid w:val="005B08A5"/>
    <w:rsid w:val="005B0D53"/>
    <w:rsid w:val="005B0E7D"/>
    <w:rsid w:val="005B0E9E"/>
    <w:rsid w:val="005B0EDC"/>
    <w:rsid w:val="005B1745"/>
    <w:rsid w:val="005B1DE4"/>
    <w:rsid w:val="005B1FFD"/>
    <w:rsid w:val="005B206E"/>
    <w:rsid w:val="005B2118"/>
    <w:rsid w:val="005B220F"/>
    <w:rsid w:val="005B265E"/>
    <w:rsid w:val="005B2944"/>
    <w:rsid w:val="005B303E"/>
    <w:rsid w:val="005B3065"/>
    <w:rsid w:val="005B3213"/>
    <w:rsid w:val="005B3499"/>
    <w:rsid w:val="005B3561"/>
    <w:rsid w:val="005B36F4"/>
    <w:rsid w:val="005B3700"/>
    <w:rsid w:val="005B37D1"/>
    <w:rsid w:val="005B3D74"/>
    <w:rsid w:val="005B41E4"/>
    <w:rsid w:val="005B43C1"/>
    <w:rsid w:val="005B50E0"/>
    <w:rsid w:val="005B5182"/>
    <w:rsid w:val="005B5268"/>
    <w:rsid w:val="005B549C"/>
    <w:rsid w:val="005B54AE"/>
    <w:rsid w:val="005B56AD"/>
    <w:rsid w:val="005B5C5B"/>
    <w:rsid w:val="005B608E"/>
    <w:rsid w:val="005B61F2"/>
    <w:rsid w:val="005B6805"/>
    <w:rsid w:val="005B680F"/>
    <w:rsid w:val="005B6AC4"/>
    <w:rsid w:val="005B6B32"/>
    <w:rsid w:val="005B6C1E"/>
    <w:rsid w:val="005B6F42"/>
    <w:rsid w:val="005B73D2"/>
    <w:rsid w:val="005B7999"/>
    <w:rsid w:val="005C003F"/>
    <w:rsid w:val="005C01AD"/>
    <w:rsid w:val="005C0665"/>
    <w:rsid w:val="005C06B0"/>
    <w:rsid w:val="005C0A4C"/>
    <w:rsid w:val="005C0CF1"/>
    <w:rsid w:val="005C127B"/>
    <w:rsid w:val="005C1373"/>
    <w:rsid w:val="005C1418"/>
    <w:rsid w:val="005C147B"/>
    <w:rsid w:val="005C1582"/>
    <w:rsid w:val="005C1807"/>
    <w:rsid w:val="005C1813"/>
    <w:rsid w:val="005C1826"/>
    <w:rsid w:val="005C2146"/>
    <w:rsid w:val="005C2629"/>
    <w:rsid w:val="005C2701"/>
    <w:rsid w:val="005C287F"/>
    <w:rsid w:val="005C28FF"/>
    <w:rsid w:val="005C2AE0"/>
    <w:rsid w:val="005C2BF1"/>
    <w:rsid w:val="005C2CBC"/>
    <w:rsid w:val="005C3100"/>
    <w:rsid w:val="005C31EB"/>
    <w:rsid w:val="005C3230"/>
    <w:rsid w:val="005C3511"/>
    <w:rsid w:val="005C3534"/>
    <w:rsid w:val="005C3615"/>
    <w:rsid w:val="005C381A"/>
    <w:rsid w:val="005C3965"/>
    <w:rsid w:val="005C39C6"/>
    <w:rsid w:val="005C3A39"/>
    <w:rsid w:val="005C3B55"/>
    <w:rsid w:val="005C3B70"/>
    <w:rsid w:val="005C3ED0"/>
    <w:rsid w:val="005C4095"/>
    <w:rsid w:val="005C4193"/>
    <w:rsid w:val="005C41BD"/>
    <w:rsid w:val="005C4307"/>
    <w:rsid w:val="005C430E"/>
    <w:rsid w:val="005C470D"/>
    <w:rsid w:val="005C47E6"/>
    <w:rsid w:val="005C486E"/>
    <w:rsid w:val="005C4CC6"/>
    <w:rsid w:val="005C4F80"/>
    <w:rsid w:val="005C5038"/>
    <w:rsid w:val="005C522D"/>
    <w:rsid w:val="005C52A6"/>
    <w:rsid w:val="005C54B1"/>
    <w:rsid w:val="005C55B3"/>
    <w:rsid w:val="005C58A0"/>
    <w:rsid w:val="005C59F7"/>
    <w:rsid w:val="005C5E8F"/>
    <w:rsid w:val="005C5F46"/>
    <w:rsid w:val="005C67E8"/>
    <w:rsid w:val="005C72DF"/>
    <w:rsid w:val="005C7421"/>
    <w:rsid w:val="005C770C"/>
    <w:rsid w:val="005C7B1D"/>
    <w:rsid w:val="005C7B49"/>
    <w:rsid w:val="005C7E4A"/>
    <w:rsid w:val="005C7F27"/>
    <w:rsid w:val="005C7FDE"/>
    <w:rsid w:val="005D0071"/>
    <w:rsid w:val="005D01A8"/>
    <w:rsid w:val="005D0564"/>
    <w:rsid w:val="005D089D"/>
    <w:rsid w:val="005D08BC"/>
    <w:rsid w:val="005D0C33"/>
    <w:rsid w:val="005D0CB1"/>
    <w:rsid w:val="005D0DD9"/>
    <w:rsid w:val="005D0E87"/>
    <w:rsid w:val="005D0F8E"/>
    <w:rsid w:val="005D1183"/>
    <w:rsid w:val="005D1291"/>
    <w:rsid w:val="005D1715"/>
    <w:rsid w:val="005D1861"/>
    <w:rsid w:val="005D198E"/>
    <w:rsid w:val="005D1B79"/>
    <w:rsid w:val="005D1DF3"/>
    <w:rsid w:val="005D207C"/>
    <w:rsid w:val="005D23E3"/>
    <w:rsid w:val="005D2555"/>
    <w:rsid w:val="005D261E"/>
    <w:rsid w:val="005D2D13"/>
    <w:rsid w:val="005D306B"/>
    <w:rsid w:val="005D36C1"/>
    <w:rsid w:val="005D3E6E"/>
    <w:rsid w:val="005D3FB1"/>
    <w:rsid w:val="005D407A"/>
    <w:rsid w:val="005D40A5"/>
    <w:rsid w:val="005D417A"/>
    <w:rsid w:val="005D4250"/>
    <w:rsid w:val="005D4492"/>
    <w:rsid w:val="005D4AE0"/>
    <w:rsid w:val="005D4EFC"/>
    <w:rsid w:val="005D52BC"/>
    <w:rsid w:val="005D56F6"/>
    <w:rsid w:val="005D5960"/>
    <w:rsid w:val="005D59DD"/>
    <w:rsid w:val="005D5AB1"/>
    <w:rsid w:val="005D62E6"/>
    <w:rsid w:val="005D6462"/>
    <w:rsid w:val="005D6466"/>
    <w:rsid w:val="005D64C3"/>
    <w:rsid w:val="005D6699"/>
    <w:rsid w:val="005D6AE7"/>
    <w:rsid w:val="005D6C80"/>
    <w:rsid w:val="005D6FD9"/>
    <w:rsid w:val="005D732E"/>
    <w:rsid w:val="005D739B"/>
    <w:rsid w:val="005D7408"/>
    <w:rsid w:val="005D77FD"/>
    <w:rsid w:val="005D7B80"/>
    <w:rsid w:val="005D7DB3"/>
    <w:rsid w:val="005D7E76"/>
    <w:rsid w:val="005E0201"/>
    <w:rsid w:val="005E02C2"/>
    <w:rsid w:val="005E0421"/>
    <w:rsid w:val="005E06DF"/>
    <w:rsid w:val="005E0892"/>
    <w:rsid w:val="005E0992"/>
    <w:rsid w:val="005E09E2"/>
    <w:rsid w:val="005E0BA0"/>
    <w:rsid w:val="005E0CDC"/>
    <w:rsid w:val="005E0F43"/>
    <w:rsid w:val="005E1085"/>
    <w:rsid w:val="005E1989"/>
    <w:rsid w:val="005E1E3F"/>
    <w:rsid w:val="005E204E"/>
    <w:rsid w:val="005E21C8"/>
    <w:rsid w:val="005E2452"/>
    <w:rsid w:val="005E2484"/>
    <w:rsid w:val="005E2769"/>
    <w:rsid w:val="005E286A"/>
    <w:rsid w:val="005E2A6C"/>
    <w:rsid w:val="005E2C8B"/>
    <w:rsid w:val="005E2DE8"/>
    <w:rsid w:val="005E2F0B"/>
    <w:rsid w:val="005E30FF"/>
    <w:rsid w:val="005E33E2"/>
    <w:rsid w:val="005E3727"/>
    <w:rsid w:val="005E3799"/>
    <w:rsid w:val="005E3929"/>
    <w:rsid w:val="005E3A53"/>
    <w:rsid w:val="005E3AB5"/>
    <w:rsid w:val="005E3BF6"/>
    <w:rsid w:val="005E3D44"/>
    <w:rsid w:val="005E3E52"/>
    <w:rsid w:val="005E3FDE"/>
    <w:rsid w:val="005E485A"/>
    <w:rsid w:val="005E4A84"/>
    <w:rsid w:val="005E4E08"/>
    <w:rsid w:val="005E5049"/>
    <w:rsid w:val="005E55FC"/>
    <w:rsid w:val="005E585D"/>
    <w:rsid w:val="005E58AC"/>
    <w:rsid w:val="005E5A63"/>
    <w:rsid w:val="005E5C5A"/>
    <w:rsid w:val="005E6049"/>
    <w:rsid w:val="005E6151"/>
    <w:rsid w:val="005E65AC"/>
    <w:rsid w:val="005E6BCA"/>
    <w:rsid w:val="005E6C12"/>
    <w:rsid w:val="005E6C75"/>
    <w:rsid w:val="005E7303"/>
    <w:rsid w:val="005E7370"/>
    <w:rsid w:val="005E77CD"/>
    <w:rsid w:val="005E798D"/>
    <w:rsid w:val="005E7A1A"/>
    <w:rsid w:val="005E7F0A"/>
    <w:rsid w:val="005E7F6D"/>
    <w:rsid w:val="005F01D7"/>
    <w:rsid w:val="005F07D0"/>
    <w:rsid w:val="005F0921"/>
    <w:rsid w:val="005F0985"/>
    <w:rsid w:val="005F0B24"/>
    <w:rsid w:val="005F1152"/>
    <w:rsid w:val="005F133C"/>
    <w:rsid w:val="005F150E"/>
    <w:rsid w:val="005F153E"/>
    <w:rsid w:val="005F1592"/>
    <w:rsid w:val="005F16BD"/>
    <w:rsid w:val="005F18B2"/>
    <w:rsid w:val="005F27FC"/>
    <w:rsid w:val="005F2AE0"/>
    <w:rsid w:val="005F339B"/>
    <w:rsid w:val="005F3A44"/>
    <w:rsid w:val="005F401E"/>
    <w:rsid w:val="005F4310"/>
    <w:rsid w:val="005F43FD"/>
    <w:rsid w:val="005F446D"/>
    <w:rsid w:val="005F4777"/>
    <w:rsid w:val="005F477D"/>
    <w:rsid w:val="005F4B1E"/>
    <w:rsid w:val="005F4E08"/>
    <w:rsid w:val="005F4F6B"/>
    <w:rsid w:val="005F5313"/>
    <w:rsid w:val="005F58EC"/>
    <w:rsid w:val="005F5AC4"/>
    <w:rsid w:val="005F5DE1"/>
    <w:rsid w:val="005F6076"/>
    <w:rsid w:val="005F613E"/>
    <w:rsid w:val="005F63F4"/>
    <w:rsid w:val="005F6883"/>
    <w:rsid w:val="005F692F"/>
    <w:rsid w:val="005F69F3"/>
    <w:rsid w:val="005F6AC5"/>
    <w:rsid w:val="005F6BF6"/>
    <w:rsid w:val="005F6D74"/>
    <w:rsid w:val="005F70C7"/>
    <w:rsid w:val="005F7145"/>
    <w:rsid w:val="005F736A"/>
    <w:rsid w:val="005F78C6"/>
    <w:rsid w:val="005F79D3"/>
    <w:rsid w:val="005F7CD9"/>
    <w:rsid w:val="0060008D"/>
    <w:rsid w:val="00600F56"/>
    <w:rsid w:val="00601284"/>
    <w:rsid w:val="00601C40"/>
    <w:rsid w:val="00601D07"/>
    <w:rsid w:val="00601DAB"/>
    <w:rsid w:val="0060217B"/>
    <w:rsid w:val="006023F4"/>
    <w:rsid w:val="00602596"/>
    <w:rsid w:val="006025FD"/>
    <w:rsid w:val="006026A4"/>
    <w:rsid w:val="006026D3"/>
    <w:rsid w:val="006028BA"/>
    <w:rsid w:val="0060290F"/>
    <w:rsid w:val="00602A0B"/>
    <w:rsid w:val="00602B37"/>
    <w:rsid w:val="00602B91"/>
    <w:rsid w:val="00603075"/>
    <w:rsid w:val="00603152"/>
    <w:rsid w:val="006035DF"/>
    <w:rsid w:val="00603BEF"/>
    <w:rsid w:val="00603F9E"/>
    <w:rsid w:val="0060427C"/>
    <w:rsid w:val="00604320"/>
    <w:rsid w:val="0060436E"/>
    <w:rsid w:val="006045D5"/>
    <w:rsid w:val="006047B0"/>
    <w:rsid w:val="00604ABC"/>
    <w:rsid w:val="00604B37"/>
    <w:rsid w:val="00604C03"/>
    <w:rsid w:val="00604D48"/>
    <w:rsid w:val="00604D6C"/>
    <w:rsid w:val="00604D8B"/>
    <w:rsid w:val="00604EB9"/>
    <w:rsid w:val="00605014"/>
    <w:rsid w:val="00605281"/>
    <w:rsid w:val="006056C1"/>
    <w:rsid w:val="00605987"/>
    <w:rsid w:val="00605ADC"/>
    <w:rsid w:val="00605B88"/>
    <w:rsid w:val="00605CB4"/>
    <w:rsid w:val="00605DD4"/>
    <w:rsid w:val="00605E29"/>
    <w:rsid w:val="00605ECA"/>
    <w:rsid w:val="00606270"/>
    <w:rsid w:val="0060665A"/>
    <w:rsid w:val="006067C5"/>
    <w:rsid w:val="0060690A"/>
    <w:rsid w:val="00606986"/>
    <w:rsid w:val="006069AA"/>
    <w:rsid w:val="00606D47"/>
    <w:rsid w:val="00606FA6"/>
    <w:rsid w:val="0060749F"/>
    <w:rsid w:val="00607856"/>
    <w:rsid w:val="00607933"/>
    <w:rsid w:val="00607C82"/>
    <w:rsid w:val="00610039"/>
    <w:rsid w:val="00610123"/>
    <w:rsid w:val="00610307"/>
    <w:rsid w:val="00610444"/>
    <w:rsid w:val="006105FF"/>
    <w:rsid w:val="00610B05"/>
    <w:rsid w:val="00610DE9"/>
    <w:rsid w:val="00610E0A"/>
    <w:rsid w:val="00610E48"/>
    <w:rsid w:val="006111A8"/>
    <w:rsid w:val="00611233"/>
    <w:rsid w:val="0061162D"/>
    <w:rsid w:val="00611741"/>
    <w:rsid w:val="00611C68"/>
    <w:rsid w:val="00611D75"/>
    <w:rsid w:val="00611F38"/>
    <w:rsid w:val="0061228F"/>
    <w:rsid w:val="00612609"/>
    <w:rsid w:val="006126F6"/>
    <w:rsid w:val="00612FAF"/>
    <w:rsid w:val="006130D1"/>
    <w:rsid w:val="006131AF"/>
    <w:rsid w:val="00613208"/>
    <w:rsid w:val="0061375D"/>
    <w:rsid w:val="00613C11"/>
    <w:rsid w:val="00613CAD"/>
    <w:rsid w:val="00613E49"/>
    <w:rsid w:val="00613F23"/>
    <w:rsid w:val="006140F2"/>
    <w:rsid w:val="006140F8"/>
    <w:rsid w:val="006142BF"/>
    <w:rsid w:val="006144B6"/>
    <w:rsid w:val="0061466A"/>
    <w:rsid w:val="006146E3"/>
    <w:rsid w:val="006146F1"/>
    <w:rsid w:val="006146F2"/>
    <w:rsid w:val="00614EE3"/>
    <w:rsid w:val="00615157"/>
    <w:rsid w:val="00615C3D"/>
    <w:rsid w:val="00615CDC"/>
    <w:rsid w:val="00615CEB"/>
    <w:rsid w:val="00615F93"/>
    <w:rsid w:val="006160E9"/>
    <w:rsid w:val="00616122"/>
    <w:rsid w:val="00616610"/>
    <w:rsid w:val="0061679D"/>
    <w:rsid w:val="00616870"/>
    <w:rsid w:val="00616A77"/>
    <w:rsid w:val="00616B40"/>
    <w:rsid w:val="00616E47"/>
    <w:rsid w:val="006173FA"/>
    <w:rsid w:val="0061750C"/>
    <w:rsid w:val="006178B3"/>
    <w:rsid w:val="00617939"/>
    <w:rsid w:val="00617965"/>
    <w:rsid w:val="00617CB0"/>
    <w:rsid w:val="00617D6A"/>
    <w:rsid w:val="00617DCC"/>
    <w:rsid w:val="00617E90"/>
    <w:rsid w:val="006201E0"/>
    <w:rsid w:val="00620590"/>
    <w:rsid w:val="00620AE0"/>
    <w:rsid w:val="00620C93"/>
    <w:rsid w:val="00620DBC"/>
    <w:rsid w:val="006216F3"/>
    <w:rsid w:val="00621816"/>
    <w:rsid w:val="00621EAC"/>
    <w:rsid w:val="006223A3"/>
    <w:rsid w:val="006223EA"/>
    <w:rsid w:val="006223ED"/>
    <w:rsid w:val="00622461"/>
    <w:rsid w:val="006226B0"/>
    <w:rsid w:val="0062296B"/>
    <w:rsid w:val="00622984"/>
    <w:rsid w:val="00622EF1"/>
    <w:rsid w:val="0062308E"/>
    <w:rsid w:val="006231C8"/>
    <w:rsid w:val="0062343A"/>
    <w:rsid w:val="00623519"/>
    <w:rsid w:val="00623A88"/>
    <w:rsid w:val="00623DCE"/>
    <w:rsid w:val="00623EDB"/>
    <w:rsid w:val="006240CA"/>
    <w:rsid w:val="006240CE"/>
    <w:rsid w:val="00624211"/>
    <w:rsid w:val="00624C6B"/>
    <w:rsid w:val="00624F0F"/>
    <w:rsid w:val="006250A7"/>
    <w:rsid w:val="006251B5"/>
    <w:rsid w:val="0062566F"/>
    <w:rsid w:val="0062572A"/>
    <w:rsid w:val="006257FC"/>
    <w:rsid w:val="00625CE4"/>
    <w:rsid w:val="00626220"/>
    <w:rsid w:val="00626AA7"/>
    <w:rsid w:val="00626BBD"/>
    <w:rsid w:val="00626BCB"/>
    <w:rsid w:val="00626DD6"/>
    <w:rsid w:val="006272FE"/>
    <w:rsid w:val="00627505"/>
    <w:rsid w:val="0062760F"/>
    <w:rsid w:val="00627689"/>
    <w:rsid w:val="006276E6"/>
    <w:rsid w:val="00627771"/>
    <w:rsid w:val="00627AF2"/>
    <w:rsid w:val="00630402"/>
    <w:rsid w:val="006308DD"/>
    <w:rsid w:val="00630A38"/>
    <w:rsid w:val="00630BBB"/>
    <w:rsid w:val="00630C1B"/>
    <w:rsid w:val="00630C1F"/>
    <w:rsid w:val="00630C72"/>
    <w:rsid w:val="0063147D"/>
    <w:rsid w:val="006316CC"/>
    <w:rsid w:val="006318B3"/>
    <w:rsid w:val="00631943"/>
    <w:rsid w:val="00631AB9"/>
    <w:rsid w:val="00631C7B"/>
    <w:rsid w:val="00631D21"/>
    <w:rsid w:val="00631DDC"/>
    <w:rsid w:val="00632276"/>
    <w:rsid w:val="006329F8"/>
    <w:rsid w:val="0063312C"/>
    <w:rsid w:val="00633447"/>
    <w:rsid w:val="006337D4"/>
    <w:rsid w:val="006338F2"/>
    <w:rsid w:val="00633FC2"/>
    <w:rsid w:val="0063425D"/>
    <w:rsid w:val="0063440F"/>
    <w:rsid w:val="00634CA4"/>
    <w:rsid w:val="006353BB"/>
    <w:rsid w:val="0063546C"/>
    <w:rsid w:val="006354D1"/>
    <w:rsid w:val="0063553D"/>
    <w:rsid w:val="006357A9"/>
    <w:rsid w:val="00635B00"/>
    <w:rsid w:val="00635C4E"/>
    <w:rsid w:val="00635F83"/>
    <w:rsid w:val="00636178"/>
    <w:rsid w:val="00636648"/>
    <w:rsid w:val="0063678D"/>
    <w:rsid w:val="00636B24"/>
    <w:rsid w:val="00636BB1"/>
    <w:rsid w:val="00636D26"/>
    <w:rsid w:val="00636E8A"/>
    <w:rsid w:val="00636FFE"/>
    <w:rsid w:val="00637049"/>
    <w:rsid w:val="006370FB"/>
    <w:rsid w:val="00637227"/>
    <w:rsid w:val="00637653"/>
    <w:rsid w:val="0063772B"/>
    <w:rsid w:val="00637BE0"/>
    <w:rsid w:val="00640368"/>
    <w:rsid w:val="0064049A"/>
    <w:rsid w:val="00640D6E"/>
    <w:rsid w:val="00640ECF"/>
    <w:rsid w:val="00640FCA"/>
    <w:rsid w:val="006410A9"/>
    <w:rsid w:val="0064147B"/>
    <w:rsid w:val="00641970"/>
    <w:rsid w:val="00641C69"/>
    <w:rsid w:val="006421BB"/>
    <w:rsid w:val="0064234D"/>
    <w:rsid w:val="0064242C"/>
    <w:rsid w:val="00642461"/>
    <w:rsid w:val="0064251B"/>
    <w:rsid w:val="00642854"/>
    <w:rsid w:val="00642B30"/>
    <w:rsid w:val="00642DB7"/>
    <w:rsid w:val="006435A9"/>
    <w:rsid w:val="006436D6"/>
    <w:rsid w:val="0064397C"/>
    <w:rsid w:val="006439C0"/>
    <w:rsid w:val="0064403D"/>
    <w:rsid w:val="00644199"/>
    <w:rsid w:val="006441F8"/>
    <w:rsid w:val="00644885"/>
    <w:rsid w:val="0064490D"/>
    <w:rsid w:val="00644B37"/>
    <w:rsid w:val="00644E52"/>
    <w:rsid w:val="006451C4"/>
    <w:rsid w:val="006453AD"/>
    <w:rsid w:val="006456AA"/>
    <w:rsid w:val="00645F58"/>
    <w:rsid w:val="006460C4"/>
    <w:rsid w:val="00646ACE"/>
    <w:rsid w:val="00646DE7"/>
    <w:rsid w:val="0064784B"/>
    <w:rsid w:val="00647AC5"/>
    <w:rsid w:val="00647B6B"/>
    <w:rsid w:val="0065100E"/>
    <w:rsid w:val="0065116A"/>
    <w:rsid w:val="006511D3"/>
    <w:rsid w:val="00651396"/>
    <w:rsid w:val="00651856"/>
    <w:rsid w:val="00651877"/>
    <w:rsid w:val="006522BE"/>
    <w:rsid w:val="00652932"/>
    <w:rsid w:val="00652B3D"/>
    <w:rsid w:val="00652C88"/>
    <w:rsid w:val="00652CE1"/>
    <w:rsid w:val="00652ED6"/>
    <w:rsid w:val="0065307E"/>
    <w:rsid w:val="00653207"/>
    <w:rsid w:val="006538CD"/>
    <w:rsid w:val="00653A36"/>
    <w:rsid w:val="00653CA7"/>
    <w:rsid w:val="00653F3B"/>
    <w:rsid w:val="006542D1"/>
    <w:rsid w:val="00654B8B"/>
    <w:rsid w:val="00654BFF"/>
    <w:rsid w:val="00654CDE"/>
    <w:rsid w:val="00654D7E"/>
    <w:rsid w:val="00654DCD"/>
    <w:rsid w:val="00654F0F"/>
    <w:rsid w:val="0065542C"/>
    <w:rsid w:val="00655436"/>
    <w:rsid w:val="006554F0"/>
    <w:rsid w:val="0065607C"/>
    <w:rsid w:val="006560C9"/>
    <w:rsid w:val="00656A8C"/>
    <w:rsid w:val="00656D64"/>
    <w:rsid w:val="00656DB4"/>
    <w:rsid w:val="00657009"/>
    <w:rsid w:val="0065701B"/>
    <w:rsid w:val="006571E8"/>
    <w:rsid w:val="00657275"/>
    <w:rsid w:val="006572CF"/>
    <w:rsid w:val="00657A2D"/>
    <w:rsid w:val="00657D98"/>
    <w:rsid w:val="006600B4"/>
    <w:rsid w:val="0066024A"/>
    <w:rsid w:val="0066034D"/>
    <w:rsid w:val="0066060E"/>
    <w:rsid w:val="00660782"/>
    <w:rsid w:val="0066078D"/>
    <w:rsid w:val="00660808"/>
    <w:rsid w:val="006608C4"/>
    <w:rsid w:val="00661473"/>
    <w:rsid w:val="006617E8"/>
    <w:rsid w:val="006619B1"/>
    <w:rsid w:val="00661D29"/>
    <w:rsid w:val="00661EC5"/>
    <w:rsid w:val="00662102"/>
    <w:rsid w:val="006628B1"/>
    <w:rsid w:val="00662AFC"/>
    <w:rsid w:val="00662E4F"/>
    <w:rsid w:val="00662F86"/>
    <w:rsid w:val="006632D9"/>
    <w:rsid w:val="0066346A"/>
    <w:rsid w:val="00663540"/>
    <w:rsid w:val="006635E2"/>
    <w:rsid w:val="00663F9B"/>
    <w:rsid w:val="00663FB2"/>
    <w:rsid w:val="00664377"/>
    <w:rsid w:val="00664C54"/>
    <w:rsid w:val="0066539E"/>
    <w:rsid w:val="00665792"/>
    <w:rsid w:val="0066597D"/>
    <w:rsid w:val="00665CE1"/>
    <w:rsid w:val="00665E87"/>
    <w:rsid w:val="00665F3F"/>
    <w:rsid w:val="00666462"/>
    <w:rsid w:val="00666490"/>
    <w:rsid w:val="006664B8"/>
    <w:rsid w:val="006672EB"/>
    <w:rsid w:val="006673E7"/>
    <w:rsid w:val="0066762C"/>
    <w:rsid w:val="006677C8"/>
    <w:rsid w:val="00667815"/>
    <w:rsid w:val="006678C5"/>
    <w:rsid w:val="006678F0"/>
    <w:rsid w:val="00670290"/>
    <w:rsid w:val="006702F2"/>
    <w:rsid w:val="00670409"/>
    <w:rsid w:val="00670FFE"/>
    <w:rsid w:val="006711AB"/>
    <w:rsid w:val="006713AF"/>
    <w:rsid w:val="006714FF"/>
    <w:rsid w:val="006717A6"/>
    <w:rsid w:val="0067197F"/>
    <w:rsid w:val="00671CE4"/>
    <w:rsid w:val="00671D41"/>
    <w:rsid w:val="00671F4E"/>
    <w:rsid w:val="006720A0"/>
    <w:rsid w:val="006724C4"/>
    <w:rsid w:val="006728D4"/>
    <w:rsid w:val="00672F95"/>
    <w:rsid w:val="006733AC"/>
    <w:rsid w:val="0067345F"/>
    <w:rsid w:val="00673526"/>
    <w:rsid w:val="0067379D"/>
    <w:rsid w:val="00673DD3"/>
    <w:rsid w:val="00674166"/>
    <w:rsid w:val="0067470B"/>
    <w:rsid w:val="00674AC6"/>
    <w:rsid w:val="0067502F"/>
    <w:rsid w:val="0067513B"/>
    <w:rsid w:val="006751A9"/>
    <w:rsid w:val="00675448"/>
    <w:rsid w:val="006754AD"/>
    <w:rsid w:val="006754F7"/>
    <w:rsid w:val="00675737"/>
    <w:rsid w:val="0067581E"/>
    <w:rsid w:val="00675BD6"/>
    <w:rsid w:val="00676238"/>
    <w:rsid w:val="0067631D"/>
    <w:rsid w:val="00677561"/>
    <w:rsid w:val="006777D8"/>
    <w:rsid w:val="00677B0B"/>
    <w:rsid w:val="006801D2"/>
    <w:rsid w:val="00680213"/>
    <w:rsid w:val="00680613"/>
    <w:rsid w:val="00680890"/>
    <w:rsid w:val="006809AC"/>
    <w:rsid w:val="00680DB7"/>
    <w:rsid w:val="0068105F"/>
    <w:rsid w:val="006810E4"/>
    <w:rsid w:val="00681409"/>
    <w:rsid w:val="006816F8"/>
    <w:rsid w:val="006819DB"/>
    <w:rsid w:val="00681A67"/>
    <w:rsid w:val="00681D81"/>
    <w:rsid w:val="00682174"/>
    <w:rsid w:val="006823BA"/>
    <w:rsid w:val="0068256D"/>
    <w:rsid w:val="006825AF"/>
    <w:rsid w:val="006832A3"/>
    <w:rsid w:val="006832CC"/>
    <w:rsid w:val="0068342D"/>
    <w:rsid w:val="006834B9"/>
    <w:rsid w:val="0068365E"/>
    <w:rsid w:val="006839B0"/>
    <w:rsid w:val="00683BD0"/>
    <w:rsid w:val="00684199"/>
    <w:rsid w:val="00684412"/>
    <w:rsid w:val="00684620"/>
    <w:rsid w:val="00684883"/>
    <w:rsid w:val="00684ADB"/>
    <w:rsid w:val="00684B68"/>
    <w:rsid w:val="00684F83"/>
    <w:rsid w:val="006856CA"/>
    <w:rsid w:val="006856EE"/>
    <w:rsid w:val="006857A1"/>
    <w:rsid w:val="0068581C"/>
    <w:rsid w:val="00685A29"/>
    <w:rsid w:val="00685AEF"/>
    <w:rsid w:val="00685E5B"/>
    <w:rsid w:val="00686100"/>
    <w:rsid w:val="0068651A"/>
    <w:rsid w:val="006867BB"/>
    <w:rsid w:val="0068690D"/>
    <w:rsid w:val="00686982"/>
    <w:rsid w:val="006869AD"/>
    <w:rsid w:val="00686AB6"/>
    <w:rsid w:val="00686B2B"/>
    <w:rsid w:val="00686F6A"/>
    <w:rsid w:val="00687231"/>
    <w:rsid w:val="00687816"/>
    <w:rsid w:val="00687A8E"/>
    <w:rsid w:val="00687D1E"/>
    <w:rsid w:val="00687D38"/>
    <w:rsid w:val="0069009C"/>
    <w:rsid w:val="00690700"/>
    <w:rsid w:val="006907B1"/>
    <w:rsid w:val="00690D32"/>
    <w:rsid w:val="00690D79"/>
    <w:rsid w:val="00690EEB"/>
    <w:rsid w:val="006915DF"/>
    <w:rsid w:val="00691603"/>
    <w:rsid w:val="00691780"/>
    <w:rsid w:val="006917CA"/>
    <w:rsid w:val="00691EFA"/>
    <w:rsid w:val="00691F0A"/>
    <w:rsid w:val="00692048"/>
    <w:rsid w:val="006922A6"/>
    <w:rsid w:val="0069242B"/>
    <w:rsid w:val="00692B06"/>
    <w:rsid w:val="00692DBF"/>
    <w:rsid w:val="00692F29"/>
    <w:rsid w:val="0069366A"/>
    <w:rsid w:val="00693919"/>
    <w:rsid w:val="00693A60"/>
    <w:rsid w:val="00693AA6"/>
    <w:rsid w:val="00693CFD"/>
    <w:rsid w:val="006940C8"/>
    <w:rsid w:val="00694524"/>
    <w:rsid w:val="00694D2A"/>
    <w:rsid w:val="006950DD"/>
    <w:rsid w:val="00695233"/>
    <w:rsid w:val="006954B7"/>
    <w:rsid w:val="00695566"/>
    <w:rsid w:val="00695610"/>
    <w:rsid w:val="00695748"/>
    <w:rsid w:val="00695994"/>
    <w:rsid w:val="00695EAE"/>
    <w:rsid w:val="00696024"/>
    <w:rsid w:val="00696106"/>
    <w:rsid w:val="00696189"/>
    <w:rsid w:val="006961E6"/>
    <w:rsid w:val="0069670E"/>
    <w:rsid w:val="006967EC"/>
    <w:rsid w:val="00696CA2"/>
    <w:rsid w:val="00696CEB"/>
    <w:rsid w:val="006971A8"/>
    <w:rsid w:val="006972E0"/>
    <w:rsid w:val="006972EE"/>
    <w:rsid w:val="00697663"/>
    <w:rsid w:val="006979B9"/>
    <w:rsid w:val="00697E9B"/>
    <w:rsid w:val="006A00C4"/>
    <w:rsid w:val="006A03A5"/>
    <w:rsid w:val="006A0831"/>
    <w:rsid w:val="006A0974"/>
    <w:rsid w:val="006A0CC1"/>
    <w:rsid w:val="006A0F6B"/>
    <w:rsid w:val="006A11C4"/>
    <w:rsid w:val="006A11D2"/>
    <w:rsid w:val="006A15E1"/>
    <w:rsid w:val="006A167F"/>
    <w:rsid w:val="006A175F"/>
    <w:rsid w:val="006A1893"/>
    <w:rsid w:val="006A1963"/>
    <w:rsid w:val="006A1986"/>
    <w:rsid w:val="006A22B4"/>
    <w:rsid w:val="006A2B8E"/>
    <w:rsid w:val="006A2C01"/>
    <w:rsid w:val="006A2E0E"/>
    <w:rsid w:val="006A2F4C"/>
    <w:rsid w:val="006A2F60"/>
    <w:rsid w:val="006A3439"/>
    <w:rsid w:val="006A3508"/>
    <w:rsid w:val="006A36C1"/>
    <w:rsid w:val="006A39AD"/>
    <w:rsid w:val="006A3C40"/>
    <w:rsid w:val="006A41E1"/>
    <w:rsid w:val="006A4240"/>
    <w:rsid w:val="006A43C7"/>
    <w:rsid w:val="006A43C9"/>
    <w:rsid w:val="006A4408"/>
    <w:rsid w:val="006A4A1D"/>
    <w:rsid w:val="006A4B98"/>
    <w:rsid w:val="006A4EF5"/>
    <w:rsid w:val="006A5182"/>
    <w:rsid w:val="006A5619"/>
    <w:rsid w:val="006A56B7"/>
    <w:rsid w:val="006A57B5"/>
    <w:rsid w:val="006A5889"/>
    <w:rsid w:val="006A58F3"/>
    <w:rsid w:val="006A5913"/>
    <w:rsid w:val="006A599A"/>
    <w:rsid w:val="006A5B1F"/>
    <w:rsid w:val="006A5DB0"/>
    <w:rsid w:val="006A5DE3"/>
    <w:rsid w:val="006A5EE0"/>
    <w:rsid w:val="006A5F17"/>
    <w:rsid w:val="006A6041"/>
    <w:rsid w:val="006A60D1"/>
    <w:rsid w:val="006A615B"/>
    <w:rsid w:val="006A6177"/>
    <w:rsid w:val="006A6200"/>
    <w:rsid w:val="006A620E"/>
    <w:rsid w:val="006A62D7"/>
    <w:rsid w:val="006A66DE"/>
    <w:rsid w:val="006A6A63"/>
    <w:rsid w:val="006A6D88"/>
    <w:rsid w:val="006A6EA6"/>
    <w:rsid w:val="006A7315"/>
    <w:rsid w:val="006A7544"/>
    <w:rsid w:val="006A78F1"/>
    <w:rsid w:val="006A7925"/>
    <w:rsid w:val="006A7C6D"/>
    <w:rsid w:val="006A7F2B"/>
    <w:rsid w:val="006B022F"/>
    <w:rsid w:val="006B057B"/>
    <w:rsid w:val="006B0718"/>
    <w:rsid w:val="006B087D"/>
    <w:rsid w:val="006B08EF"/>
    <w:rsid w:val="006B096E"/>
    <w:rsid w:val="006B11E7"/>
    <w:rsid w:val="006B12AA"/>
    <w:rsid w:val="006B1492"/>
    <w:rsid w:val="006B1B53"/>
    <w:rsid w:val="006B1DD7"/>
    <w:rsid w:val="006B1DF7"/>
    <w:rsid w:val="006B22C0"/>
    <w:rsid w:val="006B2341"/>
    <w:rsid w:val="006B2702"/>
    <w:rsid w:val="006B281D"/>
    <w:rsid w:val="006B28A1"/>
    <w:rsid w:val="006B29D5"/>
    <w:rsid w:val="006B2A69"/>
    <w:rsid w:val="006B2AE1"/>
    <w:rsid w:val="006B2BE0"/>
    <w:rsid w:val="006B2ED5"/>
    <w:rsid w:val="006B3424"/>
    <w:rsid w:val="006B35A5"/>
    <w:rsid w:val="006B37FB"/>
    <w:rsid w:val="006B42F2"/>
    <w:rsid w:val="006B4309"/>
    <w:rsid w:val="006B474B"/>
    <w:rsid w:val="006B492F"/>
    <w:rsid w:val="006B4C60"/>
    <w:rsid w:val="006B5300"/>
    <w:rsid w:val="006B535C"/>
    <w:rsid w:val="006B54BF"/>
    <w:rsid w:val="006B553A"/>
    <w:rsid w:val="006B55A6"/>
    <w:rsid w:val="006B59F5"/>
    <w:rsid w:val="006B5C72"/>
    <w:rsid w:val="006B5DDB"/>
    <w:rsid w:val="006B61C7"/>
    <w:rsid w:val="006B6231"/>
    <w:rsid w:val="006B62C9"/>
    <w:rsid w:val="006B6386"/>
    <w:rsid w:val="006B6894"/>
    <w:rsid w:val="006B6915"/>
    <w:rsid w:val="006B6A4C"/>
    <w:rsid w:val="006B6C44"/>
    <w:rsid w:val="006B6D6E"/>
    <w:rsid w:val="006B6EB6"/>
    <w:rsid w:val="006B6EFB"/>
    <w:rsid w:val="006B6F98"/>
    <w:rsid w:val="006B73EA"/>
    <w:rsid w:val="006B7A9E"/>
    <w:rsid w:val="006C0CD6"/>
    <w:rsid w:val="006C0D7E"/>
    <w:rsid w:val="006C0DA2"/>
    <w:rsid w:val="006C0E32"/>
    <w:rsid w:val="006C19DF"/>
    <w:rsid w:val="006C1AA9"/>
    <w:rsid w:val="006C212B"/>
    <w:rsid w:val="006C2205"/>
    <w:rsid w:val="006C23CD"/>
    <w:rsid w:val="006C244A"/>
    <w:rsid w:val="006C253C"/>
    <w:rsid w:val="006C25C0"/>
    <w:rsid w:val="006C28A8"/>
    <w:rsid w:val="006C2978"/>
    <w:rsid w:val="006C2A1D"/>
    <w:rsid w:val="006C2AFF"/>
    <w:rsid w:val="006C353F"/>
    <w:rsid w:val="006C35F8"/>
    <w:rsid w:val="006C375B"/>
    <w:rsid w:val="006C3939"/>
    <w:rsid w:val="006C3BDB"/>
    <w:rsid w:val="006C3CA3"/>
    <w:rsid w:val="006C3E5D"/>
    <w:rsid w:val="006C42A2"/>
    <w:rsid w:val="006C462F"/>
    <w:rsid w:val="006C48F7"/>
    <w:rsid w:val="006C4A78"/>
    <w:rsid w:val="006C4D29"/>
    <w:rsid w:val="006C5353"/>
    <w:rsid w:val="006C537D"/>
    <w:rsid w:val="006C5419"/>
    <w:rsid w:val="006C548F"/>
    <w:rsid w:val="006C5529"/>
    <w:rsid w:val="006C567D"/>
    <w:rsid w:val="006C569C"/>
    <w:rsid w:val="006C5952"/>
    <w:rsid w:val="006C5D98"/>
    <w:rsid w:val="006C5FB2"/>
    <w:rsid w:val="006C627B"/>
    <w:rsid w:val="006C6551"/>
    <w:rsid w:val="006C6713"/>
    <w:rsid w:val="006C69DB"/>
    <w:rsid w:val="006C6A69"/>
    <w:rsid w:val="006C6B3E"/>
    <w:rsid w:val="006C6BE7"/>
    <w:rsid w:val="006C720E"/>
    <w:rsid w:val="006C75D1"/>
    <w:rsid w:val="006C78D8"/>
    <w:rsid w:val="006C78E4"/>
    <w:rsid w:val="006C7C08"/>
    <w:rsid w:val="006D0357"/>
    <w:rsid w:val="006D10A8"/>
    <w:rsid w:val="006D11E2"/>
    <w:rsid w:val="006D1242"/>
    <w:rsid w:val="006D1367"/>
    <w:rsid w:val="006D1749"/>
    <w:rsid w:val="006D17BE"/>
    <w:rsid w:val="006D1C6B"/>
    <w:rsid w:val="006D1E08"/>
    <w:rsid w:val="006D1EF6"/>
    <w:rsid w:val="006D21BB"/>
    <w:rsid w:val="006D2345"/>
    <w:rsid w:val="006D2534"/>
    <w:rsid w:val="006D2610"/>
    <w:rsid w:val="006D2EDD"/>
    <w:rsid w:val="006D3007"/>
    <w:rsid w:val="006D32C4"/>
    <w:rsid w:val="006D3570"/>
    <w:rsid w:val="006D358C"/>
    <w:rsid w:val="006D3886"/>
    <w:rsid w:val="006D3D2D"/>
    <w:rsid w:val="006D3D62"/>
    <w:rsid w:val="006D472E"/>
    <w:rsid w:val="006D4752"/>
    <w:rsid w:val="006D47CD"/>
    <w:rsid w:val="006D4A80"/>
    <w:rsid w:val="006D4C2A"/>
    <w:rsid w:val="006D4E10"/>
    <w:rsid w:val="006D4E84"/>
    <w:rsid w:val="006D51D3"/>
    <w:rsid w:val="006D5788"/>
    <w:rsid w:val="006D6725"/>
    <w:rsid w:val="006D6B47"/>
    <w:rsid w:val="006D6B99"/>
    <w:rsid w:val="006D6F60"/>
    <w:rsid w:val="006D7408"/>
    <w:rsid w:val="006D789D"/>
    <w:rsid w:val="006D79B5"/>
    <w:rsid w:val="006D7A5C"/>
    <w:rsid w:val="006D7AE0"/>
    <w:rsid w:val="006D7B38"/>
    <w:rsid w:val="006D7BE6"/>
    <w:rsid w:val="006D7EAF"/>
    <w:rsid w:val="006E0016"/>
    <w:rsid w:val="006E00C6"/>
    <w:rsid w:val="006E01A0"/>
    <w:rsid w:val="006E0559"/>
    <w:rsid w:val="006E05EC"/>
    <w:rsid w:val="006E063D"/>
    <w:rsid w:val="006E0CC8"/>
    <w:rsid w:val="006E0F54"/>
    <w:rsid w:val="006E105B"/>
    <w:rsid w:val="006E1127"/>
    <w:rsid w:val="006E1510"/>
    <w:rsid w:val="006E1693"/>
    <w:rsid w:val="006E18DC"/>
    <w:rsid w:val="006E1EEC"/>
    <w:rsid w:val="006E21B0"/>
    <w:rsid w:val="006E2530"/>
    <w:rsid w:val="006E260F"/>
    <w:rsid w:val="006E286F"/>
    <w:rsid w:val="006E2B17"/>
    <w:rsid w:val="006E2DEB"/>
    <w:rsid w:val="006E2FAC"/>
    <w:rsid w:val="006E304C"/>
    <w:rsid w:val="006E3098"/>
    <w:rsid w:val="006E378A"/>
    <w:rsid w:val="006E3FFA"/>
    <w:rsid w:val="006E401F"/>
    <w:rsid w:val="006E411D"/>
    <w:rsid w:val="006E4247"/>
    <w:rsid w:val="006E44D4"/>
    <w:rsid w:val="006E44D8"/>
    <w:rsid w:val="006E4594"/>
    <w:rsid w:val="006E4B77"/>
    <w:rsid w:val="006E4D96"/>
    <w:rsid w:val="006E4F53"/>
    <w:rsid w:val="006E5159"/>
    <w:rsid w:val="006E565D"/>
    <w:rsid w:val="006E59D4"/>
    <w:rsid w:val="006E5E7A"/>
    <w:rsid w:val="006E5F6D"/>
    <w:rsid w:val="006E613D"/>
    <w:rsid w:val="006E6203"/>
    <w:rsid w:val="006E65DB"/>
    <w:rsid w:val="006E6948"/>
    <w:rsid w:val="006E6A13"/>
    <w:rsid w:val="006E6AD8"/>
    <w:rsid w:val="006E7058"/>
    <w:rsid w:val="006E723C"/>
    <w:rsid w:val="006E73E3"/>
    <w:rsid w:val="006E753C"/>
    <w:rsid w:val="006E7B11"/>
    <w:rsid w:val="006E7B5D"/>
    <w:rsid w:val="006E7F85"/>
    <w:rsid w:val="006F00E4"/>
    <w:rsid w:val="006F027C"/>
    <w:rsid w:val="006F08CC"/>
    <w:rsid w:val="006F0A6C"/>
    <w:rsid w:val="006F0EA5"/>
    <w:rsid w:val="006F1133"/>
    <w:rsid w:val="006F16A0"/>
    <w:rsid w:val="006F19E2"/>
    <w:rsid w:val="006F1A92"/>
    <w:rsid w:val="006F23CC"/>
    <w:rsid w:val="006F248A"/>
    <w:rsid w:val="006F2542"/>
    <w:rsid w:val="006F2629"/>
    <w:rsid w:val="006F2CE0"/>
    <w:rsid w:val="006F2D76"/>
    <w:rsid w:val="006F2E4A"/>
    <w:rsid w:val="006F307F"/>
    <w:rsid w:val="006F4001"/>
    <w:rsid w:val="006F419B"/>
    <w:rsid w:val="006F425E"/>
    <w:rsid w:val="006F42FE"/>
    <w:rsid w:val="006F4477"/>
    <w:rsid w:val="006F4535"/>
    <w:rsid w:val="006F463F"/>
    <w:rsid w:val="006F4661"/>
    <w:rsid w:val="006F470E"/>
    <w:rsid w:val="006F497E"/>
    <w:rsid w:val="006F49A6"/>
    <w:rsid w:val="006F52BF"/>
    <w:rsid w:val="006F53C4"/>
    <w:rsid w:val="006F5437"/>
    <w:rsid w:val="006F55D7"/>
    <w:rsid w:val="006F5766"/>
    <w:rsid w:val="006F5775"/>
    <w:rsid w:val="006F5828"/>
    <w:rsid w:val="006F5952"/>
    <w:rsid w:val="006F5969"/>
    <w:rsid w:val="006F59A3"/>
    <w:rsid w:val="006F5AD3"/>
    <w:rsid w:val="006F5D8B"/>
    <w:rsid w:val="006F5F23"/>
    <w:rsid w:val="006F65AD"/>
    <w:rsid w:val="006F6971"/>
    <w:rsid w:val="006F6B93"/>
    <w:rsid w:val="006F71CE"/>
    <w:rsid w:val="006F7240"/>
    <w:rsid w:val="006F7373"/>
    <w:rsid w:val="006F7517"/>
    <w:rsid w:val="006F75AC"/>
    <w:rsid w:val="006F7779"/>
    <w:rsid w:val="006F79D5"/>
    <w:rsid w:val="006F7CC7"/>
    <w:rsid w:val="006F7D2C"/>
    <w:rsid w:val="006F7DE0"/>
    <w:rsid w:val="006F7EEA"/>
    <w:rsid w:val="0070024B"/>
    <w:rsid w:val="00700704"/>
    <w:rsid w:val="00700C04"/>
    <w:rsid w:val="007010FF"/>
    <w:rsid w:val="00701328"/>
    <w:rsid w:val="007013ED"/>
    <w:rsid w:val="007013FB"/>
    <w:rsid w:val="007014B7"/>
    <w:rsid w:val="00701A6D"/>
    <w:rsid w:val="00701DC8"/>
    <w:rsid w:val="00701EDD"/>
    <w:rsid w:val="0070255E"/>
    <w:rsid w:val="0070274A"/>
    <w:rsid w:val="007031BF"/>
    <w:rsid w:val="00703271"/>
    <w:rsid w:val="007032B0"/>
    <w:rsid w:val="007033EE"/>
    <w:rsid w:val="007036C6"/>
    <w:rsid w:val="007041E1"/>
    <w:rsid w:val="00704200"/>
    <w:rsid w:val="00704364"/>
    <w:rsid w:val="00704502"/>
    <w:rsid w:val="007048EC"/>
    <w:rsid w:val="0070493A"/>
    <w:rsid w:val="0070495E"/>
    <w:rsid w:val="00705232"/>
    <w:rsid w:val="007056A3"/>
    <w:rsid w:val="00705798"/>
    <w:rsid w:val="00705C70"/>
    <w:rsid w:val="00706171"/>
    <w:rsid w:val="007061B4"/>
    <w:rsid w:val="0070691D"/>
    <w:rsid w:val="00706971"/>
    <w:rsid w:val="00706DFB"/>
    <w:rsid w:val="00707190"/>
    <w:rsid w:val="0070751B"/>
    <w:rsid w:val="00707843"/>
    <w:rsid w:val="00707B9F"/>
    <w:rsid w:val="00707D38"/>
    <w:rsid w:val="007101A4"/>
    <w:rsid w:val="0071022D"/>
    <w:rsid w:val="007106C2"/>
    <w:rsid w:val="00710895"/>
    <w:rsid w:val="00710DCB"/>
    <w:rsid w:val="007110B8"/>
    <w:rsid w:val="00711314"/>
    <w:rsid w:val="00711AD5"/>
    <w:rsid w:val="00711B75"/>
    <w:rsid w:val="00711C8F"/>
    <w:rsid w:val="00712026"/>
    <w:rsid w:val="00712488"/>
    <w:rsid w:val="007126DA"/>
    <w:rsid w:val="00712A26"/>
    <w:rsid w:val="00712F12"/>
    <w:rsid w:val="00713812"/>
    <w:rsid w:val="00713BF3"/>
    <w:rsid w:val="00713E6B"/>
    <w:rsid w:val="00713EAD"/>
    <w:rsid w:val="00713EE6"/>
    <w:rsid w:val="00713EF8"/>
    <w:rsid w:val="007140F2"/>
    <w:rsid w:val="00714407"/>
    <w:rsid w:val="0071498A"/>
    <w:rsid w:val="00714FE9"/>
    <w:rsid w:val="00715300"/>
    <w:rsid w:val="00716095"/>
    <w:rsid w:val="007160EA"/>
    <w:rsid w:val="00716184"/>
    <w:rsid w:val="0071631C"/>
    <w:rsid w:val="00716792"/>
    <w:rsid w:val="007168E0"/>
    <w:rsid w:val="00716A71"/>
    <w:rsid w:val="00716E57"/>
    <w:rsid w:val="0071710A"/>
    <w:rsid w:val="00717300"/>
    <w:rsid w:val="0071736D"/>
    <w:rsid w:val="007178F2"/>
    <w:rsid w:val="00717A43"/>
    <w:rsid w:val="00717D58"/>
    <w:rsid w:val="00717FD1"/>
    <w:rsid w:val="00720288"/>
    <w:rsid w:val="0072041E"/>
    <w:rsid w:val="007205FB"/>
    <w:rsid w:val="00720711"/>
    <w:rsid w:val="00720829"/>
    <w:rsid w:val="00720926"/>
    <w:rsid w:val="00720C67"/>
    <w:rsid w:val="00720E73"/>
    <w:rsid w:val="00720EC8"/>
    <w:rsid w:val="00720ED1"/>
    <w:rsid w:val="007211BC"/>
    <w:rsid w:val="00721476"/>
    <w:rsid w:val="007216AD"/>
    <w:rsid w:val="00721BE5"/>
    <w:rsid w:val="00721D07"/>
    <w:rsid w:val="00721E06"/>
    <w:rsid w:val="00722032"/>
    <w:rsid w:val="00722157"/>
    <w:rsid w:val="00722172"/>
    <w:rsid w:val="007228FE"/>
    <w:rsid w:val="00722CA7"/>
    <w:rsid w:val="0072320A"/>
    <w:rsid w:val="007232EC"/>
    <w:rsid w:val="0072341A"/>
    <w:rsid w:val="0072342D"/>
    <w:rsid w:val="00723A05"/>
    <w:rsid w:val="00723E40"/>
    <w:rsid w:val="00724050"/>
    <w:rsid w:val="00724274"/>
    <w:rsid w:val="007249E4"/>
    <w:rsid w:val="00724A17"/>
    <w:rsid w:val="007253CD"/>
    <w:rsid w:val="007255AD"/>
    <w:rsid w:val="00725980"/>
    <w:rsid w:val="007259E2"/>
    <w:rsid w:val="007264D7"/>
    <w:rsid w:val="00726B27"/>
    <w:rsid w:val="00726E76"/>
    <w:rsid w:val="00726ED6"/>
    <w:rsid w:val="00727119"/>
    <w:rsid w:val="0072713A"/>
    <w:rsid w:val="00727541"/>
    <w:rsid w:val="007275C6"/>
    <w:rsid w:val="00727B24"/>
    <w:rsid w:val="00727B94"/>
    <w:rsid w:val="007300ED"/>
    <w:rsid w:val="0073018E"/>
    <w:rsid w:val="0073018F"/>
    <w:rsid w:val="0073019A"/>
    <w:rsid w:val="00730472"/>
    <w:rsid w:val="007307EC"/>
    <w:rsid w:val="007309F7"/>
    <w:rsid w:val="00730FF9"/>
    <w:rsid w:val="00731051"/>
    <w:rsid w:val="00731196"/>
    <w:rsid w:val="00731401"/>
    <w:rsid w:val="00731545"/>
    <w:rsid w:val="007315AB"/>
    <w:rsid w:val="00731E43"/>
    <w:rsid w:val="0073218D"/>
    <w:rsid w:val="007321DA"/>
    <w:rsid w:val="00732875"/>
    <w:rsid w:val="00732885"/>
    <w:rsid w:val="00732C0B"/>
    <w:rsid w:val="00732D6F"/>
    <w:rsid w:val="00732F86"/>
    <w:rsid w:val="00733163"/>
    <w:rsid w:val="00733964"/>
    <w:rsid w:val="007339CC"/>
    <w:rsid w:val="00733B0A"/>
    <w:rsid w:val="00733E64"/>
    <w:rsid w:val="00734175"/>
    <w:rsid w:val="00734224"/>
    <w:rsid w:val="0073433C"/>
    <w:rsid w:val="0073441B"/>
    <w:rsid w:val="00734492"/>
    <w:rsid w:val="007345FB"/>
    <w:rsid w:val="007347B5"/>
    <w:rsid w:val="00734D11"/>
    <w:rsid w:val="00734E6E"/>
    <w:rsid w:val="00735102"/>
    <w:rsid w:val="00735284"/>
    <w:rsid w:val="00735476"/>
    <w:rsid w:val="007354E0"/>
    <w:rsid w:val="007355F4"/>
    <w:rsid w:val="007356CE"/>
    <w:rsid w:val="00735C2D"/>
    <w:rsid w:val="0073669B"/>
    <w:rsid w:val="007368F6"/>
    <w:rsid w:val="00736B3C"/>
    <w:rsid w:val="00736DF9"/>
    <w:rsid w:val="00736E91"/>
    <w:rsid w:val="00736FDC"/>
    <w:rsid w:val="007370BC"/>
    <w:rsid w:val="00737147"/>
    <w:rsid w:val="007372C9"/>
    <w:rsid w:val="00737E14"/>
    <w:rsid w:val="00737FC6"/>
    <w:rsid w:val="007400E2"/>
    <w:rsid w:val="0074031C"/>
    <w:rsid w:val="007407AB"/>
    <w:rsid w:val="00740B7B"/>
    <w:rsid w:val="00740E06"/>
    <w:rsid w:val="00740E28"/>
    <w:rsid w:val="0074136E"/>
    <w:rsid w:val="007413A4"/>
    <w:rsid w:val="00741537"/>
    <w:rsid w:val="00741AFA"/>
    <w:rsid w:val="00741E09"/>
    <w:rsid w:val="00741ED7"/>
    <w:rsid w:val="0074226E"/>
    <w:rsid w:val="00742598"/>
    <w:rsid w:val="007427BB"/>
    <w:rsid w:val="00742CB2"/>
    <w:rsid w:val="00742E48"/>
    <w:rsid w:val="00742F40"/>
    <w:rsid w:val="007431F7"/>
    <w:rsid w:val="0074330C"/>
    <w:rsid w:val="0074379D"/>
    <w:rsid w:val="00743A0B"/>
    <w:rsid w:val="00743AC6"/>
    <w:rsid w:val="00743C4C"/>
    <w:rsid w:val="00743F54"/>
    <w:rsid w:val="00743FDA"/>
    <w:rsid w:val="007440D2"/>
    <w:rsid w:val="0074429E"/>
    <w:rsid w:val="00744D5E"/>
    <w:rsid w:val="00745186"/>
    <w:rsid w:val="00745659"/>
    <w:rsid w:val="0074573D"/>
    <w:rsid w:val="0074575F"/>
    <w:rsid w:val="00745D6B"/>
    <w:rsid w:val="007460A2"/>
    <w:rsid w:val="007465C1"/>
    <w:rsid w:val="0074668C"/>
    <w:rsid w:val="007471BF"/>
    <w:rsid w:val="00747B7E"/>
    <w:rsid w:val="00747D53"/>
    <w:rsid w:val="00747D6A"/>
    <w:rsid w:val="00747E1D"/>
    <w:rsid w:val="00750043"/>
    <w:rsid w:val="00750119"/>
    <w:rsid w:val="007502E3"/>
    <w:rsid w:val="00750508"/>
    <w:rsid w:val="007508C1"/>
    <w:rsid w:val="00750991"/>
    <w:rsid w:val="00750A9E"/>
    <w:rsid w:val="00750BD9"/>
    <w:rsid w:val="00750CB6"/>
    <w:rsid w:val="00750D8F"/>
    <w:rsid w:val="00750DC1"/>
    <w:rsid w:val="00750DFB"/>
    <w:rsid w:val="00750FB1"/>
    <w:rsid w:val="00751057"/>
    <w:rsid w:val="007512E8"/>
    <w:rsid w:val="0075131A"/>
    <w:rsid w:val="007514E1"/>
    <w:rsid w:val="007517E5"/>
    <w:rsid w:val="007518C2"/>
    <w:rsid w:val="0075212B"/>
    <w:rsid w:val="007521D7"/>
    <w:rsid w:val="00752373"/>
    <w:rsid w:val="007524AC"/>
    <w:rsid w:val="007525C0"/>
    <w:rsid w:val="007528AE"/>
    <w:rsid w:val="0075295B"/>
    <w:rsid w:val="00752C3C"/>
    <w:rsid w:val="00752C74"/>
    <w:rsid w:val="00752F75"/>
    <w:rsid w:val="007530CB"/>
    <w:rsid w:val="007531F4"/>
    <w:rsid w:val="00753203"/>
    <w:rsid w:val="007534B1"/>
    <w:rsid w:val="0075373C"/>
    <w:rsid w:val="00753D86"/>
    <w:rsid w:val="00753ED8"/>
    <w:rsid w:val="00753FD9"/>
    <w:rsid w:val="007544AB"/>
    <w:rsid w:val="00754B36"/>
    <w:rsid w:val="00754C0E"/>
    <w:rsid w:val="00754D5A"/>
    <w:rsid w:val="00754E2D"/>
    <w:rsid w:val="0075510C"/>
    <w:rsid w:val="0075576C"/>
    <w:rsid w:val="00755C41"/>
    <w:rsid w:val="0075653C"/>
    <w:rsid w:val="007567C6"/>
    <w:rsid w:val="007567ED"/>
    <w:rsid w:val="00756841"/>
    <w:rsid w:val="00756A02"/>
    <w:rsid w:val="00756B3A"/>
    <w:rsid w:val="00756B43"/>
    <w:rsid w:val="00756C7B"/>
    <w:rsid w:val="00756E14"/>
    <w:rsid w:val="00756EDE"/>
    <w:rsid w:val="0075729B"/>
    <w:rsid w:val="00757305"/>
    <w:rsid w:val="0075758B"/>
    <w:rsid w:val="007575B8"/>
    <w:rsid w:val="00757C5E"/>
    <w:rsid w:val="00757D19"/>
    <w:rsid w:val="00757E72"/>
    <w:rsid w:val="0076022F"/>
    <w:rsid w:val="0076028A"/>
    <w:rsid w:val="0076036D"/>
    <w:rsid w:val="007603B5"/>
    <w:rsid w:val="007603EF"/>
    <w:rsid w:val="007605C4"/>
    <w:rsid w:val="00760654"/>
    <w:rsid w:val="0076084C"/>
    <w:rsid w:val="00760A5B"/>
    <w:rsid w:val="00760A80"/>
    <w:rsid w:val="00760A86"/>
    <w:rsid w:val="00760FD3"/>
    <w:rsid w:val="00761317"/>
    <w:rsid w:val="00761792"/>
    <w:rsid w:val="00762015"/>
    <w:rsid w:val="007620F4"/>
    <w:rsid w:val="007623D6"/>
    <w:rsid w:val="007627DB"/>
    <w:rsid w:val="00763305"/>
    <w:rsid w:val="00763358"/>
    <w:rsid w:val="00763453"/>
    <w:rsid w:val="0076360A"/>
    <w:rsid w:val="0076388C"/>
    <w:rsid w:val="007639BF"/>
    <w:rsid w:val="00763D29"/>
    <w:rsid w:val="00763E2D"/>
    <w:rsid w:val="00763E43"/>
    <w:rsid w:val="00763EAE"/>
    <w:rsid w:val="007646A3"/>
    <w:rsid w:val="00764876"/>
    <w:rsid w:val="00764BE6"/>
    <w:rsid w:val="00764E1E"/>
    <w:rsid w:val="00765074"/>
    <w:rsid w:val="007650A5"/>
    <w:rsid w:val="0076521E"/>
    <w:rsid w:val="007654A0"/>
    <w:rsid w:val="007656C6"/>
    <w:rsid w:val="00765905"/>
    <w:rsid w:val="007659DB"/>
    <w:rsid w:val="00765FEC"/>
    <w:rsid w:val="00766036"/>
    <w:rsid w:val="00766280"/>
    <w:rsid w:val="00766961"/>
    <w:rsid w:val="00766B12"/>
    <w:rsid w:val="00766B1C"/>
    <w:rsid w:val="00766B69"/>
    <w:rsid w:val="00766BEA"/>
    <w:rsid w:val="00767221"/>
    <w:rsid w:val="00767341"/>
    <w:rsid w:val="0076770C"/>
    <w:rsid w:val="00767808"/>
    <w:rsid w:val="0076798A"/>
    <w:rsid w:val="00767A2C"/>
    <w:rsid w:val="00767D90"/>
    <w:rsid w:val="007700D4"/>
    <w:rsid w:val="007701FC"/>
    <w:rsid w:val="00770272"/>
    <w:rsid w:val="0077032B"/>
    <w:rsid w:val="00770581"/>
    <w:rsid w:val="00770A78"/>
    <w:rsid w:val="00770EB0"/>
    <w:rsid w:val="00770FDD"/>
    <w:rsid w:val="007713E2"/>
    <w:rsid w:val="007715EF"/>
    <w:rsid w:val="0077165C"/>
    <w:rsid w:val="0077195C"/>
    <w:rsid w:val="00771E60"/>
    <w:rsid w:val="00771EEF"/>
    <w:rsid w:val="00772020"/>
    <w:rsid w:val="007720F6"/>
    <w:rsid w:val="0077238E"/>
    <w:rsid w:val="00772585"/>
    <w:rsid w:val="00772660"/>
    <w:rsid w:val="0077288C"/>
    <w:rsid w:val="007728FF"/>
    <w:rsid w:val="00772916"/>
    <w:rsid w:val="00772D87"/>
    <w:rsid w:val="00772E54"/>
    <w:rsid w:val="0077337B"/>
    <w:rsid w:val="00773F96"/>
    <w:rsid w:val="007743EF"/>
    <w:rsid w:val="0077477A"/>
    <w:rsid w:val="007747E7"/>
    <w:rsid w:val="00774962"/>
    <w:rsid w:val="00774F34"/>
    <w:rsid w:val="00774F5D"/>
    <w:rsid w:val="00774F7E"/>
    <w:rsid w:val="00774FBD"/>
    <w:rsid w:val="007756BC"/>
    <w:rsid w:val="007756BE"/>
    <w:rsid w:val="00775876"/>
    <w:rsid w:val="00775E92"/>
    <w:rsid w:val="00775ED9"/>
    <w:rsid w:val="00776354"/>
    <w:rsid w:val="00776D08"/>
    <w:rsid w:val="00776EB3"/>
    <w:rsid w:val="007771BF"/>
    <w:rsid w:val="0077797A"/>
    <w:rsid w:val="00777C41"/>
    <w:rsid w:val="00780038"/>
    <w:rsid w:val="007804BA"/>
    <w:rsid w:val="00780770"/>
    <w:rsid w:val="00780941"/>
    <w:rsid w:val="00780AD2"/>
    <w:rsid w:val="00780BB5"/>
    <w:rsid w:val="00780C1F"/>
    <w:rsid w:val="00781186"/>
    <w:rsid w:val="0078126A"/>
    <w:rsid w:val="007814BF"/>
    <w:rsid w:val="00781B7B"/>
    <w:rsid w:val="00782139"/>
    <w:rsid w:val="00782261"/>
    <w:rsid w:val="00782411"/>
    <w:rsid w:val="00782737"/>
    <w:rsid w:val="00782A6D"/>
    <w:rsid w:val="00782C29"/>
    <w:rsid w:val="00782DFE"/>
    <w:rsid w:val="00783224"/>
    <w:rsid w:val="007832AC"/>
    <w:rsid w:val="0078337D"/>
    <w:rsid w:val="00783B62"/>
    <w:rsid w:val="00783DBA"/>
    <w:rsid w:val="007840BA"/>
    <w:rsid w:val="007849D4"/>
    <w:rsid w:val="007849DD"/>
    <w:rsid w:val="007850D2"/>
    <w:rsid w:val="00785101"/>
    <w:rsid w:val="00785113"/>
    <w:rsid w:val="00785178"/>
    <w:rsid w:val="007853BE"/>
    <w:rsid w:val="007853D8"/>
    <w:rsid w:val="00785419"/>
    <w:rsid w:val="0078544C"/>
    <w:rsid w:val="00785B0B"/>
    <w:rsid w:val="00785C44"/>
    <w:rsid w:val="00786213"/>
    <w:rsid w:val="00786512"/>
    <w:rsid w:val="007868D7"/>
    <w:rsid w:val="00786A7F"/>
    <w:rsid w:val="00786D2A"/>
    <w:rsid w:val="007871EE"/>
    <w:rsid w:val="007875F2"/>
    <w:rsid w:val="0078768A"/>
    <w:rsid w:val="007876D3"/>
    <w:rsid w:val="00787B6A"/>
    <w:rsid w:val="00787C4F"/>
    <w:rsid w:val="00790127"/>
    <w:rsid w:val="0079053F"/>
    <w:rsid w:val="007907FC"/>
    <w:rsid w:val="0079087B"/>
    <w:rsid w:val="00790CAD"/>
    <w:rsid w:val="00790D43"/>
    <w:rsid w:val="00790F48"/>
    <w:rsid w:val="00791225"/>
    <w:rsid w:val="00791599"/>
    <w:rsid w:val="00791706"/>
    <w:rsid w:val="00791790"/>
    <w:rsid w:val="007919E9"/>
    <w:rsid w:val="00791CF4"/>
    <w:rsid w:val="00791D1C"/>
    <w:rsid w:val="00791EDD"/>
    <w:rsid w:val="007922C8"/>
    <w:rsid w:val="007929C7"/>
    <w:rsid w:val="007929E4"/>
    <w:rsid w:val="00792CCA"/>
    <w:rsid w:val="00792F87"/>
    <w:rsid w:val="00793119"/>
    <w:rsid w:val="007933BE"/>
    <w:rsid w:val="007933E8"/>
    <w:rsid w:val="00793817"/>
    <w:rsid w:val="007938CE"/>
    <w:rsid w:val="00793FDD"/>
    <w:rsid w:val="0079439F"/>
    <w:rsid w:val="007945A0"/>
    <w:rsid w:val="0079462C"/>
    <w:rsid w:val="007946B9"/>
    <w:rsid w:val="00794753"/>
    <w:rsid w:val="00795078"/>
    <w:rsid w:val="0079526A"/>
    <w:rsid w:val="007952AF"/>
    <w:rsid w:val="007955A2"/>
    <w:rsid w:val="00795998"/>
    <w:rsid w:val="00795D02"/>
    <w:rsid w:val="0079638B"/>
    <w:rsid w:val="007965A7"/>
    <w:rsid w:val="007965C5"/>
    <w:rsid w:val="00796671"/>
    <w:rsid w:val="00796A6A"/>
    <w:rsid w:val="00796ABF"/>
    <w:rsid w:val="00796C42"/>
    <w:rsid w:val="00796F17"/>
    <w:rsid w:val="0079704F"/>
    <w:rsid w:val="007970A4"/>
    <w:rsid w:val="007977A4"/>
    <w:rsid w:val="00797AC9"/>
    <w:rsid w:val="00797C3D"/>
    <w:rsid w:val="00797CEA"/>
    <w:rsid w:val="00797D66"/>
    <w:rsid w:val="00797DC8"/>
    <w:rsid w:val="00797EC1"/>
    <w:rsid w:val="00797F6F"/>
    <w:rsid w:val="007A0126"/>
    <w:rsid w:val="007A022A"/>
    <w:rsid w:val="007A026F"/>
    <w:rsid w:val="007A0ACD"/>
    <w:rsid w:val="007A1018"/>
    <w:rsid w:val="007A1052"/>
    <w:rsid w:val="007A13BB"/>
    <w:rsid w:val="007A165C"/>
    <w:rsid w:val="007A16D4"/>
    <w:rsid w:val="007A19BB"/>
    <w:rsid w:val="007A1C3B"/>
    <w:rsid w:val="007A1ED9"/>
    <w:rsid w:val="007A2027"/>
    <w:rsid w:val="007A20A9"/>
    <w:rsid w:val="007A2413"/>
    <w:rsid w:val="007A243C"/>
    <w:rsid w:val="007A2615"/>
    <w:rsid w:val="007A269B"/>
    <w:rsid w:val="007A2785"/>
    <w:rsid w:val="007A27B2"/>
    <w:rsid w:val="007A298A"/>
    <w:rsid w:val="007A2A55"/>
    <w:rsid w:val="007A2C1A"/>
    <w:rsid w:val="007A2DB2"/>
    <w:rsid w:val="007A2E3F"/>
    <w:rsid w:val="007A369D"/>
    <w:rsid w:val="007A36AB"/>
    <w:rsid w:val="007A37CA"/>
    <w:rsid w:val="007A3F3A"/>
    <w:rsid w:val="007A40A4"/>
    <w:rsid w:val="007A40E5"/>
    <w:rsid w:val="007A40F1"/>
    <w:rsid w:val="007A415D"/>
    <w:rsid w:val="007A43F7"/>
    <w:rsid w:val="007A4424"/>
    <w:rsid w:val="007A44B5"/>
    <w:rsid w:val="007A48A0"/>
    <w:rsid w:val="007A4CFA"/>
    <w:rsid w:val="007A4EEB"/>
    <w:rsid w:val="007A5521"/>
    <w:rsid w:val="007A5542"/>
    <w:rsid w:val="007A58A6"/>
    <w:rsid w:val="007A5949"/>
    <w:rsid w:val="007A6800"/>
    <w:rsid w:val="007A6CB4"/>
    <w:rsid w:val="007A6CF3"/>
    <w:rsid w:val="007A6D1A"/>
    <w:rsid w:val="007A6EB9"/>
    <w:rsid w:val="007A6FA7"/>
    <w:rsid w:val="007A72FB"/>
    <w:rsid w:val="007A733B"/>
    <w:rsid w:val="007A7475"/>
    <w:rsid w:val="007A74D2"/>
    <w:rsid w:val="007A78E5"/>
    <w:rsid w:val="007A79C8"/>
    <w:rsid w:val="007A7AE3"/>
    <w:rsid w:val="007A7BB3"/>
    <w:rsid w:val="007A7C75"/>
    <w:rsid w:val="007B0208"/>
    <w:rsid w:val="007B0786"/>
    <w:rsid w:val="007B0ACE"/>
    <w:rsid w:val="007B0B7D"/>
    <w:rsid w:val="007B1026"/>
    <w:rsid w:val="007B1572"/>
    <w:rsid w:val="007B16A5"/>
    <w:rsid w:val="007B2010"/>
    <w:rsid w:val="007B22E5"/>
    <w:rsid w:val="007B23FC"/>
    <w:rsid w:val="007B253D"/>
    <w:rsid w:val="007B2669"/>
    <w:rsid w:val="007B2703"/>
    <w:rsid w:val="007B27DA"/>
    <w:rsid w:val="007B2804"/>
    <w:rsid w:val="007B2992"/>
    <w:rsid w:val="007B2BB9"/>
    <w:rsid w:val="007B348C"/>
    <w:rsid w:val="007B35B7"/>
    <w:rsid w:val="007B39F0"/>
    <w:rsid w:val="007B3B4C"/>
    <w:rsid w:val="007B3B9A"/>
    <w:rsid w:val="007B4436"/>
    <w:rsid w:val="007B47AA"/>
    <w:rsid w:val="007B484D"/>
    <w:rsid w:val="007B4CE8"/>
    <w:rsid w:val="007B4E05"/>
    <w:rsid w:val="007B4EE5"/>
    <w:rsid w:val="007B5927"/>
    <w:rsid w:val="007B5C89"/>
    <w:rsid w:val="007B5E43"/>
    <w:rsid w:val="007B616C"/>
    <w:rsid w:val="007B6183"/>
    <w:rsid w:val="007B638C"/>
    <w:rsid w:val="007B652C"/>
    <w:rsid w:val="007B65C2"/>
    <w:rsid w:val="007B7259"/>
    <w:rsid w:val="007B7374"/>
    <w:rsid w:val="007B7478"/>
    <w:rsid w:val="007B749F"/>
    <w:rsid w:val="007B776C"/>
    <w:rsid w:val="007C007F"/>
    <w:rsid w:val="007C01AE"/>
    <w:rsid w:val="007C01FE"/>
    <w:rsid w:val="007C034B"/>
    <w:rsid w:val="007C09E7"/>
    <w:rsid w:val="007C0D28"/>
    <w:rsid w:val="007C0D8F"/>
    <w:rsid w:val="007C0E04"/>
    <w:rsid w:val="007C10A3"/>
    <w:rsid w:val="007C19DF"/>
    <w:rsid w:val="007C1E96"/>
    <w:rsid w:val="007C1EA5"/>
    <w:rsid w:val="007C1F53"/>
    <w:rsid w:val="007C2041"/>
    <w:rsid w:val="007C26A3"/>
    <w:rsid w:val="007C28E9"/>
    <w:rsid w:val="007C29ED"/>
    <w:rsid w:val="007C2ACB"/>
    <w:rsid w:val="007C2D64"/>
    <w:rsid w:val="007C2DDD"/>
    <w:rsid w:val="007C2F5B"/>
    <w:rsid w:val="007C2FC3"/>
    <w:rsid w:val="007C31E8"/>
    <w:rsid w:val="007C4250"/>
    <w:rsid w:val="007C42B1"/>
    <w:rsid w:val="007C436C"/>
    <w:rsid w:val="007C462E"/>
    <w:rsid w:val="007C467D"/>
    <w:rsid w:val="007C4805"/>
    <w:rsid w:val="007C4A9E"/>
    <w:rsid w:val="007C50F6"/>
    <w:rsid w:val="007C51EE"/>
    <w:rsid w:val="007C534F"/>
    <w:rsid w:val="007C55D9"/>
    <w:rsid w:val="007C56D8"/>
    <w:rsid w:val="007C5747"/>
    <w:rsid w:val="007C584B"/>
    <w:rsid w:val="007C5968"/>
    <w:rsid w:val="007C5A8B"/>
    <w:rsid w:val="007C5BF7"/>
    <w:rsid w:val="007C5E73"/>
    <w:rsid w:val="007C5FAA"/>
    <w:rsid w:val="007C6060"/>
    <w:rsid w:val="007C6063"/>
    <w:rsid w:val="007C67F8"/>
    <w:rsid w:val="007C6856"/>
    <w:rsid w:val="007C687D"/>
    <w:rsid w:val="007C688F"/>
    <w:rsid w:val="007C6DDD"/>
    <w:rsid w:val="007C735D"/>
    <w:rsid w:val="007C760F"/>
    <w:rsid w:val="007C782A"/>
    <w:rsid w:val="007C7D1E"/>
    <w:rsid w:val="007C7DB5"/>
    <w:rsid w:val="007D003B"/>
    <w:rsid w:val="007D0301"/>
    <w:rsid w:val="007D0D5B"/>
    <w:rsid w:val="007D0E73"/>
    <w:rsid w:val="007D1013"/>
    <w:rsid w:val="007D114E"/>
    <w:rsid w:val="007D126C"/>
    <w:rsid w:val="007D13A3"/>
    <w:rsid w:val="007D165B"/>
    <w:rsid w:val="007D1682"/>
    <w:rsid w:val="007D17FE"/>
    <w:rsid w:val="007D18C5"/>
    <w:rsid w:val="007D1C79"/>
    <w:rsid w:val="007D214B"/>
    <w:rsid w:val="007D23D2"/>
    <w:rsid w:val="007D2515"/>
    <w:rsid w:val="007D27C7"/>
    <w:rsid w:val="007D2943"/>
    <w:rsid w:val="007D30C4"/>
    <w:rsid w:val="007D354D"/>
    <w:rsid w:val="007D398E"/>
    <w:rsid w:val="007D3E3D"/>
    <w:rsid w:val="007D4152"/>
    <w:rsid w:val="007D42FB"/>
    <w:rsid w:val="007D445A"/>
    <w:rsid w:val="007D484D"/>
    <w:rsid w:val="007D4C61"/>
    <w:rsid w:val="007D4CE5"/>
    <w:rsid w:val="007D4E8E"/>
    <w:rsid w:val="007D597A"/>
    <w:rsid w:val="007D5A80"/>
    <w:rsid w:val="007D5D3E"/>
    <w:rsid w:val="007D6BB6"/>
    <w:rsid w:val="007D6CF9"/>
    <w:rsid w:val="007D6E3C"/>
    <w:rsid w:val="007D6E59"/>
    <w:rsid w:val="007D75A8"/>
    <w:rsid w:val="007D76A9"/>
    <w:rsid w:val="007D7BC4"/>
    <w:rsid w:val="007D7BD7"/>
    <w:rsid w:val="007D7CD9"/>
    <w:rsid w:val="007E02D6"/>
    <w:rsid w:val="007E04FF"/>
    <w:rsid w:val="007E071C"/>
    <w:rsid w:val="007E0A7D"/>
    <w:rsid w:val="007E0D81"/>
    <w:rsid w:val="007E1449"/>
    <w:rsid w:val="007E1C83"/>
    <w:rsid w:val="007E1DB7"/>
    <w:rsid w:val="007E1E60"/>
    <w:rsid w:val="007E208A"/>
    <w:rsid w:val="007E216B"/>
    <w:rsid w:val="007E23A2"/>
    <w:rsid w:val="007E248A"/>
    <w:rsid w:val="007E2BD1"/>
    <w:rsid w:val="007E32FE"/>
    <w:rsid w:val="007E34D2"/>
    <w:rsid w:val="007E3B44"/>
    <w:rsid w:val="007E3E2E"/>
    <w:rsid w:val="007E4449"/>
    <w:rsid w:val="007E46D4"/>
    <w:rsid w:val="007E4770"/>
    <w:rsid w:val="007E4D1E"/>
    <w:rsid w:val="007E4FA0"/>
    <w:rsid w:val="007E5129"/>
    <w:rsid w:val="007E5185"/>
    <w:rsid w:val="007E5220"/>
    <w:rsid w:val="007E528E"/>
    <w:rsid w:val="007E5DE1"/>
    <w:rsid w:val="007E6189"/>
    <w:rsid w:val="007E6581"/>
    <w:rsid w:val="007E65FB"/>
    <w:rsid w:val="007E698E"/>
    <w:rsid w:val="007E6B20"/>
    <w:rsid w:val="007E7410"/>
    <w:rsid w:val="007E7413"/>
    <w:rsid w:val="007E784D"/>
    <w:rsid w:val="007E7AE3"/>
    <w:rsid w:val="007E7DAB"/>
    <w:rsid w:val="007E7FB6"/>
    <w:rsid w:val="007F05B7"/>
    <w:rsid w:val="007F079A"/>
    <w:rsid w:val="007F0817"/>
    <w:rsid w:val="007F0DAA"/>
    <w:rsid w:val="007F0E6C"/>
    <w:rsid w:val="007F17EF"/>
    <w:rsid w:val="007F1B85"/>
    <w:rsid w:val="007F1D02"/>
    <w:rsid w:val="007F1D31"/>
    <w:rsid w:val="007F2002"/>
    <w:rsid w:val="007F2100"/>
    <w:rsid w:val="007F2245"/>
    <w:rsid w:val="007F23CB"/>
    <w:rsid w:val="007F283A"/>
    <w:rsid w:val="007F2A3A"/>
    <w:rsid w:val="007F2A98"/>
    <w:rsid w:val="007F2B90"/>
    <w:rsid w:val="007F2E0A"/>
    <w:rsid w:val="007F310F"/>
    <w:rsid w:val="007F3158"/>
    <w:rsid w:val="007F3492"/>
    <w:rsid w:val="007F355E"/>
    <w:rsid w:val="007F3AE3"/>
    <w:rsid w:val="007F3C96"/>
    <w:rsid w:val="007F437E"/>
    <w:rsid w:val="007F44CA"/>
    <w:rsid w:val="007F4509"/>
    <w:rsid w:val="007F459E"/>
    <w:rsid w:val="007F45AB"/>
    <w:rsid w:val="007F469B"/>
    <w:rsid w:val="007F46E8"/>
    <w:rsid w:val="007F487D"/>
    <w:rsid w:val="007F491C"/>
    <w:rsid w:val="007F49F4"/>
    <w:rsid w:val="007F4D5B"/>
    <w:rsid w:val="007F50D5"/>
    <w:rsid w:val="007F52BC"/>
    <w:rsid w:val="007F548C"/>
    <w:rsid w:val="007F62B5"/>
    <w:rsid w:val="007F635D"/>
    <w:rsid w:val="007F6743"/>
    <w:rsid w:val="007F67C0"/>
    <w:rsid w:val="007F6880"/>
    <w:rsid w:val="007F6A00"/>
    <w:rsid w:val="007F6AF1"/>
    <w:rsid w:val="007F6CAE"/>
    <w:rsid w:val="007F6F5B"/>
    <w:rsid w:val="007F6F9D"/>
    <w:rsid w:val="007F6FA2"/>
    <w:rsid w:val="007F72FC"/>
    <w:rsid w:val="007F7805"/>
    <w:rsid w:val="007F79E2"/>
    <w:rsid w:val="007F7A53"/>
    <w:rsid w:val="007F7B41"/>
    <w:rsid w:val="007F7D67"/>
    <w:rsid w:val="007F7DE4"/>
    <w:rsid w:val="007F7E91"/>
    <w:rsid w:val="007F7EC5"/>
    <w:rsid w:val="008000B4"/>
    <w:rsid w:val="00800263"/>
    <w:rsid w:val="008005B9"/>
    <w:rsid w:val="00800731"/>
    <w:rsid w:val="00800736"/>
    <w:rsid w:val="0080082D"/>
    <w:rsid w:val="00800899"/>
    <w:rsid w:val="008008B7"/>
    <w:rsid w:val="008009F0"/>
    <w:rsid w:val="00800B7A"/>
    <w:rsid w:val="00800E3E"/>
    <w:rsid w:val="00801095"/>
    <w:rsid w:val="00801364"/>
    <w:rsid w:val="008014CF"/>
    <w:rsid w:val="008014E6"/>
    <w:rsid w:val="0080162B"/>
    <w:rsid w:val="00801729"/>
    <w:rsid w:val="0080172A"/>
    <w:rsid w:val="00801891"/>
    <w:rsid w:val="008018A9"/>
    <w:rsid w:val="00801B56"/>
    <w:rsid w:val="00801C3F"/>
    <w:rsid w:val="00802A98"/>
    <w:rsid w:val="00802EA3"/>
    <w:rsid w:val="00802F25"/>
    <w:rsid w:val="008033A5"/>
    <w:rsid w:val="00803638"/>
    <w:rsid w:val="008038B7"/>
    <w:rsid w:val="00803908"/>
    <w:rsid w:val="00803C48"/>
    <w:rsid w:val="00803CF6"/>
    <w:rsid w:val="0080430E"/>
    <w:rsid w:val="008044DF"/>
    <w:rsid w:val="0080459C"/>
    <w:rsid w:val="008048DE"/>
    <w:rsid w:val="00804A78"/>
    <w:rsid w:val="00804BF1"/>
    <w:rsid w:val="00804DB9"/>
    <w:rsid w:val="00804DC7"/>
    <w:rsid w:val="00804DCB"/>
    <w:rsid w:val="00805132"/>
    <w:rsid w:val="00805142"/>
    <w:rsid w:val="008051CA"/>
    <w:rsid w:val="00805394"/>
    <w:rsid w:val="0080576E"/>
    <w:rsid w:val="00805DE5"/>
    <w:rsid w:val="00806A32"/>
    <w:rsid w:val="00806ADE"/>
    <w:rsid w:val="00806B86"/>
    <w:rsid w:val="00806CA3"/>
    <w:rsid w:val="00806CEE"/>
    <w:rsid w:val="00806F5F"/>
    <w:rsid w:val="008070C3"/>
    <w:rsid w:val="00807482"/>
    <w:rsid w:val="008075D3"/>
    <w:rsid w:val="00807885"/>
    <w:rsid w:val="0080797B"/>
    <w:rsid w:val="008079D5"/>
    <w:rsid w:val="008079E1"/>
    <w:rsid w:val="00807A72"/>
    <w:rsid w:val="00807B33"/>
    <w:rsid w:val="00807C63"/>
    <w:rsid w:val="008101E0"/>
    <w:rsid w:val="0081036F"/>
    <w:rsid w:val="0081044D"/>
    <w:rsid w:val="00810D62"/>
    <w:rsid w:val="008112FF"/>
    <w:rsid w:val="0081136D"/>
    <w:rsid w:val="00811510"/>
    <w:rsid w:val="008117AA"/>
    <w:rsid w:val="00811DF5"/>
    <w:rsid w:val="00811EED"/>
    <w:rsid w:val="0081268A"/>
    <w:rsid w:val="00812772"/>
    <w:rsid w:val="00812A3F"/>
    <w:rsid w:val="00812C19"/>
    <w:rsid w:val="00812CA9"/>
    <w:rsid w:val="00812D05"/>
    <w:rsid w:val="00812D21"/>
    <w:rsid w:val="00813054"/>
    <w:rsid w:val="00813097"/>
    <w:rsid w:val="0081328A"/>
    <w:rsid w:val="00813741"/>
    <w:rsid w:val="008139D4"/>
    <w:rsid w:val="00813ADE"/>
    <w:rsid w:val="00813ED6"/>
    <w:rsid w:val="00813FD3"/>
    <w:rsid w:val="0081429E"/>
    <w:rsid w:val="00814897"/>
    <w:rsid w:val="0081496C"/>
    <w:rsid w:val="00815015"/>
    <w:rsid w:val="008151CE"/>
    <w:rsid w:val="0081542E"/>
    <w:rsid w:val="008156B4"/>
    <w:rsid w:val="00815864"/>
    <w:rsid w:val="00815F69"/>
    <w:rsid w:val="00815FB4"/>
    <w:rsid w:val="008160FD"/>
    <w:rsid w:val="00816611"/>
    <w:rsid w:val="0081677B"/>
    <w:rsid w:val="00816AEA"/>
    <w:rsid w:val="008172B2"/>
    <w:rsid w:val="00817A32"/>
    <w:rsid w:val="00817BBC"/>
    <w:rsid w:val="00817FD1"/>
    <w:rsid w:val="00817FDF"/>
    <w:rsid w:val="008200BE"/>
    <w:rsid w:val="0082011D"/>
    <w:rsid w:val="00820169"/>
    <w:rsid w:val="008204B0"/>
    <w:rsid w:val="0082068C"/>
    <w:rsid w:val="00820939"/>
    <w:rsid w:val="00820D57"/>
    <w:rsid w:val="00821382"/>
    <w:rsid w:val="008213F4"/>
    <w:rsid w:val="00821507"/>
    <w:rsid w:val="008217A2"/>
    <w:rsid w:val="00821DE3"/>
    <w:rsid w:val="00821EBE"/>
    <w:rsid w:val="00821F13"/>
    <w:rsid w:val="0082219D"/>
    <w:rsid w:val="00822965"/>
    <w:rsid w:val="008229B0"/>
    <w:rsid w:val="00822D01"/>
    <w:rsid w:val="00822F9E"/>
    <w:rsid w:val="00823A84"/>
    <w:rsid w:val="00823BBA"/>
    <w:rsid w:val="00823BE8"/>
    <w:rsid w:val="00823FA5"/>
    <w:rsid w:val="0082401F"/>
    <w:rsid w:val="0082411D"/>
    <w:rsid w:val="0082438A"/>
    <w:rsid w:val="00824807"/>
    <w:rsid w:val="00824B1A"/>
    <w:rsid w:val="00824B61"/>
    <w:rsid w:val="00824C7E"/>
    <w:rsid w:val="00825118"/>
    <w:rsid w:val="00825615"/>
    <w:rsid w:val="00825A25"/>
    <w:rsid w:val="00826B2F"/>
    <w:rsid w:val="00826C26"/>
    <w:rsid w:val="00826DF4"/>
    <w:rsid w:val="00826F52"/>
    <w:rsid w:val="008270A9"/>
    <w:rsid w:val="00827435"/>
    <w:rsid w:val="0082765F"/>
    <w:rsid w:val="00827A9C"/>
    <w:rsid w:val="00827CC6"/>
    <w:rsid w:val="00827E0B"/>
    <w:rsid w:val="00827EAF"/>
    <w:rsid w:val="00827EDE"/>
    <w:rsid w:val="0083011A"/>
    <w:rsid w:val="00830190"/>
    <w:rsid w:val="008303E0"/>
    <w:rsid w:val="008304AB"/>
    <w:rsid w:val="00830508"/>
    <w:rsid w:val="0083081F"/>
    <w:rsid w:val="00830C09"/>
    <w:rsid w:val="00831153"/>
    <w:rsid w:val="008311E0"/>
    <w:rsid w:val="008313E9"/>
    <w:rsid w:val="00831DD5"/>
    <w:rsid w:val="00831FC0"/>
    <w:rsid w:val="00831FC4"/>
    <w:rsid w:val="00832277"/>
    <w:rsid w:val="008323C2"/>
    <w:rsid w:val="008330CA"/>
    <w:rsid w:val="00833631"/>
    <w:rsid w:val="0083368A"/>
    <w:rsid w:val="00833A40"/>
    <w:rsid w:val="00833E55"/>
    <w:rsid w:val="00833F90"/>
    <w:rsid w:val="00834029"/>
    <w:rsid w:val="00834087"/>
    <w:rsid w:val="00834204"/>
    <w:rsid w:val="0083451F"/>
    <w:rsid w:val="00834784"/>
    <w:rsid w:val="008349B6"/>
    <w:rsid w:val="00834BEB"/>
    <w:rsid w:val="00834DBC"/>
    <w:rsid w:val="0083555E"/>
    <w:rsid w:val="00835808"/>
    <w:rsid w:val="0083596A"/>
    <w:rsid w:val="00835CC6"/>
    <w:rsid w:val="0083719B"/>
    <w:rsid w:val="0083720E"/>
    <w:rsid w:val="0083725F"/>
    <w:rsid w:val="00837351"/>
    <w:rsid w:val="00837500"/>
    <w:rsid w:val="00837510"/>
    <w:rsid w:val="008377B6"/>
    <w:rsid w:val="008377C2"/>
    <w:rsid w:val="00837C48"/>
    <w:rsid w:val="00837F9A"/>
    <w:rsid w:val="00837FF2"/>
    <w:rsid w:val="008407BF"/>
    <w:rsid w:val="00840AC9"/>
    <w:rsid w:val="00840BBC"/>
    <w:rsid w:val="00840C0E"/>
    <w:rsid w:val="00840F2A"/>
    <w:rsid w:val="0084106C"/>
    <w:rsid w:val="00841186"/>
    <w:rsid w:val="008412CE"/>
    <w:rsid w:val="00841663"/>
    <w:rsid w:val="008417A1"/>
    <w:rsid w:val="008417F7"/>
    <w:rsid w:val="0084182C"/>
    <w:rsid w:val="00841AA5"/>
    <w:rsid w:val="00841AEF"/>
    <w:rsid w:val="00841C56"/>
    <w:rsid w:val="00842701"/>
    <w:rsid w:val="00842B9B"/>
    <w:rsid w:val="00843156"/>
    <w:rsid w:val="008431D2"/>
    <w:rsid w:val="0084352D"/>
    <w:rsid w:val="0084354D"/>
    <w:rsid w:val="00843975"/>
    <w:rsid w:val="00843A43"/>
    <w:rsid w:val="00843E43"/>
    <w:rsid w:val="00843FA9"/>
    <w:rsid w:val="00843FF7"/>
    <w:rsid w:val="008442ED"/>
    <w:rsid w:val="0084473F"/>
    <w:rsid w:val="0084480F"/>
    <w:rsid w:val="0084492C"/>
    <w:rsid w:val="00844B3B"/>
    <w:rsid w:val="00844F70"/>
    <w:rsid w:val="00845128"/>
    <w:rsid w:val="0084542C"/>
    <w:rsid w:val="00845473"/>
    <w:rsid w:val="008455A0"/>
    <w:rsid w:val="008457F4"/>
    <w:rsid w:val="00845DC3"/>
    <w:rsid w:val="00845F55"/>
    <w:rsid w:val="0084605F"/>
    <w:rsid w:val="00846A68"/>
    <w:rsid w:val="00846B02"/>
    <w:rsid w:val="00846B40"/>
    <w:rsid w:val="00846B7E"/>
    <w:rsid w:val="00846F28"/>
    <w:rsid w:val="0084729F"/>
    <w:rsid w:val="00847305"/>
    <w:rsid w:val="00847583"/>
    <w:rsid w:val="00847AA4"/>
    <w:rsid w:val="00847C1D"/>
    <w:rsid w:val="00847C71"/>
    <w:rsid w:val="00847D0A"/>
    <w:rsid w:val="00850026"/>
    <w:rsid w:val="00850170"/>
    <w:rsid w:val="0085068C"/>
    <w:rsid w:val="00850741"/>
    <w:rsid w:val="00850825"/>
    <w:rsid w:val="0085094A"/>
    <w:rsid w:val="008509A8"/>
    <w:rsid w:val="00850BF4"/>
    <w:rsid w:val="00850C18"/>
    <w:rsid w:val="00850DB1"/>
    <w:rsid w:val="00850FDD"/>
    <w:rsid w:val="008511A5"/>
    <w:rsid w:val="0085174D"/>
    <w:rsid w:val="008518BC"/>
    <w:rsid w:val="008518E3"/>
    <w:rsid w:val="0085219B"/>
    <w:rsid w:val="008522E9"/>
    <w:rsid w:val="00852360"/>
    <w:rsid w:val="008523E2"/>
    <w:rsid w:val="008527EC"/>
    <w:rsid w:val="00852BBA"/>
    <w:rsid w:val="00853A0A"/>
    <w:rsid w:val="00853BDA"/>
    <w:rsid w:val="00853CF9"/>
    <w:rsid w:val="00853E08"/>
    <w:rsid w:val="00853F9D"/>
    <w:rsid w:val="00853FE7"/>
    <w:rsid w:val="00854116"/>
    <w:rsid w:val="00854295"/>
    <w:rsid w:val="008544DE"/>
    <w:rsid w:val="008546EC"/>
    <w:rsid w:val="00854A33"/>
    <w:rsid w:val="00854A9D"/>
    <w:rsid w:val="00854BB2"/>
    <w:rsid w:val="00854D74"/>
    <w:rsid w:val="00854F84"/>
    <w:rsid w:val="00855722"/>
    <w:rsid w:val="00855887"/>
    <w:rsid w:val="00855B42"/>
    <w:rsid w:val="00855B9B"/>
    <w:rsid w:val="00855BE0"/>
    <w:rsid w:val="00855C5E"/>
    <w:rsid w:val="00855D1A"/>
    <w:rsid w:val="00855E5D"/>
    <w:rsid w:val="00856138"/>
    <w:rsid w:val="008564CB"/>
    <w:rsid w:val="00856510"/>
    <w:rsid w:val="00856588"/>
    <w:rsid w:val="0085659A"/>
    <w:rsid w:val="008569B7"/>
    <w:rsid w:val="00856A9D"/>
    <w:rsid w:val="008570D5"/>
    <w:rsid w:val="00857502"/>
    <w:rsid w:val="008578D3"/>
    <w:rsid w:val="00857AF6"/>
    <w:rsid w:val="00857E29"/>
    <w:rsid w:val="00860180"/>
    <w:rsid w:val="008603AA"/>
    <w:rsid w:val="00860515"/>
    <w:rsid w:val="00860665"/>
    <w:rsid w:val="00860964"/>
    <w:rsid w:val="00860965"/>
    <w:rsid w:val="008609C4"/>
    <w:rsid w:val="00860B20"/>
    <w:rsid w:val="0086111B"/>
    <w:rsid w:val="00861123"/>
    <w:rsid w:val="00861138"/>
    <w:rsid w:val="00861979"/>
    <w:rsid w:val="008619FE"/>
    <w:rsid w:val="00861D4F"/>
    <w:rsid w:val="00861D90"/>
    <w:rsid w:val="00862064"/>
    <w:rsid w:val="008621D1"/>
    <w:rsid w:val="00862685"/>
    <w:rsid w:val="00862775"/>
    <w:rsid w:val="0086283E"/>
    <w:rsid w:val="00862FF6"/>
    <w:rsid w:val="00863090"/>
    <w:rsid w:val="0086375F"/>
    <w:rsid w:val="00863A79"/>
    <w:rsid w:val="00863B3E"/>
    <w:rsid w:val="00863B7D"/>
    <w:rsid w:val="00863C29"/>
    <w:rsid w:val="00863C77"/>
    <w:rsid w:val="00863D49"/>
    <w:rsid w:val="00863D5C"/>
    <w:rsid w:val="00863F32"/>
    <w:rsid w:val="00864007"/>
    <w:rsid w:val="008644FA"/>
    <w:rsid w:val="00864841"/>
    <w:rsid w:val="00864A03"/>
    <w:rsid w:val="00864E1D"/>
    <w:rsid w:val="00864E88"/>
    <w:rsid w:val="00865276"/>
    <w:rsid w:val="008653EA"/>
    <w:rsid w:val="0086548E"/>
    <w:rsid w:val="00865AC5"/>
    <w:rsid w:val="00865B7D"/>
    <w:rsid w:val="00865CFC"/>
    <w:rsid w:val="0086601D"/>
    <w:rsid w:val="0086630B"/>
    <w:rsid w:val="0086656A"/>
    <w:rsid w:val="008665F2"/>
    <w:rsid w:val="008666D6"/>
    <w:rsid w:val="0086695D"/>
    <w:rsid w:val="008669EA"/>
    <w:rsid w:val="00866B18"/>
    <w:rsid w:val="00866B54"/>
    <w:rsid w:val="00866EFE"/>
    <w:rsid w:val="00866F23"/>
    <w:rsid w:val="00867337"/>
    <w:rsid w:val="008674A1"/>
    <w:rsid w:val="008675B9"/>
    <w:rsid w:val="008676ED"/>
    <w:rsid w:val="0086791E"/>
    <w:rsid w:val="00867DAD"/>
    <w:rsid w:val="00870543"/>
    <w:rsid w:val="0087059D"/>
    <w:rsid w:val="008709A3"/>
    <w:rsid w:val="00870B31"/>
    <w:rsid w:val="00870CD0"/>
    <w:rsid w:val="008710B2"/>
    <w:rsid w:val="008711AB"/>
    <w:rsid w:val="00871AEE"/>
    <w:rsid w:val="008723AD"/>
    <w:rsid w:val="00872496"/>
    <w:rsid w:val="008728C2"/>
    <w:rsid w:val="00872917"/>
    <w:rsid w:val="00872B34"/>
    <w:rsid w:val="0087309B"/>
    <w:rsid w:val="00873280"/>
    <w:rsid w:val="00873612"/>
    <w:rsid w:val="00873727"/>
    <w:rsid w:val="00873780"/>
    <w:rsid w:val="00873843"/>
    <w:rsid w:val="00873A23"/>
    <w:rsid w:val="00873C54"/>
    <w:rsid w:val="00873F8F"/>
    <w:rsid w:val="00874117"/>
    <w:rsid w:val="008741D6"/>
    <w:rsid w:val="00874330"/>
    <w:rsid w:val="008748A8"/>
    <w:rsid w:val="008749AC"/>
    <w:rsid w:val="00874A18"/>
    <w:rsid w:val="008750EE"/>
    <w:rsid w:val="00875E2C"/>
    <w:rsid w:val="00875F1E"/>
    <w:rsid w:val="00876176"/>
    <w:rsid w:val="00876185"/>
    <w:rsid w:val="008761EE"/>
    <w:rsid w:val="008764FC"/>
    <w:rsid w:val="00876566"/>
    <w:rsid w:val="00876570"/>
    <w:rsid w:val="008766D6"/>
    <w:rsid w:val="00876D76"/>
    <w:rsid w:val="0087702E"/>
    <w:rsid w:val="008770CE"/>
    <w:rsid w:val="00877173"/>
    <w:rsid w:val="00877500"/>
    <w:rsid w:val="00877635"/>
    <w:rsid w:val="00877D05"/>
    <w:rsid w:val="00877DBC"/>
    <w:rsid w:val="00877EA4"/>
    <w:rsid w:val="00877EEB"/>
    <w:rsid w:val="00877EFE"/>
    <w:rsid w:val="00877FE2"/>
    <w:rsid w:val="008801BB"/>
    <w:rsid w:val="00880604"/>
    <w:rsid w:val="00880645"/>
    <w:rsid w:val="00880944"/>
    <w:rsid w:val="00880DD0"/>
    <w:rsid w:val="00880F23"/>
    <w:rsid w:val="00881463"/>
    <w:rsid w:val="008814B5"/>
    <w:rsid w:val="00881674"/>
    <w:rsid w:val="008818BE"/>
    <w:rsid w:val="008819D7"/>
    <w:rsid w:val="00881B43"/>
    <w:rsid w:val="00881F10"/>
    <w:rsid w:val="00881FED"/>
    <w:rsid w:val="008824FC"/>
    <w:rsid w:val="0088254E"/>
    <w:rsid w:val="00882908"/>
    <w:rsid w:val="00882B78"/>
    <w:rsid w:val="00882DF2"/>
    <w:rsid w:val="00883378"/>
    <w:rsid w:val="00883544"/>
    <w:rsid w:val="0088368B"/>
    <w:rsid w:val="00883733"/>
    <w:rsid w:val="00883A2E"/>
    <w:rsid w:val="00883D37"/>
    <w:rsid w:val="00883D8D"/>
    <w:rsid w:val="00883EB1"/>
    <w:rsid w:val="008840B9"/>
    <w:rsid w:val="0088435F"/>
    <w:rsid w:val="00884B5E"/>
    <w:rsid w:val="00884CC0"/>
    <w:rsid w:val="00884D5F"/>
    <w:rsid w:val="00884D82"/>
    <w:rsid w:val="00884F05"/>
    <w:rsid w:val="008855DA"/>
    <w:rsid w:val="008857C2"/>
    <w:rsid w:val="00885DAB"/>
    <w:rsid w:val="00885F94"/>
    <w:rsid w:val="0088625D"/>
    <w:rsid w:val="0088639E"/>
    <w:rsid w:val="00886821"/>
    <w:rsid w:val="008868CA"/>
    <w:rsid w:val="008870C3"/>
    <w:rsid w:val="008872DE"/>
    <w:rsid w:val="0088773D"/>
    <w:rsid w:val="00887767"/>
    <w:rsid w:val="00887A04"/>
    <w:rsid w:val="00887AD3"/>
    <w:rsid w:val="00887BB2"/>
    <w:rsid w:val="00887E8B"/>
    <w:rsid w:val="00890013"/>
    <w:rsid w:val="0089017E"/>
    <w:rsid w:val="0089023B"/>
    <w:rsid w:val="008904BA"/>
    <w:rsid w:val="00890566"/>
    <w:rsid w:val="00890CEF"/>
    <w:rsid w:val="00890F19"/>
    <w:rsid w:val="00891142"/>
    <w:rsid w:val="00891285"/>
    <w:rsid w:val="00891462"/>
    <w:rsid w:val="00892294"/>
    <w:rsid w:val="00892668"/>
    <w:rsid w:val="00892803"/>
    <w:rsid w:val="00892A25"/>
    <w:rsid w:val="00892A37"/>
    <w:rsid w:val="00892C49"/>
    <w:rsid w:val="00892DB0"/>
    <w:rsid w:val="00892EA6"/>
    <w:rsid w:val="00892F73"/>
    <w:rsid w:val="0089302D"/>
    <w:rsid w:val="008934A5"/>
    <w:rsid w:val="008935D1"/>
    <w:rsid w:val="008936C1"/>
    <w:rsid w:val="008938C8"/>
    <w:rsid w:val="00893A38"/>
    <w:rsid w:val="00893C3E"/>
    <w:rsid w:val="00893CE9"/>
    <w:rsid w:val="00893D57"/>
    <w:rsid w:val="0089414E"/>
    <w:rsid w:val="00894213"/>
    <w:rsid w:val="00894D2C"/>
    <w:rsid w:val="00894D6B"/>
    <w:rsid w:val="00894E62"/>
    <w:rsid w:val="008951C3"/>
    <w:rsid w:val="00895551"/>
    <w:rsid w:val="008956E4"/>
    <w:rsid w:val="008957C6"/>
    <w:rsid w:val="00895917"/>
    <w:rsid w:val="00895BAA"/>
    <w:rsid w:val="00895C2C"/>
    <w:rsid w:val="00895D4F"/>
    <w:rsid w:val="00895DD4"/>
    <w:rsid w:val="008960BC"/>
    <w:rsid w:val="008961A2"/>
    <w:rsid w:val="0089661E"/>
    <w:rsid w:val="008966CE"/>
    <w:rsid w:val="0089672B"/>
    <w:rsid w:val="00896E00"/>
    <w:rsid w:val="00896E70"/>
    <w:rsid w:val="008977A0"/>
    <w:rsid w:val="0089789C"/>
    <w:rsid w:val="008978F0"/>
    <w:rsid w:val="00897D9A"/>
    <w:rsid w:val="00897F5D"/>
    <w:rsid w:val="00897F5F"/>
    <w:rsid w:val="00897FD4"/>
    <w:rsid w:val="008A0226"/>
    <w:rsid w:val="008A0892"/>
    <w:rsid w:val="008A0A68"/>
    <w:rsid w:val="008A1BC2"/>
    <w:rsid w:val="008A1D8D"/>
    <w:rsid w:val="008A1E15"/>
    <w:rsid w:val="008A1FB6"/>
    <w:rsid w:val="008A1FE2"/>
    <w:rsid w:val="008A1FEB"/>
    <w:rsid w:val="008A2332"/>
    <w:rsid w:val="008A2432"/>
    <w:rsid w:val="008A250C"/>
    <w:rsid w:val="008A2682"/>
    <w:rsid w:val="008A2737"/>
    <w:rsid w:val="008A299C"/>
    <w:rsid w:val="008A2E7E"/>
    <w:rsid w:val="008A3802"/>
    <w:rsid w:val="008A3AB9"/>
    <w:rsid w:val="008A439D"/>
    <w:rsid w:val="008A4506"/>
    <w:rsid w:val="008A4567"/>
    <w:rsid w:val="008A45CD"/>
    <w:rsid w:val="008A460A"/>
    <w:rsid w:val="008A4B35"/>
    <w:rsid w:val="008A4BF9"/>
    <w:rsid w:val="008A4C4D"/>
    <w:rsid w:val="008A4D75"/>
    <w:rsid w:val="008A518B"/>
    <w:rsid w:val="008A5363"/>
    <w:rsid w:val="008A554D"/>
    <w:rsid w:val="008A58F9"/>
    <w:rsid w:val="008A60BD"/>
    <w:rsid w:val="008A6103"/>
    <w:rsid w:val="008A6290"/>
    <w:rsid w:val="008A6557"/>
    <w:rsid w:val="008A6710"/>
    <w:rsid w:val="008A69D3"/>
    <w:rsid w:val="008A6DC7"/>
    <w:rsid w:val="008A6F27"/>
    <w:rsid w:val="008A7147"/>
    <w:rsid w:val="008A72F8"/>
    <w:rsid w:val="008A750B"/>
    <w:rsid w:val="008A786C"/>
    <w:rsid w:val="008A7C35"/>
    <w:rsid w:val="008A7C87"/>
    <w:rsid w:val="008B0096"/>
    <w:rsid w:val="008B0520"/>
    <w:rsid w:val="008B0687"/>
    <w:rsid w:val="008B0A0B"/>
    <w:rsid w:val="008B0B4C"/>
    <w:rsid w:val="008B0DCF"/>
    <w:rsid w:val="008B1474"/>
    <w:rsid w:val="008B1661"/>
    <w:rsid w:val="008B169C"/>
    <w:rsid w:val="008B1BE0"/>
    <w:rsid w:val="008B1D34"/>
    <w:rsid w:val="008B1FFB"/>
    <w:rsid w:val="008B2269"/>
    <w:rsid w:val="008B22A3"/>
    <w:rsid w:val="008B2440"/>
    <w:rsid w:val="008B2619"/>
    <w:rsid w:val="008B264C"/>
    <w:rsid w:val="008B2A1C"/>
    <w:rsid w:val="008B36CF"/>
    <w:rsid w:val="008B379A"/>
    <w:rsid w:val="008B37B7"/>
    <w:rsid w:val="008B3818"/>
    <w:rsid w:val="008B3D5D"/>
    <w:rsid w:val="008B3F22"/>
    <w:rsid w:val="008B41C7"/>
    <w:rsid w:val="008B46B7"/>
    <w:rsid w:val="008B4A43"/>
    <w:rsid w:val="008B500E"/>
    <w:rsid w:val="008B52E0"/>
    <w:rsid w:val="008B5416"/>
    <w:rsid w:val="008B5673"/>
    <w:rsid w:val="008B5A0E"/>
    <w:rsid w:val="008B5BF0"/>
    <w:rsid w:val="008B5CB3"/>
    <w:rsid w:val="008B5E1E"/>
    <w:rsid w:val="008B62D4"/>
    <w:rsid w:val="008B64A6"/>
    <w:rsid w:val="008B64BA"/>
    <w:rsid w:val="008B653B"/>
    <w:rsid w:val="008B6AD6"/>
    <w:rsid w:val="008B6CF3"/>
    <w:rsid w:val="008B6DAD"/>
    <w:rsid w:val="008B6E4E"/>
    <w:rsid w:val="008B6F87"/>
    <w:rsid w:val="008B711D"/>
    <w:rsid w:val="008B7193"/>
    <w:rsid w:val="008B7305"/>
    <w:rsid w:val="008B73A0"/>
    <w:rsid w:val="008B7511"/>
    <w:rsid w:val="008B77A4"/>
    <w:rsid w:val="008B7940"/>
    <w:rsid w:val="008B79F9"/>
    <w:rsid w:val="008B7AEF"/>
    <w:rsid w:val="008B7C3C"/>
    <w:rsid w:val="008B7CAF"/>
    <w:rsid w:val="008B7F6D"/>
    <w:rsid w:val="008C01A5"/>
    <w:rsid w:val="008C023F"/>
    <w:rsid w:val="008C027E"/>
    <w:rsid w:val="008C02C9"/>
    <w:rsid w:val="008C06A6"/>
    <w:rsid w:val="008C0A05"/>
    <w:rsid w:val="008C0A11"/>
    <w:rsid w:val="008C0B4E"/>
    <w:rsid w:val="008C1D76"/>
    <w:rsid w:val="008C1F15"/>
    <w:rsid w:val="008C253D"/>
    <w:rsid w:val="008C2540"/>
    <w:rsid w:val="008C2736"/>
    <w:rsid w:val="008C2BEE"/>
    <w:rsid w:val="008C2EF9"/>
    <w:rsid w:val="008C2FF4"/>
    <w:rsid w:val="008C311E"/>
    <w:rsid w:val="008C3988"/>
    <w:rsid w:val="008C3B88"/>
    <w:rsid w:val="008C3C18"/>
    <w:rsid w:val="008C3FEB"/>
    <w:rsid w:val="008C4018"/>
    <w:rsid w:val="008C4085"/>
    <w:rsid w:val="008C4328"/>
    <w:rsid w:val="008C4381"/>
    <w:rsid w:val="008C4595"/>
    <w:rsid w:val="008C476E"/>
    <w:rsid w:val="008C4797"/>
    <w:rsid w:val="008C4858"/>
    <w:rsid w:val="008C4879"/>
    <w:rsid w:val="008C48C6"/>
    <w:rsid w:val="008C4DB1"/>
    <w:rsid w:val="008C4E13"/>
    <w:rsid w:val="008C5AF9"/>
    <w:rsid w:val="008C5BBC"/>
    <w:rsid w:val="008C5EF2"/>
    <w:rsid w:val="008C6378"/>
    <w:rsid w:val="008C63BD"/>
    <w:rsid w:val="008C65B5"/>
    <w:rsid w:val="008C6B9B"/>
    <w:rsid w:val="008C70C2"/>
    <w:rsid w:val="008C70F0"/>
    <w:rsid w:val="008C7278"/>
    <w:rsid w:val="008C74D4"/>
    <w:rsid w:val="008C750A"/>
    <w:rsid w:val="008C7D85"/>
    <w:rsid w:val="008D00B2"/>
    <w:rsid w:val="008D0126"/>
    <w:rsid w:val="008D01CB"/>
    <w:rsid w:val="008D022C"/>
    <w:rsid w:val="008D02C4"/>
    <w:rsid w:val="008D0434"/>
    <w:rsid w:val="008D056B"/>
    <w:rsid w:val="008D06E3"/>
    <w:rsid w:val="008D081F"/>
    <w:rsid w:val="008D0B89"/>
    <w:rsid w:val="008D112D"/>
    <w:rsid w:val="008D1392"/>
    <w:rsid w:val="008D1FCD"/>
    <w:rsid w:val="008D2376"/>
    <w:rsid w:val="008D23ED"/>
    <w:rsid w:val="008D2A5A"/>
    <w:rsid w:val="008D32A6"/>
    <w:rsid w:val="008D359D"/>
    <w:rsid w:val="008D379D"/>
    <w:rsid w:val="008D3A4B"/>
    <w:rsid w:val="008D3F92"/>
    <w:rsid w:val="008D405F"/>
    <w:rsid w:val="008D4415"/>
    <w:rsid w:val="008D4564"/>
    <w:rsid w:val="008D45FE"/>
    <w:rsid w:val="008D4C5C"/>
    <w:rsid w:val="008D502F"/>
    <w:rsid w:val="008D50CD"/>
    <w:rsid w:val="008D50DD"/>
    <w:rsid w:val="008D5829"/>
    <w:rsid w:val="008D5982"/>
    <w:rsid w:val="008D5C9E"/>
    <w:rsid w:val="008D632D"/>
    <w:rsid w:val="008D63A6"/>
    <w:rsid w:val="008D644B"/>
    <w:rsid w:val="008D648F"/>
    <w:rsid w:val="008D6681"/>
    <w:rsid w:val="008D6856"/>
    <w:rsid w:val="008D6963"/>
    <w:rsid w:val="008D6F7D"/>
    <w:rsid w:val="008D6F8A"/>
    <w:rsid w:val="008D7087"/>
    <w:rsid w:val="008D7D60"/>
    <w:rsid w:val="008D7E64"/>
    <w:rsid w:val="008D7F46"/>
    <w:rsid w:val="008D7F53"/>
    <w:rsid w:val="008E0171"/>
    <w:rsid w:val="008E017D"/>
    <w:rsid w:val="008E0395"/>
    <w:rsid w:val="008E039D"/>
    <w:rsid w:val="008E03E7"/>
    <w:rsid w:val="008E0D32"/>
    <w:rsid w:val="008E12DC"/>
    <w:rsid w:val="008E1350"/>
    <w:rsid w:val="008E20B9"/>
    <w:rsid w:val="008E2144"/>
    <w:rsid w:val="008E22EB"/>
    <w:rsid w:val="008E25C7"/>
    <w:rsid w:val="008E25CA"/>
    <w:rsid w:val="008E29DA"/>
    <w:rsid w:val="008E2AA2"/>
    <w:rsid w:val="008E2DB3"/>
    <w:rsid w:val="008E2DCE"/>
    <w:rsid w:val="008E2E83"/>
    <w:rsid w:val="008E2EA7"/>
    <w:rsid w:val="008E2EFA"/>
    <w:rsid w:val="008E33E3"/>
    <w:rsid w:val="008E3693"/>
    <w:rsid w:val="008E39FE"/>
    <w:rsid w:val="008E3AB2"/>
    <w:rsid w:val="008E3AD4"/>
    <w:rsid w:val="008E3F64"/>
    <w:rsid w:val="008E45ED"/>
    <w:rsid w:val="008E4755"/>
    <w:rsid w:val="008E4768"/>
    <w:rsid w:val="008E4AF2"/>
    <w:rsid w:val="008E4B30"/>
    <w:rsid w:val="008E4C2D"/>
    <w:rsid w:val="008E552D"/>
    <w:rsid w:val="008E5655"/>
    <w:rsid w:val="008E5661"/>
    <w:rsid w:val="008E5A2D"/>
    <w:rsid w:val="008E5B77"/>
    <w:rsid w:val="008E5FB3"/>
    <w:rsid w:val="008E63D1"/>
    <w:rsid w:val="008E6476"/>
    <w:rsid w:val="008E648D"/>
    <w:rsid w:val="008E64A8"/>
    <w:rsid w:val="008E64D9"/>
    <w:rsid w:val="008E65F4"/>
    <w:rsid w:val="008E6AF2"/>
    <w:rsid w:val="008E6D83"/>
    <w:rsid w:val="008E726A"/>
    <w:rsid w:val="008E72E0"/>
    <w:rsid w:val="008E74B1"/>
    <w:rsid w:val="008E77C4"/>
    <w:rsid w:val="008E7C3C"/>
    <w:rsid w:val="008F025C"/>
    <w:rsid w:val="008F03C3"/>
    <w:rsid w:val="008F06C2"/>
    <w:rsid w:val="008F06FE"/>
    <w:rsid w:val="008F0B3F"/>
    <w:rsid w:val="008F0BC7"/>
    <w:rsid w:val="008F12A4"/>
    <w:rsid w:val="008F12F6"/>
    <w:rsid w:val="008F1348"/>
    <w:rsid w:val="008F1356"/>
    <w:rsid w:val="008F1557"/>
    <w:rsid w:val="008F163C"/>
    <w:rsid w:val="008F1A89"/>
    <w:rsid w:val="008F1D94"/>
    <w:rsid w:val="008F1DE9"/>
    <w:rsid w:val="008F20E4"/>
    <w:rsid w:val="008F217E"/>
    <w:rsid w:val="008F244F"/>
    <w:rsid w:val="008F29D7"/>
    <w:rsid w:val="008F2B61"/>
    <w:rsid w:val="008F33A9"/>
    <w:rsid w:val="008F3617"/>
    <w:rsid w:val="008F38D3"/>
    <w:rsid w:val="008F3907"/>
    <w:rsid w:val="008F3BF0"/>
    <w:rsid w:val="008F4183"/>
    <w:rsid w:val="008F420B"/>
    <w:rsid w:val="008F4276"/>
    <w:rsid w:val="008F4438"/>
    <w:rsid w:val="008F453C"/>
    <w:rsid w:val="008F4753"/>
    <w:rsid w:val="008F48AB"/>
    <w:rsid w:val="008F4C88"/>
    <w:rsid w:val="008F5087"/>
    <w:rsid w:val="008F51F8"/>
    <w:rsid w:val="008F54CA"/>
    <w:rsid w:val="008F54F9"/>
    <w:rsid w:val="008F56ED"/>
    <w:rsid w:val="008F58B8"/>
    <w:rsid w:val="008F5A7F"/>
    <w:rsid w:val="008F5C18"/>
    <w:rsid w:val="008F5EDE"/>
    <w:rsid w:val="008F6050"/>
    <w:rsid w:val="008F61A4"/>
    <w:rsid w:val="008F6469"/>
    <w:rsid w:val="008F64AB"/>
    <w:rsid w:val="008F67AC"/>
    <w:rsid w:val="008F6EBD"/>
    <w:rsid w:val="008F723E"/>
    <w:rsid w:val="008F731E"/>
    <w:rsid w:val="008F7347"/>
    <w:rsid w:val="008F7504"/>
    <w:rsid w:val="008F7550"/>
    <w:rsid w:val="008F7827"/>
    <w:rsid w:val="008F787E"/>
    <w:rsid w:val="008F7997"/>
    <w:rsid w:val="008F7E43"/>
    <w:rsid w:val="00900169"/>
    <w:rsid w:val="00900230"/>
    <w:rsid w:val="0090033F"/>
    <w:rsid w:val="00900667"/>
    <w:rsid w:val="009008A3"/>
    <w:rsid w:val="00900BB9"/>
    <w:rsid w:val="00900DB5"/>
    <w:rsid w:val="00900E29"/>
    <w:rsid w:val="00901337"/>
    <w:rsid w:val="009013D2"/>
    <w:rsid w:val="009016C0"/>
    <w:rsid w:val="00901C95"/>
    <w:rsid w:val="009025BA"/>
    <w:rsid w:val="009026DC"/>
    <w:rsid w:val="009026DD"/>
    <w:rsid w:val="009028B3"/>
    <w:rsid w:val="009029D8"/>
    <w:rsid w:val="00902C7E"/>
    <w:rsid w:val="00902DC5"/>
    <w:rsid w:val="00902EDD"/>
    <w:rsid w:val="00902FC2"/>
    <w:rsid w:val="009031F1"/>
    <w:rsid w:val="00903479"/>
    <w:rsid w:val="009035B3"/>
    <w:rsid w:val="009036C3"/>
    <w:rsid w:val="009037A3"/>
    <w:rsid w:val="00903969"/>
    <w:rsid w:val="00904276"/>
    <w:rsid w:val="00904365"/>
    <w:rsid w:val="0090451C"/>
    <w:rsid w:val="0090464B"/>
    <w:rsid w:val="00904933"/>
    <w:rsid w:val="00905115"/>
    <w:rsid w:val="00905310"/>
    <w:rsid w:val="0090549E"/>
    <w:rsid w:val="00905AB4"/>
    <w:rsid w:val="00905D0E"/>
    <w:rsid w:val="00905E92"/>
    <w:rsid w:val="00905ED2"/>
    <w:rsid w:val="009060ED"/>
    <w:rsid w:val="00906746"/>
    <w:rsid w:val="00906D05"/>
    <w:rsid w:val="00906DCB"/>
    <w:rsid w:val="00906ED4"/>
    <w:rsid w:val="00907620"/>
    <w:rsid w:val="00907ABD"/>
    <w:rsid w:val="00907E5A"/>
    <w:rsid w:val="0091031E"/>
    <w:rsid w:val="00910621"/>
    <w:rsid w:val="009108C2"/>
    <w:rsid w:val="009109EA"/>
    <w:rsid w:val="00910B8E"/>
    <w:rsid w:val="00910B9D"/>
    <w:rsid w:val="00910CB0"/>
    <w:rsid w:val="00910D0A"/>
    <w:rsid w:val="00910DD2"/>
    <w:rsid w:val="00910FE5"/>
    <w:rsid w:val="00911287"/>
    <w:rsid w:val="00911487"/>
    <w:rsid w:val="009115B3"/>
    <w:rsid w:val="009117B2"/>
    <w:rsid w:val="009119AF"/>
    <w:rsid w:val="00911A3E"/>
    <w:rsid w:val="00911EDB"/>
    <w:rsid w:val="00912109"/>
    <w:rsid w:val="00912420"/>
    <w:rsid w:val="009129E6"/>
    <w:rsid w:val="00912D19"/>
    <w:rsid w:val="00912DD7"/>
    <w:rsid w:val="00913089"/>
    <w:rsid w:val="009133FD"/>
    <w:rsid w:val="009141A9"/>
    <w:rsid w:val="00914A91"/>
    <w:rsid w:val="00914CF6"/>
    <w:rsid w:val="00914EA8"/>
    <w:rsid w:val="00914F3E"/>
    <w:rsid w:val="00914F89"/>
    <w:rsid w:val="00915146"/>
    <w:rsid w:val="009151BA"/>
    <w:rsid w:val="00915A58"/>
    <w:rsid w:val="00915D20"/>
    <w:rsid w:val="00915D80"/>
    <w:rsid w:val="00915D9B"/>
    <w:rsid w:val="00916224"/>
    <w:rsid w:val="009178B5"/>
    <w:rsid w:val="00917E42"/>
    <w:rsid w:val="00917F11"/>
    <w:rsid w:val="00917FCF"/>
    <w:rsid w:val="00920159"/>
    <w:rsid w:val="009201C6"/>
    <w:rsid w:val="00920F8A"/>
    <w:rsid w:val="00920F9B"/>
    <w:rsid w:val="00920FAB"/>
    <w:rsid w:val="0092110A"/>
    <w:rsid w:val="00921199"/>
    <w:rsid w:val="00921272"/>
    <w:rsid w:val="009219FE"/>
    <w:rsid w:val="00921BBD"/>
    <w:rsid w:val="00921C6D"/>
    <w:rsid w:val="00921D04"/>
    <w:rsid w:val="00921E92"/>
    <w:rsid w:val="00921EBC"/>
    <w:rsid w:val="00921EF6"/>
    <w:rsid w:val="00921F2F"/>
    <w:rsid w:val="009220E2"/>
    <w:rsid w:val="00922164"/>
    <w:rsid w:val="00922338"/>
    <w:rsid w:val="009227AB"/>
    <w:rsid w:val="00922935"/>
    <w:rsid w:val="00922A3E"/>
    <w:rsid w:val="00922D89"/>
    <w:rsid w:val="00923111"/>
    <w:rsid w:val="00923196"/>
    <w:rsid w:val="009238DC"/>
    <w:rsid w:val="00923BE5"/>
    <w:rsid w:val="00924321"/>
    <w:rsid w:val="00924B1C"/>
    <w:rsid w:val="00924D6C"/>
    <w:rsid w:val="009250E9"/>
    <w:rsid w:val="009253A7"/>
    <w:rsid w:val="009254B1"/>
    <w:rsid w:val="009254DB"/>
    <w:rsid w:val="00925B74"/>
    <w:rsid w:val="00925BB2"/>
    <w:rsid w:val="00925FBF"/>
    <w:rsid w:val="00926029"/>
    <w:rsid w:val="009263D1"/>
    <w:rsid w:val="00926947"/>
    <w:rsid w:val="00926DB3"/>
    <w:rsid w:val="00927096"/>
    <w:rsid w:val="009270EA"/>
    <w:rsid w:val="009275AC"/>
    <w:rsid w:val="009279A8"/>
    <w:rsid w:val="00927C70"/>
    <w:rsid w:val="00927CE1"/>
    <w:rsid w:val="00927F3A"/>
    <w:rsid w:val="00930284"/>
    <w:rsid w:val="00930482"/>
    <w:rsid w:val="00930734"/>
    <w:rsid w:val="00930894"/>
    <w:rsid w:val="00930A25"/>
    <w:rsid w:val="00930D4F"/>
    <w:rsid w:val="00930DDA"/>
    <w:rsid w:val="0093107C"/>
    <w:rsid w:val="0093117B"/>
    <w:rsid w:val="00931226"/>
    <w:rsid w:val="00931273"/>
    <w:rsid w:val="00931792"/>
    <w:rsid w:val="00931B0C"/>
    <w:rsid w:val="00931C1F"/>
    <w:rsid w:val="00931E71"/>
    <w:rsid w:val="00932225"/>
    <w:rsid w:val="00932357"/>
    <w:rsid w:val="0093254B"/>
    <w:rsid w:val="00932550"/>
    <w:rsid w:val="009325BF"/>
    <w:rsid w:val="009328BC"/>
    <w:rsid w:val="009329A5"/>
    <w:rsid w:val="00932A51"/>
    <w:rsid w:val="00932B13"/>
    <w:rsid w:val="00933013"/>
    <w:rsid w:val="009334F2"/>
    <w:rsid w:val="00933868"/>
    <w:rsid w:val="0093396A"/>
    <w:rsid w:val="00933E25"/>
    <w:rsid w:val="00933ED2"/>
    <w:rsid w:val="0093441C"/>
    <w:rsid w:val="009344A7"/>
    <w:rsid w:val="00934B17"/>
    <w:rsid w:val="00934C3F"/>
    <w:rsid w:val="00935299"/>
    <w:rsid w:val="009353DD"/>
    <w:rsid w:val="0093545A"/>
    <w:rsid w:val="00935762"/>
    <w:rsid w:val="0093580F"/>
    <w:rsid w:val="00935A14"/>
    <w:rsid w:val="00935A7F"/>
    <w:rsid w:val="00935D80"/>
    <w:rsid w:val="009362B9"/>
    <w:rsid w:val="00936556"/>
    <w:rsid w:val="009365EC"/>
    <w:rsid w:val="00936815"/>
    <w:rsid w:val="00936BFE"/>
    <w:rsid w:val="00936F06"/>
    <w:rsid w:val="00937046"/>
    <w:rsid w:val="009378C4"/>
    <w:rsid w:val="00937A49"/>
    <w:rsid w:val="00937A93"/>
    <w:rsid w:val="00937E83"/>
    <w:rsid w:val="00937ECF"/>
    <w:rsid w:val="00937F30"/>
    <w:rsid w:val="00937FDD"/>
    <w:rsid w:val="0094029D"/>
    <w:rsid w:val="0094051E"/>
    <w:rsid w:val="00940564"/>
    <w:rsid w:val="00940E72"/>
    <w:rsid w:val="00941595"/>
    <w:rsid w:val="009417B0"/>
    <w:rsid w:val="009420C4"/>
    <w:rsid w:val="009427B9"/>
    <w:rsid w:val="0094287F"/>
    <w:rsid w:val="00942DE8"/>
    <w:rsid w:val="00943136"/>
    <w:rsid w:val="00943FDF"/>
    <w:rsid w:val="00944264"/>
    <w:rsid w:val="009442E1"/>
    <w:rsid w:val="00944421"/>
    <w:rsid w:val="0094480B"/>
    <w:rsid w:val="00944D5B"/>
    <w:rsid w:val="00944EE2"/>
    <w:rsid w:val="00944F52"/>
    <w:rsid w:val="0094520F"/>
    <w:rsid w:val="00945380"/>
    <w:rsid w:val="00945645"/>
    <w:rsid w:val="00945692"/>
    <w:rsid w:val="00945813"/>
    <w:rsid w:val="00945D9D"/>
    <w:rsid w:val="00946DCB"/>
    <w:rsid w:val="00946E71"/>
    <w:rsid w:val="009473DD"/>
    <w:rsid w:val="00947573"/>
    <w:rsid w:val="00947C81"/>
    <w:rsid w:val="00947F7C"/>
    <w:rsid w:val="0095024E"/>
    <w:rsid w:val="009505BB"/>
    <w:rsid w:val="00950B61"/>
    <w:rsid w:val="00950C34"/>
    <w:rsid w:val="00950D2A"/>
    <w:rsid w:val="00950D53"/>
    <w:rsid w:val="009512D2"/>
    <w:rsid w:val="009513F2"/>
    <w:rsid w:val="0095148D"/>
    <w:rsid w:val="009516FA"/>
    <w:rsid w:val="009517C6"/>
    <w:rsid w:val="00951A9B"/>
    <w:rsid w:val="00952A3B"/>
    <w:rsid w:val="00952C77"/>
    <w:rsid w:val="00952EA2"/>
    <w:rsid w:val="00952EA5"/>
    <w:rsid w:val="00952EB9"/>
    <w:rsid w:val="00953042"/>
    <w:rsid w:val="009531AA"/>
    <w:rsid w:val="0095341A"/>
    <w:rsid w:val="009536CB"/>
    <w:rsid w:val="00953A33"/>
    <w:rsid w:val="00953BC6"/>
    <w:rsid w:val="00953EAA"/>
    <w:rsid w:val="009540CD"/>
    <w:rsid w:val="0095467D"/>
    <w:rsid w:val="0095468F"/>
    <w:rsid w:val="009547EF"/>
    <w:rsid w:val="00954D48"/>
    <w:rsid w:val="00954F24"/>
    <w:rsid w:val="00955342"/>
    <w:rsid w:val="0095540E"/>
    <w:rsid w:val="00955446"/>
    <w:rsid w:val="009557DB"/>
    <w:rsid w:val="00955810"/>
    <w:rsid w:val="00955A3F"/>
    <w:rsid w:val="00955AD7"/>
    <w:rsid w:val="00955CD2"/>
    <w:rsid w:val="00955EBC"/>
    <w:rsid w:val="00955F91"/>
    <w:rsid w:val="009560AE"/>
    <w:rsid w:val="00956442"/>
    <w:rsid w:val="00956737"/>
    <w:rsid w:val="0095693E"/>
    <w:rsid w:val="00956B2B"/>
    <w:rsid w:val="00956BF1"/>
    <w:rsid w:val="00956CBE"/>
    <w:rsid w:val="00956D90"/>
    <w:rsid w:val="00956DA4"/>
    <w:rsid w:val="009578E8"/>
    <w:rsid w:val="00957997"/>
    <w:rsid w:val="00957A1B"/>
    <w:rsid w:val="00957EFE"/>
    <w:rsid w:val="009602FC"/>
    <w:rsid w:val="0096085B"/>
    <w:rsid w:val="00961005"/>
    <w:rsid w:val="0096114E"/>
    <w:rsid w:val="00961868"/>
    <w:rsid w:val="00961CB5"/>
    <w:rsid w:val="00961DBC"/>
    <w:rsid w:val="009623CD"/>
    <w:rsid w:val="0096272C"/>
    <w:rsid w:val="009628F6"/>
    <w:rsid w:val="00962B11"/>
    <w:rsid w:val="009631C8"/>
    <w:rsid w:val="0096357C"/>
    <w:rsid w:val="00963869"/>
    <w:rsid w:val="00963BB4"/>
    <w:rsid w:val="00963CB0"/>
    <w:rsid w:val="00963FC3"/>
    <w:rsid w:val="00964045"/>
    <w:rsid w:val="00964159"/>
    <w:rsid w:val="00964851"/>
    <w:rsid w:val="0096494E"/>
    <w:rsid w:val="00964A4B"/>
    <w:rsid w:val="00964BF1"/>
    <w:rsid w:val="00964C78"/>
    <w:rsid w:val="00964EE9"/>
    <w:rsid w:val="00964F64"/>
    <w:rsid w:val="009650A2"/>
    <w:rsid w:val="009653C7"/>
    <w:rsid w:val="00965528"/>
    <w:rsid w:val="00965EF9"/>
    <w:rsid w:val="00965FC5"/>
    <w:rsid w:val="00966399"/>
    <w:rsid w:val="009665A1"/>
    <w:rsid w:val="009665F4"/>
    <w:rsid w:val="00966729"/>
    <w:rsid w:val="009667CF"/>
    <w:rsid w:val="009668F7"/>
    <w:rsid w:val="00966A32"/>
    <w:rsid w:val="00966C54"/>
    <w:rsid w:val="00967003"/>
    <w:rsid w:val="00967299"/>
    <w:rsid w:val="0096750D"/>
    <w:rsid w:val="009675D6"/>
    <w:rsid w:val="0096781A"/>
    <w:rsid w:val="00967DD3"/>
    <w:rsid w:val="00967E65"/>
    <w:rsid w:val="00970183"/>
    <w:rsid w:val="00970E86"/>
    <w:rsid w:val="00970F14"/>
    <w:rsid w:val="00970FE6"/>
    <w:rsid w:val="00971184"/>
    <w:rsid w:val="009711D4"/>
    <w:rsid w:val="0097120D"/>
    <w:rsid w:val="00971310"/>
    <w:rsid w:val="00971626"/>
    <w:rsid w:val="0097175C"/>
    <w:rsid w:val="00972273"/>
    <w:rsid w:val="00972AB6"/>
    <w:rsid w:val="009731B5"/>
    <w:rsid w:val="0097326D"/>
    <w:rsid w:val="00973472"/>
    <w:rsid w:val="009735D9"/>
    <w:rsid w:val="009737B1"/>
    <w:rsid w:val="009738BF"/>
    <w:rsid w:val="00973ACE"/>
    <w:rsid w:val="00973AFC"/>
    <w:rsid w:val="00973BE0"/>
    <w:rsid w:val="00973E02"/>
    <w:rsid w:val="00973F86"/>
    <w:rsid w:val="00974394"/>
    <w:rsid w:val="009743BB"/>
    <w:rsid w:val="009743F3"/>
    <w:rsid w:val="00974500"/>
    <w:rsid w:val="00974586"/>
    <w:rsid w:val="00974A5F"/>
    <w:rsid w:val="00974AFD"/>
    <w:rsid w:val="00974B6E"/>
    <w:rsid w:val="009753A6"/>
    <w:rsid w:val="009753ED"/>
    <w:rsid w:val="009755DE"/>
    <w:rsid w:val="00975723"/>
    <w:rsid w:val="0097579C"/>
    <w:rsid w:val="009757B6"/>
    <w:rsid w:val="00975B99"/>
    <w:rsid w:val="00975E40"/>
    <w:rsid w:val="0097604F"/>
    <w:rsid w:val="00976211"/>
    <w:rsid w:val="00976386"/>
    <w:rsid w:val="009764F7"/>
    <w:rsid w:val="00976756"/>
    <w:rsid w:val="009767AD"/>
    <w:rsid w:val="009769C5"/>
    <w:rsid w:val="00976E7B"/>
    <w:rsid w:val="00976F26"/>
    <w:rsid w:val="00976F4A"/>
    <w:rsid w:val="00976F8C"/>
    <w:rsid w:val="00977864"/>
    <w:rsid w:val="00977891"/>
    <w:rsid w:val="009805FD"/>
    <w:rsid w:val="0098062D"/>
    <w:rsid w:val="00980873"/>
    <w:rsid w:val="009809C5"/>
    <w:rsid w:val="00980A36"/>
    <w:rsid w:val="00980A37"/>
    <w:rsid w:val="00980A63"/>
    <w:rsid w:val="00980F5D"/>
    <w:rsid w:val="009814AE"/>
    <w:rsid w:val="00981751"/>
    <w:rsid w:val="00981822"/>
    <w:rsid w:val="00981F8A"/>
    <w:rsid w:val="0098247B"/>
    <w:rsid w:val="00982AFB"/>
    <w:rsid w:val="00982D91"/>
    <w:rsid w:val="00983105"/>
    <w:rsid w:val="00983159"/>
    <w:rsid w:val="009831E0"/>
    <w:rsid w:val="00983A1E"/>
    <w:rsid w:val="00983B71"/>
    <w:rsid w:val="00983EDD"/>
    <w:rsid w:val="00984193"/>
    <w:rsid w:val="00984271"/>
    <w:rsid w:val="00984509"/>
    <w:rsid w:val="0098497F"/>
    <w:rsid w:val="00984BB9"/>
    <w:rsid w:val="00985015"/>
    <w:rsid w:val="00985503"/>
    <w:rsid w:val="00985582"/>
    <w:rsid w:val="00985BC3"/>
    <w:rsid w:val="00985F1D"/>
    <w:rsid w:val="00985FEB"/>
    <w:rsid w:val="009861D2"/>
    <w:rsid w:val="0098622D"/>
    <w:rsid w:val="009864A9"/>
    <w:rsid w:val="00986550"/>
    <w:rsid w:val="0098658B"/>
    <w:rsid w:val="0098665F"/>
    <w:rsid w:val="00986F1E"/>
    <w:rsid w:val="00987002"/>
    <w:rsid w:val="00987082"/>
    <w:rsid w:val="00987709"/>
    <w:rsid w:val="00987B01"/>
    <w:rsid w:val="00987F40"/>
    <w:rsid w:val="009901D5"/>
    <w:rsid w:val="00990213"/>
    <w:rsid w:val="009902CA"/>
    <w:rsid w:val="009904CA"/>
    <w:rsid w:val="00990516"/>
    <w:rsid w:val="009907BF"/>
    <w:rsid w:val="00990935"/>
    <w:rsid w:val="00990DDE"/>
    <w:rsid w:val="00990F80"/>
    <w:rsid w:val="009910F9"/>
    <w:rsid w:val="00991315"/>
    <w:rsid w:val="009914D9"/>
    <w:rsid w:val="0099167E"/>
    <w:rsid w:val="00991695"/>
    <w:rsid w:val="00991767"/>
    <w:rsid w:val="00991783"/>
    <w:rsid w:val="0099183B"/>
    <w:rsid w:val="00991B88"/>
    <w:rsid w:val="00992145"/>
    <w:rsid w:val="0099220C"/>
    <w:rsid w:val="00992233"/>
    <w:rsid w:val="009924A3"/>
    <w:rsid w:val="009925F7"/>
    <w:rsid w:val="00992887"/>
    <w:rsid w:val="00992AB4"/>
    <w:rsid w:val="00992BDB"/>
    <w:rsid w:val="00992EFA"/>
    <w:rsid w:val="00992FFD"/>
    <w:rsid w:val="00993357"/>
    <w:rsid w:val="009933F3"/>
    <w:rsid w:val="009936C7"/>
    <w:rsid w:val="009936D9"/>
    <w:rsid w:val="00993800"/>
    <w:rsid w:val="00993B06"/>
    <w:rsid w:val="00993F66"/>
    <w:rsid w:val="00994007"/>
    <w:rsid w:val="009940E7"/>
    <w:rsid w:val="00994174"/>
    <w:rsid w:val="009942A0"/>
    <w:rsid w:val="00994AED"/>
    <w:rsid w:val="00994AF9"/>
    <w:rsid w:val="00994D46"/>
    <w:rsid w:val="00994E35"/>
    <w:rsid w:val="0099557B"/>
    <w:rsid w:val="00995A1B"/>
    <w:rsid w:val="00995E65"/>
    <w:rsid w:val="0099606A"/>
    <w:rsid w:val="009966AA"/>
    <w:rsid w:val="00996990"/>
    <w:rsid w:val="00996B69"/>
    <w:rsid w:val="00997044"/>
    <w:rsid w:val="0099717C"/>
    <w:rsid w:val="009973E6"/>
    <w:rsid w:val="009977EC"/>
    <w:rsid w:val="00997904"/>
    <w:rsid w:val="00997A92"/>
    <w:rsid w:val="00997BE2"/>
    <w:rsid w:val="009A0111"/>
    <w:rsid w:val="009A0159"/>
    <w:rsid w:val="009A05CD"/>
    <w:rsid w:val="009A0A30"/>
    <w:rsid w:val="009A0B3E"/>
    <w:rsid w:val="009A0C64"/>
    <w:rsid w:val="009A0DAE"/>
    <w:rsid w:val="009A11E5"/>
    <w:rsid w:val="009A124A"/>
    <w:rsid w:val="009A14F2"/>
    <w:rsid w:val="009A190C"/>
    <w:rsid w:val="009A19CC"/>
    <w:rsid w:val="009A1AF7"/>
    <w:rsid w:val="009A1B47"/>
    <w:rsid w:val="009A1C5D"/>
    <w:rsid w:val="009A1D0D"/>
    <w:rsid w:val="009A2010"/>
    <w:rsid w:val="009A2152"/>
    <w:rsid w:val="009A253B"/>
    <w:rsid w:val="009A2A18"/>
    <w:rsid w:val="009A2CFE"/>
    <w:rsid w:val="009A2E5E"/>
    <w:rsid w:val="009A3391"/>
    <w:rsid w:val="009A343A"/>
    <w:rsid w:val="009A3680"/>
    <w:rsid w:val="009A38B5"/>
    <w:rsid w:val="009A3B53"/>
    <w:rsid w:val="009A3FA4"/>
    <w:rsid w:val="009A3FB1"/>
    <w:rsid w:val="009A4260"/>
    <w:rsid w:val="009A437C"/>
    <w:rsid w:val="009A43E9"/>
    <w:rsid w:val="009A4409"/>
    <w:rsid w:val="009A4720"/>
    <w:rsid w:val="009A4958"/>
    <w:rsid w:val="009A4BF5"/>
    <w:rsid w:val="009A5301"/>
    <w:rsid w:val="009A55A2"/>
    <w:rsid w:val="009A560B"/>
    <w:rsid w:val="009A5B17"/>
    <w:rsid w:val="009A5B49"/>
    <w:rsid w:val="009A6329"/>
    <w:rsid w:val="009A642E"/>
    <w:rsid w:val="009A661F"/>
    <w:rsid w:val="009A6760"/>
    <w:rsid w:val="009A6C12"/>
    <w:rsid w:val="009A6D51"/>
    <w:rsid w:val="009A76D1"/>
    <w:rsid w:val="009A7C7D"/>
    <w:rsid w:val="009A7DA6"/>
    <w:rsid w:val="009A7F9C"/>
    <w:rsid w:val="009B004C"/>
    <w:rsid w:val="009B057F"/>
    <w:rsid w:val="009B0AF3"/>
    <w:rsid w:val="009B13A7"/>
    <w:rsid w:val="009B184A"/>
    <w:rsid w:val="009B1DAE"/>
    <w:rsid w:val="009B2B40"/>
    <w:rsid w:val="009B2B8B"/>
    <w:rsid w:val="009B2DAE"/>
    <w:rsid w:val="009B32DC"/>
    <w:rsid w:val="009B337C"/>
    <w:rsid w:val="009B3807"/>
    <w:rsid w:val="009B3B40"/>
    <w:rsid w:val="009B3B79"/>
    <w:rsid w:val="009B49E0"/>
    <w:rsid w:val="009B4B81"/>
    <w:rsid w:val="009B4D3C"/>
    <w:rsid w:val="009B503A"/>
    <w:rsid w:val="009B52A3"/>
    <w:rsid w:val="009B5827"/>
    <w:rsid w:val="009B5929"/>
    <w:rsid w:val="009B5BA3"/>
    <w:rsid w:val="009B5EC8"/>
    <w:rsid w:val="009B60F2"/>
    <w:rsid w:val="009B612A"/>
    <w:rsid w:val="009B625F"/>
    <w:rsid w:val="009B64B8"/>
    <w:rsid w:val="009B65D7"/>
    <w:rsid w:val="009B663B"/>
    <w:rsid w:val="009B6734"/>
    <w:rsid w:val="009B6DB5"/>
    <w:rsid w:val="009B6FE6"/>
    <w:rsid w:val="009B70A9"/>
    <w:rsid w:val="009B721B"/>
    <w:rsid w:val="009B75AE"/>
    <w:rsid w:val="009B789D"/>
    <w:rsid w:val="009B7AB4"/>
    <w:rsid w:val="009B7C3E"/>
    <w:rsid w:val="009B7E78"/>
    <w:rsid w:val="009B7FE2"/>
    <w:rsid w:val="009C010B"/>
    <w:rsid w:val="009C013F"/>
    <w:rsid w:val="009C04F8"/>
    <w:rsid w:val="009C060B"/>
    <w:rsid w:val="009C09F1"/>
    <w:rsid w:val="009C0C6E"/>
    <w:rsid w:val="009C0E38"/>
    <w:rsid w:val="009C10FC"/>
    <w:rsid w:val="009C1173"/>
    <w:rsid w:val="009C14EA"/>
    <w:rsid w:val="009C1578"/>
    <w:rsid w:val="009C1649"/>
    <w:rsid w:val="009C1713"/>
    <w:rsid w:val="009C1B0E"/>
    <w:rsid w:val="009C21F4"/>
    <w:rsid w:val="009C22A2"/>
    <w:rsid w:val="009C2352"/>
    <w:rsid w:val="009C2382"/>
    <w:rsid w:val="009C2934"/>
    <w:rsid w:val="009C294D"/>
    <w:rsid w:val="009C2983"/>
    <w:rsid w:val="009C3127"/>
    <w:rsid w:val="009C350A"/>
    <w:rsid w:val="009C3599"/>
    <w:rsid w:val="009C361A"/>
    <w:rsid w:val="009C383A"/>
    <w:rsid w:val="009C3E26"/>
    <w:rsid w:val="009C405C"/>
    <w:rsid w:val="009C40E9"/>
    <w:rsid w:val="009C42B4"/>
    <w:rsid w:val="009C4478"/>
    <w:rsid w:val="009C46CC"/>
    <w:rsid w:val="009C479B"/>
    <w:rsid w:val="009C49F2"/>
    <w:rsid w:val="009C4B23"/>
    <w:rsid w:val="009C5001"/>
    <w:rsid w:val="009C53A6"/>
    <w:rsid w:val="009C559F"/>
    <w:rsid w:val="009C5862"/>
    <w:rsid w:val="009C5990"/>
    <w:rsid w:val="009C5FA8"/>
    <w:rsid w:val="009C63A7"/>
    <w:rsid w:val="009C6414"/>
    <w:rsid w:val="009C6985"/>
    <w:rsid w:val="009C6A2F"/>
    <w:rsid w:val="009C6B24"/>
    <w:rsid w:val="009C6BD8"/>
    <w:rsid w:val="009C6BFB"/>
    <w:rsid w:val="009C741F"/>
    <w:rsid w:val="009C785F"/>
    <w:rsid w:val="009C7DA1"/>
    <w:rsid w:val="009C7E05"/>
    <w:rsid w:val="009D0305"/>
    <w:rsid w:val="009D0632"/>
    <w:rsid w:val="009D0E4F"/>
    <w:rsid w:val="009D1162"/>
    <w:rsid w:val="009D11F2"/>
    <w:rsid w:val="009D1422"/>
    <w:rsid w:val="009D142E"/>
    <w:rsid w:val="009D1764"/>
    <w:rsid w:val="009D1842"/>
    <w:rsid w:val="009D1948"/>
    <w:rsid w:val="009D198E"/>
    <w:rsid w:val="009D1A65"/>
    <w:rsid w:val="009D1DE0"/>
    <w:rsid w:val="009D1FED"/>
    <w:rsid w:val="009D25AE"/>
    <w:rsid w:val="009D2853"/>
    <w:rsid w:val="009D2864"/>
    <w:rsid w:val="009D2889"/>
    <w:rsid w:val="009D28F6"/>
    <w:rsid w:val="009D2B86"/>
    <w:rsid w:val="009D2BEE"/>
    <w:rsid w:val="009D2E40"/>
    <w:rsid w:val="009D2E74"/>
    <w:rsid w:val="009D305F"/>
    <w:rsid w:val="009D34F9"/>
    <w:rsid w:val="009D350A"/>
    <w:rsid w:val="009D3592"/>
    <w:rsid w:val="009D363A"/>
    <w:rsid w:val="009D39D0"/>
    <w:rsid w:val="009D4122"/>
    <w:rsid w:val="009D479A"/>
    <w:rsid w:val="009D48A5"/>
    <w:rsid w:val="009D4904"/>
    <w:rsid w:val="009D490C"/>
    <w:rsid w:val="009D4B38"/>
    <w:rsid w:val="009D4E54"/>
    <w:rsid w:val="009D528A"/>
    <w:rsid w:val="009D5362"/>
    <w:rsid w:val="009D53EC"/>
    <w:rsid w:val="009D54B5"/>
    <w:rsid w:val="009D591A"/>
    <w:rsid w:val="009D5953"/>
    <w:rsid w:val="009D5B68"/>
    <w:rsid w:val="009D60E7"/>
    <w:rsid w:val="009D612B"/>
    <w:rsid w:val="009D61BA"/>
    <w:rsid w:val="009D64AF"/>
    <w:rsid w:val="009D650B"/>
    <w:rsid w:val="009D6940"/>
    <w:rsid w:val="009D6B6B"/>
    <w:rsid w:val="009D6CB5"/>
    <w:rsid w:val="009D6E18"/>
    <w:rsid w:val="009D75BF"/>
    <w:rsid w:val="009D77D1"/>
    <w:rsid w:val="009D78D3"/>
    <w:rsid w:val="009D7A27"/>
    <w:rsid w:val="009D7A99"/>
    <w:rsid w:val="009D7BA5"/>
    <w:rsid w:val="009D7C80"/>
    <w:rsid w:val="009D7D0C"/>
    <w:rsid w:val="009E0256"/>
    <w:rsid w:val="009E0359"/>
    <w:rsid w:val="009E0735"/>
    <w:rsid w:val="009E0B71"/>
    <w:rsid w:val="009E0F6A"/>
    <w:rsid w:val="009E1273"/>
    <w:rsid w:val="009E1371"/>
    <w:rsid w:val="009E1509"/>
    <w:rsid w:val="009E1884"/>
    <w:rsid w:val="009E1AC5"/>
    <w:rsid w:val="009E1BCC"/>
    <w:rsid w:val="009E1F88"/>
    <w:rsid w:val="009E2012"/>
    <w:rsid w:val="009E235A"/>
    <w:rsid w:val="009E2594"/>
    <w:rsid w:val="009E26A1"/>
    <w:rsid w:val="009E2789"/>
    <w:rsid w:val="009E2968"/>
    <w:rsid w:val="009E2C47"/>
    <w:rsid w:val="009E2C56"/>
    <w:rsid w:val="009E3003"/>
    <w:rsid w:val="009E3045"/>
    <w:rsid w:val="009E3676"/>
    <w:rsid w:val="009E37A0"/>
    <w:rsid w:val="009E3A15"/>
    <w:rsid w:val="009E3DB0"/>
    <w:rsid w:val="009E3EDA"/>
    <w:rsid w:val="009E4002"/>
    <w:rsid w:val="009E40D8"/>
    <w:rsid w:val="009E40F9"/>
    <w:rsid w:val="009E4143"/>
    <w:rsid w:val="009E4626"/>
    <w:rsid w:val="009E4718"/>
    <w:rsid w:val="009E4BC2"/>
    <w:rsid w:val="009E4F1C"/>
    <w:rsid w:val="009E5337"/>
    <w:rsid w:val="009E5357"/>
    <w:rsid w:val="009E53D9"/>
    <w:rsid w:val="009E5617"/>
    <w:rsid w:val="009E5755"/>
    <w:rsid w:val="009E58DA"/>
    <w:rsid w:val="009E622A"/>
    <w:rsid w:val="009E6259"/>
    <w:rsid w:val="009E63E2"/>
    <w:rsid w:val="009E690A"/>
    <w:rsid w:val="009E6A88"/>
    <w:rsid w:val="009E6C1D"/>
    <w:rsid w:val="009E6D8A"/>
    <w:rsid w:val="009E6FAA"/>
    <w:rsid w:val="009E733E"/>
    <w:rsid w:val="009E7404"/>
    <w:rsid w:val="009E758F"/>
    <w:rsid w:val="009E7641"/>
    <w:rsid w:val="009E76F6"/>
    <w:rsid w:val="009E7746"/>
    <w:rsid w:val="009E7D4C"/>
    <w:rsid w:val="009F013A"/>
    <w:rsid w:val="009F0356"/>
    <w:rsid w:val="009F0BEF"/>
    <w:rsid w:val="009F1035"/>
    <w:rsid w:val="009F1BD5"/>
    <w:rsid w:val="009F1C6E"/>
    <w:rsid w:val="009F20DB"/>
    <w:rsid w:val="009F2107"/>
    <w:rsid w:val="009F22B8"/>
    <w:rsid w:val="009F22D2"/>
    <w:rsid w:val="009F23E4"/>
    <w:rsid w:val="009F27C6"/>
    <w:rsid w:val="009F2A77"/>
    <w:rsid w:val="009F2AD4"/>
    <w:rsid w:val="009F2B98"/>
    <w:rsid w:val="009F3113"/>
    <w:rsid w:val="009F3123"/>
    <w:rsid w:val="009F363F"/>
    <w:rsid w:val="009F36FF"/>
    <w:rsid w:val="009F3E81"/>
    <w:rsid w:val="009F3EDD"/>
    <w:rsid w:val="009F412C"/>
    <w:rsid w:val="009F42F2"/>
    <w:rsid w:val="009F45A2"/>
    <w:rsid w:val="009F4A06"/>
    <w:rsid w:val="009F4EA9"/>
    <w:rsid w:val="009F4FC7"/>
    <w:rsid w:val="009F5268"/>
    <w:rsid w:val="009F590C"/>
    <w:rsid w:val="009F6226"/>
    <w:rsid w:val="009F6253"/>
    <w:rsid w:val="009F63EC"/>
    <w:rsid w:val="009F642D"/>
    <w:rsid w:val="009F68AA"/>
    <w:rsid w:val="009F6A21"/>
    <w:rsid w:val="009F6C9D"/>
    <w:rsid w:val="009F6EEE"/>
    <w:rsid w:val="009F7702"/>
    <w:rsid w:val="009F7877"/>
    <w:rsid w:val="009F7C3C"/>
    <w:rsid w:val="009F7D63"/>
    <w:rsid w:val="009F7D73"/>
    <w:rsid w:val="00A00163"/>
    <w:rsid w:val="00A0095D"/>
    <w:rsid w:val="00A00C01"/>
    <w:rsid w:val="00A00CD0"/>
    <w:rsid w:val="00A00FFD"/>
    <w:rsid w:val="00A01265"/>
    <w:rsid w:val="00A01273"/>
    <w:rsid w:val="00A01733"/>
    <w:rsid w:val="00A019EB"/>
    <w:rsid w:val="00A01D7F"/>
    <w:rsid w:val="00A01F2E"/>
    <w:rsid w:val="00A02524"/>
    <w:rsid w:val="00A0257E"/>
    <w:rsid w:val="00A02994"/>
    <w:rsid w:val="00A029AF"/>
    <w:rsid w:val="00A02B09"/>
    <w:rsid w:val="00A02CF7"/>
    <w:rsid w:val="00A03435"/>
    <w:rsid w:val="00A03C9E"/>
    <w:rsid w:val="00A0416F"/>
    <w:rsid w:val="00A0423F"/>
    <w:rsid w:val="00A044B5"/>
    <w:rsid w:val="00A04770"/>
    <w:rsid w:val="00A04EDA"/>
    <w:rsid w:val="00A05085"/>
    <w:rsid w:val="00A0509D"/>
    <w:rsid w:val="00A051BA"/>
    <w:rsid w:val="00A05434"/>
    <w:rsid w:val="00A05873"/>
    <w:rsid w:val="00A05A6B"/>
    <w:rsid w:val="00A05D39"/>
    <w:rsid w:val="00A05D8D"/>
    <w:rsid w:val="00A05E02"/>
    <w:rsid w:val="00A05E26"/>
    <w:rsid w:val="00A063F0"/>
    <w:rsid w:val="00A06ECD"/>
    <w:rsid w:val="00A07046"/>
    <w:rsid w:val="00A07395"/>
    <w:rsid w:val="00A077EF"/>
    <w:rsid w:val="00A07A68"/>
    <w:rsid w:val="00A07DEB"/>
    <w:rsid w:val="00A100A5"/>
    <w:rsid w:val="00A10103"/>
    <w:rsid w:val="00A10120"/>
    <w:rsid w:val="00A10145"/>
    <w:rsid w:val="00A10342"/>
    <w:rsid w:val="00A104AD"/>
    <w:rsid w:val="00A1066A"/>
    <w:rsid w:val="00A11485"/>
    <w:rsid w:val="00A114FE"/>
    <w:rsid w:val="00A11563"/>
    <w:rsid w:val="00A1191C"/>
    <w:rsid w:val="00A11A73"/>
    <w:rsid w:val="00A11C6C"/>
    <w:rsid w:val="00A11DC9"/>
    <w:rsid w:val="00A12056"/>
    <w:rsid w:val="00A120B6"/>
    <w:rsid w:val="00A124A1"/>
    <w:rsid w:val="00A12549"/>
    <w:rsid w:val="00A1275B"/>
    <w:rsid w:val="00A128C4"/>
    <w:rsid w:val="00A1299F"/>
    <w:rsid w:val="00A12B32"/>
    <w:rsid w:val="00A12F3B"/>
    <w:rsid w:val="00A1352D"/>
    <w:rsid w:val="00A139F7"/>
    <w:rsid w:val="00A13DAF"/>
    <w:rsid w:val="00A13E60"/>
    <w:rsid w:val="00A13F40"/>
    <w:rsid w:val="00A141C2"/>
    <w:rsid w:val="00A14274"/>
    <w:rsid w:val="00A14503"/>
    <w:rsid w:val="00A14C77"/>
    <w:rsid w:val="00A14E2E"/>
    <w:rsid w:val="00A14E73"/>
    <w:rsid w:val="00A14F38"/>
    <w:rsid w:val="00A15015"/>
    <w:rsid w:val="00A15462"/>
    <w:rsid w:val="00A157D4"/>
    <w:rsid w:val="00A1589E"/>
    <w:rsid w:val="00A159A5"/>
    <w:rsid w:val="00A160CB"/>
    <w:rsid w:val="00A161B7"/>
    <w:rsid w:val="00A163B9"/>
    <w:rsid w:val="00A16904"/>
    <w:rsid w:val="00A16A59"/>
    <w:rsid w:val="00A16EF2"/>
    <w:rsid w:val="00A17161"/>
    <w:rsid w:val="00A17553"/>
    <w:rsid w:val="00A1783A"/>
    <w:rsid w:val="00A17CA2"/>
    <w:rsid w:val="00A17E13"/>
    <w:rsid w:val="00A17F6F"/>
    <w:rsid w:val="00A2099A"/>
    <w:rsid w:val="00A20BFB"/>
    <w:rsid w:val="00A20EF5"/>
    <w:rsid w:val="00A21D2B"/>
    <w:rsid w:val="00A220BF"/>
    <w:rsid w:val="00A2233E"/>
    <w:rsid w:val="00A224B9"/>
    <w:rsid w:val="00A22578"/>
    <w:rsid w:val="00A225E5"/>
    <w:rsid w:val="00A2271B"/>
    <w:rsid w:val="00A22767"/>
    <w:rsid w:val="00A228B5"/>
    <w:rsid w:val="00A22944"/>
    <w:rsid w:val="00A229D3"/>
    <w:rsid w:val="00A22CC8"/>
    <w:rsid w:val="00A22DA1"/>
    <w:rsid w:val="00A22F4D"/>
    <w:rsid w:val="00A22FC5"/>
    <w:rsid w:val="00A2327B"/>
    <w:rsid w:val="00A23446"/>
    <w:rsid w:val="00A2365C"/>
    <w:rsid w:val="00A23C2F"/>
    <w:rsid w:val="00A2412B"/>
    <w:rsid w:val="00A2413D"/>
    <w:rsid w:val="00A241EC"/>
    <w:rsid w:val="00A248E4"/>
    <w:rsid w:val="00A24945"/>
    <w:rsid w:val="00A24B5B"/>
    <w:rsid w:val="00A24CB1"/>
    <w:rsid w:val="00A2508E"/>
    <w:rsid w:val="00A25103"/>
    <w:rsid w:val="00A251DF"/>
    <w:rsid w:val="00A253B5"/>
    <w:rsid w:val="00A25C9C"/>
    <w:rsid w:val="00A26251"/>
    <w:rsid w:val="00A26461"/>
    <w:rsid w:val="00A2674A"/>
    <w:rsid w:val="00A26CE2"/>
    <w:rsid w:val="00A26D1A"/>
    <w:rsid w:val="00A26DD3"/>
    <w:rsid w:val="00A26E11"/>
    <w:rsid w:val="00A26FDC"/>
    <w:rsid w:val="00A270A8"/>
    <w:rsid w:val="00A27427"/>
    <w:rsid w:val="00A276BF"/>
    <w:rsid w:val="00A27CF6"/>
    <w:rsid w:val="00A27E90"/>
    <w:rsid w:val="00A27F3C"/>
    <w:rsid w:val="00A27F77"/>
    <w:rsid w:val="00A27FED"/>
    <w:rsid w:val="00A30645"/>
    <w:rsid w:val="00A317BA"/>
    <w:rsid w:val="00A3187A"/>
    <w:rsid w:val="00A319B7"/>
    <w:rsid w:val="00A31E1F"/>
    <w:rsid w:val="00A31F80"/>
    <w:rsid w:val="00A320DF"/>
    <w:rsid w:val="00A321AE"/>
    <w:rsid w:val="00A32711"/>
    <w:rsid w:val="00A328B7"/>
    <w:rsid w:val="00A329C5"/>
    <w:rsid w:val="00A32A80"/>
    <w:rsid w:val="00A32CFD"/>
    <w:rsid w:val="00A32FA9"/>
    <w:rsid w:val="00A332B4"/>
    <w:rsid w:val="00A332C3"/>
    <w:rsid w:val="00A333F2"/>
    <w:rsid w:val="00A3369D"/>
    <w:rsid w:val="00A34341"/>
    <w:rsid w:val="00A34B36"/>
    <w:rsid w:val="00A34BB8"/>
    <w:rsid w:val="00A34E1E"/>
    <w:rsid w:val="00A350F4"/>
    <w:rsid w:val="00A3559C"/>
    <w:rsid w:val="00A35648"/>
    <w:rsid w:val="00A35766"/>
    <w:rsid w:val="00A3581D"/>
    <w:rsid w:val="00A35828"/>
    <w:rsid w:val="00A358BD"/>
    <w:rsid w:val="00A3592C"/>
    <w:rsid w:val="00A35A3D"/>
    <w:rsid w:val="00A35F5B"/>
    <w:rsid w:val="00A36124"/>
    <w:rsid w:val="00A366CB"/>
    <w:rsid w:val="00A3689B"/>
    <w:rsid w:val="00A36BE5"/>
    <w:rsid w:val="00A36F76"/>
    <w:rsid w:val="00A37187"/>
    <w:rsid w:val="00A37665"/>
    <w:rsid w:val="00A377E3"/>
    <w:rsid w:val="00A37999"/>
    <w:rsid w:val="00A37B6C"/>
    <w:rsid w:val="00A37BA6"/>
    <w:rsid w:val="00A37F4B"/>
    <w:rsid w:val="00A401F7"/>
    <w:rsid w:val="00A40361"/>
    <w:rsid w:val="00A40525"/>
    <w:rsid w:val="00A40667"/>
    <w:rsid w:val="00A40C4A"/>
    <w:rsid w:val="00A40EB3"/>
    <w:rsid w:val="00A41114"/>
    <w:rsid w:val="00A411C9"/>
    <w:rsid w:val="00A412E7"/>
    <w:rsid w:val="00A41305"/>
    <w:rsid w:val="00A413D2"/>
    <w:rsid w:val="00A41BA6"/>
    <w:rsid w:val="00A41C52"/>
    <w:rsid w:val="00A41CAB"/>
    <w:rsid w:val="00A41DD0"/>
    <w:rsid w:val="00A41DFD"/>
    <w:rsid w:val="00A41E18"/>
    <w:rsid w:val="00A42388"/>
    <w:rsid w:val="00A424BE"/>
    <w:rsid w:val="00A428EC"/>
    <w:rsid w:val="00A4298D"/>
    <w:rsid w:val="00A42D7E"/>
    <w:rsid w:val="00A43013"/>
    <w:rsid w:val="00A4316C"/>
    <w:rsid w:val="00A43175"/>
    <w:rsid w:val="00A432F0"/>
    <w:rsid w:val="00A436AD"/>
    <w:rsid w:val="00A437AD"/>
    <w:rsid w:val="00A43BD0"/>
    <w:rsid w:val="00A43C00"/>
    <w:rsid w:val="00A43E32"/>
    <w:rsid w:val="00A43E6F"/>
    <w:rsid w:val="00A43F34"/>
    <w:rsid w:val="00A43FD8"/>
    <w:rsid w:val="00A44955"/>
    <w:rsid w:val="00A4495F"/>
    <w:rsid w:val="00A44BB9"/>
    <w:rsid w:val="00A44BFE"/>
    <w:rsid w:val="00A44E82"/>
    <w:rsid w:val="00A44E98"/>
    <w:rsid w:val="00A44F8F"/>
    <w:rsid w:val="00A4514D"/>
    <w:rsid w:val="00A45C5A"/>
    <w:rsid w:val="00A45E57"/>
    <w:rsid w:val="00A46496"/>
    <w:rsid w:val="00A465D2"/>
    <w:rsid w:val="00A468BA"/>
    <w:rsid w:val="00A46A1E"/>
    <w:rsid w:val="00A46F61"/>
    <w:rsid w:val="00A4714C"/>
    <w:rsid w:val="00A471CE"/>
    <w:rsid w:val="00A4727D"/>
    <w:rsid w:val="00A47E99"/>
    <w:rsid w:val="00A50221"/>
    <w:rsid w:val="00A50275"/>
    <w:rsid w:val="00A503A6"/>
    <w:rsid w:val="00A5065A"/>
    <w:rsid w:val="00A50D92"/>
    <w:rsid w:val="00A50DE9"/>
    <w:rsid w:val="00A50E66"/>
    <w:rsid w:val="00A50EE9"/>
    <w:rsid w:val="00A5216C"/>
    <w:rsid w:val="00A521D7"/>
    <w:rsid w:val="00A5243D"/>
    <w:rsid w:val="00A52594"/>
    <w:rsid w:val="00A525AB"/>
    <w:rsid w:val="00A52962"/>
    <w:rsid w:val="00A52AD2"/>
    <w:rsid w:val="00A52C2E"/>
    <w:rsid w:val="00A52F57"/>
    <w:rsid w:val="00A533F9"/>
    <w:rsid w:val="00A534EB"/>
    <w:rsid w:val="00A535B6"/>
    <w:rsid w:val="00A53674"/>
    <w:rsid w:val="00A53929"/>
    <w:rsid w:val="00A53D16"/>
    <w:rsid w:val="00A541C4"/>
    <w:rsid w:val="00A54226"/>
    <w:rsid w:val="00A54429"/>
    <w:rsid w:val="00A54447"/>
    <w:rsid w:val="00A54527"/>
    <w:rsid w:val="00A54C8D"/>
    <w:rsid w:val="00A55014"/>
    <w:rsid w:val="00A55180"/>
    <w:rsid w:val="00A556CB"/>
    <w:rsid w:val="00A557A3"/>
    <w:rsid w:val="00A55814"/>
    <w:rsid w:val="00A55940"/>
    <w:rsid w:val="00A55BC0"/>
    <w:rsid w:val="00A55DFD"/>
    <w:rsid w:val="00A55F26"/>
    <w:rsid w:val="00A56562"/>
    <w:rsid w:val="00A5669A"/>
    <w:rsid w:val="00A5689C"/>
    <w:rsid w:val="00A56922"/>
    <w:rsid w:val="00A56964"/>
    <w:rsid w:val="00A56B26"/>
    <w:rsid w:val="00A56BC8"/>
    <w:rsid w:val="00A56FF5"/>
    <w:rsid w:val="00A5703B"/>
    <w:rsid w:val="00A572F5"/>
    <w:rsid w:val="00A57B26"/>
    <w:rsid w:val="00A60594"/>
    <w:rsid w:val="00A606DB"/>
    <w:rsid w:val="00A60DC2"/>
    <w:rsid w:val="00A60F2A"/>
    <w:rsid w:val="00A61034"/>
    <w:rsid w:val="00A61366"/>
    <w:rsid w:val="00A61494"/>
    <w:rsid w:val="00A617F2"/>
    <w:rsid w:val="00A61AE4"/>
    <w:rsid w:val="00A61CE7"/>
    <w:rsid w:val="00A61DCF"/>
    <w:rsid w:val="00A61F74"/>
    <w:rsid w:val="00A62108"/>
    <w:rsid w:val="00A6228B"/>
    <w:rsid w:val="00A623EF"/>
    <w:rsid w:val="00A62422"/>
    <w:rsid w:val="00A6263A"/>
    <w:rsid w:val="00A6276B"/>
    <w:rsid w:val="00A627FF"/>
    <w:rsid w:val="00A62EFF"/>
    <w:rsid w:val="00A631AB"/>
    <w:rsid w:val="00A631D8"/>
    <w:rsid w:val="00A633E9"/>
    <w:rsid w:val="00A637CB"/>
    <w:rsid w:val="00A63817"/>
    <w:rsid w:val="00A639FA"/>
    <w:rsid w:val="00A63C57"/>
    <w:rsid w:val="00A6443B"/>
    <w:rsid w:val="00A64513"/>
    <w:rsid w:val="00A64547"/>
    <w:rsid w:val="00A64886"/>
    <w:rsid w:val="00A64AB4"/>
    <w:rsid w:val="00A64ADB"/>
    <w:rsid w:val="00A64F38"/>
    <w:rsid w:val="00A6543A"/>
    <w:rsid w:val="00A6629E"/>
    <w:rsid w:val="00A664A7"/>
    <w:rsid w:val="00A6652D"/>
    <w:rsid w:val="00A6657E"/>
    <w:rsid w:val="00A66899"/>
    <w:rsid w:val="00A66A0B"/>
    <w:rsid w:val="00A66E88"/>
    <w:rsid w:val="00A67059"/>
    <w:rsid w:val="00A670A9"/>
    <w:rsid w:val="00A670CF"/>
    <w:rsid w:val="00A67527"/>
    <w:rsid w:val="00A6753F"/>
    <w:rsid w:val="00A675FE"/>
    <w:rsid w:val="00A67635"/>
    <w:rsid w:val="00A677E8"/>
    <w:rsid w:val="00A677F6"/>
    <w:rsid w:val="00A67F40"/>
    <w:rsid w:val="00A67FA6"/>
    <w:rsid w:val="00A70BC5"/>
    <w:rsid w:val="00A70FD6"/>
    <w:rsid w:val="00A71238"/>
    <w:rsid w:val="00A712A0"/>
    <w:rsid w:val="00A7151A"/>
    <w:rsid w:val="00A71524"/>
    <w:rsid w:val="00A715B2"/>
    <w:rsid w:val="00A7162F"/>
    <w:rsid w:val="00A720D4"/>
    <w:rsid w:val="00A72250"/>
    <w:rsid w:val="00A72868"/>
    <w:rsid w:val="00A72C27"/>
    <w:rsid w:val="00A73267"/>
    <w:rsid w:val="00A73597"/>
    <w:rsid w:val="00A735D4"/>
    <w:rsid w:val="00A7370B"/>
    <w:rsid w:val="00A73AC4"/>
    <w:rsid w:val="00A73F43"/>
    <w:rsid w:val="00A73FFF"/>
    <w:rsid w:val="00A7431F"/>
    <w:rsid w:val="00A749C6"/>
    <w:rsid w:val="00A74C87"/>
    <w:rsid w:val="00A74D57"/>
    <w:rsid w:val="00A74EAA"/>
    <w:rsid w:val="00A751D5"/>
    <w:rsid w:val="00A75619"/>
    <w:rsid w:val="00A7568C"/>
    <w:rsid w:val="00A75ECE"/>
    <w:rsid w:val="00A76396"/>
    <w:rsid w:val="00A7661F"/>
    <w:rsid w:val="00A7676F"/>
    <w:rsid w:val="00A76B08"/>
    <w:rsid w:val="00A76B82"/>
    <w:rsid w:val="00A76D5C"/>
    <w:rsid w:val="00A76E00"/>
    <w:rsid w:val="00A76E6A"/>
    <w:rsid w:val="00A770DA"/>
    <w:rsid w:val="00A772C1"/>
    <w:rsid w:val="00A7735D"/>
    <w:rsid w:val="00A77542"/>
    <w:rsid w:val="00A775F4"/>
    <w:rsid w:val="00A775F5"/>
    <w:rsid w:val="00A8014C"/>
    <w:rsid w:val="00A801CB"/>
    <w:rsid w:val="00A801E4"/>
    <w:rsid w:val="00A80391"/>
    <w:rsid w:val="00A8044E"/>
    <w:rsid w:val="00A80744"/>
    <w:rsid w:val="00A807B4"/>
    <w:rsid w:val="00A80A63"/>
    <w:rsid w:val="00A80AA9"/>
    <w:rsid w:val="00A80E50"/>
    <w:rsid w:val="00A81302"/>
    <w:rsid w:val="00A814A0"/>
    <w:rsid w:val="00A81796"/>
    <w:rsid w:val="00A817C0"/>
    <w:rsid w:val="00A818B5"/>
    <w:rsid w:val="00A81D8C"/>
    <w:rsid w:val="00A8204F"/>
    <w:rsid w:val="00A82599"/>
    <w:rsid w:val="00A8281D"/>
    <w:rsid w:val="00A82861"/>
    <w:rsid w:val="00A82B47"/>
    <w:rsid w:val="00A82E23"/>
    <w:rsid w:val="00A82FF9"/>
    <w:rsid w:val="00A838C9"/>
    <w:rsid w:val="00A83D81"/>
    <w:rsid w:val="00A83E54"/>
    <w:rsid w:val="00A840A2"/>
    <w:rsid w:val="00A84194"/>
    <w:rsid w:val="00A8420B"/>
    <w:rsid w:val="00A844CA"/>
    <w:rsid w:val="00A84CB5"/>
    <w:rsid w:val="00A84D49"/>
    <w:rsid w:val="00A84E32"/>
    <w:rsid w:val="00A84F19"/>
    <w:rsid w:val="00A85093"/>
    <w:rsid w:val="00A8528E"/>
    <w:rsid w:val="00A8545F"/>
    <w:rsid w:val="00A854E3"/>
    <w:rsid w:val="00A855B2"/>
    <w:rsid w:val="00A85A4C"/>
    <w:rsid w:val="00A85B8A"/>
    <w:rsid w:val="00A85BD1"/>
    <w:rsid w:val="00A85CFD"/>
    <w:rsid w:val="00A85DF7"/>
    <w:rsid w:val="00A860E6"/>
    <w:rsid w:val="00A86324"/>
    <w:rsid w:val="00A8647E"/>
    <w:rsid w:val="00A86569"/>
    <w:rsid w:val="00A867FA"/>
    <w:rsid w:val="00A86B9F"/>
    <w:rsid w:val="00A87274"/>
    <w:rsid w:val="00A87519"/>
    <w:rsid w:val="00A875C3"/>
    <w:rsid w:val="00A87801"/>
    <w:rsid w:val="00A878A2"/>
    <w:rsid w:val="00A8796A"/>
    <w:rsid w:val="00A87AD6"/>
    <w:rsid w:val="00A87F69"/>
    <w:rsid w:val="00A90282"/>
    <w:rsid w:val="00A907AB"/>
    <w:rsid w:val="00A90B29"/>
    <w:rsid w:val="00A90E10"/>
    <w:rsid w:val="00A90F5B"/>
    <w:rsid w:val="00A916BB"/>
    <w:rsid w:val="00A919E7"/>
    <w:rsid w:val="00A91A3B"/>
    <w:rsid w:val="00A91AE0"/>
    <w:rsid w:val="00A91AED"/>
    <w:rsid w:val="00A91AF3"/>
    <w:rsid w:val="00A91CCE"/>
    <w:rsid w:val="00A91CDB"/>
    <w:rsid w:val="00A91F81"/>
    <w:rsid w:val="00A92032"/>
    <w:rsid w:val="00A92102"/>
    <w:rsid w:val="00A92224"/>
    <w:rsid w:val="00A923BD"/>
    <w:rsid w:val="00A9250D"/>
    <w:rsid w:val="00A92821"/>
    <w:rsid w:val="00A92930"/>
    <w:rsid w:val="00A92C0D"/>
    <w:rsid w:val="00A92EF5"/>
    <w:rsid w:val="00A930DF"/>
    <w:rsid w:val="00A93175"/>
    <w:rsid w:val="00A93A2C"/>
    <w:rsid w:val="00A93BB4"/>
    <w:rsid w:val="00A941EF"/>
    <w:rsid w:val="00A942C6"/>
    <w:rsid w:val="00A944B5"/>
    <w:rsid w:val="00A94EAD"/>
    <w:rsid w:val="00A950DB"/>
    <w:rsid w:val="00A9511E"/>
    <w:rsid w:val="00A9538D"/>
    <w:rsid w:val="00A957EC"/>
    <w:rsid w:val="00A95EC8"/>
    <w:rsid w:val="00A9606E"/>
    <w:rsid w:val="00A9624B"/>
    <w:rsid w:val="00A966D7"/>
    <w:rsid w:val="00A96B12"/>
    <w:rsid w:val="00A96BDF"/>
    <w:rsid w:val="00A972FF"/>
    <w:rsid w:val="00A9750E"/>
    <w:rsid w:val="00A9756A"/>
    <w:rsid w:val="00A97690"/>
    <w:rsid w:val="00A97694"/>
    <w:rsid w:val="00A97779"/>
    <w:rsid w:val="00A97947"/>
    <w:rsid w:val="00A97CAD"/>
    <w:rsid w:val="00A97F7F"/>
    <w:rsid w:val="00AA009B"/>
    <w:rsid w:val="00AA01A9"/>
    <w:rsid w:val="00AA02C6"/>
    <w:rsid w:val="00AA0364"/>
    <w:rsid w:val="00AA076E"/>
    <w:rsid w:val="00AA0A3A"/>
    <w:rsid w:val="00AA0B07"/>
    <w:rsid w:val="00AA0BB3"/>
    <w:rsid w:val="00AA0ED2"/>
    <w:rsid w:val="00AA1093"/>
    <w:rsid w:val="00AA2356"/>
    <w:rsid w:val="00AA23FE"/>
    <w:rsid w:val="00AA2943"/>
    <w:rsid w:val="00AA29A6"/>
    <w:rsid w:val="00AA2A3D"/>
    <w:rsid w:val="00AA2B0E"/>
    <w:rsid w:val="00AA2C0F"/>
    <w:rsid w:val="00AA2D95"/>
    <w:rsid w:val="00AA3331"/>
    <w:rsid w:val="00AA335C"/>
    <w:rsid w:val="00AA35D1"/>
    <w:rsid w:val="00AA3C01"/>
    <w:rsid w:val="00AA3C92"/>
    <w:rsid w:val="00AA3D71"/>
    <w:rsid w:val="00AA4271"/>
    <w:rsid w:val="00AA44E0"/>
    <w:rsid w:val="00AA4642"/>
    <w:rsid w:val="00AA49A8"/>
    <w:rsid w:val="00AA4AC6"/>
    <w:rsid w:val="00AA4C10"/>
    <w:rsid w:val="00AA51D2"/>
    <w:rsid w:val="00AA5315"/>
    <w:rsid w:val="00AA53D4"/>
    <w:rsid w:val="00AA5481"/>
    <w:rsid w:val="00AA5B7B"/>
    <w:rsid w:val="00AA5C9E"/>
    <w:rsid w:val="00AA5CEE"/>
    <w:rsid w:val="00AA5EEB"/>
    <w:rsid w:val="00AA6358"/>
    <w:rsid w:val="00AA64A8"/>
    <w:rsid w:val="00AA670B"/>
    <w:rsid w:val="00AA67F7"/>
    <w:rsid w:val="00AA6868"/>
    <w:rsid w:val="00AA6EA1"/>
    <w:rsid w:val="00AA6EF1"/>
    <w:rsid w:val="00AA70BA"/>
    <w:rsid w:val="00AA7314"/>
    <w:rsid w:val="00AA7A00"/>
    <w:rsid w:val="00AA7A18"/>
    <w:rsid w:val="00AA7ED3"/>
    <w:rsid w:val="00AB02BA"/>
    <w:rsid w:val="00AB02FE"/>
    <w:rsid w:val="00AB0433"/>
    <w:rsid w:val="00AB04C0"/>
    <w:rsid w:val="00AB0560"/>
    <w:rsid w:val="00AB08F6"/>
    <w:rsid w:val="00AB0D49"/>
    <w:rsid w:val="00AB0F8E"/>
    <w:rsid w:val="00AB0FE1"/>
    <w:rsid w:val="00AB1267"/>
    <w:rsid w:val="00AB1478"/>
    <w:rsid w:val="00AB14AD"/>
    <w:rsid w:val="00AB1714"/>
    <w:rsid w:val="00AB1C93"/>
    <w:rsid w:val="00AB22B6"/>
    <w:rsid w:val="00AB22B9"/>
    <w:rsid w:val="00AB2524"/>
    <w:rsid w:val="00AB26A9"/>
    <w:rsid w:val="00AB2EE5"/>
    <w:rsid w:val="00AB2FCB"/>
    <w:rsid w:val="00AB2FCE"/>
    <w:rsid w:val="00AB30EE"/>
    <w:rsid w:val="00AB3379"/>
    <w:rsid w:val="00AB3455"/>
    <w:rsid w:val="00AB372A"/>
    <w:rsid w:val="00AB406F"/>
    <w:rsid w:val="00AB40F9"/>
    <w:rsid w:val="00AB4180"/>
    <w:rsid w:val="00AB41F3"/>
    <w:rsid w:val="00AB4511"/>
    <w:rsid w:val="00AB45A9"/>
    <w:rsid w:val="00AB4963"/>
    <w:rsid w:val="00AB4B3E"/>
    <w:rsid w:val="00AB53B9"/>
    <w:rsid w:val="00AB546D"/>
    <w:rsid w:val="00AB5484"/>
    <w:rsid w:val="00AB559C"/>
    <w:rsid w:val="00AB55D0"/>
    <w:rsid w:val="00AB56B7"/>
    <w:rsid w:val="00AB57E9"/>
    <w:rsid w:val="00AB584B"/>
    <w:rsid w:val="00AB5906"/>
    <w:rsid w:val="00AB5989"/>
    <w:rsid w:val="00AB5B36"/>
    <w:rsid w:val="00AB5BB8"/>
    <w:rsid w:val="00AB5C1A"/>
    <w:rsid w:val="00AB627E"/>
    <w:rsid w:val="00AB6445"/>
    <w:rsid w:val="00AB682A"/>
    <w:rsid w:val="00AB6AC7"/>
    <w:rsid w:val="00AB6C82"/>
    <w:rsid w:val="00AB6F78"/>
    <w:rsid w:val="00AB7097"/>
    <w:rsid w:val="00AB7383"/>
    <w:rsid w:val="00AB73AD"/>
    <w:rsid w:val="00AB753A"/>
    <w:rsid w:val="00AB7824"/>
    <w:rsid w:val="00AB7AD7"/>
    <w:rsid w:val="00AC016C"/>
    <w:rsid w:val="00AC03A0"/>
    <w:rsid w:val="00AC092A"/>
    <w:rsid w:val="00AC0D01"/>
    <w:rsid w:val="00AC133C"/>
    <w:rsid w:val="00AC16DC"/>
    <w:rsid w:val="00AC1819"/>
    <w:rsid w:val="00AC1DE5"/>
    <w:rsid w:val="00AC1EF8"/>
    <w:rsid w:val="00AC24AA"/>
    <w:rsid w:val="00AC25EC"/>
    <w:rsid w:val="00AC2B9C"/>
    <w:rsid w:val="00AC2D7B"/>
    <w:rsid w:val="00AC2FEB"/>
    <w:rsid w:val="00AC32A9"/>
    <w:rsid w:val="00AC3631"/>
    <w:rsid w:val="00AC37FB"/>
    <w:rsid w:val="00AC3B8C"/>
    <w:rsid w:val="00AC3CCF"/>
    <w:rsid w:val="00AC3E8E"/>
    <w:rsid w:val="00AC40A6"/>
    <w:rsid w:val="00AC41F2"/>
    <w:rsid w:val="00AC4249"/>
    <w:rsid w:val="00AC4314"/>
    <w:rsid w:val="00AC4397"/>
    <w:rsid w:val="00AC5410"/>
    <w:rsid w:val="00AC550D"/>
    <w:rsid w:val="00AC553D"/>
    <w:rsid w:val="00AC5C5D"/>
    <w:rsid w:val="00AC5EB0"/>
    <w:rsid w:val="00AC5F62"/>
    <w:rsid w:val="00AC631B"/>
    <w:rsid w:val="00AC653C"/>
    <w:rsid w:val="00AC657A"/>
    <w:rsid w:val="00AC6E29"/>
    <w:rsid w:val="00AC6FB3"/>
    <w:rsid w:val="00AC7178"/>
    <w:rsid w:val="00AC72E5"/>
    <w:rsid w:val="00AC736F"/>
    <w:rsid w:val="00AC7D03"/>
    <w:rsid w:val="00AD01D5"/>
    <w:rsid w:val="00AD0D71"/>
    <w:rsid w:val="00AD0E28"/>
    <w:rsid w:val="00AD1340"/>
    <w:rsid w:val="00AD1728"/>
    <w:rsid w:val="00AD179F"/>
    <w:rsid w:val="00AD17CD"/>
    <w:rsid w:val="00AD1942"/>
    <w:rsid w:val="00AD1B30"/>
    <w:rsid w:val="00AD1E02"/>
    <w:rsid w:val="00AD1FE5"/>
    <w:rsid w:val="00AD2157"/>
    <w:rsid w:val="00AD2172"/>
    <w:rsid w:val="00AD21B7"/>
    <w:rsid w:val="00AD2325"/>
    <w:rsid w:val="00AD26D4"/>
    <w:rsid w:val="00AD27E5"/>
    <w:rsid w:val="00AD2B8D"/>
    <w:rsid w:val="00AD2CD8"/>
    <w:rsid w:val="00AD3083"/>
    <w:rsid w:val="00AD3303"/>
    <w:rsid w:val="00AD3799"/>
    <w:rsid w:val="00AD382A"/>
    <w:rsid w:val="00AD395B"/>
    <w:rsid w:val="00AD3A61"/>
    <w:rsid w:val="00AD3DD2"/>
    <w:rsid w:val="00AD3F3A"/>
    <w:rsid w:val="00AD46A8"/>
    <w:rsid w:val="00AD4E04"/>
    <w:rsid w:val="00AD5563"/>
    <w:rsid w:val="00AD5BAD"/>
    <w:rsid w:val="00AD661D"/>
    <w:rsid w:val="00AD6674"/>
    <w:rsid w:val="00AD676F"/>
    <w:rsid w:val="00AD695C"/>
    <w:rsid w:val="00AD6D23"/>
    <w:rsid w:val="00AD6F38"/>
    <w:rsid w:val="00AD6F64"/>
    <w:rsid w:val="00AD7056"/>
    <w:rsid w:val="00AD70BA"/>
    <w:rsid w:val="00AD7181"/>
    <w:rsid w:val="00AD7306"/>
    <w:rsid w:val="00AD77D5"/>
    <w:rsid w:val="00AD7E33"/>
    <w:rsid w:val="00AD7E6B"/>
    <w:rsid w:val="00AE0168"/>
    <w:rsid w:val="00AE01B6"/>
    <w:rsid w:val="00AE02CC"/>
    <w:rsid w:val="00AE031B"/>
    <w:rsid w:val="00AE0345"/>
    <w:rsid w:val="00AE05F5"/>
    <w:rsid w:val="00AE08E5"/>
    <w:rsid w:val="00AE1170"/>
    <w:rsid w:val="00AE15FD"/>
    <w:rsid w:val="00AE1B03"/>
    <w:rsid w:val="00AE1B83"/>
    <w:rsid w:val="00AE1F81"/>
    <w:rsid w:val="00AE1F86"/>
    <w:rsid w:val="00AE2211"/>
    <w:rsid w:val="00AE2315"/>
    <w:rsid w:val="00AE28F0"/>
    <w:rsid w:val="00AE2D47"/>
    <w:rsid w:val="00AE2EC2"/>
    <w:rsid w:val="00AE3292"/>
    <w:rsid w:val="00AE32B7"/>
    <w:rsid w:val="00AE37E7"/>
    <w:rsid w:val="00AE38F5"/>
    <w:rsid w:val="00AE3B14"/>
    <w:rsid w:val="00AE3BE0"/>
    <w:rsid w:val="00AE4234"/>
    <w:rsid w:val="00AE4336"/>
    <w:rsid w:val="00AE4768"/>
    <w:rsid w:val="00AE4BF1"/>
    <w:rsid w:val="00AE5223"/>
    <w:rsid w:val="00AE52A7"/>
    <w:rsid w:val="00AE5586"/>
    <w:rsid w:val="00AE5714"/>
    <w:rsid w:val="00AE58BD"/>
    <w:rsid w:val="00AE5C07"/>
    <w:rsid w:val="00AE5DB7"/>
    <w:rsid w:val="00AE5F17"/>
    <w:rsid w:val="00AE6099"/>
    <w:rsid w:val="00AE622D"/>
    <w:rsid w:val="00AE6759"/>
    <w:rsid w:val="00AE6820"/>
    <w:rsid w:val="00AE68AF"/>
    <w:rsid w:val="00AE6948"/>
    <w:rsid w:val="00AE69BA"/>
    <w:rsid w:val="00AE72F0"/>
    <w:rsid w:val="00AE7804"/>
    <w:rsid w:val="00AF0609"/>
    <w:rsid w:val="00AF0762"/>
    <w:rsid w:val="00AF0B59"/>
    <w:rsid w:val="00AF0C9D"/>
    <w:rsid w:val="00AF0E20"/>
    <w:rsid w:val="00AF0F5F"/>
    <w:rsid w:val="00AF12D6"/>
    <w:rsid w:val="00AF14AC"/>
    <w:rsid w:val="00AF14E3"/>
    <w:rsid w:val="00AF1600"/>
    <w:rsid w:val="00AF1760"/>
    <w:rsid w:val="00AF1773"/>
    <w:rsid w:val="00AF17FA"/>
    <w:rsid w:val="00AF1B5B"/>
    <w:rsid w:val="00AF1C91"/>
    <w:rsid w:val="00AF1CE5"/>
    <w:rsid w:val="00AF1FC2"/>
    <w:rsid w:val="00AF1FDD"/>
    <w:rsid w:val="00AF2089"/>
    <w:rsid w:val="00AF241E"/>
    <w:rsid w:val="00AF2A9B"/>
    <w:rsid w:val="00AF2CAE"/>
    <w:rsid w:val="00AF2E87"/>
    <w:rsid w:val="00AF3040"/>
    <w:rsid w:val="00AF311F"/>
    <w:rsid w:val="00AF34F5"/>
    <w:rsid w:val="00AF3891"/>
    <w:rsid w:val="00AF3C0E"/>
    <w:rsid w:val="00AF3D16"/>
    <w:rsid w:val="00AF3E4C"/>
    <w:rsid w:val="00AF3F47"/>
    <w:rsid w:val="00AF4027"/>
    <w:rsid w:val="00AF4392"/>
    <w:rsid w:val="00AF4A97"/>
    <w:rsid w:val="00AF4AE1"/>
    <w:rsid w:val="00AF552C"/>
    <w:rsid w:val="00AF5785"/>
    <w:rsid w:val="00AF5AE1"/>
    <w:rsid w:val="00AF5B2A"/>
    <w:rsid w:val="00AF5E41"/>
    <w:rsid w:val="00AF61D4"/>
    <w:rsid w:val="00AF6E20"/>
    <w:rsid w:val="00AF7006"/>
    <w:rsid w:val="00AF70A6"/>
    <w:rsid w:val="00AF7137"/>
    <w:rsid w:val="00AF72FA"/>
    <w:rsid w:val="00AF747C"/>
    <w:rsid w:val="00AF7531"/>
    <w:rsid w:val="00AF753C"/>
    <w:rsid w:val="00AF78AD"/>
    <w:rsid w:val="00AF78C9"/>
    <w:rsid w:val="00AF7927"/>
    <w:rsid w:val="00AF7A57"/>
    <w:rsid w:val="00AF7B98"/>
    <w:rsid w:val="00AF7EF5"/>
    <w:rsid w:val="00AF7F67"/>
    <w:rsid w:val="00B000DD"/>
    <w:rsid w:val="00B0010F"/>
    <w:rsid w:val="00B001A2"/>
    <w:rsid w:val="00B00407"/>
    <w:rsid w:val="00B00759"/>
    <w:rsid w:val="00B00889"/>
    <w:rsid w:val="00B00906"/>
    <w:rsid w:val="00B00908"/>
    <w:rsid w:val="00B00D85"/>
    <w:rsid w:val="00B00F00"/>
    <w:rsid w:val="00B00F20"/>
    <w:rsid w:val="00B0101C"/>
    <w:rsid w:val="00B01260"/>
    <w:rsid w:val="00B01390"/>
    <w:rsid w:val="00B013CE"/>
    <w:rsid w:val="00B01715"/>
    <w:rsid w:val="00B01903"/>
    <w:rsid w:val="00B01A33"/>
    <w:rsid w:val="00B01ACD"/>
    <w:rsid w:val="00B01C0F"/>
    <w:rsid w:val="00B01D2A"/>
    <w:rsid w:val="00B01DBA"/>
    <w:rsid w:val="00B01DE9"/>
    <w:rsid w:val="00B01EAC"/>
    <w:rsid w:val="00B02162"/>
    <w:rsid w:val="00B0221F"/>
    <w:rsid w:val="00B023EF"/>
    <w:rsid w:val="00B027BF"/>
    <w:rsid w:val="00B028C7"/>
    <w:rsid w:val="00B0290E"/>
    <w:rsid w:val="00B02B12"/>
    <w:rsid w:val="00B02C76"/>
    <w:rsid w:val="00B030D7"/>
    <w:rsid w:val="00B03261"/>
    <w:rsid w:val="00B0405E"/>
    <w:rsid w:val="00B04A9A"/>
    <w:rsid w:val="00B04EB4"/>
    <w:rsid w:val="00B04FA0"/>
    <w:rsid w:val="00B051C4"/>
    <w:rsid w:val="00B051CB"/>
    <w:rsid w:val="00B0559D"/>
    <w:rsid w:val="00B0569C"/>
    <w:rsid w:val="00B05CDA"/>
    <w:rsid w:val="00B05E22"/>
    <w:rsid w:val="00B06030"/>
    <w:rsid w:val="00B0626C"/>
    <w:rsid w:val="00B06692"/>
    <w:rsid w:val="00B066D3"/>
    <w:rsid w:val="00B06B1C"/>
    <w:rsid w:val="00B06B79"/>
    <w:rsid w:val="00B07396"/>
    <w:rsid w:val="00B073BD"/>
    <w:rsid w:val="00B07505"/>
    <w:rsid w:val="00B07629"/>
    <w:rsid w:val="00B07674"/>
    <w:rsid w:val="00B0774F"/>
    <w:rsid w:val="00B0776D"/>
    <w:rsid w:val="00B077E3"/>
    <w:rsid w:val="00B07BB7"/>
    <w:rsid w:val="00B10394"/>
    <w:rsid w:val="00B10853"/>
    <w:rsid w:val="00B10880"/>
    <w:rsid w:val="00B108C7"/>
    <w:rsid w:val="00B10971"/>
    <w:rsid w:val="00B10ABC"/>
    <w:rsid w:val="00B10BAC"/>
    <w:rsid w:val="00B10BEE"/>
    <w:rsid w:val="00B10F35"/>
    <w:rsid w:val="00B11054"/>
    <w:rsid w:val="00B11276"/>
    <w:rsid w:val="00B1127F"/>
    <w:rsid w:val="00B11891"/>
    <w:rsid w:val="00B119B0"/>
    <w:rsid w:val="00B124D4"/>
    <w:rsid w:val="00B124F5"/>
    <w:rsid w:val="00B12761"/>
    <w:rsid w:val="00B12A45"/>
    <w:rsid w:val="00B12B54"/>
    <w:rsid w:val="00B13191"/>
    <w:rsid w:val="00B13238"/>
    <w:rsid w:val="00B13348"/>
    <w:rsid w:val="00B13501"/>
    <w:rsid w:val="00B137A5"/>
    <w:rsid w:val="00B13A42"/>
    <w:rsid w:val="00B13CC8"/>
    <w:rsid w:val="00B13D40"/>
    <w:rsid w:val="00B13DE3"/>
    <w:rsid w:val="00B14076"/>
    <w:rsid w:val="00B14B5C"/>
    <w:rsid w:val="00B155D6"/>
    <w:rsid w:val="00B15ADD"/>
    <w:rsid w:val="00B16114"/>
    <w:rsid w:val="00B16899"/>
    <w:rsid w:val="00B16DD0"/>
    <w:rsid w:val="00B17305"/>
    <w:rsid w:val="00B175B8"/>
    <w:rsid w:val="00B175E7"/>
    <w:rsid w:val="00B1764B"/>
    <w:rsid w:val="00B17922"/>
    <w:rsid w:val="00B179E8"/>
    <w:rsid w:val="00B17B30"/>
    <w:rsid w:val="00B20031"/>
    <w:rsid w:val="00B201D8"/>
    <w:rsid w:val="00B20396"/>
    <w:rsid w:val="00B20D70"/>
    <w:rsid w:val="00B20DC9"/>
    <w:rsid w:val="00B2107C"/>
    <w:rsid w:val="00B21119"/>
    <w:rsid w:val="00B21511"/>
    <w:rsid w:val="00B217C7"/>
    <w:rsid w:val="00B217F1"/>
    <w:rsid w:val="00B21C5A"/>
    <w:rsid w:val="00B21DFC"/>
    <w:rsid w:val="00B22249"/>
    <w:rsid w:val="00B22378"/>
    <w:rsid w:val="00B226CA"/>
    <w:rsid w:val="00B226EE"/>
    <w:rsid w:val="00B2272A"/>
    <w:rsid w:val="00B22B32"/>
    <w:rsid w:val="00B22B86"/>
    <w:rsid w:val="00B22E97"/>
    <w:rsid w:val="00B2306F"/>
    <w:rsid w:val="00B2337C"/>
    <w:rsid w:val="00B23517"/>
    <w:rsid w:val="00B2361D"/>
    <w:rsid w:val="00B23729"/>
    <w:rsid w:val="00B23784"/>
    <w:rsid w:val="00B23930"/>
    <w:rsid w:val="00B23C03"/>
    <w:rsid w:val="00B23F01"/>
    <w:rsid w:val="00B24098"/>
    <w:rsid w:val="00B241B1"/>
    <w:rsid w:val="00B2426B"/>
    <w:rsid w:val="00B244BA"/>
    <w:rsid w:val="00B24C0F"/>
    <w:rsid w:val="00B24E9B"/>
    <w:rsid w:val="00B24FAD"/>
    <w:rsid w:val="00B25C23"/>
    <w:rsid w:val="00B25D31"/>
    <w:rsid w:val="00B25EA6"/>
    <w:rsid w:val="00B25EC3"/>
    <w:rsid w:val="00B25EE6"/>
    <w:rsid w:val="00B26483"/>
    <w:rsid w:val="00B269F3"/>
    <w:rsid w:val="00B26B06"/>
    <w:rsid w:val="00B26E04"/>
    <w:rsid w:val="00B2705F"/>
    <w:rsid w:val="00B27248"/>
    <w:rsid w:val="00B278FE"/>
    <w:rsid w:val="00B2791A"/>
    <w:rsid w:val="00B3004F"/>
    <w:rsid w:val="00B30147"/>
    <w:rsid w:val="00B301CB"/>
    <w:rsid w:val="00B301FC"/>
    <w:rsid w:val="00B309BA"/>
    <w:rsid w:val="00B30A7F"/>
    <w:rsid w:val="00B30B66"/>
    <w:rsid w:val="00B30DAF"/>
    <w:rsid w:val="00B30E63"/>
    <w:rsid w:val="00B30FF7"/>
    <w:rsid w:val="00B31344"/>
    <w:rsid w:val="00B31345"/>
    <w:rsid w:val="00B3148B"/>
    <w:rsid w:val="00B31879"/>
    <w:rsid w:val="00B31A75"/>
    <w:rsid w:val="00B3234B"/>
    <w:rsid w:val="00B3269B"/>
    <w:rsid w:val="00B32B5E"/>
    <w:rsid w:val="00B3302F"/>
    <w:rsid w:val="00B33153"/>
    <w:rsid w:val="00B33A28"/>
    <w:rsid w:val="00B33DA7"/>
    <w:rsid w:val="00B340C5"/>
    <w:rsid w:val="00B3438E"/>
    <w:rsid w:val="00B344F4"/>
    <w:rsid w:val="00B34829"/>
    <w:rsid w:val="00B34843"/>
    <w:rsid w:val="00B34AE1"/>
    <w:rsid w:val="00B34C72"/>
    <w:rsid w:val="00B34C85"/>
    <w:rsid w:val="00B34D64"/>
    <w:rsid w:val="00B34FD5"/>
    <w:rsid w:val="00B35008"/>
    <w:rsid w:val="00B3518F"/>
    <w:rsid w:val="00B358DE"/>
    <w:rsid w:val="00B35FA8"/>
    <w:rsid w:val="00B36065"/>
    <w:rsid w:val="00B364E2"/>
    <w:rsid w:val="00B3678C"/>
    <w:rsid w:val="00B367AA"/>
    <w:rsid w:val="00B36BC5"/>
    <w:rsid w:val="00B37010"/>
    <w:rsid w:val="00B3702F"/>
    <w:rsid w:val="00B37107"/>
    <w:rsid w:val="00B3744E"/>
    <w:rsid w:val="00B3756F"/>
    <w:rsid w:val="00B3782B"/>
    <w:rsid w:val="00B37A79"/>
    <w:rsid w:val="00B4018A"/>
    <w:rsid w:val="00B4040D"/>
    <w:rsid w:val="00B4072C"/>
    <w:rsid w:val="00B4099F"/>
    <w:rsid w:val="00B411B9"/>
    <w:rsid w:val="00B41202"/>
    <w:rsid w:val="00B41AD4"/>
    <w:rsid w:val="00B41CE6"/>
    <w:rsid w:val="00B4215C"/>
    <w:rsid w:val="00B4228B"/>
    <w:rsid w:val="00B42438"/>
    <w:rsid w:val="00B424AB"/>
    <w:rsid w:val="00B42E00"/>
    <w:rsid w:val="00B42FB6"/>
    <w:rsid w:val="00B430A7"/>
    <w:rsid w:val="00B434F2"/>
    <w:rsid w:val="00B4399E"/>
    <w:rsid w:val="00B43D96"/>
    <w:rsid w:val="00B4418E"/>
    <w:rsid w:val="00B447CD"/>
    <w:rsid w:val="00B448C8"/>
    <w:rsid w:val="00B44B15"/>
    <w:rsid w:val="00B4505B"/>
    <w:rsid w:val="00B453FB"/>
    <w:rsid w:val="00B4597C"/>
    <w:rsid w:val="00B45CC1"/>
    <w:rsid w:val="00B45F58"/>
    <w:rsid w:val="00B46055"/>
    <w:rsid w:val="00B46200"/>
    <w:rsid w:val="00B46326"/>
    <w:rsid w:val="00B46587"/>
    <w:rsid w:val="00B46606"/>
    <w:rsid w:val="00B4679E"/>
    <w:rsid w:val="00B467B2"/>
    <w:rsid w:val="00B4692F"/>
    <w:rsid w:val="00B4751F"/>
    <w:rsid w:val="00B4767F"/>
    <w:rsid w:val="00B47748"/>
    <w:rsid w:val="00B478BA"/>
    <w:rsid w:val="00B47A2A"/>
    <w:rsid w:val="00B5030C"/>
    <w:rsid w:val="00B50CC7"/>
    <w:rsid w:val="00B50D9A"/>
    <w:rsid w:val="00B51578"/>
    <w:rsid w:val="00B5175E"/>
    <w:rsid w:val="00B51B4D"/>
    <w:rsid w:val="00B51FB1"/>
    <w:rsid w:val="00B522F7"/>
    <w:rsid w:val="00B52E6A"/>
    <w:rsid w:val="00B52FFA"/>
    <w:rsid w:val="00B532B7"/>
    <w:rsid w:val="00B53418"/>
    <w:rsid w:val="00B53545"/>
    <w:rsid w:val="00B53AA2"/>
    <w:rsid w:val="00B54C2E"/>
    <w:rsid w:val="00B55130"/>
    <w:rsid w:val="00B5514D"/>
    <w:rsid w:val="00B55218"/>
    <w:rsid w:val="00B553B1"/>
    <w:rsid w:val="00B55548"/>
    <w:rsid w:val="00B55965"/>
    <w:rsid w:val="00B559C1"/>
    <w:rsid w:val="00B559D5"/>
    <w:rsid w:val="00B55B63"/>
    <w:rsid w:val="00B55CD7"/>
    <w:rsid w:val="00B55DA8"/>
    <w:rsid w:val="00B55DAF"/>
    <w:rsid w:val="00B55FCF"/>
    <w:rsid w:val="00B565AF"/>
    <w:rsid w:val="00B5664D"/>
    <w:rsid w:val="00B566D0"/>
    <w:rsid w:val="00B5694A"/>
    <w:rsid w:val="00B56B31"/>
    <w:rsid w:val="00B56E9C"/>
    <w:rsid w:val="00B56F40"/>
    <w:rsid w:val="00B57677"/>
    <w:rsid w:val="00B576CD"/>
    <w:rsid w:val="00B5783E"/>
    <w:rsid w:val="00B578D9"/>
    <w:rsid w:val="00B57C08"/>
    <w:rsid w:val="00B57D29"/>
    <w:rsid w:val="00B57D76"/>
    <w:rsid w:val="00B57F6F"/>
    <w:rsid w:val="00B6002B"/>
    <w:rsid w:val="00B603C0"/>
    <w:rsid w:val="00B60545"/>
    <w:rsid w:val="00B60660"/>
    <w:rsid w:val="00B606EB"/>
    <w:rsid w:val="00B6074C"/>
    <w:rsid w:val="00B60792"/>
    <w:rsid w:val="00B609B2"/>
    <w:rsid w:val="00B60E09"/>
    <w:rsid w:val="00B60E31"/>
    <w:rsid w:val="00B61536"/>
    <w:rsid w:val="00B61576"/>
    <w:rsid w:val="00B619EA"/>
    <w:rsid w:val="00B61A91"/>
    <w:rsid w:val="00B61C07"/>
    <w:rsid w:val="00B621FB"/>
    <w:rsid w:val="00B62269"/>
    <w:rsid w:val="00B62460"/>
    <w:rsid w:val="00B62838"/>
    <w:rsid w:val="00B62B33"/>
    <w:rsid w:val="00B62C2E"/>
    <w:rsid w:val="00B62E60"/>
    <w:rsid w:val="00B63008"/>
    <w:rsid w:val="00B6347B"/>
    <w:rsid w:val="00B635B6"/>
    <w:rsid w:val="00B635BF"/>
    <w:rsid w:val="00B636DD"/>
    <w:rsid w:val="00B63891"/>
    <w:rsid w:val="00B63AE7"/>
    <w:rsid w:val="00B63BAA"/>
    <w:rsid w:val="00B643ED"/>
    <w:rsid w:val="00B64483"/>
    <w:rsid w:val="00B645DE"/>
    <w:rsid w:val="00B649EC"/>
    <w:rsid w:val="00B64B13"/>
    <w:rsid w:val="00B64E78"/>
    <w:rsid w:val="00B65833"/>
    <w:rsid w:val="00B65839"/>
    <w:rsid w:val="00B65A58"/>
    <w:rsid w:val="00B66084"/>
    <w:rsid w:val="00B664A6"/>
    <w:rsid w:val="00B6658D"/>
    <w:rsid w:val="00B66628"/>
    <w:rsid w:val="00B6665B"/>
    <w:rsid w:val="00B66872"/>
    <w:rsid w:val="00B66DF2"/>
    <w:rsid w:val="00B66DF8"/>
    <w:rsid w:val="00B67061"/>
    <w:rsid w:val="00B673F2"/>
    <w:rsid w:val="00B675B2"/>
    <w:rsid w:val="00B677C4"/>
    <w:rsid w:val="00B67863"/>
    <w:rsid w:val="00B6793C"/>
    <w:rsid w:val="00B67A8D"/>
    <w:rsid w:val="00B67FDC"/>
    <w:rsid w:val="00B706B2"/>
    <w:rsid w:val="00B70701"/>
    <w:rsid w:val="00B707F0"/>
    <w:rsid w:val="00B70928"/>
    <w:rsid w:val="00B7098D"/>
    <w:rsid w:val="00B70AA6"/>
    <w:rsid w:val="00B70C1A"/>
    <w:rsid w:val="00B70C35"/>
    <w:rsid w:val="00B70E1E"/>
    <w:rsid w:val="00B70E68"/>
    <w:rsid w:val="00B70FCA"/>
    <w:rsid w:val="00B71332"/>
    <w:rsid w:val="00B71621"/>
    <w:rsid w:val="00B716B2"/>
    <w:rsid w:val="00B71765"/>
    <w:rsid w:val="00B718AD"/>
    <w:rsid w:val="00B71CD5"/>
    <w:rsid w:val="00B71E9C"/>
    <w:rsid w:val="00B71F38"/>
    <w:rsid w:val="00B720A9"/>
    <w:rsid w:val="00B7218C"/>
    <w:rsid w:val="00B7225F"/>
    <w:rsid w:val="00B72E86"/>
    <w:rsid w:val="00B732A1"/>
    <w:rsid w:val="00B732C3"/>
    <w:rsid w:val="00B736EE"/>
    <w:rsid w:val="00B73883"/>
    <w:rsid w:val="00B73F10"/>
    <w:rsid w:val="00B73FB7"/>
    <w:rsid w:val="00B743AF"/>
    <w:rsid w:val="00B74A5C"/>
    <w:rsid w:val="00B74B7F"/>
    <w:rsid w:val="00B74D47"/>
    <w:rsid w:val="00B74D83"/>
    <w:rsid w:val="00B74FB1"/>
    <w:rsid w:val="00B7521A"/>
    <w:rsid w:val="00B75361"/>
    <w:rsid w:val="00B753C4"/>
    <w:rsid w:val="00B75911"/>
    <w:rsid w:val="00B759B1"/>
    <w:rsid w:val="00B75C12"/>
    <w:rsid w:val="00B75D73"/>
    <w:rsid w:val="00B75DAE"/>
    <w:rsid w:val="00B75EA5"/>
    <w:rsid w:val="00B7602A"/>
    <w:rsid w:val="00B765DE"/>
    <w:rsid w:val="00B76731"/>
    <w:rsid w:val="00B76C86"/>
    <w:rsid w:val="00B76DEC"/>
    <w:rsid w:val="00B76E4B"/>
    <w:rsid w:val="00B7719F"/>
    <w:rsid w:val="00B7766E"/>
    <w:rsid w:val="00B777EF"/>
    <w:rsid w:val="00B77863"/>
    <w:rsid w:val="00B77A51"/>
    <w:rsid w:val="00B77BA2"/>
    <w:rsid w:val="00B77F37"/>
    <w:rsid w:val="00B77F43"/>
    <w:rsid w:val="00B80363"/>
    <w:rsid w:val="00B80725"/>
    <w:rsid w:val="00B80754"/>
    <w:rsid w:val="00B80909"/>
    <w:rsid w:val="00B80F86"/>
    <w:rsid w:val="00B81065"/>
    <w:rsid w:val="00B81433"/>
    <w:rsid w:val="00B81B1D"/>
    <w:rsid w:val="00B81E34"/>
    <w:rsid w:val="00B81F45"/>
    <w:rsid w:val="00B81FC3"/>
    <w:rsid w:val="00B8254D"/>
    <w:rsid w:val="00B826C8"/>
    <w:rsid w:val="00B8274B"/>
    <w:rsid w:val="00B82B0D"/>
    <w:rsid w:val="00B82DE5"/>
    <w:rsid w:val="00B831EE"/>
    <w:rsid w:val="00B832A3"/>
    <w:rsid w:val="00B833C1"/>
    <w:rsid w:val="00B834CA"/>
    <w:rsid w:val="00B8383F"/>
    <w:rsid w:val="00B83B52"/>
    <w:rsid w:val="00B84875"/>
    <w:rsid w:val="00B84A39"/>
    <w:rsid w:val="00B84E57"/>
    <w:rsid w:val="00B850AB"/>
    <w:rsid w:val="00B850D4"/>
    <w:rsid w:val="00B85110"/>
    <w:rsid w:val="00B853A6"/>
    <w:rsid w:val="00B853F9"/>
    <w:rsid w:val="00B859BB"/>
    <w:rsid w:val="00B85B6E"/>
    <w:rsid w:val="00B85DAA"/>
    <w:rsid w:val="00B86023"/>
    <w:rsid w:val="00B86334"/>
    <w:rsid w:val="00B868DC"/>
    <w:rsid w:val="00B86AC4"/>
    <w:rsid w:val="00B86B90"/>
    <w:rsid w:val="00B86D62"/>
    <w:rsid w:val="00B86DA9"/>
    <w:rsid w:val="00B8758D"/>
    <w:rsid w:val="00B8763C"/>
    <w:rsid w:val="00B876EA"/>
    <w:rsid w:val="00B8795C"/>
    <w:rsid w:val="00B87A58"/>
    <w:rsid w:val="00B87D5A"/>
    <w:rsid w:val="00B9002E"/>
    <w:rsid w:val="00B9003D"/>
    <w:rsid w:val="00B9026C"/>
    <w:rsid w:val="00B90575"/>
    <w:rsid w:val="00B9070B"/>
    <w:rsid w:val="00B90844"/>
    <w:rsid w:val="00B90C67"/>
    <w:rsid w:val="00B90E7D"/>
    <w:rsid w:val="00B90FC5"/>
    <w:rsid w:val="00B910BE"/>
    <w:rsid w:val="00B91172"/>
    <w:rsid w:val="00B91518"/>
    <w:rsid w:val="00B91A0B"/>
    <w:rsid w:val="00B91ABA"/>
    <w:rsid w:val="00B91ACC"/>
    <w:rsid w:val="00B91AD6"/>
    <w:rsid w:val="00B91B9A"/>
    <w:rsid w:val="00B91BC7"/>
    <w:rsid w:val="00B91CE2"/>
    <w:rsid w:val="00B91D39"/>
    <w:rsid w:val="00B91D50"/>
    <w:rsid w:val="00B91DA4"/>
    <w:rsid w:val="00B91EE3"/>
    <w:rsid w:val="00B92328"/>
    <w:rsid w:val="00B923AA"/>
    <w:rsid w:val="00B92431"/>
    <w:rsid w:val="00B925E3"/>
    <w:rsid w:val="00B926A8"/>
    <w:rsid w:val="00B92B6C"/>
    <w:rsid w:val="00B92B8D"/>
    <w:rsid w:val="00B92C61"/>
    <w:rsid w:val="00B9302A"/>
    <w:rsid w:val="00B937B8"/>
    <w:rsid w:val="00B93802"/>
    <w:rsid w:val="00B93BA6"/>
    <w:rsid w:val="00B93C26"/>
    <w:rsid w:val="00B93E20"/>
    <w:rsid w:val="00B93FC5"/>
    <w:rsid w:val="00B94199"/>
    <w:rsid w:val="00B941F9"/>
    <w:rsid w:val="00B94434"/>
    <w:rsid w:val="00B94A2D"/>
    <w:rsid w:val="00B94D84"/>
    <w:rsid w:val="00B94E7C"/>
    <w:rsid w:val="00B95337"/>
    <w:rsid w:val="00B9542E"/>
    <w:rsid w:val="00B95486"/>
    <w:rsid w:val="00B9555B"/>
    <w:rsid w:val="00B95940"/>
    <w:rsid w:val="00B95977"/>
    <w:rsid w:val="00B95A6D"/>
    <w:rsid w:val="00B95BBD"/>
    <w:rsid w:val="00B963C5"/>
    <w:rsid w:val="00B966B3"/>
    <w:rsid w:val="00B968D6"/>
    <w:rsid w:val="00B96B57"/>
    <w:rsid w:val="00B96E0F"/>
    <w:rsid w:val="00B96F29"/>
    <w:rsid w:val="00B96F48"/>
    <w:rsid w:val="00B9700A"/>
    <w:rsid w:val="00B975FD"/>
    <w:rsid w:val="00B97875"/>
    <w:rsid w:val="00B97AE4"/>
    <w:rsid w:val="00B97D4A"/>
    <w:rsid w:val="00B97D86"/>
    <w:rsid w:val="00B97ECF"/>
    <w:rsid w:val="00BA05BB"/>
    <w:rsid w:val="00BA09AB"/>
    <w:rsid w:val="00BA0A52"/>
    <w:rsid w:val="00BA0A90"/>
    <w:rsid w:val="00BA0E5A"/>
    <w:rsid w:val="00BA0E8E"/>
    <w:rsid w:val="00BA1154"/>
    <w:rsid w:val="00BA1247"/>
    <w:rsid w:val="00BA12B2"/>
    <w:rsid w:val="00BA1AEC"/>
    <w:rsid w:val="00BA2072"/>
    <w:rsid w:val="00BA21A6"/>
    <w:rsid w:val="00BA2503"/>
    <w:rsid w:val="00BA25FF"/>
    <w:rsid w:val="00BA294A"/>
    <w:rsid w:val="00BA2AB1"/>
    <w:rsid w:val="00BA2EB4"/>
    <w:rsid w:val="00BA36C6"/>
    <w:rsid w:val="00BA37AD"/>
    <w:rsid w:val="00BA3B12"/>
    <w:rsid w:val="00BA3CAE"/>
    <w:rsid w:val="00BA462F"/>
    <w:rsid w:val="00BA464E"/>
    <w:rsid w:val="00BA4949"/>
    <w:rsid w:val="00BA4A1D"/>
    <w:rsid w:val="00BA4A75"/>
    <w:rsid w:val="00BA4A8A"/>
    <w:rsid w:val="00BA4AC3"/>
    <w:rsid w:val="00BA4C68"/>
    <w:rsid w:val="00BA53EE"/>
    <w:rsid w:val="00BA54E3"/>
    <w:rsid w:val="00BA55C1"/>
    <w:rsid w:val="00BA5823"/>
    <w:rsid w:val="00BA5A10"/>
    <w:rsid w:val="00BA5CD7"/>
    <w:rsid w:val="00BA5E7D"/>
    <w:rsid w:val="00BA5E82"/>
    <w:rsid w:val="00BA66C2"/>
    <w:rsid w:val="00BA6A9B"/>
    <w:rsid w:val="00BA6DE3"/>
    <w:rsid w:val="00BA7390"/>
    <w:rsid w:val="00BA78F0"/>
    <w:rsid w:val="00BA7A0B"/>
    <w:rsid w:val="00BA7D26"/>
    <w:rsid w:val="00BB0812"/>
    <w:rsid w:val="00BB09B7"/>
    <w:rsid w:val="00BB0A52"/>
    <w:rsid w:val="00BB0C3C"/>
    <w:rsid w:val="00BB0DF0"/>
    <w:rsid w:val="00BB12DB"/>
    <w:rsid w:val="00BB1505"/>
    <w:rsid w:val="00BB174B"/>
    <w:rsid w:val="00BB1A18"/>
    <w:rsid w:val="00BB1ED9"/>
    <w:rsid w:val="00BB2079"/>
    <w:rsid w:val="00BB2A62"/>
    <w:rsid w:val="00BB2CD9"/>
    <w:rsid w:val="00BB2F61"/>
    <w:rsid w:val="00BB31C3"/>
    <w:rsid w:val="00BB33AD"/>
    <w:rsid w:val="00BB3780"/>
    <w:rsid w:val="00BB387C"/>
    <w:rsid w:val="00BB3B40"/>
    <w:rsid w:val="00BB3CE5"/>
    <w:rsid w:val="00BB3F79"/>
    <w:rsid w:val="00BB406B"/>
    <w:rsid w:val="00BB4847"/>
    <w:rsid w:val="00BB49EA"/>
    <w:rsid w:val="00BB4C16"/>
    <w:rsid w:val="00BB549C"/>
    <w:rsid w:val="00BB5923"/>
    <w:rsid w:val="00BB5A8A"/>
    <w:rsid w:val="00BB5A98"/>
    <w:rsid w:val="00BB5AE1"/>
    <w:rsid w:val="00BB5E03"/>
    <w:rsid w:val="00BB62B1"/>
    <w:rsid w:val="00BB64BE"/>
    <w:rsid w:val="00BB65F7"/>
    <w:rsid w:val="00BB6633"/>
    <w:rsid w:val="00BB670F"/>
    <w:rsid w:val="00BB6754"/>
    <w:rsid w:val="00BB6E52"/>
    <w:rsid w:val="00BB6F90"/>
    <w:rsid w:val="00BB72E0"/>
    <w:rsid w:val="00BB73B6"/>
    <w:rsid w:val="00BB75FE"/>
    <w:rsid w:val="00BB7677"/>
    <w:rsid w:val="00BB779D"/>
    <w:rsid w:val="00BB791D"/>
    <w:rsid w:val="00BB7A1B"/>
    <w:rsid w:val="00BB7C99"/>
    <w:rsid w:val="00BB7D3B"/>
    <w:rsid w:val="00BB7E39"/>
    <w:rsid w:val="00BB7ED2"/>
    <w:rsid w:val="00BC027D"/>
    <w:rsid w:val="00BC0332"/>
    <w:rsid w:val="00BC0585"/>
    <w:rsid w:val="00BC08F8"/>
    <w:rsid w:val="00BC0C9B"/>
    <w:rsid w:val="00BC0D14"/>
    <w:rsid w:val="00BC0D4D"/>
    <w:rsid w:val="00BC1408"/>
    <w:rsid w:val="00BC1419"/>
    <w:rsid w:val="00BC1547"/>
    <w:rsid w:val="00BC159E"/>
    <w:rsid w:val="00BC15D2"/>
    <w:rsid w:val="00BC16BB"/>
    <w:rsid w:val="00BC189E"/>
    <w:rsid w:val="00BC1C52"/>
    <w:rsid w:val="00BC1EDC"/>
    <w:rsid w:val="00BC23B2"/>
    <w:rsid w:val="00BC28AA"/>
    <w:rsid w:val="00BC2CD8"/>
    <w:rsid w:val="00BC33B5"/>
    <w:rsid w:val="00BC3586"/>
    <w:rsid w:val="00BC369D"/>
    <w:rsid w:val="00BC3714"/>
    <w:rsid w:val="00BC3A86"/>
    <w:rsid w:val="00BC408B"/>
    <w:rsid w:val="00BC44E4"/>
    <w:rsid w:val="00BC4511"/>
    <w:rsid w:val="00BC472D"/>
    <w:rsid w:val="00BC4798"/>
    <w:rsid w:val="00BC48ED"/>
    <w:rsid w:val="00BC4A45"/>
    <w:rsid w:val="00BC4B08"/>
    <w:rsid w:val="00BC4D3E"/>
    <w:rsid w:val="00BC5647"/>
    <w:rsid w:val="00BC5778"/>
    <w:rsid w:val="00BC5DD4"/>
    <w:rsid w:val="00BC5FEA"/>
    <w:rsid w:val="00BC60FF"/>
    <w:rsid w:val="00BC641A"/>
    <w:rsid w:val="00BC65D8"/>
    <w:rsid w:val="00BC6E4C"/>
    <w:rsid w:val="00BC7011"/>
    <w:rsid w:val="00BC7659"/>
    <w:rsid w:val="00BC79E7"/>
    <w:rsid w:val="00BC7D44"/>
    <w:rsid w:val="00BC7DDE"/>
    <w:rsid w:val="00BC7DFD"/>
    <w:rsid w:val="00BC7E3E"/>
    <w:rsid w:val="00BD01A8"/>
    <w:rsid w:val="00BD027A"/>
    <w:rsid w:val="00BD04DA"/>
    <w:rsid w:val="00BD05BF"/>
    <w:rsid w:val="00BD09A0"/>
    <w:rsid w:val="00BD0FB2"/>
    <w:rsid w:val="00BD10A8"/>
    <w:rsid w:val="00BD14E4"/>
    <w:rsid w:val="00BD15D2"/>
    <w:rsid w:val="00BD171B"/>
    <w:rsid w:val="00BD1776"/>
    <w:rsid w:val="00BD180D"/>
    <w:rsid w:val="00BD19D6"/>
    <w:rsid w:val="00BD1A65"/>
    <w:rsid w:val="00BD1B24"/>
    <w:rsid w:val="00BD1C2C"/>
    <w:rsid w:val="00BD1E98"/>
    <w:rsid w:val="00BD2414"/>
    <w:rsid w:val="00BD2726"/>
    <w:rsid w:val="00BD2A57"/>
    <w:rsid w:val="00BD2A97"/>
    <w:rsid w:val="00BD2CDF"/>
    <w:rsid w:val="00BD33A6"/>
    <w:rsid w:val="00BD3450"/>
    <w:rsid w:val="00BD3972"/>
    <w:rsid w:val="00BD39CF"/>
    <w:rsid w:val="00BD3CDE"/>
    <w:rsid w:val="00BD41FD"/>
    <w:rsid w:val="00BD4232"/>
    <w:rsid w:val="00BD4284"/>
    <w:rsid w:val="00BD42B1"/>
    <w:rsid w:val="00BD4502"/>
    <w:rsid w:val="00BD4701"/>
    <w:rsid w:val="00BD4A67"/>
    <w:rsid w:val="00BD4C1F"/>
    <w:rsid w:val="00BD502C"/>
    <w:rsid w:val="00BD53D2"/>
    <w:rsid w:val="00BD58C5"/>
    <w:rsid w:val="00BD5B04"/>
    <w:rsid w:val="00BD5C07"/>
    <w:rsid w:val="00BD5CE7"/>
    <w:rsid w:val="00BD5E7E"/>
    <w:rsid w:val="00BD5ED5"/>
    <w:rsid w:val="00BD6917"/>
    <w:rsid w:val="00BD6E80"/>
    <w:rsid w:val="00BD6EAE"/>
    <w:rsid w:val="00BD6ED1"/>
    <w:rsid w:val="00BD6EFE"/>
    <w:rsid w:val="00BD7014"/>
    <w:rsid w:val="00BD7033"/>
    <w:rsid w:val="00BD749D"/>
    <w:rsid w:val="00BD76C5"/>
    <w:rsid w:val="00BD7876"/>
    <w:rsid w:val="00BD79A6"/>
    <w:rsid w:val="00BD7C2C"/>
    <w:rsid w:val="00BD7E71"/>
    <w:rsid w:val="00BD7F6D"/>
    <w:rsid w:val="00BE0312"/>
    <w:rsid w:val="00BE0314"/>
    <w:rsid w:val="00BE0672"/>
    <w:rsid w:val="00BE0841"/>
    <w:rsid w:val="00BE091F"/>
    <w:rsid w:val="00BE0AC1"/>
    <w:rsid w:val="00BE0C67"/>
    <w:rsid w:val="00BE0C8A"/>
    <w:rsid w:val="00BE10BE"/>
    <w:rsid w:val="00BE173F"/>
    <w:rsid w:val="00BE1746"/>
    <w:rsid w:val="00BE1764"/>
    <w:rsid w:val="00BE19DA"/>
    <w:rsid w:val="00BE1E4B"/>
    <w:rsid w:val="00BE2144"/>
    <w:rsid w:val="00BE28E5"/>
    <w:rsid w:val="00BE2BBD"/>
    <w:rsid w:val="00BE2D44"/>
    <w:rsid w:val="00BE2EAF"/>
    <w:rsid w:val="00BE2FF2"/>
    <w:rsid w:val="00BE33F5"/>
    <w:rsid w:val="00BE343D"/>
    <w:rsid w:val="00BE37A2"/>
    <w:rsid w:val="00BE3C53"/>
    <w:rsid w:val="00BE3DED"/>
    <w:rsid w:val="00BE3E28"/>
    <w:rsid w:val="00BE3EDD"/>
    <w:rsid w:val="00BE4171"/>
    <w:rsid w:val="00BE4650"/>
    <w:rsid w:val="00BE473B"/>
    <w:rsid w:val="00BE4819"/>
    <w:rsid w:val="00BE49B7"/>
    <w:rsid w:val="00BE4B20"/>
    <w:rsid w:val="00BE4B65"/>
    <w:rsid w:val="00BE4F30"/>
    <w:rsid w:val="00BE57D7"/>
    <w:rsid w:val="00BE587C"/>
    <w:rsid w:val="00BE58CA"/>
    <w:rsid w:val="00BE60AC"/>
    <w:rsid w:val="00BE60CD"/>
    <w:rsid w:val="00BE684B"/>
    <w:rsid w:val="00BE6B8C"/>
    <w:rsid w:val="00BE738B"/>
    <w:rsid w:val="00BE7444"/>
    <w:rsid w:val="00BE76E5"/>
    <w:rsid w:val="00BE78FB"/>
    <w:rsid w:val="00BE7AB0"/>
    <w:rsid w:val="00BE7C14"/>
    <w:rsid w:val="00BE7F34"/>
    <w:rsid w:val="00BF0067"/>
    <w:rsid w:val="00BF02DE"/>
    <w:rsid w:val="00BF04B9"/>
    <w:rsid w:val="00BF071B"/>
    <w:rsid w:val="00BF1080"/>
    <w:rsid w:val="00BF176C"/>
    <w:rsid w:val="00BF181B"/>
    <w:rsid w:val="00BF1876"/>
    <w:rsid w:val="00BF194D"/>
    <w:rsid w:val="00BF1AB5"/>
    <w:rsid w:val="00BF1C9B"/>
    <w:rsid w:val="00BF1D90"/>
    <w:rsid w:val="00BF1FAB"/>
    <w:rsid w:val="00BF2121"/>
    <w:rsid w:val="00BF227B"/>
    <w:rsid w:val="00BF23A8"/>
    <w:rsid w:val="00BF2438"/>
    <w:rsid w:val="00BF246A"/>
    <w:rsid w:val="00BF2549"/>
    <w:rsid w:val="00BF2853"/>
    <w:rsid w:val="00BF29DF"/>
    <w:rsid w:val="00BF2AF5"/>
    <w:rsid w:val="00BF2B7A"/>
    <w:rsid w:val="00BF2D48"/>
    <w:rsid w:val="00BF3241"/>
    <w:rsid w:val="00BF3332"/>
    <w:rsid w:val="00BF3383"/>
    <w:rsid w:val="00BF34DC"/>
    <w:rsid w:val="00BF3710"/>
    <w:rsid w:val="00BF3947"/>
    <w:rsid w:val="00BF3C66"/>
    <w:rsid w:val="00BF3DCB"/>
    <w:rsid w:val="00BF3DD8"/>
    <w:rsid w:val="00BF3E01"/>
    <w:rsid w:val="00BF42E1"/>
    <w:rsid w:val="00BF452F"/>
    <w:rsid w:val="00BF4A6C"/>
    <w:rsid w:val="00BF4B0E"/>
    <w:rsid w:val="00BF4D77"/>
    <w:rsid w:val="00BF5026"/>
    <w:rsid w:val="00BF503A"/>
    <w:rsid w:val="00BF505A"/>
    <w:rsid w:val="00BF5AA1"/>
    <w:rsid w:val="00BF65CF"/>
    <w:rsid w:val="00BF660C"/>
    <w:rsid w:val="00BF68EB"/>
    <w:rsid w:val="00BF69E5"/>
    <w:rsid w:val="00BF6DD8"/>
    <w:rsid w:val="00BF6E0C"/>
    <w:rsid w:val="00BF7210"/>
    <w:rsid w:val="00BF721B"/>
    <w:rsid w:val="00BF752A"/>
    <w:rsid w:val="00BF7B57"/>
    <w:rsid w:val="00BF7FF1"/>
    <w:rsid w:val="00C00129"/>
    <w:rsid w:val="00C002E7"/>
    <w:rsid w:val="00C003BC"/>
    <w:rsid w:val="00C003E7"/>
    <w:rsid w:val="00C0064A"/>
    <w:rsid w:val="00C007E1"/>
    <w:rsid w:val="00C0092B"/>
    <w:rsid w:val="00C009E2"/>
    <w:rsid w:val="00C00AAB"/>
    <w:rsid w:val="00C00B7D"/>
    <w:rsid w:val="00C0100F"/>
    <w:rsid w:val="00C01261"/>
    <w:rsid w:val="00C01436"/>
    <w:rsid w:val="00C0186E"/>
    <w:rsid w:val="00C01CB5"/>
    <w:rsid w:val="00C01FDD"/>
    <w:rsid w:val="00C0202B"/>
    <w:rsid w:val="00C0268C"/>
    <w:rsid w:val="00C026F4"/>
    <w:rsid w:val="00C02B9C"/>
    <w:rsid w:val="00C02C91"/>
    <w:rsid w:val="00C03028"/>
    <w:rsid w:val="00C03446"/>
    <w:rsid w:val="00C03519"/>
    <w:rsid w:val="00C03598"/>
    <w:rsid w:val="00C03988"/>
    <w:rsid w:val="00C03A7A"/>
    <w:rsid w:val="00C03B4C"/>
    <w:rsid w:val="00C03C5F"/>
    <w:rsid w:val="00C03CB5"/>
    <w:rsid w:val="00C04235"/>
    <w:rsid w:val="00C046E5"/>
    <w:rsid w:val="00C04B07"/>
    <w:rsid w:val="00C0548C"/>
    <w:rsid w:val="00C055B2"/>
    <w:rsid w:val="00C056F7"/>
    <w:rsid w:val="00C0577F"/>
    <w:rsid w:val="00C0594D"/>
    <w:rsid w:val="00C05AFD"/>
    <w:rsid w:val="00C05B03"/>
    <w:rsid w:val="00C05EE8"/>
    <w:rsid w:val="00C060C4"/>
    <w:rsid w:val="00C06479"/>
    <w:rsid w:val="00C065F6"/>
    <w:rsid w:val="00C066D3"/>
    <w:rsid w:val="00C06705"/>
    <w:rsid w:val="00C06769"/>
    <w:rsid w:val="00C0677E"/>
    <w:rsid w:val="00C070D3"/>
    <w:rsid w:val="00C0729E"/>
    <w:rsid w:val="00C073DB"/>
    <w:rsid w:val="00C0797F"/>
    <w:rsid w:val="00C07F42"/>
    <w:rsid w:val="00C101B6"/>
    <w:rsid w:val="00C10296"/>
    <w:rsid w:val="00C104C4"/>
    <w:rsid w:val="00C10926"/>
    <w:rsid w:val="00C10E98"/>
    <w:rsid w:val="00C10F3A"/>
    <w:rsid w:val="00C10FDF"/>
    <w:rsid w:val="00C112E2"/>
    <w:rsid w:val="00C112FD"/>
    <w:rsid w:val="00C11858"/>
    <w:rsid w:val="00C118F2"/>
    <w:rsid w:val="00C119A7"/>
    <w:rsid w:val="00C119DD"/>
    <w:rsid w:val="00C11DF1"/>
    <w:rsid w:val="00C11F11"/>
    <w:rsid w:val="00C1213F"/>
    <w:rsid w:val="00C127E8"/>
    <w:rsid w:val="00C127FB"/>
    <w:rsid w:val="00C12B61"/>
    <w:rsid w:val="00C12CD8"/>
    <w:rsid w:val="00C12D1B"/>
    <w:rsid w:val="00C12E10"/>
    <w:rsid w:val="00C1301B"/>
    <w:rsid w:val="00C13279"/>
    <w:rsid w:val="00C132E5"/>
    <w:rsid w:val="00C13EC0"/>
    <w:rsid w:val="00C140E0"/>
    <w:rsid w:val="00C14326"/>
    <w:rsid w:val="00C14E7E"/>
    <w:rsid w:val="00C152F6"/>
    <w:rsid w:val="00C154EF"/>
    <w:rsid w:val="00C15F61"/>
    <w:rsid w:val="00C1629E"/>
    <w:rsid w:val="00C1645F"/>
    <w:rsid w:val="00C168AF"/>
    <w:rsid w:val="00C16A28"/>
    <w:rsid w:val="00C16B08"/>
    <w:rsid w:val="00C16BAA"/>
    <w:rsid w:val="00C16D59"/>
    <w:rsid w:val="00C16D79"/>
    <w:rsid w:val="00C16ED3"/>
    <w:rsid w:val="00C16EEE"/>
    <w:rsid w:val="00C16FB7"/>
    <w:rsid w:val="00C17142"/>
    <w:rsid w:val="00C17260"/>
    <w:rsid w:val="00C174A7"/>
    <w:rsid w:val="00C177C7"/>
    <w:rsid w:val="00C17860"/>
    <w:rsid w:val="00C1791D"/>
    <w:rsid w:val="00C17921"/>
    <w:rsid w:val="00C17CC6"/>
    <w:rsid w:val="00C200F5"/>
    <w:rsid w:val="00C206B9"/>
    <w:rsid w:val="00C20A71"/>
    <w:rsid w:val="00C20D91"/>
    <w:rsid w:val="00C21116"/>
    <w:rsid w:val="00C21286"/>
    <w:rsid w:val="00C215B7"/>
    <w:rsid w:val="00C21BFF"/>
    <w:rsid w:val="00C21C6B"/>
    <w:rsid w:val="00C21E78"/>
    <w:rsid w:val="00C21EBA"/>
    <w:rsid w:val="00C21ED8"/>
    <w:rsid w:val="00C21FF5"/>
    <w:rsid w:val="00C220A4"/>
    <w:rsid w:val="00C220D2"/>
    <w:rsid w:val="00C220FC"/>
    <w:rsid w:val="00C224EE"/>
    <w:rsid w:val="00C22A13"/>
    <w:rsid w:val="00C22A4A"/>
    <w:rsid w:val="00C22B7E"/>
    <w:rsid w:val="00C22C47"/>
    <w:rsid w:val="00C2303C"/>
    <w:rsid w:val="00C2325F"/>
    <w:rsid w:val="00C23942"/>
    <w:rsid w:val="00C23D25"/>
    <w:rsid w:val="00C23E56"/>
    <w:rsid w:val="00C23FA3"/>
    <w:rsid w:val="00C2409F"/>
    <w:rsid w:val="00C24290"/>
    <w:rsid w:val="00C242B4"/>
    <w:rsid w:val="00C249C5"/>
    <w:rsid w:val="00C24B08"/>
    <w:rsid w:val="00C259A6"/>
    <w:rsid w:val="00C25A5E"/>
    <w:rsid w:val="00C25BC7"/>
    <w:rsid w:val="00C25C27"/>
    <w:rsid w:val="00C25F4A"/>
    <w:rsid w:val="00C2625C"/>
    <w:rsid w:val="00C263A5"/>
    <w:rsid w:val="00C26693"/>
    <w:rsid w:val="00C266A8"/>
    <w:rsid w:val="00C2670F"/>
    <w:rsid w:val="00C268F1"/>
    <w:rsid w:val="00C26D41"/>
    <w:rsid w:val="00C26DF1"/>
    <w:rsid w:val="00C27BC5"/>
    <w:rsid w:val="00C30B23"/>
    <w:rsid w:val="00C30BF4"/>
    <w:rsid w:val="00C30C3E"/>
    <w:rsid w:val="00C30D1B"/>
    <w:rsid w:val="00C312DE"/>
    <w:rsid w:val="00C31336"/>
    <w:rsid w:val="00C31C11"/>
    <w:rsid w:val="00C31C8B"/>
    <w:rsid w:val="00C322E0"/>
    <w:rsid w:val="00C32464"/>
    <w:rsid w:val="00C3285D"/>
    <w:rsid w:val="00C32966"/>
    <w:rsid w:val="00C32A71"/>
    <w:rsid w:val="00C32B3E"/>
    <w:rsid w:val="00C32C0D"/>
    <w:rsid w:val="00C331C4"/>
    <w:rsid w:val="00C331E2"/>
    <w:rsid w:val="00C33408"/>
    <w:rsid w:val="00C33620"/>
    <w:rsid w:val="00C33822"/>
    <w:rsid w:val="00C338AC"/>
    <w:rsid w:val="00C33C5C"/>
    <w:rsid w:val="00C33FEF"/>
    <w:rsid w:val="00C341E2"/>
    <w:rsid w:val="00C34606"/>
    <w:rsid w:val="00C34B3E"/>
    <w:rsid w:val="00C34B60"/>
    <w:rsid w:val="00C34CBE"/>
    <w:rsid w:val="00C34E94"/>
    <w:rsid w:val="00C35151"/>
    <w:rsid w:val="00C35291"/>
    <w:rsid w:val="00C356B7"/>
    <w:rsid w:val="00C35FD8"/>
    <w:rsid w:val="00C36645"/>
    <w:rsid w:val="00C367F9"/>
    <w:rsid w:val="00C36806"/>
    <w:rsid w:val="00C36EAF"/>
    <w:rsid w:val="00C36F79"/>
    <w:rsid w:val="00C371C8"/>
    <w:rsid w:val="00C3751B"/>
    <w:rsid w:val="00C37892"/>
    <w:rsid w:val="00C378E4"/>
    <w:rsid w:val="00C379B3"/>
    <w:rsid w:val="00C401BB"/>
    <w:rsid w:val="00C40A0A"/>
    <w:rsid w:val="00C40D6B"/>
    <w:rsid w:val="00C4160D"/>
    <w:rsid w:val="00C41744"/>
    <w:rsid w:val="00C417CC"/>
    <w:rsid w:val="00C41998"/>
    <w:rsid w:val="00C419A2"/>
    <w:rsid w:val="00C419BF"/>
    <w:rsid w:val="00C419CB"/>
    <w:rsid w:val="00C41DDB"/>
    <w:rsid w:val="00C42058"/>
    <w:rsid w:val="00C42351"/>
    <w:rsid w:val="00C4262F"/>
    <w:rsid w:val="00C427E0"/>
    <w:rsid w:val="00C42C45"/>
    <w:rsid w:val="00C42F22"/>
    <w:rsid w:val="00C433BC"/>
    <w:rsid w:val="00C43BC2"/>
    <w:rsid w:val="00C43F6C"/>
    <w:rsid w:val="00C44259"/>
    <w:rsid w:val="00C4438A"/>
    <w:rsid w:val="00C44487"/>
    <w:rsid w:val="00C44AE1"/>
    <w:rsid w:val="00C44C9A"/>
    <w:rsid w:val="00C44E24"/>
    <w:rsid w:val="00C45003"/>
    <w:rsid w:val="00C45093"/>
    <w:rsid w:val="00C450A3"/>
    <w:rsid w:val="00C45202"/>
    <w:rsid w:val="00C45F74"/>
    <w:rsid w:val="00C4622F"/>
    <w:rsid w:val="00C462E1"/>
    <w:rsid w:val="00C46901"/>
    <w:rsid w:val="00C469B2"/>
    <w:rsid w:val="00C46D9E"/>
    <w:rsid w:val="00C46E1D"/>
    <w:rsid w:val="00C46E8A"/>
    <w:rsid w:val="00C47344"/>
    <w:rsid w:val="00C473A6"/>
    <w:rsid w:val="00C475E6"/>
    <w:rsid w:val="00C47871"/>
    <w:rsid w:val="00C4787E"/>
    <w:rsid w:val="00C47BE8"/>
    <w:rsid w:val="00C47C78"/>
    <w:rsid w:val="00C50180"/>
    <w:rsid w:val="00C502AE"/>
    <w:rsid w:val="00C503B7"/>
    <w:rsid w:val="00C50548"/>
    <w:rsid w:val="00C506AD"/>
    <w:rsid w:val="00C507A1"/>
    <w:rsid w:val="00C50912"/>
    <w:rsid w:val="00C5123D"/>
    <w:rsid w:val="00C51306"/>
    <w:rsid w:val="00C51326"/>
    <w:rsid w:val="00C51B06"/>
    <w:rsid w:val="00C51E47"/>
    <w:rsid w:val="00C5232E"/>
    <w:rsid w:val="00C52883"/>
    <w:rsid w:val="00C528FB"/>
    <w:rsid w:val="00C52AAD"/>
    <w:rsid w:val="00C52C14"/>
    <w:rsid w:val="00C52E3D"/>
    <w:rsid w:val="00C52E5B"/>
    <w:rsid w:val="00C53120"/>
    <w:rsid w:val="00C531B5"/>
    <w:rsid w:val="00C53320"/>
    <w:rsid w:val="00C5332A"/>
    <w:rsid w:val="00C5337A"/>
    <w:rsid w:val="00C53435"/>
    <w:rsid w:val="00C53ABC"/>
    <w:rsid w:val="00C5405E"/>
    <w:rsid w:val="00C542AF"/>
    <w:rsid w:val="00C54706"/>
    <w:rsid w:val="00C54E40"/>
    <w:rsid w:val="00C54FFC"/>
    <w:rsid w:val="00C5517F"/>
    <w:rsid w:val="00C554DF"/>
    <w:rsid w:val="00C559DB"/>
    <w:rsid w:val="00C55D53"/>
    <w:rsid w:val="00C55DE8"/>
    <w:rsid w:val="00C55E54"/>
    <w:rsid w:val="00C56C84"/>
    <w:rsid w:val="00C572BB"/>
    <w:rsid w:val="00C57494"/>
    <w:rsid w:val="00C5755B"/>
    <w:rsid w:val="00C5757E"/>
    <w:rsid w:val="00C57A6F"/>
    <w:rsid w:val="00C57AB2"/>
    <w:rsid w:val="00C57B56"/>
    <w:rsid w:val="00C57E8B"/>
    <w:rsid w:val="00C57F68"/>
    <w:rsid w:val="00C601A2"/>
    <w:rsid w:val="00C603A2"/>
    <w:rsid w:val="00C60582"/>
    <w:rsid w:val="00C60A28"/>
    <w:rsid w:val="00C60C52"/>
    <w:rsid w:val="00C60C6C"/>
    <w:rsid w:val="00C60EAA"/>
    <w:rsid w:val="00C610B9"/>
    <w:rsid w:val="00C610C1"/>
    <w:rsid w:val="00C611C5"/>
    <w:rsid w:val="00C6177F"/>
    <w:rsid w:val="00C61BE2"/>
    <w:rsid w:val="00C61CCF"/>
    <w:rsid w:val="00C61E36"/>
    <w:rsid w:val="00C61F42"/>
    <w:rsid w:val="00C62AF4"/>
    <w:rsid w:val="00C62C4C"/>
    <w:rsid w:val="00C63093"/>
    <w:rsid w:val="00C633F5"/>
    <w:rsid w:val="00C63492"/>
    <w:rsid w:val="00C63EC9"/>
    <w:rsid w:val="00C63FFB"/>
    <w:rsid w:val="00C64086"/>
    <w:rsid w:val="00C640FE"/>
    <w:rsid w:val="00C643B9"/>
    <w:rsid w:val="00C644F4"/>
    <w:rsid w:val="00C64863"/>
    <w:rsid w:val="00C6488D"/>
    <w:rsid w:val="00C64B77"/>
    <w:rsid w:val="00C64CAB"/>
    <w:rsid w:val="00C6513A"/>
    <w:rsid w:val="00C6535E"/>
    <w:rsid w:val="00C656CA"/>
    <w:rsid w:val="00C659F1"/>
    <w:rsid w:val="00C65F86"/>
    <w:rsid w:val="00C66284"/>
    <w:rsid w:val="00C666E7"/>
    <w:rsid w:val="00C66C35"/>
    <w:rsid w:val="00C66D60"/>
    <w:rsid w:val="00C67053"/>
    <w:rsid w:val="00C67370"/>
    <w:rsid w:val="00C674AB"/>
    <w:rsid w:val="00C674E1"/>
    <w:rsid w:val="00C6757F"/>
    <w:rsid w:val="00C677AE"/>
    <w:rsid w:val="00C677B4"/>
    <w:rsid w:val="00C679F4"/>
    <w:rsid w:val="00C67DB3"/>
    <w:rsid w:val="00C67E87"/>
    <w:rsid w:val="00C700E1"/>
    <w:rsid w:val="00C703E5"/>
    <w:rsid w:val="00C705D1"/>
    <w:rsid w:val="00C705DF"/>
    <w:rsid w:val="00C705EA"/>
    <w:rsid w:val="00C709CB"/>
    <w:rsid w:val="00C70A2B"/>
    <w:rsid w:val="00C70A51"/>
    <w:rsid w:val="00C70A5F"/>
    <w:rsid w:val="00C70C5F"/>
    <w:rsid w:val="00C71551"/>
    <w:rsid w:val="00C719FC"/>
    <w:rsid w:val="00C72719"/>
    <w:rsid w:val="00C729BD"/>
    <w:rsid w:val="00C7329A"/>
    <w:rsid w:val="00C73501"/>
    <w:rsid w:val="00C73886"/>
    <w:rsid w:val="00C738CA"/>
    <w:rsid w:val="00C73E33"/>
    <w:rsid w:val="00C73EFA"/>
    <w:rsid w:val="00C7446F"/>
    <w:rsid w:val="00C745F5"/>
    <w:rsid w:val="00C74CD3"/>
    <w:rsid w:val="00C74E18"/>
    <w:rsid w:val="00C74F06"/>
    <w:rsid w:val="00C7551A"/>
    <w:rsid w:val="00C75723"/>
    <w:rsid w:val="00C75D0C"/>
    <w:rsid w:val="00C76189"/>
    <w:rsid w:val="00C76FD5"/>
    <w:rsid w:val="00C7700A"/>
    <w:rsid w:val="00C771AB"/>
    <w:rsid w:val="00C771CE"/>
    <w:rsid w:val="00C7730A"/>
    <w:rsid w:val="00C77512"/>
    <w:rsid w:val="00C7762E"/>
    <w:rsid w:val="00C779D6"/>
    <w:rsid w:val="00C77C24"/>
    <w:rsid w:val="00C77C41"/>
    <w:rsid w:val="00C805C2"/>
    <w:rsid w:val="00C80700"/>
    <w:rsid w:val="00C808B6"/>
    <w:rsid w:val="00C80A89"/>
    <w:rsid w:val="00C80AC4"/>
    <w:rsid w:val="00C8157D"/>
    <w:rsid w:val="00C81DF2"/>
    <w:rsid w:val="00C81DFC"/>
    <w:rsid w:val="00C81E9E"/>
    <w:rsid w:val="00C81EB1"/>
    <w:rsid w:val="00C81FF2"/>
    <w:rsid w:val="00C82268"/>
    <w:rsid w:val="00C828D0"/>
    <w:rsid w:val="00C82E4F"/>
    <w:rsid w:val="00C831C5"/>
    <w:rsid w:val="00C83234"/>
    <w:rsid w:val="00C834D2"/>
    <w:rsid w:val="00C838E9"/>
    <w:rsid w:val="00C839B6"/>
    <w:rsid w:val="00C83A75"/>
    <w:rsid w:val="00C83B71"/>
    <w:rsid w:val="00C83E11"/>
    <w:rsid w:val="00C83ED4"/>
    <w:rsid w:val="00C83F7A"/>
    <w:rsid w:val="00C852F7"/>
    <w:rsid w:val="00C85753"/>
    <w:rsid w:val="00C858AB"/>
    <w:rsid w:val="00C859AB"/>
    <w:rsid w:val="00C85C6F"/>
    <w:rsid w:val="00C85F85"/>
    <w:rsid w:val="00C865C2"/>
    <w:rsid w:val="00C86911"/>
    <w:rsid w:val="00C86F33"/>
    <w:rsid w:val="00C87088"/>
    <w:rsid w:val="00C876FA"/>
    <w:rsid w:val="00C87E63"/>
    <w:rsid w:val="00C90596"/>
    <w:rsid w:val="00C90692"/>
    <w:rsid w:val="00C9074A"/>
    <w:rsid w:val="00C90814"/>
    <w:rsid w:val="00C90921"/>
    <w:rsid w:val="00C90976"/>
    <w:rsid w:val="00C90BC1"/>
    <w:rsid w:val="00C90DEA"/>
    <w:rsid w:val="00C90E55"/>
    <w:rsid w:val="00C90E77"/>
    <w:rsid w:val="00C91152"/>
    <w:rsid w:val="00C9135A"/>
    <w:rsid w:val="00C91578"/>
    <w:rsid w:val="00C916F7"/>
    <w:rsid w:val="00C9188E"/>
    <w:rsid w:val="00C91D19"/>
    <w:rsid w:val="00C91FCB"/>
    <w:rsid w:val="00C92308"/>
    <w:rsid w:val="00C92779"/>
    <w:rsid w:val="00C92B15"/>
    <w:rsid w:val="00C92DB5"/>
    <w:rsid w:val="00C92F9C"/>
    <w:rsid w:val="00C9308B"/>
    <w:rsid w:val="00C93218"/>
    <w:rsid w:val="00C93307"/>
    <w:rsid w:val="00C933DC"/>
    <w:rsid w:val="00C9352E"/>
    <w:rsid w:val="00C935FF"/>
    <w:rsid w:val="00C93730"/>
    <w:rsid w:val="00C93909"/>
    <w:rsid w:val="00C93AB1"/>
    <w:rsid w:val="00C93C80"/>
    <w:rsid w:val="00C942E0"/>
    <w:rsid w:val="00C942FF"/>
    <w:rsid w:val="00C949C4"/>
    <w:rsid w:val="00C94B0B"/>
    <w:rsid w:val="00C94D18"/>
    <w:rsid w:val="00C951D6"/>
    <w:rsid w:val="00C95A5C"/>
    <w:rsid w:val="00C95CF3"/>
    <w:rsid w:val="00C960AF"/>
    <w:rsid w:val="00C96140"/>
    <w:rsid w:val="00C961CD"/>
    <w:rsid w:val="00C96510"/>
    <w:rsid w:val="00C96532"/>
    <w:rsid w:val="00C965D0"/>
    <w:rsid w:val="00C97812"/>
    <w:rsid w:val="00C978B8"/>
    <w:rsid w:val="00C97A0D"/>
    <w:rsid w:val="00CA04FE"/>
    <w:rsid w:val="00CA06AC"/>
    <w:rsid w:val="00CA0C16"/>
    <w:rsid w:val="00CA0C94"/>
    <w:rsid w:val="00CA0EE6"/>
    <w:rsid w:val="00CA0FF7"/>
    <w:rsid w:val="00CA1E57"/>
    <w:rsid w:val="00CA2492"/>
    <w:rsid w:val="00CA290A"/>
    <w:rsid w:val="00CA2940"/>
    <w:rsid w:val="00CA2975"/>
    <w:rsid w:val="00CA2A33"/>
    <w:rsid w:val="00CA2BEF"/>
    <w:rsid w:val="00CA2D3B"/>
    <w:rsid w:val="00CA2D4E"/>
    <w:rsid w:val="00CA2D61"/>
    <w:rsid w:val="00CA2DD4"/>
    <w:rsid w:val="00CA33D1"/>
    <w:rsid w:val="00CA36E6"/>
    <w:rsid w:val="00CA3744"/>
    <w:rsid w:val="00CA39FD"/>
    <w:rsid w:val="00CA3AE8"/>
    <w:rsid w:val="00CA3C35"/>
    <w:rsid w:val="00CA3CF4"/>
    <w:rsid w:val="00CA3E19"/>
    <w:rsid w:val="00CA3FF3"/>
    <w:rsid w:val="00CA41D4"/>
    <w:rsid w:val="00CA44DB"/>
    <w:rsid w:val="00CA46E8"/>
    <w:rsid w:val="00CA4724"/>
    <w:rsid w:val="00CA475D"/>
    <w:rsid w:val="00CA4882"/>
    <w:rsid w:val="00CA49BC"/>
    <w:rsid w:val="00CA4B28"/>
    <w:rsid w:val="00CA5188"/>
    <w:rsid w:val="00CA53C3"/>
    <w:rsid w:val="00CA5A41"/>
    <w:rsid w:val="00CA5F95"/>
    <w:rsid w:val="00CA66C8"/>
    <w:rsid w:val="00CA68F2"/>
    <w:rsid w:val="00CA6BCF"/>
    <w:rsid w:val="00CA6BF9"/>
    <w:rsid w:val="00CA7021"/>
    <w:rsid w:val="00CA7714"/>
    <w:rsid w:val="00CA77CA"/>
    <w:rsid w:val="00CA7CA8"/>
    <w:rsid w:val="00CA7DBC"/>
    <w:rsid w:val="00CA7FD3"/>
    <w:rsid w:val="00CB03D3"/>
    <w:rsid w:val="00CB041E"/>
    <w:rsid w:val="00CB0422"/>
    <w:rsid w:val="00CB0532"/>
    <w:rsid w:val="00CB0A9F"/>
    <w:rsid w:val="00CB0BB1"/>
    <w:rsid w:val="00CB0CAD"/>
    <w:rsid w:val="00CB0DE4"/>
    <w:rsid w:val="00CB0EBA"/>
    <w:rsid w:val="00CB17DD"/>
    <w:rsid w:val="00CB1ED8"/>
    <w:rsid w:val="00CB2021"/>
    <w:rsid w:val="00CB2788"/>
    <w:rsid w:val="00CB28F2"/>
    <w:rsid w:val="00CB30F3"/>
    <w:rsid w:val="00CB31CE"/>
    <w:rsid w:val="00CB427A"/>
    <w:rsid w:val="00CB48F1"/>
    <w:rsid w:val="00CB499E"/>
    <w:rsid w:val="00CB4CE2"/>
    <w:rsid w:val="00CB4E93"/>
    <w:rsid w:val="00CB50DE"/>
    <w:rsid w:val="00CB5193"/>
    <w:rsid w:val="00CB5293"/>
    <w:rsid w:val="00CB5403"/>
    <w:rsid w:val="00CB559D"/>
    <w:rsid w:val="00CB5668"/>
    <w:rsid w:val="00CB56D9"/>
    <w:rsid w:val="00CB66AD"/>
    <w:rsid w:val="00CB6B09"/>
    <w:rsid w:val="00CB6F52"/>
    <w:rsid w:val="00CB73A7"/>
    <w:rsid w:val="00CB7704"/>
    <w:rsid w:val="00CB7952"/>
    <w:rsid w:val="00CB7AE3"/>
    <w:rsid w:val="00CB7DC7"/>
    <w:rsid w:val="00CB7EC7"/>
    <w:rsid w:val="00CC012F"/>
    <w:rsid w:val="00CC022B"/>
    <w:rsid w:val="00CC02B0"/>
    <w:rsid w:val="00CC0382"/>
    <w:rsid w:val="00CC040E"/>
    <w:rsid w:val="00CC05A9"/>
    <w:rsid w:val="00CC0618"/>
    <w:rsid w:val="00CC06E2"/>
    <w:rsid w:val="00CC0F66"/>
    <w:rsid w:val="00CC147F"/>
    <w:rsid w:val="00CC1936"/>
    <w:rsid w:val="00CC1CC8"/>
    <w:rsid w:val="00CC1DB4"/>
    <w:rsid w:val="00CC219F"/>
    <w:rsid w:val="00CC22EC"/>
    <w:rsid w:val="00CC2417"/>
    <w:rsid w:val="00CC24BD"/>
    <w:rsid w:val="00CC2564"/>
    <w:rsid w:val="00CC260F"/>
    <w:rsid w:val="00CC2620"/>
    <w:rsid w:val="00CC28A8"/>
    <w:rsid w:val="00CC2981"/>
    <w:rsid w:val="00CC2C18"/>
    <w:rsid w:val="00CC2C70"/>
    <w:rsid w:val="00CC2F8A"/>
    <w:rsid w:val="00CC34CC"/>
    <w:rsid w:val="00CC35C1"/>
    <w:rsid w:val="00CC393D"/>
    <w:rsid w:val="00CC415F"/>
    <w:rsid w:val="00CC4BFA"/>
    <w:rsid w:val="00CC4C7C"/>
    <w:rsid w:val="00CC4CFD"/>
    <w:rsid w:val="00CC4E5E"/>
    <w:rsid w:val="00CC505C"/>
    <w:rsid w:val="00CC5329"/>
    <w:rsid w:val="00CC5633"/>
    <w:rsid w:val="00CC5664"/>
    <w:rsid w:val="00CC5765"/>
    <w:rsid w:val="00CC5AE3"/>
    <w:rsid w:val="00CC5B6D"/>
    <w:rsid w:val="00CC5DFF"/>
    <w:rsid w:val="00CC616E"/>
    <w:rsid w:val="00CC6420"/>
    <w:rsid w:val="00CC643E"/>
    <w:rsid w:val="00CC69FD"/>
    <w:rsid w:val="00CC6A85"/>
    <w:rsid w:val="00CC6B2B"/>
    <w:rsid w:val="00CC6B8B"/>
    <w:rsid w:val="00CC6B92"/>
    <w:rsid w:val="00CC6C57"/>
    <w:rsid w:val="00CC72D4"/>
    <w:rsid w:val="00CC7A13"/>
    <w:rsid w:val="00CC7AFA"/>
    <w:rsid w:val="00CC7E88"/>
    <w:rsid w:val="00CD03F2"/>
    <w:rsid w:val="00CD0572"/>
    <w:rsid w:val="00CD0900"/>
    <w:rsid w:val="00CD0A62"/>
    <w:rsid w:val="00CD0D77"/>
    <w:rsid w:val="00CD0D95"/>
    <w:rsid w:val="00CD0F85"/>
    <w:rsid w:val="00CD108C"/>
    <w:rsid w:val="00CD11B9"/>
    <w:rsid w:val="00CD1A16"/>
    <w:rsid w:val="00CD1B6B"/>
    <w:rsid w:val="00CD1CD5"/>
    <w:rsid w:val="00CD1F86"/>
    <w:rsid w:val="00CD1FB6"/>
    <w:rsid w:val="00CD2299"/>
    <w:rsid w:val="00CD316F"/>
    <w:rsid w:val="00CD3316"/>
    <w:rsid w:val="00CD33E4"/>
    <w:rsid w:val="00CD36A1"/>
    <w:rsid w:val="00CD3703"/>
    <w:rsid w:val="00CD4205"/>
    <w:rsid w:val="00CD465C"/>
    <w:rsid w:val="00CD494C"/>
    <w:rsid w:val="00CD49F2"/>
    <w:rsid w:val="00CD4D7A"/>
    <w:rsid w:val="00CD4DE1"/>
    <w:rsid w:val="00CD4F0F"/>
    <w:rsid w:val="00CD50F7"/>
    <w:rsid w:val="00CD5634"/>
    <w:rsid w:val="00CD56A9"/>
    <w:rsid w:val="00CD5EAF"/>
    <w:rsid w:val="00CD614D"/>
    <w:rsid w:val="00CD62E8"/>
    <w:rsid w:val="00CD6481"/>
    <w:rsid w:val="00CD650E"/>
    <w:rsid w:val="00CD6755"/>
    <w:rsid w:val="00CD69D9"/>
    <w:rsid w:val="00CD6D33"/>
    <w:rsid w:val="00CD6D7A"/>
    <w:rsid w:val="00CD741B"/>
    <w:rsid w:val="00CD7918"/>
    <w:rsid w:val="00CE006F"/>
    <w:rsid w:val="00CE083A"/>
    <w:rsid w:val="00CE0A69"/>
    <w:rsid w:val="00CE0E90"/>
    <w:rsid w:val="00CE11F0"/>
    <w:rsid w:val="00CE1307"/>
    <w:rsid w:val="00CE1505"/>
    <w:rsid w:val="00CE1909"/>
    <w:rsid w:val="00CE1DD0"/>
    <w:rsid w:val="00CE1EAB"/>
    <w:rsid w:val="00CE2368"/>
    <w:rsid w:val="00CE2AD3"/>
    <w:rsid w:val="00CE2C09"/>
    <w:rsid w:val="00CE2FA1"/>
    <w:rsid w:val="00CE332B"/>
    <w:rsid w:val="00CE3516"/>
    <w:rsid w:val="00CE3740"/>
    <w:rsid w:val="00CE38A1"/>
    <w:rsid w:val="00CE3963"/>
    <w:rsid w:val="00CE3ADC"/>
    <w:rsid w:val="00CE4D41"/>
    <w:rsid w:val="00CE5039"/>
    <w:rsid w:val="00CE5304"/>
    <w:rsid w:val="00CE583A"/>
    <w:rsid w:val="00CE606F"/>
    <w:rsid w:val="00CE6134"/>
    <w:rsid w:val="00CE67C5"/>
    <w:rsid w:val="00CE6D86"/>
    <w:rsid w:val="00CE6DEE"/>
    <w:rsid w:val="00CE7118"/>
    <w:rsid w:val="00CE7299"/>
    <w:rsid w:val="00CE72EF"/>
    <w:rsid w:val="00CE7814"/>
    <w:rsid w:val="00CE7A30"/>
    <w:rsid w:val="00CF0345"/>
    <w:rsid w:val="00CF0774"/>
    <w:rsid w:val="00CF07E9"/>
    <w:rsid w:val="00CF082A"/>
    <w:rsid w:val="00CF087F"/>
    <w:rsid w:val="00CF0A32"/>
    <w:rsid w:val="00CF0A52"/>
    <w:rsid w:val="00CF0FE7"/>
    <w:rsid w:val="00CF1241"/>
    <w:rsid w:val="00CF1277"/>
    <w:rsid w:val="00CF16E5"/>
    <w:rsid w:val="00CF1904"/>
    <w:rsid w:val="00CF190A"/>
    <w:rsid w:val="00CF1CA3"/>
    <w:rsid w:val="00CF1EDF"/>
    <w:rsid w:val="00CF1FBA"/>
    <w:rsid w:val="00CF26BE"/>
    <w:rsid w:val="00CF2744"/>
    <w:rsid w:val="00CF2AD8"/>
    <w:rsid w:val="00CF2D33"/>
    <w:rsid w:val="00CF2FEB"/>
    <w:rsid w:val="00CF3103"/>
    <w:rsid w:val="00CF31E2"/>
    <w:rsid w:val="00CF34F8"/>
    <w:rsid w:val="00CF390D"/>
    <w:rsid w:val="00CF3D3E"/>
    <w:rsid w:val="00CF41A1"/>
    <w:rsid w:val="00CF429C"/>
    <w:rsid w:val="00CF42E7"/>
    <w:rsid w:val="00CF44F1"/>
    <w:rsid w:val="00CF4644"/>
    <w:rsid w:val="00CF4672"/>
    <w:rsid w:val="00CF46EC"/>
    <w:rsid w:val="00CF49E7"/>
    <w:rsid w:val="00CF4A26"/>
    <w:rsid w:val="00CF51E6"/>
    <w:rsid w:val="00CF53AF"/>
    <w:rsid w:val="00CF5475"/>
    <w:rsid w:val="00CF54DE"/>
    <w:rsid w:val="00CF5545"/>
    <w:rsid w:val="00CF5792"/>
    <w:rsid w:val="00CF5AE9"/>
    <w:rsid w:val="00CF5B16"/>
    <w:rsid w:val="00CF5F94"/>
    <w:rsid w:val="00CF606D"/>
    <w:rsid w:val="00CF6194"/>
    <w:rsid w:val="00CF62C7"/>
    <w:rsid w:val="00CF649C"/>
    <w:rsid w:val="00CF650D"/>
    <w:rsid w:val="00CF65DA"/>
    <w:rsid w:val="00CF6955"/>
    <w:rsid w:val="00CF69F0"/>
    <w:rsid w:val="00CF6C86"/>
    <w:rsid w:val="00CF716A"/>
    <w:rsid w:val="00CF71DF"/>
    <w:rsid w:val="00CF7311"/>
    <w:rsid w:val="00CF747F"/>
    <w:rsid w:val="00CF758F"/>
    <w:rsid w:val="00CF7733"/>
    <w:rsid w:val="00CF77D4"/>
    <w:rsid w:val="00CF7CB3"/>
    <w:rsid w:val="00D00B0A"/>
    <w:rsid w:val="00D00F32"/>
    <w:rsid w:val="00D01024"/>
    <w:rsid w:val="00D0103F"/>
    <w:rsid w:val="00D01452"/>
    <w:rsid w:val="00D01747"/>
    <w:rsid w:val="00D01DE9"/>
    <w:rsid w:val="00D01FAC"/>
    <w:rsid w:val="00D020BA"/>
    <w:rsid w:val="00D02457"/>
    <w:rsid w:val="00D02DA0"/>
    <w:rsid w:val="00D02DE6"/>
    <w:rsid w:val="00D02E22"/>
    <w:rsid w:val="00D02E58"/>
    <w:rsid w:val="00D02F26"/>
    <w:rsid w:val="00D03038"/>
    <w:rsid w:val="00D0324B"/>
    <w:rsid w:val="00D037E0"/>
    <w:rsid w:val="00D03D11"/>
    <w:rsid w:val="00D04383"/>
    <w:rsid w:val="00D04ADC"/>
    <w:rsid w:val="00D04AE8"/>
    <w:rsid w:val="00D04E86"/>
    <w:rsid w:val="00D04F6D"/>
    <w:rsid w:val="00D052CF"/>
    <w:rsid w:val="00D0554E"/>
    <w:rsid w:val="00D05637"/>
    <w:rsid w:val="00D05CA2"/>
    <w:rsid w:val="00D06040"/>
    <w:rsid w:val="00D0628F"/>
    <w:rsid w:val="00D0643A"/>
    <w:rsid w:val="00D064C3"/>
    <w:rsid w:val="00D06624"/>
    <w:rsid w:val="00D06811"/>
    <w:rsid w:val="00D06A10"/>
    <w:rsid w:val="00D06C81"/>
    <w:rsid w:val="00D06F0C"/>
    <w:rsid w:val="00D07271"/>
    <w:rsid w:val="00D07303"/>
    <w:rsid w:val="00D076C1"/>
    <w:rsid w:val="00D07782"/>
    <w:rsid w:val="00D07970"/>
    <w:rsid w:val="00D079AA"/>
    <w:rsid w:val="00D07E48"/>
    <w:rsid w:val="00D07F23"/>
    <w:rsid w:val="00D10311"/>
    <w:rsid w:val="00D1039A"/>
    <w:rsid w:val="00D1060F"/>
    <w:rsid w:val="00D10909"/>
    <w:rsid w:val="00D109B6"/>
    <w:rsid w:val="00D10C6C"/>
    <w:rsid w:val="00D10CB2"/>
    <w:rsid w:val="00D10F26"/>
    <w:rsid w:val="00D1123B"/>
    <w:rsid w:val="00D1137C"/>
    <w:rsid w:val="00D11534"/>
    <w:rsid w:val="00D116AB"/>
    <w:rsid w:val="00D12190"/>
    <w:rsid w:val="00D122DA"/>
    <w:rsid w:val="00D128EA"/>
    <w:rsid w:val="00D12995"/>
    <w:rsid w:val="00D12B58"/>
    <w:rsid w:val="00D12D11"/>
    <w:rsid w:val="00D13430"/>
    <w:rsid w:val="00D1361B"/>
    <w:rsid w:val="00D13662"/>
    <w:rsid w:val="00D13761"/>
    <w:rsid w:val="00D14059"/>
    <w:rsid w:val="00D140E5"/>
    <w:rsid w:val="00D1435B"/>
    <w:rsid w:val="00D1443F"/>
    <w:rsid w:val="00D145B4"/>
    <w:rsid w:val="00D14796"/>
    <w:rsid w:val="00D14D94"/>
    <w:rsid w:val="00D14E27"/>
    <w:rsid w:val="00D14F1D"/>
    <w:rsid w:val="00D15255"/>
    <w:rsid w:val="00D15413"/>
    <w:rsid w:val="00D157FF"/>
    <w:rsid w:val="00D15AE1"/>
    <w:rsid w:val="00D15B7D"/>
    <w:rsid w:val="00D1602C"/>
    <w:rsid w:val="00D161F1"/>
    <w:rsid w:val="00D166F8"/>
    <w:rsid w:val="00D1686C"/>
    <w:rsid w:val="00D16DB7"/>
    <w:rsid w:val="00D17737"/>
    <w:rsid w:val="00D17761"/>
    <w:rsid w:val="00D1781A"/>
    <w:rsid w:val="00D1796E"/>
    <w:rsid w:val="00D179A4"/>
    <w:rsid w:val="00D17B25"/>
    <w:rsid w:val="00D17C84"/>
    <w:rsid w:val="00D17FFE"/>
    <w:rsid w:val="00D200A9"/>
    <w:rsid w:val="00D208D5"/>
    <w:rsid w:val="00D20B64"/>
    <w:rsid w:val="00D20D43"/>
    <w:rsid w:val="00D20E01"/>
    <w:rsid w:val="00D212E2"/>
    <w:rsid w:val="00D2135B"/>
    <w:rsid w:val="00D2137D"/>
    <w:rsid w:val="00D21395"/>
    <w:rsid w:val="00D2180B"/>
    <w:rsid w:val="00D2189B"/>
    <w:rsid w:val="00D219B9"/>
    <w:rsid w:val="00D21A8B"/>
    <w:rsid w:val="00D21F12"/>
    <w:rsid w:val="00D22341"/>
    <w:rsid w:val="00D22709"/>
    <w:rsid w:val="00D22753"/>
    <w:rsid w:val="00D227C4"/>
    <w:rsid w:val="00D228DE"/>
    <w:rsid w:val="00D22D40"/>
    <w:rsid w:val="00D23092"/>
    <w:rsid w:val="00D2327E"/>
    <w:rsid w:val="00D233BF"/>
    <w:rsid w:val="00D233F0"/>
    <w:rsid w:val="00D2350E"/>
    <w:rsid w:val="00D236BF"/>
    <w:rsid w:val="00D240E1"/>
    <w:rsid w:val="00D2438D"/>
    <w:rsid w:val="00D2443B"/>
    <w:rsid w:val="00D24740"/>
    <w:rsid w:val="00D24845"/>
    <w:rsid w:val="00D24A1A"/>
    <w:rsid w:val="00D24E77"/>
    <w:rsid w:val="00D24EAE"/>
    <w:rsid w:val="00D25D6E"/>
    <w:rsid w:val="00D26548"/>
    <w:rsid w:val="00D26B8D"/>
    <w:rsid w:val="00D26ED8"/>
    <w:rsid w:val="00D273B9"/>
    <w:rsid w:val="00D27548"/>
    <w:rsid w:val="00D27786"/>
    <w:rsid w:val="00D27873"/>
    <w:rsid w:val="00D27BE9"/>
    <w:rsid w:val="00D27C05"/>
    <w:rsid w:val="00D309A1"/>
    <w:rsid w:val="00D30F3A"/>
    <w:rsid w:val="00D311DE"/>
    <w:rsid w:val="00D31696"/>
    <w:rsid w:val="00D316D6"/>
    <w:rsid w:val="00D31B51"/>
    <w:rsid w:val="00D32463"/>
    <w:rsid w:val="00D32659"/>
    <w:rsid w:val="00D32974"/>
    <w:rsid w:val="00D32FA9"/>
    <w:rsid w:val="00D335DD"/>
    <w:rsid w:val="00D33A05"/>
    <w:rsid w:val="00D33A99"/>
    <w:rsid w:val="00D33C17"/>
    <w:rsid w:val="00D33E53"/>
    <w:rsid w:val="00D34309"/>
    <w:rsid w:val="00D3434E"/>
    <w:rsid w:val="00D34A08"/>
    <w:rsid w:val="00D34BA5"/>
    <w:rsid w:val="00D3547B"/>
    <w:rsid w:val="00D35C3D"/>
    <w:rsid w:val="00D35F0D"/>
    <w:rsid w:val="00D36063"/>
    <w:rsid w:val="00D3635B"/>
    <w:rsid w:val="00D36AB1"/>
    <w:rsid w:val="00D37158"/>
    <w:rsid w:val="00D371A7"/>
    <w:rsid w:val="00D37A1F"/>
    <w:rsid w:val="00D37AD2"/>
    <w:rsid w:val="00D37CB6"/>
    <w:rsid w:val="00D4005A"/>
    <w:rsid w:val="00D40239"/>
    <w:rsid w:val="00D40951"/>
    <w:rsid w:val="00D40AC8"/>
    <w:rsid w:val="00D40CC7"/>
    <w:rsid w:val="00D40F74"/>
    <w:rsid w:val="00D4102C"/>
    <w:rsid w:val="00D41318"/>
    <w:rsid w:val="00D41425"/>
    <w:rsid w:val="00D41A62"/>
    <w:rsid w:val="00D41D91"/>
    <w:rsid w:val="00D42011"/>
    <w:rsid w:val="00D42147"/>
    <w:rsid w:val="00D42358"/>
    <w:rsid w:val="00D423A3"/>
    <w:rsid w:val="00D424C8"/>
    <w:rsid w:val="00D42952"/>
    <w:rsid w:val="00D42981"/>
    <w:rsid w:val="00D42AB8"/>
    <w:rsid w:val="00D42CE8"/>
    <w:rsid w:val="00D43318"/>
    <w:rsid w:val="00D435D0"/>
    <w:rsid w:val="00D439F2"/>
    <w:rsid w:val="00D43BF9"/>
    <w:rsid w:val="00D44297"/>
    <w:rsid w:val="00D44487"/>
    <w:rsid w:val="00D44514"/>
    <w:rsid w:val="00D4467A"/>
    <w:rsid w:val="00D44686"/>
    <w:rsid w:val="00D44727"/>
    <w:rsid w:val="00D448EA"/>
    <w:rsid w:val="00D44B5C"/>
    <w:rsid w:val="00D44CB3"/>
    <w:rsid w:val="00D44F76"/>
    <w:rsid w:val="00D457FC"/>
    <w:rsid w:val="00D45926"/>
    <w:rsid w:val="00D45CDD"/>
    <w:rsid w:val="00D45DA1"/>
    <w:rsid w:val="00D4652F"/>
    <w:rsid w:val="00D466B6"/>
    <w:rsid w:val="00D4678A"/>
    <w:rsid w:val="00D46EB9"/>
    <w:rsid w:val="00D46FDA"/>
    <w:rsid w:val="00D474BD"/>
    <w:rsid w:val="00D478F9"/>
    <w:rsid w:val="00D47DE3"/>
    <w:rsid w:val="00D47EE4"/>
    <w:rsid w:val="00D504F0"/>
    <w:rsid w:val="00D50760"/>
    <w:rsid w:val="00D50A98"/>
    <w:rsid w:val="00D51322"/>
    <w:rsid w:val="00D5167D"/>
    <w:rsid w:val="00D51A31"/>
    <w:rsid w:val="00D51A37"/>
    <w:rsid w:val="00D51BBA"/>
    <w:rsid w:val="00D51D35"/>
    <w:rsid w:val="00D52005"/>
    <w:rsid w:val="00D52097"/>
    <w:rsid w:val="00D522CF"/>
    <w:rsid w:val="00D523CE"/>
    <w:rsid w:val="00D525FB"/>
    <w:rsid w:val="00D52653"/>
    <w:rsid w:val="00D528ED"/>
    <w:rsid w:val="00D52AC3"/>
    <w:rsid w:val="00D52F3C"/>
    <w:rsid w:val="00D52FA1"/>
    <w:rsid w:val="00D5307C"/>
    <w:rsid w:val="00D5327A"/>
    <w:rsid w:val="00D53668"/>
    <w:rsid w:val="00D53945"/>
    <w:rsid w:val="00D53D9D"/>
    <w:rsid w:val="00D53F57"/>
    <w:rsid w:val="00D540C1"/>
    <w:rsid w:val="00D543AB"/>
    <w:rsid w:val="00D547E0"/>
    <w:rsid w:val="00D54A66"/>
    <w:rsid w:val="00D54C9E"/>
    <w:rsid w:val="00D550FB"/>
    <w:rsid w:val="00D553B2"/>
    <w:rsid w:val="00D555E0"/>
    <w:rsid w:val="00D559A7"/>
    <w:rsid w:val="00D55BB9"/>
    <w:rsid w:val="00D55F4E"/>
    <w:rsid w:val="00D560E8"/>
    <w:rsid w:val="00D5610B"/>
    <w:rsid w:val="00D56226"/>
    <w:rsid w:val="00D56635"/>
    <w:rsid w:val="00D56826"/>
    <w:rsid w:val="00D5685F"/>
    <w:rsid w:val="00D569A9"/>
    <w:rsid w:val="00D56ACB"/>
    <w:rsid w:val="00D56C5A"/>
    <w:rsid w:val="00D56D30"/>
    <w:rsid w:val="00D56E4E"/>
    <w:rsid w:val="00D57001"/>
    <w:rsid w:val="00D570D7"/>
    <w:rsid w:val="00D57415"/>
    <w:rsid w:val="00D5752B"/>
    <w:rsid w:val="00D57AB1"/>
    <w:rsid w:val="00D57E0F"/>
    <w:rsid w:val="00D601AB"/>
    <w:rsid w:val="00D602C4"/>
    <w:rsid w:val="00D606D4"/>
    <w:rsid w:val="00D608EC"/>
    <w:rsid w:val="00D60AEB"/>
    <w:rsid w:val="00D60CEF"/>
    <w:rsid w:val="00D61869"/>
    <w:rsid w:val="00D61BAF"/>
    <w:rsid w:val="00D61CBA"/>
    <w:rsid w:val="00D61CEE"/>
    <w:rsid w:val="00D61FE1"/>
    <w:rsid w:val="00D62B2D"/>
    <w:rsid w:val="00D62C56"/>
    <w:rsid w:val="00D62E1B"/>
    <w:rsid w:val="00D62F68"/>
    <w:rsid w:val="00D63158"/>
    <w:rsid w:val="00D634B1"/>
    <w:rsid w:val="00D637EE"/>
    <w:rsid w:val="00D63898"/>
    <w:rsid w:val="00D639F8"/>
    <w:rsid w:val="00D63B57"/>
    <w:rsid w:val="00D63B96"/>
    <w:rsid w:val="00D63BB8"/>
    <w:rsid w:val="00D6411C"/>
    <w:rsid w:val="00D64C80"/>
    <w:rsid w:val="00D65084"/>
    <w:rsid w:val="00D6573C"/>
    <w:rsid w:val="00D657A3"/>
    <w:rsid w:val="00D6592A"/>
    <w:rsid w:val="00D65B29"/>
    <w:rsid w:val="00D66053"/>
    <w:rsid w:val="00D663EF"/>
    <w:rsid w:val="00D66674"/>
    <w:rsid w:val="00D668E5"/>
    <w:rsid w:val="00D66F6D"/>
    <w:rsid w:val="00D6727A"/>
    <w:rsid w:val="00D6728B"/>
    <w:rsid w:val="00D673C7"/>
    <w:rsid w:val="00D679F2"/>
    <w:rsid w:val="00D67B17"/>
    <w:rsid w:val="00D67B32"/>
    <w:rsid w:val="00D67C7B"/>
    <w:rsid w:val="00D67E23"/>
    <w:rsid w:val="00D70089"/>
    <w:rsid w:val="00D70090"/>
    <w:rsid w:val="00D701CE"/>
    <w:rsid w:val="00D70465"/>
    <w:rsid w:val="00D704C7"/>
    <w:rsid w:val="00D705D9"/>
    <w:rsid w:val="00D7064F"/>
    <w:rsid w:val="00D70A1F"/>
    <w:rsid w:val="00D70C9F"/>
    <w:rsid w:val="00D71035"/>
    <w:rsid w:val="00D71374"/>
    <w:rsid w:val="00D71493"/>
    <w:rsid w:val="00D71525"/>
    <w:rsid w:val="00D71A23"/>
    <w:rsid w:val="00D71A30"/>
    <w:rsid w:val="00D71C33"/>
    <w:rsid w:val="00D7205C"/>
    <w:rsid w:val="00D72064"/>
    <w:rsid w:val="00D72629"/>
    <w:rsid w:val="00D726CF"/>
    <w:rsid w:val="00D72A1E"/>
    <w:rsid w:val="00D72A7D"/>
    <w:rsid w:val="00D72DF3"/>
    <w:rsid w:val="00D72EBC"/>
    <w:rsid w:val="00D72FFF"/>
    <w:rsid w:val="00D7319B"/>
    <w:rsid w:val="00D734AE"/>
    <w:rsid w:val="00D73533"/>
    <w:rsid w:val="00D73C01"/>
    <w:rsid w:val="00D73CCB"/>
    <w:rsid w:val="00D743AA"/>
    <w:rsid w:val="00D748D2"/>
    <w:rsid w:val="00D749DB"/>
    <w:rsid w:val="00D74C80"/>
    <w:rsid w:val="00D75506"/>
    <w:rsid w:val="00D75788"/>
    <w:rsid w:val="00D75D77"/>
    <w:rsid w:val="00D75F42"/>
    <w:rsid w:val="00D760AC"/>
    <w:rsid w:val="00D7624C"/>
    <w:rsid w:val="00D76437"/>
    <w:rsid w:val="00D76618"/>
    <w:rsid w:val="00D76826"/>
    <w:rsid w:val="00D769D4"/>
    <w:rsid w:val="00D76C5F"/>
    <w:rsid w:val="00D770B8"/>
    <w:rsid w:val="00D77104"/>
    <w:rsid w:val="00D77750"/>
    <w:rsid w:val="00D7787E"/>
    <w:rsid w:val="00D77894"/>
    <w:rsid w:val="00D77AC5"/>
    <w:rsid w:val="00D77CEF"/>
    <w:rsid w:val="00D77F00"/>
    <w:rsid w:val="00D80601"/>
    <w:rsid w:val="00D80824"/>
    <w:rsid w:val="00D80AD8"/>
    <w:rsid w:val="00D80B40"/>
    <w:rsid w:val="00D80BEE"/>
    <w:rsid w:val="00D80EA5"/>
    <w:rsid w:val="00D80EB1"/>
    <w:rsid w:val="00D81EAA"/>
    <w:rsid w:val="00D8207A"/>
    <w:rsid w:val="00D8221F"/>
    <w:rsid w:val="00D823A2"/>
    <w:rsid w:val="00D82719"/>
    <w:rsid w:val="00D82A48"/>
    <w:rsid w:val="00D82DEB"/>
    <w:rsid w:val="00D8313B"/>
    <w:rsid w:val="00D831F3"/>
    <w:rsid w:val="00D8349D"/>
    <w:rsid w:val="00D83609"/>
    <w:rsid w:val="00D83666"/>
    <w:rsid w:val="00D839A9"/>
    <w:rsid w:val="00D83AA4"/>
    <w:rsid w:val="00D83C24"/>
    <w:rsid w:val="00D83C4D"/>
    <w:rsid w:val="00D83EDD"/>
    <w:rsid w:val="00D840AA"/>
    <w:rsid w:val="00D84986"/>
    <w:rsid w:val="00D84E40"/>
    <w:rsid w:val="00D85022"/>
    <w:rsid w:val="00D858B0"/>
    <w:rsid w:val="00D8617D"/>
    <w:rsid w:val="00D86301"/>
    <w:rsid w:val="00D8671D"/>
    <w:rsid w:val="00D8677A"/>
    <w:rsid w:val="00D86967"/>
    <w:rsid w:val="00D869EF"/>
    <w:rsid w:val="00D86A0D"/>
    <w:rsid w:val="00D86CB5"/>
    <w:rsid w:val="00D86D56"/>
    <w:rsid w:val="00D86DA6"/>
    <w:rsid w:val="00D871B9"/>
    <w:rsid w:val="00D87445"/>
    <w:rsid w:val="00D876EF"/>
    <w:rsid w:val="00D877B3"/>
    <w:rsid w:val="00D87E8E"/>
    <w:rsid w:val="00D87EE9"/>
    <w:rsid w:val="00D901CE"/>
    <w:rsid w:val="00D903D8"/>
    <w:rsid w:val="00D904BD"/>
    <w:rsid w:val="00D9071A"/>
    <w:rsid w:val="00D908CA"/>
    <w:rsid w:val="00D9108C"/>
    <w:rsid w:val="00D91185"/>
    <w:rsid w:val="00D91320"/>
    <w:rsid w:val="00D9160F"/>
    <w:rsid w:val="00D9198B"/>
    <w:rsid w:val="00D91A79"/>
    <w:rsid w:val="00D91E2B"/>
    <w:rsid w:val="00D9209F"/>
    <w:rsid w:val="00D9212C"/>
    <w:rsid w:val="00D92303"/>
    <w:rsid w:val="00D92488"/>
    <w:rsid w:val="00D927AE"/>
    <w:rsid w:val="00D92828"/>
    <w:rsid w:val="00D92B6E"/>
    <w:rsid w:val="00D92C36"/>
    <w:rsid w:val="00D92DAF"/>
    <w:rsid w:val="00D93356"/>
    <w:rsid w:val="00D9342C"/>
    <w:rsid w:val="00D93800"/>
    <w:rsid w:val="00D93849"/>
    <w:rsid w:val="00D939A2"/>
    <w:rsid w:val="00D93C53"/>
    <w:rsid w:val="00D93D43"/>
    <w:rsid w:val="00D940DE"/>
    <w:rsid w:val="00D94206"/>
    <w:rsid w:val="00D946A7"/>
    <w:rsid w:val="00D94883"/>
    <w:rsid w:val="00D94960"/>
    <w:rsid w:val="00D94ACC"/>
    <w:rsid w:val="00D94DB4"/>
    <w:rsid w:val="00D957E0"/>
    <w:rsid w:val="00D95915"/>
    <w:rsid w:val="00D95C5D"/>
    <w:rsid w:val="00D95C75"/>
    <w:rsid w:val="00D9609D"/>
    <w:rsid w:val="00D96483"/>
    <w:rsid w:val="00D96748"/>
    <w:rsid w:val="00D9686D"/>
    <w:rsid w:val="00D9687D"/>
    <w:rsid w:val="00D96AFF"/>
    <w:rsid w:val="00D96E14"/>
    <w:rsid w:val="00D96F46"/>
    <w:rsid w:val="00D9708C"/>
    <w:rsid w:val="00D972CD"/>
    <w:rsid w:val="00D97329"/>
    <w:rsid w:val="00D975D8"/>
    <w:rsid w:val="00D97626"/>
    <w:rsid w:val="00D9767A"/>
    <w:rsid w:val="00D97B1E"/>
    <w:rsid w:val="00D97CE9"/>
    <w:rsid w:val="00D97D61"/>
    <w:rsid w:val="00DA01E4"/>
    <w:rsid w:val="00DA076C"/>
    <w:rsid w:val="00DA0868"/>
    <w:rsid w:val="00DA0A58"/>
    <w:rsid w:val="00DA0B9D"/>
    <w:rsid w:val="00DA0D04"/>
    <w:rsid w:val="00DA1023"/>
    <w:rsid w:val="00DA10C8"/>
    <w:rsid w:val="00DA1107"/>
    <w:rsid w:val="00DA1239"/>
    <w:rsid w:val="00DA1547"/>
    <w:rsid w:val="00DA15A1"/>
    <w:rsid w:val="00DA1C93"/>
    <w:rsid w:val="00DA1DA8"/>
    <w:rsid w:val="00DA1DC3"/>
    <w:rsid w:val="00DA2436"/>
    <w:rsid w:val="00DA25E3"/>
    <w:rsid w:val="00DA2CF3"/>
    <w:rsid w:val="00DA2D1F"/>
    <w:rsid w:val="00DA38ED"/>
    <w:rsid w:val="00DA3B7D"/>
    <w:rsid w:val="00DA4060"/>
    <w:rsid w:val="00DA4092"/>
    <w:rsid w:val="00DA41E2"/>
    <w:rsid w:val="00DA4475"/>
    <w:rsid w:val="00DA4601"/>
    <w:rsid w:val="00DA4621"/>
    <w:rsid w:val="00DA4881"/>
    <w:rsid w:val="00DA4B95"/>
    <w:rsid w:val="00DA4BB7"/>
    <w:rsid w:val="00DA4EBB"/>
    <w:rsid w:val="00DA516C"/>
    <w:rsid w:val="00DA55C9"/>
    <w:rsid w:val="00DA563D"/>
    <w:rsid w:val="00DA5660"/>
    <w:rsid w:val="00DA566A"/>
    <w:rsid w:val="00DA57C5"/>
    <w:rsid w:val="00DA582C"/>
    <w:rsid w:val="00DA58B9"/>
    <w:rsid w:val="00DA59B6"/>
    <w:rsid w:val="00DA5C88"/>
    <w:rsid w:val="00DA5CB6"/>
    <w:rsid w:val="00DA5EFD"/>
    <w:rsid w:val="00DA5FE7"/>
    <w:rsid w:val="00DA61B5"/>
    <w:rsid w:val="00DA693E"/>
    <w:rsid w:val="00DA6D80"/>
    <w:rsid w:val="00DA6ED9"/>
    <w:rsid w:val="00DA79C2"/>
    <w:rsid w:val="00DA7AD2"/>
    <w:rsid w:val="00DA7EDF"/>
    <w:rsid w:val="00DB02B6"/>
    <w:rsid w:val="00DB0508"/>
    <w:rsid w:val="00DB0560"/>
    <w:rsid w:val="00DB0643"/>
    <w:rsid w:val="00DB07EF"/>
    <w:rsid w:val="00DB10A5"/>
    <w:rsid w:val="00DB10C2"/>
    <w:rsid w:val="00DB192F"/>
    <w:rsid w:val="00DB1E78"/>
    <w:rsid w:val="00DB213C"/>
    <w:rsid w:val="00DB22BE"/>
    <w:rsid w:val="00DB230F"/>
    <w:rsid w:val="00DB23BD"/>
    <w:rsid w:val="00DB2405"/>
    <w:rsid w:val="00DB2A40"/>
    <w:rsid w:val="00DB2E13"/>
    <w:rsid w:val="00DB314B"/>
    <w:rsid w:val="00DB3497"/>
    <w:rsid w:val="00DB349E"/>
    <w:rsid w:val="00DB39D7"/>
    <w:rsid w:val="00DB3CA2"/>
    <w:rsid w:val="00DB3D95"/>
    <w:rsid w:val="00DB3D9A"/>
    <w:rsid w:val="00DB40CE"/>
    <w:rsid w:val="00DB460E"/>
    <w:rsid w:val="00DB5161"/>
    <w:rsid w:val="00DB5268"/>
    <w:rsid w:val="00DB552D"/>
    <w:rsid w:val="00DB55D5"/>
    <w:rsid w:val="00DB5C62"/>
    <w:rsid w:val="00DB5C66"/>
    <w:rsid w:val="00DB5DB9"/>
    <w:rsid w:val="00DB5E68"/>
    <w:rsid w:val="00DB629E"/>
    <w:rsid w:val="00DB62CD"/>
    <w:rsid w:val="00DB63D5"/>
    <w:rsid w:val="00DB63E9"/>
    <w:rsid w:val="00DB65AD"/>
    <w:rsid w:val="00DB6886"/>
    <w:rsid w:val="00DB7084"/>
    <w:rsid w:val="00DB7447"/>
    <w:rsid w:val="00DB746D"/>
    <w:rsid w:val="00DB7513"/>
    <w:rsid w:val="00DB777B"/>
    <w:rsid w:val="00DB7920"/>
    <w:rsid w:val="00DB7CC6"/>
    <w:rsid w:val="00DB7FCC"/>
    <w:rsid w:val="00DC048E"/>
    <w:rsid w:val="00DC0B28"/>
    <w:rsid w:val="00DC1576"/>
    <w:rsid w:val="00DC1FB0"/>
    <w:rsid w:val="00DC2010"/>
    <w:rsid w:val="00DC24FE"/>
    <w:rsid w:val="00DC260E"/>
    <w:rsid w:val="00DC2763"/>
    <w:rsid w:val="00DC277C"/>
    <w:rsid w:val="00DC2852"/>
    <w:rsid w:val="00DC28B0"/>
    <w:rsid w:val="00DC29C7"/>
    <w:rsid w:val="00DC2A0D"/>
    <w:rsid w:val="00DC2B73"/>
    <w:rsid w:val="00DC2E1D"/>
    <w:rsid w:val="00DC30A7"/>
    <w:rsid w:val="00DC3271"/>
    <w:rsid w:val="00DC328F"/>
    <w:rsid w:val="00DC32F1"/>
    <w:rsid w:val="00DC364F"/>
    <w:rsid w:val="00DC3EB9"/>
    <w:rsid w:val="00DC40F6"/>
    <w:rsid w:val="00DC4265"/>
    <w:rsid w:val="00DC45D1"/>
    <w:rsid w:val="00DC46CC"/>
    <w:rsid w:val="00DC49AF"/>
    <w:rsid w:val="00DC4B53"/>
    <w:rsid w:val="00DC4BD2"/>
    <w:rsid w:val="00DC4DF0"/>
    <w:rsid w:val="00DC4E3B"/>
    <w:rsid w:val="00DC4F4A"/>
    <w:rsid w:val="00DC53FF"/>
    <w:rsid w:val="00DC5456"/>
    <w:rsid w:val="00DC5BD0"/>
    <w:rsid w:val="00DC5C81"/>
    <w:rsid w:val="00DC5FA6"/>
    <w:rsid w:val="00DC647E"/>
    <w:rsid w:val="00DC66FC"/>
    <w:rsid w:val="00DC6748"/>
    <w:rsid w:val="00DC696C"/>
    <w:rsid w:val="00DC6FF2"/>
    <w:rsid w:val="00DC7272"/>
    <w:rsid w:val="00DC7384"/>
    <w:rsid w:val="00DC7493"/>
    <w:rsid w:val="00DC7824"/>
    <w:rsid w:val="00DC78C2"/>
    <w:rsid w:val="00DC7C9B"/>
    <w:rsid w:val="00DC7D0E"/>
    <w:rsid w:val="00DC7F27"/>
    <w:rsid w:val="00DD009B"/>
    <w:rsid w:val="00DD0755"/>
    <w:rsid w:val="00DD0758"/>
    <w:rsid w:val="00DD077C"/>
    <w:rsid w:val="00DD0803"/>
    <w:rsid w:val="00DD08F0"/>
    <w:rsid w:val="00DD0B87"/>
    <w:rsid w:val="00DD0CBD"/>
    <w:rsid w:val="00DD0F28"/>
    <w:rsid w:val="00DD1402"/>
    <w:rsid w:val="00DD1426"/>
    <w:rsid w:val="00DD1CCA"/>
    <w:rsid w:val="00DD1F2A"/>
    <w:rsid w:val="00DD1F2C"/>
    <w:rsid w:val="00DD1F77"/>
    <w:rsid w:val="00DD2035"/>
    <w:rsid w:val="00DD21B3"/>
    <w:rsid w:val="00DD229D"/>
    <w:rsid w:val="00DD22AE"/>
    <w:rsid w:val="00DD23D7"/>
    <w:rsid w:val="00DD2C71"/>
    <w:rsid w:val="00DD2FD3"/>
    <w:rsid w:val="00DD3036"/>
    <w:rsid w:val="00DD31D5"/>
    <w:rsid w:val="00DD32D3"/>
    <w:rsid w:val="00DD3324"/>
    <w:rsid w:val="00DD34B6"/>
    <w:rsid w:val="00DD34FC"/>
    <w:rsid w:val="00DD367B"/>
    <w:rsid w:val="00DD3877"/>
    <w:rsid w:val="00DD390B"/>
    <w:rsid w:val="00DD3A13"/>
    <w:rsid w:val="00DD3C4E"/>
    <w:rsid w:val="00DD3C7D"/>
    <w:rsid w:val="00DD3DB5"/>
    <w:rsid w:val="00DD41F5"/>
    <w:rsid w:val="00DD4328"/>
    <w:rsid w:val="00DD4499"/>
    <w:rsid w:val="00DD46C2"/>
    <w:rsid w:val="00DD4E92"/>
    <w:rsid w:val="00DD4EF8"/>
    <w:rsid w:val="00DD511B"/>
    <w:rsid w:val="00DD5466"/>
    <w:rsid w:val="00DD5486"/>
    <w:rsid w:val="00DD5591"/>
    <w:rsid w:val="00DD5778"/>
    <w:rsid w:val="00DD5918"/>
    <w:rsid w:val="00DD5C53"/>
    <w:rsid w:val="00DD5E36"/>
    <w:rsid w:val="00DD5E84"/>
    <w:rsid w:val="00DD5F6E"/>
    <w:rsid w:val="00DD62E3"/>
    <w:rsid w:val="00DD6336"/>
    <w:rsid w:val="00DD64CC"/>
    <w:rsid w:val="00DD692C"/>
    <w:rsid w:val="00DD6982"/>
    <w:rsid w:val="00DD6A24"/>
    <w:rsid w:val="00DD6DF8"/>
    <w:rsid w:val="00DD71F4"/>
    <w:rsid w:val="00DD7573"/>
    <w:rsid w:val="00DD7AFD"/>
    <w:rsid w:val="00DD7EFB"/>
    <w:rsid w:val="00DD7FE1"/>
    <w:rsid w:val="00DE00F5"/>
    <w:rsid w:val="00DE0107"/>
    <w:rsid w:val="00DE01AF"/>
    <w:rsid w:val="00DE0285"/>
    <w:rsid w:val="00DE0892"/>
    <w:rsid w:val="00DE08C9"/>
    <w:rsid w:val="00DE08EB"/>
    <w:rsid w:val="00DE0A8B"/>
    <w:rsid w:val="00DE0AE8"/>
    <w:rsid w:val="00DE0C8E"/>
    <w:rsid w:val="00DE0E26"/>
    <w:rsid w:val="00DE1E4B"/>
    <w:rsid w:val="00DE235A"/>
    <w:rsid w:val="00DE28E3"/>
    <w:rsid w:val="00DE2CCA"/>
    <w:rsid w:val="00DE3178"/>
    <w:rsid w:val="00DE32C3"/>
    <w:rsid w:val="00DE3316"/>
    <w:rsid w:val="00DE3816"/>
    <w:rsid w:val="00DE3D63"/>
    <w:rsid w:val="00DE4074"/>
    <w:rsid w:val="00DE42F7"/>
    <w:rsid w:val="00DE4327"/>
    <w:rsid w:val="00DE43CD"/>
    <w:rsid w:val="00DE44C0"/>
    <w:rsid w:val="00DE4611"/>
    <w:rsid w:val="00DE4B63"/>
    <w:rsid w:val="00DE4C0F"/>
    <w:rsid w:val="00DE4D02"/>
    <w:rsid w:val="00DE4D0F"/>
    <w:rsid w:val="00DE4F5C"/>
    <w:rsid w:val="00DE4FC6"/>
    <w:rsid w:val="00DE5020"/>
    <w:rsid w:val="00DE5027"/>
    <w:rsid w:val="00DE5141"/>
    <w:rsid w:val="00DE52AB"/>
    <w:rsid w:val="00DE5714"/>
    <w:rsid w:val="00DE591B"/>
    <w:rsid w:val="00DE5B25"/>
    <w:rsid w:val="00DE5B7F"/>
    <w:rsid w:val="00DE5ED3"/>
    <w:rsid w:val="00DE61E8"/>
    <w:rsid w:val="00DE63A3"/>
    <w:rsid w:val="00DE65EC"/>
    <w:rsid w:val="00DE6908"/>
    <w:rsid w:val="00DE6AFD"/>
    <w:rsid w:val="00DE6D22"/>
    <w:rsid w:val="00DE6F44"/>
    <w:rsid w:val="00DE7080"/>
    <w:rsid w:val="00DE7420"/>
    <w:rsid w:val="00DE7713"/>
    <w:rsid w:val="00DE77EF"/>
    <w:rsid w:val="00DE7C08"/>
    <w:rsid w:val="00DF04BE"/>
    <w:rsid w:val="00DF05F4"/>
    <w:rsid w:val="00DF06CD"/>
    <w:rsid w:val="00DF0797"/>
    <w:rsid w:val="00DF084B"/>
    <w:rsid w:val="00DF0892"/>
    <w:rsid w:val="00DF0C63"/>
    <w:rsid w:val="00DF1225"/>
    <w:rsid w:val="00DF159E"/>
    <w:rsid w:val="00DF1654"/>
    <w:rsid w:val="00DF1B9F"/>
    <w:rsid w:val="00DF1BB6"/>
    <w:rsid w:val="00DF1C07"/>
    <w:rsid w:val="00DF1C1A"/>
    <w:rsid w:val="00DF1D81"/>
    <w:rsid w:val="00DF2A68"/>
    <w:rsid w:val="00DF2AC7"/>
    <w:rsid w:val="00DF2B0F"/>
    <w:rsid w:val="00DF2B73"/>
    <w:rsid w:val="00DF2C47"/>
    <w:rsid w:val="00DF2D7F"/>
    <w:rsid w:val="00DF2DEF"/>
    <w:rsid w:val="00DF2F1A"/>
    <w:rsid w:val="00DF32F2"/>
    <w:rsid w:val="00DF3524"/>
    <w:rsid w:val="00DF375C"/>
    <w:rsid w:val="00DF3C47"/>
    <w:rsid w:val="00DF41B0"/>
    <w:rsid w:val="00DF43E6"/>
    <w:rsid w:val="00DF452D"/>
    <w:rsid w:val="00DF4588"/>
    <w:rsid w:val="00DF48F9"/>
    <w:rsid w:val="00DF4CD8"/>
    <w:rsid w:val="00DF4FD5"/>
    <w:rsid w:val="00DF5377"/>
    <w:rsid w:val="00DF5689"/>
    <w:rsid w:val="00DF5A33"/>
    <w:rsid w:val="00DF5B1C"/>
    <w:rsid w:val="00DF5D67"/>
    <w:rsid w:val="00DF5F4E"/>
    <w:rsid w:val="00DF628D"/>
    <w:rsid w:val="00DF6338"/>
    <w:rsid w:val="00DF7085"/>
    <w:rsid w:val="00DF7239"/>
    <w:rsid w:val="00DF764C"/>
    <w:rsid w:val="00DF7B39"/>
    <w:rsid w:val="00DF7F66"/>
    <w:rsid w:val="00DF7FA9"/>
    <w:rsid w:val="00E0004F"/>
    <w:rsid w:val="00E0007A"/>
    <w:rsid w:val="00E00D37"/>
    <w:rsid w:val="00E00DA3"/>
    <w:rsid w:val="00E00DAA"/>
    <w:rsid w:val="00E00E98"/>
    <w:rsid w:val="00E0101A"/>
    <w:rsid w:val="00E01051"/>
    <w:rsid w:val="00E012C2"/>
    <w:rsid w:val="00E0149B"/>
    <w:rsid w:val="00E016E7"/>
    <w:rsid w:val="00E01862"/>
    <w:rsid w:val="00E0198F"/>
    <w:rsid w:val="00E01AFC"/>
    <w:rsid w:val="00E01BB6"/>
    <w:rsid w:val="00E01FA1"/>
    <w:rsid w:val="00E02072"/>
    <w:rsid w:val="00E02260"/>
    <w:rsid w:val="00E0233F"/>
    <w:rsid w:val="00E028BE"/>
    <w:rsid w:val="00E02BF3"/>
    <w:rsid w:val="00E02D10"/>
    <w:rsid w:val="00E03069"/>
    <w:rsid w:val="00E030DF"/>
    <w:rsid w:val="00E03176"/>
    <w:rsid w:val="00E031E7"/>
    <w:rsid w:val="00E03288"/>
    <w:rsid w:val="00E03464"/>
    <w:rsid w:val="00E035B1"/>
    <w:rsid w:val="00E036CE"/>
    <w:rsid w:val="00E03A12"/>
    <w:rsid w:val="00E0403D"/>
    <w:rsid w:val="00E0412C"/>
    <w:rsid w:val="00E04471"/>
    <w:rsid w:val="00E047E2"/>
    <w:rsid w:val="00E048B8"/>
    <w:rsid w:val="00E051E0"/>
    <w:rsid w:val="00E0539B"/>
    <w:rsid w:val="00E0552E"/>
    <w:rsid w:val="00E05C80"/>
    <w:rsid w:val="00E0601C"/>
    <w:rsid w:val="00E06400"/>
    <w:rsid w:val="00E0647E"/>
    <w:rsid w:val="00E0664E"/>
    <w:rsid w:val="00E06669"/>
    <w:rsid w:val="00E0669A"/>
    <w:rsid w:val="00E067C0"/>
    <w:rsid w:val="00E06B1C"/>
    <w:rsid w:val="00E06CA7"/>
    <w:rsid w:val="00E06CFE"/>
    <w:rsid w:val="00E06E0B"/>
    <w:rsid w:val="00E07146"/>
    <w:rsid w:val="00E076AF"/>
    <w:rsid w:val="00E07B5D"/>
    <w:rsid w:val="00E07DA8"/>
    <w:rsid w:val="00E10032"/>
    <w:rsid w:val="00E1026A"/>
    <w:rsid w:val="00E10C03"/>
    <w:rsid w:val="00E10D03"/>
    <w:rsid w:val="00E110A7"/>
    <w:rsid w:val="00E115F7"/>
    <w:rsid w:val="00E115FB"/>
    <w:rsid w:val="00E1168F"/>
    <w:rsid w:val="00E1190C"/>
    <w:rsid w:val="00E11D8F"/>
    <w:rsid w:val="00E121C8"/>
    <w:rsid w:val="00E12E1C"/>
    <w:rsid w:val="00E134A6"/>
    <w:rsid w:val="00E13774"/>
    <w:rsid w:val="00E13A2D"/>
    <w:rsid w:val="00E13D20"/>
    <w:rsid w:val="00E13DB7"/>
    <w:rsid w:val="00E140E7"/>
    <w:rsid w:val="00E1445E"/>
    <w:rsid w:val="00E14608"/>
    <w:rsid w:val="00E14996"/>
    <w:rsid w:val="00E14C20"/>
    <w:rsid w:val="00E15283"/>
    <w:rsid w:val="00E1530D"/>
    <w:rsid w:val="00E153A6"/>
    <w:rsid w:val="00E153C4"/>
    <w:rsid w:val="00E15614"/>
    <w:rsid w:val="00E156DA"/>
    <w:rsid w:val="00E15D1E"/>
    <w:rsid w:val="00E15E66"/>
    <w:rsid w:val="00E16F27"/>
    <w:rsid w:val="00E17009"/>
    <w:rsid w:val="00E1734F"/>
    <w:rsid w:val="00E17CD3"/>
    <w:rsid w:val="00E17CF7"/>
    <w:rsid w:val="00E17FD6"/>
    <w:rsid w:val="00E207EC"/>
    <w:rsid w:val="00E2093E"/>
    <w:rsid w:val="00E20E00"/>
    <w:rsid w:val="00E2153F"/>
    <w:rsid w:val="00E21988"/>
    <w:rsid w:val="00E21A17"/>
    <w:rsid w:val="00E22306"/>
    <w:rsid w:val="00E22372"/>
    <w:rsid w:val="00E2255B"/>
    <w:rsid w:val="00E22A14"/>
    <w:rsid w:val="00E22D73"/>
    <w:rsid w:val="00E22D96"/>
    <w:rsid w:val="00E22E12"/>
    <w:rsid w:val="00E22FC9"/>
    <w:rsid w:val="00E234A9"/>
    <w:rsid w:val="00E234AD"/>
    <w:rsid w:val="00E23C87"/>
    <w:rsid w:val="00E23CC2"/>
    <w:rsid w:val="00E23D20"/>
    <w:rsid w:val="00E23EC6"/>
    <w:rsid w:val="00E23F08"/>
    <w:rsid w:val="00E24251"/>
    <w:rsid w:val="00E24338"/>
    <w:rsid w:val="00E244ED"/>
    <w:rsid w:val="00E245CF"/>
    <w:rsid w:val="00E24600"/>
    <w:rsid w:val="00E246F5"/>
    <w:rsid w:val="00E24891"/>
    <w:rsid w:val="00E24B39"/>
    <w:rsid w:val="00E24BBC"/>
    <w:rsid w:val="00E24C79"/>
    <w:rsid w:val="00E24CBA"/>
    <w:rsid w:val="00E2501C"/>
    <w:rsid w:val="00E2508E"/>
    <w:rsid w:val="00E2527E"/>
    <w:rsid w:val="00E2550B"/>
    <w:rsid w:val="00E25613"/>
    <w:rsid w:val="00E257D4"/>
    <w:rsid w:val="00E257FA"/>
    <w:rsid w:val="00E259EC"/>
    <w:rsid w:val="00E25A35"/>
    <w:rsid w:val="00E25C08"/>
    <w:rsid w:val="00E25FC8"/>
    <w:rsid w:val="00E2613E"/>
    <w:rsid w:val="00E2660D"/>
    <w:rsid w:val="00E268EF"/>
    <w:rsid w:val="00E26B09"/>
    <w:rsid w:val="00E26D69"/>
    <w:rsid w:val="00E2788C"/>
    <w:rsid w:val="00E27A62"/>
    <w:rsid w:val="00E27AB8"/>
    <w:rsid w:val="00E27AC5"/>
    <w:rsid w:val="00E27D59"/>
    <w:rsid w:val="00E30175"/>
    <w:rsid w:val="00E3033B"/>
    <w:rsid w:val="00E3052E"/>
    <w:rsid w:val="00E309A2"/>
    <w:rsid w:val="00E309C9"/>
    <w:rsid w:val="00E310CE"/>
    <w:rsid w:val="00E311B5"/>
    <w:rsid w:val="00E31355"/>
    <w:rsid w:val="00E314EB"/>
    <w:rsid w:val="00E31840"/>
    <w:rsid w:val="00E31884"/>
    <w:rsid w:val="00E31FB4"/>
    <w:rsid w:val="00E32063"/>
    <w:rsid w:val="00E3209F"/>
    <w:rsid w:val="00E32480"/>
    <w:rsid w:val="00E324F7"/>
    <w:rsid w:val="00E32582"/>
    <w:rsid w:val="00E32867"/>
    <w:rsid w:val="00E32CB9"/>
    <w:rsid w:val="00E32F39"/>
    <w:rsid w:val="00E3313C"/>
    <w:rsid w:val="00E33306"/>
    <w:rsid w:val="00E33318"/>
    <w:rsid w:val="00E334FF"/>
    <w:rsid w:val="00E33C48"/>
    <w:rsid w:val="00E33C98"/>
    <w:rsid w:val="00E33ECF"/>
    <w:rsid w:val="00E342DF"/>
    <w:rsid w:val="00E344C0"/>
    <w:rsid w:val="00E348D7"/>
    <w:rsid w:val="00E34C05"/>
    <w:rsid w:val="00E34D71"/>
    <w:rsid w:val="00E34F67"/>
    <w:rsid w:val="00E35254"/>
    <w:rsid w:val="00E355A9"/>
    <w:rsid w:val="00E35DA5"/>
    <w:rsid w:val="00E361CB"/>
    <w:rsid w:val="00E36625"/>
    <w:rsid w:val="00E3677E"/>
    <w:rsid w:val="00E36E6C"/>
    <w:rsid w:val="00E36EE1"/>
    <w:rsid w:val="00E36F33"/>
    <w:rsid w:val="00E373C1"/>
    <w:rsid w:val="00E3750C"/>
    <w:rsid w:val="00E37534"/>
    <w:rsid w:val="00E375D1"/>
    <w:rsid w:val="00E379AE"/>
    <w:rsid w:val="00E37A8D"/>
    <w:rsid w:val="00E37B28"/>
    <w:rsid w:val="00E37D5B"/>
    <w:rsid w:val="00E37E51"/>
    <w:rsid w:val="00E37FA0"/>
    <w:rsid w:val="00E40A5A"/>
    <w:rsid w:val="00E40BC4"/>
    <w:rsid w:val="00E41036"/>
    <w:rsid w:val="00E415F9"/>
    <w:rsid w:val="00E41E19"/>
    <w:rsid w:val="00E41F59"/>
    <w:rsid w:val="00E42184"/>
    <w:rsid w:val="00E4218A"/>
    <w:rsid w:val="00E426A0"/>
    <w:rsid w:val="00E4273D"/>
    <w:rsid w:val="00E42968"/>
    <w:rsid w:val="00E42B2B"/>
    <w:rsid w:val="00E42ED8"/>
    <w:rsid w:val="00E42F1E"/>
    <w:rsid w:val="00E435A9"/>
    <w:rsid w:val="00E43A52"/>
    <w:rsid w:val="00E43B3A"/>
    <w:rsid w:val="00E43BE5"/>
    <w:rsid w:val="00E43D29"/>
    <w:rsid w:val="00E43DAE"/>
    <w:rsid w:val="00E44796"/>
    <w:rsid w:val="00E447A5"/>
    <w:rsid w:val="00E44834"/>
    <w:rsid w:val="00E448EE"/>
    <w:rsid w:val="00E44BFC"/>
    <w:rsid w:val="00E457E8"/>
    <w:rsid w:val="00E45B7B"/>
    <w:rsid w:val="00E45BCE"/>
    <w:rsid w:val="00E45CAA"/>
    <w:rsid w:val="00E45CC3"/>
    <w:rsid w:val="00E45D74"/>
    <w:rsid w:val="00E45EBA"/>
    <w:rsid w:val="00E4647D"/>
    <w:rsid w:val="00E468C1"/>
    <w:rsid w:val="00E46CCF"/>
    <w:rsid w:val="00E46E57"/>
    <w:rsid w:val="00E473E2"/>
    <w:rsid w:val="00E4749F"/>
    <w:rsid w:val="00E476B9"/>
    <w:rsid w:val="00E47745"/>
    <w:rsid w:val="00E47866"/>
    <w:rsid w:val="00E47AE2"/>
    <w:rsid w:val="00E47B41"/>
    <w:rsid w:val="00E47C5C"/>
    <w:rsid w:val="00E501B7"/>
    <w:rsid w:val="00E5062A"/>
    <w:rsid w:val="00E50737"/>
    <w:rsid w:val="00E50994"/>
    <w:rsid w:val="00E50F31"/>
    <w:rsid w:val="00E5102D"/>
    <w:rsid w:val="00E51126"/>
    <w:rsid w:val="00E51199"/>
    <w:rsid w:val="00E515E3"/>
    <w:rsid w:val="00E51651"/>
    <w:rsid w:val="00E51688"/>
    <w:rsid w:val="00E5177E"/>
    <w:rsid w:val="00E5188B"/>
    <w:rsid w:val="00E518C3"/>
    <w:rsid w:val="00E51C36"/>
    <w:rsid w:val="00E5214F"/>
    <w:rsid w:val="00E523AD"/>
    <w:rsid w:val="00E5255A"/>
    <w:rsid w:val="00E52CEC"/>
    <w:rsid w:val="00E53470"/>
    <w:rsid w:val="00E535E4"/>
    <w:rsid w:val="00E53645"/>
    <w:rsid w:val="00E540D2"/>
    <w:rsid w:val="00E5437A"/>
    <w:rsid w:val="00E54992"/>
    <w:rsid w:val="00E54BF6"/>
    <w:rsid w:val="00E54CBD"/>
    <w:rsid w:val="00E54D1D"/>
    <w:rsid w:val="00E554DA"/>
    <w:rsid w:val="00E55F1D"/>
    <w:rsid w:val="00E562AE"/>
    <w:rsid w:val="00E56350"/>
    <w:rsid w:val="00E5666B"/>
    <w:rsid w:val="00E56C70"/>
    <w:rsid w:val="00E576B2"/>
    <w:rsid w:val="00E576CA"/>
    <w:rsid w:val="00E5771D"/>
    <w:rsid w:val="00E57782"/>
    <w:rsid w:val="00E57878"/>
    <w:rsid w:val="00E57891"/>
    <w:rsid w:val="00E5792F"/>
    <w:rsid w:val="00E57C79"/>
    <w:rsid w:val="00E60115"/>
    <w:rsid w:val="00E601E1"/>
    <w:rsid w:val="00E60336"/>
    <w:rsid w:val="00E6036F"/>
    <w:rsid w:val="00E60A7F"/>
    <w:rsid w:val="00E60AEB"/>
    <w:rsid w:val="00E60B4D"/>
    <w:rsid w:val="00E60B54"/>
    <w:rsid w:val="00E60CC5"/>
    <w:rsid w:val="00E60FFB"/>
    <w:rsid w:val="00E612D6"/>
    <w:rsid w:val="00E614EF"/>
    <w:rsid w:val="00E61573"/>
    <w:rsid w:val="00E615A1"/>
    <w:rsid w:val="00E61972"/>
    <w:rsid w:val="00E61B47"/>
    <w:rsid w:val="00E61D79"/>
    <w:rsid w:val="00E62080"/>
    <w:rsid w:val="00E622E4"/>
    <w:rsid w:val="00E6239D"/>
    <w:rsid w:val="00E625C1"/>
    <w:rsid w:val="00E6279B"/>
    <w:rsid w:val="00E628B3"/>
    <w:rsid w:val="00E62D23"/>
    <w:rsid w:val="00E62E17"/>
    <w:rsid w:val="00E63048"/>
    <w:rsid w:val="00E63181"/>
    <w:rsid w:val="00E6382C"/>
    <w:rsid w:val="00E63F89"/>
    <w:rsid w:val="00E646E1"/>
    <w:rsid w:val="00E64A96"/>
    <w:rsid w:val="00E64CB9"/>
    <w:rsid w:val="00E64DED"/>
    <w:rsid w:val="00E65182"/>
    <w:rsid w:val="00E654C4"/>
    <w:rsid w:val="00E654D5"/>
    <w:rsid w:val="00E65798"/>
    <w:rsid w:val="00E65B1A"/>
    <w:rsid w:val="00E65DA2"/>
    <w:rsid w:val="00E65E18"/>
    <w:rsid w:val="00E65EB5"/>
    <w:rsid w:val="00E661DC"/>
    <w:rsid w:val="00E66861"/>
    <w:rsid w:val="00E668D0"/>
    <w:rsid w:val="00E669F4"/>
    <w:rsid w:val="00E66A9B"/>
    <w:rsid w:val="00E66FA4"/>
    <w:rsid w:val="00E6703D"/>
    <w:rsid w:val="00E67067"/>
    <w:rsid w:val="00E67127"/>
    <w:rsid w:val="00E67177"/>
    <w:rsid w:val="00E67267"/>
    <w:rsid w:val="00E67406"/>
    <w:rsid w:val="00E67651"/>
    <w:rsid w:val="00E67AAC"/>
    <w:rsid w:val="00E67D19"/>
    <w:rsid w:val="00E67E09"/>
    <w:rsid w:val="00E7033D"/>
    <w:rsid w:val="00E7035C"/>
    <w:rsid w:val="00E7036F"/>
    <w:rsid w:val="00E70735"/>
    <w:rsid w:val="00E708CF"/>
    <w:rsid w:val="00E70AF7"/>
    <w:rsid w:val="00E70C4B"/>
    <w:rsid w:val="00E70D07"/>
    <w:rsid w:val="00E70D88"/>
    <w:rsid w:val="00E70E01"/>
    <w:rsid w:val="00E71389"/>
    <w:rsid w:val="00E713B1"/>
    <w:rsid w:val="00E71673"/>
    <w:rsid w:val="00E7169D"/>
    <w:rsid w:val="00E71A65"/>
    <w:rsid w:val="00E71B91"/>
    <w:rsid w:val="00E71D90"/>
    <w:rsid w:val="00E72021"/>
    <w:rsid w:val="00E72276"/>
    <w:rsid w:val="00E723CB"/>
    <w:rsid w:val="00E725E0"/>
    <w:rsid w:val="00E72D77"/>
    <w:rsid w:val="00E730C3"/>
    <w:rsid w:val="00E73179"/>
    <w:rsid w:val="00E7317B"/>
    <w:rsid w:val="00E73725"/>
    <w:rsid w:val="00E7374A"/>
    <w:rsid w:val="00E73C88"/>
    <w:rsid w:val="00E73DF8"/>
    <w:rsid w:val="00E74639"/>
    <w:rsid w:val="00E74ACC"/>
    <w:rsid w:val="00E752DD"/>
    <w:rsid w:val="00E755BC"/>
    <w:rsid w:val="00E76244"/>
    <w:rsid w:val="00E76318"/>
    <w:rsid w:val="00E76385"/>
    <w:rsid w:val="00E765B4"/>
    <w:rsid w:val="00E76CBC"/>
    <w:rsid w:val="00E77367"/>
    <w:rsid w:val="00E774ED"/>
    <w:rsid w:val="00E7767F"/>
    <w:rsid w:val="00E776B2"/>
    <w:rsid w:val="00E778AB"/>
    <w:rsid w:val="00E778AD"/>
    <w:rsid w:val="00E77D75"/>
    <w:rsid w:val="00E80337"/>
    <w:rsid w:val="00E804F9"/>
    <w:rsid w:val="00E805A2"/>
    <w:rsid w:val="00E80882"/>
    <w:rsid w:val="00E80FE7"/>
    <w:rsid w:val="00E81031"/>
    <w:rsid w:val="00E8113F"/>
    <w:rsid w:val="00E81243"/>
    <w:rsid w:val="00E81262"/>
    <w:rsid w:val="00E814C9"/>
    <w:rsid w:val="00E81930"/>
    <w:rsid w:val="00E81F28"/>
    <w:rsid w:val="00E82062"/>
    <w:rsid w:val="00E82370"/>
    <w:rsid w:val="00E82515"/>
    <w:rsid w:val="00E828EF"/>
    <w:rsid w:val="00E82BE5"/>
    <w:rsid w:val="00E82C85"/>
    <w:rsid w:val="00E82ECA"/>
    <w:rsid w:val="00E82F01"/>
    <w:rsid w:val="00E82FD4"/>
    <w:rsid w:val="00E83263"/>
    <w:rsid w:val="00E8350B"/>
    <w:rsid w:val="00E83532"/>
    <w:rsid w:val="00E83538"/>
    <w:rsid w:val="00E83758"/>
    <w:rsid w:val="00E83D74"/>
    <w:rsid w:val="00E84144"/>
    <w:rsid w:val="00E842DF"/>
    <w:rsid w:val="00E842F2"/>
    <w:rsid w:val="00E8469C"/>
    <w:rsid w:val="00E84765"/>
    <w:rsid w:val="00E8476C"/>
    <w:rsid w:val="00E8479A"/>
    <w:rsid w:val="00E84B0A"/>
    <w:rsid w:val="00E84C19"/>
    <w:rsid w:val="00E84D58"/>
    <w:rsid w:val="00E84DF3"/>
    <w:rsid w:val="00E84ECA"/>
    <w:rsid w:val="00E852E7"/>
    <w:rsid w:val="00E85480"/>
    <w:rsid w:val="00E854F6"/>
    <w:rsid w:val="00E85992"/>
    <w:rsid w:val="00E85AC8"/>
    <w:rsid w:val="00E85CEF"/>
    <w:rsid w:val="00E85D83"/>
    <w:rsid w:val="00E8609E"/>
    <w:rsid w:val="00E86385"/>
    <w:rsid w:val="00E86A8D"/>
    <w:rsid w:val="00E86DA6"/>
    <w:rsid w:val="00E87072"/>
    <w:rsid w:val="00E87776"/>
    <w:rsid w:val="00E87D99"/>
    <w:rsid w:val="00E900D8"/>
    <w:rsid w:val="00E90868"/>
    <w:rsid w:val="00E90A5B"/>
    <w:rsid w:val="00E90BA6"/>
    <w:rsid w:val="00E90CEA"/>
    <w:rsid w:val="00E90E95"/>
    <w:rsid w:val="00E91049"/>
    <w:rsid w:val="00E91239"/>
    <w:rsid w:val="00E9152E"/>
    <w:rsid w:val="00E91750"/>
    <w:rsid w:val="00E91CD3"/>
    <w:rsid w:val="00E92188"/>
    <w:rsid w:val="00E922D9"/>
    <w:rsid w:val="00E92401"/>
    <w:rsid w:val="00E92626"/>
    <w:rsid w:val="00E9279F"/>
    <w:rsid w:val="00E92EAB"/>
    <w:rsid w:val="00E92FEE"/>
    <w:rsid w:val="00E9310E"/>
    <w:rsid w:val="00E9335D"/>
    <w:rsid w:val="00E93408"/>
    <w:rsid w:val="00E93706"/>
    <w:rsid w:val="00E9377E"/>
    <w:rsid w:val="00E937F5"/>
    <w:rsid w:val="00E93EC3"/>
    <w:rsid w:val="00E93F39"/>
    <w:rsid w:val="00E94048"/>
    <w:rsid w:val="00E942AC"/>
    <w:rsid w:val="00E946D0"/>
    <w:rsid w:val="00E949B2"/>
    <w:rsid w:val="00E94BEA"/>
    <w:rsid w:val="00E94FCC"/>
    <w:rsid w:val="00E95618"/>
    <w:rsid w:val="00E95855"/>
    <w:rsid w:val="00E95883"/>
    <w:rsid w:val="00E95AF4"/>
    <w:rsid w:val="00E95B92"/>
    <w:rsid w:val="00E95D96"/>
    <w:rsid w:val="00E95E21"/>
    <w:rsid w:val="00E95F2B"/>
    <w:rsid w:val="00E95F85"/>
    <w:rsid w:val="00E9632E"/>
    <w:rsid w:val="00E968F2"/>
    <w:rsid w:val="00E96A85"/>
    <w:rsid w:val="00E96DF7"/>
    <w:rsid w:val="00E970CE"/>
    <w:rsid w:val="00E97195"/>
    <w:rsid w:val="00E97462"/>
    <w:rsid w:val="00E97645"/>
    <w:rsid w:val="00E97959"/>
    <w:rsid w:val="00E97E1A"/>
    <w:rsid w:val="00E97F1F"/>
    <w:rsid w:val="00E97FAF"/>
    <w:rsid w:val="00EA00F7"/>
    <w:rsid w:val="00EA0BEC"/>
    <w:rsid w:val="00EA0F5B"/>
    <w:rsid w:val="00EA1109"/>
    <w:rsid w:val="00EA1972"/>
    <w:rsid w:val="00EA1A1B"/>
    <w:rsid w:val="00EA1DB4"/>
    <w:rsid w:val="00EA1F59"/>
    <w:rsid w:val="00EA25DB"/>
    <w:rsid w:val="00EA2975"/>
    <w:rsid w:val="00EA2B20"/>
    <w:rsid w:val="00EA2BD1"/>
    <w:rsid w:val="00EA2ED2"/>
    <w:rsid w:val="00EA3193"/>
    <w:rsid w:val="00EA32A4"/>
    <w:rsid w:val="00EA33A3"/>
    <w:rsid w:val="00EA3827"/>
    <w:rsid w:val="00EA39DE"/>
    <w:rsid w:val="00EA3A26"/>
    <w:rsid w:val="00EA3F36"/>
    <w:rsid w:val="00EA4160"/>
    <w:rsid w:val="00EA4339"/>
    <w:rsid w:val="00EA43CF"/>
    <w:rsid w:val="00EA49A2"/>
    <w:rsid w:val="00EA4AB0"/>
    <w:rsid w:val="00EA4AB6"/>
    <w:rsid w:val="00EA4B41"/>
    <w:rsid w:val="00EA4F8B"/>
    <w:rsid w:val="00EA5029"/>
    <w:rsid w:val="00EA52F9"/>
    <w:rsid w:val="00EA5396"/>
    <w:rsid w:val="00EA5A12"/>
    <w:rsid w:val="00EA5D8D"/>
    <w:rsid w:val="00EA5D96"/>
    <w:rsid w:val="00EA60D1"/>
    <w:rsid w:val="00EA6179"/>
    <w:rsid w:val="00EA63FD"/>
    <w:rsid w:val="00EA6670"/>
    <w:rsid w:val="00EA6731"/>
    <w:rsid w:val="00EA6ABB"/>
    <w:rsid w:val="00EA6C4E"/>
    <w:rsid w:val="00EA7782"/>
    <w:rsid w:val="00EA79C0"/>
    <w:rsid w:val="00EA7EF2"/>
    <w:rsid w:val="00EB01A7"/>
    <w:rsid w:val="00EB0723"/>
    <w:rsid w:val="00EB0F9D"/>
    <w:rsid w:val="00EB119B"/>
    <w:rsid w:val="00EB16A4"/>
    <w:rsid w:val="00EB1CC7"/>
    <w:rsid w:val="00EB1DBC"/>
    <w:rsid w:val="00EB23D7"/>
    <w:rsid w:val="00EB2679"/>
    <w:rsid w:val="00EB273E"/>
    <w:rsid w:val="00EB2C2F"/>
    <w:rsid w:val="00EB2F58"/>
    <w:rsid w:val="00EB35D3"/>
    <w:rsid w:val="00EB3633"/>
    <w:rsid w:val="00EB3989"/>
    <w:rsid w:val="00EB3990"/>
    <w:rsid w:val="00EB3A6A"/>
    <w:rsid w:val="00EB3F5F"/>
    <w:rsid w:val="00EB40DE"/>
    <w:rsid w:val="00EB4130"/>
    <w:rsid w:val="00EB483F"/>
    <w:rsid w:val="00EB4C93"/>
    <w:rsid w:val="00EB5017"/>
    <w:rsid w:val="00EB5057"/>
    <w:rsid w:val="00EB554D"/>
    <w:rsid w:val="00EB569C"/>
    <w:rsid w:val="00EB5865"/>
    <w:rsid w:val="00EB58A5"/>
    <w:rsid w:val="00EB5CDB"/>
    <w:rsid w:val="00EB5D13"/>
    <w:rsid w:val="00EB6121"/>
    <w:rsid w:val="00EB6753"/>
    <w:rsid w:val="00EB7341"/>
    <w:rsid w:val="00EB73B0"/>
    <w:rsid w:val="00EB7462"/>
    <w:rsid w:val="00EB7614"/>
    <w:rsid w:val="00EB7837"/>
    <w:rsid w:val="00EB7B99"/>
    <w:rsid w:val="00EB7E35"/>
    <w:rsid w:val="00EC02B2"/>
    <w:rsid w:val="00EC03F6"/>
    <w:rsid w:val="00EC043C"/>
    <w:rsid w:val="00EC0BA3"/>
    <w:rsid w:val="00EC0D5C"/>
    <w:rsid w:val="00EC0FCB"/>
    <w:rsid w:val="00EC102D"/>
    <w:rsid w:val="00EC11FF"/>
    <w:rsid w:val="00EC1274"/>
    <w:rsid w:val="00EC15A5"/>
    <w:rsid w:val="00EC17EB"/>
    <w:rsid w:val="00EC1D3A"/>
    <w:rsid w:val="00EC20EF"/>
    <w:rsid w:val="00EC23C8"/>
    <w:rsid w:val="00EC24EE"/>
    <w:rsid w:val="00EC31A8"/>
    <w:rsid w:val="00EC3310"/>
    <w:rsid w:val="00EC353D"/>
    <w:rsid w:val="00EC3EC2"/>
    <w:rsid w:val="00EC426D"/>
    <w:rsid w:val="00EC46C0"/>
    <w:rsid w:val="00EC4C70"/>
    <w:rsid w:val="00EC504C"/>
    <w:rsid w:val="00EC50F8"/>
    <w:rsid w:val="00EC5931"/>
    <w:rsid w:val="00EC6090"/>
    <w:rsid w:val="00EC60F2"/>
    <w:rsid w:val="00EC61B0"/>
    <w:rsid w:val="00EC622E"/>
    <w:rsid w:val="00EC64BA"/>
    <w:rsid w:val="00EC64D6"/>
    <w:rsid w:val="00EC68DE"/>
    <w:rsid w:val="00EC6AB1"/>
    <w:rsid w:val="00EC6D2D"/>
    <w:rsid w:val="00EC6F0C"/>
    <w:rsid w:val="00EC7489"/>
    <w:rsid w:val="00EC78FE"/>
    <w:rsid w:val="00EC7AE2"/>
    <w:rsid w:val="00EC7C6A"/>
    <w:rsid w:val="00EC7D77"/>
    <w:rsid w:val="00EC7EA5"/>
    <w:rsid w:val="00ED052F"/>
    <w:rsid w:val="00ED0538"/>
    <w:rsid w:val="00ED06AA"/>
    <w:rsid w:val="00ED0CCC"/>
    <w:rsid w:val="00ED0D6D"/>
    <w:rsid w:val="00ED0D95"/>
    <w:rsid w:val="00ED1453"/>
    <w:rsid w:val="00ED1533"/>
    <w:rsid w:val="00ED1596"/>
    <w:rsid w:val="00ED161D"/>
    <w:rsid w:val="00ED16E1"/>
    <w:rsid w:val="00ED18AA"/>
    <w:rsid w:val="00ED1C28"/>
    <w:rsid w:val="00ED1E39"/>
    <w:rsid w:val="00ED1E89"/>
    <w:rsid w:val="00ED1F88"/>
    <w:rsid w:val="00ED211B"/>
    <w:rsid w:val="00ED253E"/>
    <w:rsid w:val="00ED2870"/>
    <w:rsid w:val="00ED2ADE"/>
    <w:rsid w:val="00ED2D4A"/>
    <w:rsid w:val="00ED2F47"/>
    <w:rsid w:val="00ED304C"/>
    <w:rsid w:val="00ED3232"/>
    <w:rsid w:val="00ED34D0"/>
    <w:rsid w:val="00ED35AA"/>
    <w:rsid w:val="00ED3661"/>
    <w:rsid w:val="00ED36D4"/>
    <w:rsid w:val="00ED3AAA"/>
    <w:rsid w:val="00ED3BFB"/>
    <w:rsid w:val="00ED3C9B"/>
    <w:rsid w:val="00ED3F29"/>
    <w:rsid w:val="00ED40F7"/>
    <w:rsid w:val="00ED43B9"/>
    <w:rsid w:val="00ED43E1"/>
    <w:rsid w:val="00ED48DD"/>
    <w:rsid w:val="00ED4B4E"/>
    <w:rsid w:val="00ED5289"/>
    <w:rsid w:val="00ED5D4D"/>
    <w:rsid w:val="00ED5E23"/>
    <w:rsid w:val="00ED6518"/>
    <w:rsid w:val="00ED68A4"/>
    <w:rsid w:val="00ED6F5E"/>
    <w:rsid w:val="00ED7145"/>
    <w:rsid w:val="00ED72AF"/>
    <w:rsid w:val="00ED7612"/>
    <w:rsid w:val="00ED7893"/>
    <w:rsid w:val="00ED7B83"/>
    <w:rsid w:val="00ED7BA3"/>
    <w:rsid w:val="00ED7FFA"/>
    <w:rsid w:val="00EE022D"/>
    <w:rsid w:val="00EE03C8"/>
    <w:rsid w:val="00EE0649"/>
    <w:rsid w:val="00EE065E"/>
    <w:rsid w:val="00EE0889"/>
    <w:rsid w:val="00EE0973"/>
    <w:rsid w:val="00EE0F3C"/>
    <w:rsid w:val="00EE1074"/>
    <w:rsid w:val="00EE12D0"/>
    <w:rsid w:val="00EE1394"/>
    <w:rsid w:val="00EE159B"/>
    <w:rsid w:val="00EE17B6"/>
    <w:rsid w:val="00EE1A82"/>
    <w:rsid w:val="00EE1B3C"/>
    <w:rsid w:val="00EE1F71"/>
    <w:rsid w:val="00EE278B"/>
    <w:rsid w:val="00EE27C0"/>
    <w:rsid w:val="00EE28FF"/>
    <w:rsid w:val="00EE2951"/>
    <w:rsid w:val="00EE2B51"/>
    <w:rsid w:val="00EE2DD1"/>
    <w:rsid w:val="00EE3720"/>
    <w:rsid w:val="00EE3810"/>
    <w:rsid w:val="00EE38DB"/>
    <w:rsid w:val="00EE3904"/>
    <w:rsid w:val="00EE3A8A"/>
    <w:rsid w:val="00EE3B58"/>
    <w:rsid w:val="00EE3C91"/>
    <w:rsid w:val="00EE4068"/>
    <w:rsid w:val="00EE409C"/>
    <w:rsid w:val="00EE4250"/>
    <w:rsid w:val="00EE46C1"/>
    <w:rsid w:val="00EE47B0"/>
    <w:rsid w:val="00EE47F6"/>
    <w:rsid w:val="00EE4D57"/>
    <w:rsid w:val="00EE4E57"/>
    <w:rsid w:val="00EE4F73"/>
    <w:rsid w:val="00EE55F4"/>
    <w:rsid w:val="00EE572F"/>
    <w:rsid w:val="00EE5ADE"/>
    <w:rsid w:val="00EE5B8C"/>
    <w:rsid w:val="00EE5CC7"/>
    <w:rsid w:val="00EE5F15"/>
    <w:rsid w:val="00EE6555"/>
    <w:rsid w:val="00EE6636"/>
    <w:rsid w:val="00EE723E"/>
    <w:rsid w:val="00EE72DD"/>
    <w:rsid w:val="00EE7677"/>
    <w:rsid w:val="00EE76AB"/>
    <w:rsid w:val="00EE7C62"/>
    <w:rsid w:val="00EE7CF4"/>
    <w:rsid w:val="00EF005A"/>
    <w:rsid w:val="00EF01F2"/>
    <w:rsid w:val="00EF05B5"/>
    <w:rsid w:val="00EF0A15"/>
    <w:rsid w:val="00EF0A64"/>
    <w:rsid w:val="00EF0BD0"/>
    <w:rsid w:val="00EF0C70"/>
    <w:rsid w:val="00EF0DAF"/>
    <w:rsid w:val="00EF125B"/>
    <w:rsid w:val="00EF148D"/>
    <w:rsid w:val="00EF1542"/>
    <w:rsid w:val="00EF15E8"/>
    <w:rsid w:val="00EF1721"/>
    <w:rsid w:val="00EF1855"/>
    <w:rsid w:val="00EF1A44"/>
    <w:rsid w:val="00EF1D22"/>
    <w:rsid w:val="00EF1DA9"/>
    <w:rsid w:val="00EF210B"/>
    <w:rsid w:val="00EF2547"/>
    <w:rsid w:val="00EF25B5"/>
    <w:rsid w:val="00EF266E"/>
    <w:rsid w:val="00EF271B"/>
    <w:rsid w:val="00EF319E"/>
    <w:rsid w:val="00EF35F1"/>
    <w:rsid w:val="00EF3771"/>
    <w:rsid w:val="00EF41DC"/>
    <w:rsid w:val="00EF438A"/>
    <w:rsid w:val="00EF4716"/>
    <w:rsid w:val="00EF4781"/>
    <w:rsid w:val="00EF47FA"/>
    <w:rsid w:val="00EF4F1E"/>
    <w:rsid w:val="00EF4FF1"/>
    <w:rsid w:val="00EF50EA"/>
    <w:rsid w:val="00EF5111"/>
    <w:rsid w:val="00EF5220"/>
    <w:rsid w:val="00EF53D7"/>
    <w:rsid w:val="00EF5667"/>
    <w:rsid w:val="00EF58E5"/>
    <w:rsid w:val="00EF59A8"/>
    <w:rsid w:val="00EF5CBC"/>
    <w:rsid w:val="00EF5D5C"/>
    <w:rsid w:val="00EF5D81"/>
    <w:rsid w:val="00EF5E89"/>
    <w:rsid w:val="00EF6329"/>
    <w:rsid w:val="00EF64CE"/>
    <w:rsid w:val="00EF667A"/>
    <w:rsid w:val="00EF6859"/>
    <w:rsid w:val="00EF6BF1"/>
    <w:rsid w:val="00EF7146"/>
    <w:rsid w:val="00EF7475"/>
    <w:rsid w:val="00EF74B6"/>
    <w:rsid w:val="00EF7573"/>
    <w:rsid w:val="00EF78B1"/>
    <w:rsid w:val="00EF7E72"/>
    <w:rsid w:val="00EF7FE7"/>
    <w:rsid w:val="00EF7FF0"/>
    <w:rsid w:val="00F007BC"/>
    <w:rsid w:val="00F008AB"/>
    <w:rsid w:val="00F00A5A"/>
    <w:rsid w:val="00F00BDB"/>
    <w:rsid w:val="00F0127E"/>
    <w:rsid w:val="00F012B2"/>
    <w:rsid w:val="00F012C4"/>
    <w:rsid w:val="00F0139C"/>
    <w:rsid w:val="00F014FF"/>
    <w:rsid w:val="00F015C0"/>
    <w:rsid w:val="00F017C9"/>
    <w:rsid w:val="00F017ED"/>
    <w:rsid w:val="00F01FBC"/>
    <w:rsid w:val="00F02489"/>
    <w:rsid w:val="00F02516"/>
    <w:rsid w:val="00F02761"/>
    <w:rsid w:val="00F0276A"/>
    <w:rsid w:val="00F02933"/>
    <w:rsid w:val="00F035B7"/>
    <w:rsid w:val="00F03844"/>
    <w:rsid w:val="00F03BF2"/>
    <w:rsid w:val="00F0426A"/>
    <w:rsid w:val="00F0440E"/>
    <w:rsid w:val="00F04485"/>
    <w:rsid w:val="00F04523"/>
    <w:rsid w:val="00F0493F"/>
    <w:rsid w:val="00F04D85"/>
    <w:rsid w:val="00F05182"/>
    <w:rsid w:val="00F05500"/>
    <w:rsid w:val="00F056AA"/>
    <w:rsid w:val="00F05D4F"/>
    <w:rsid w:val="00F05EFD"/>
    <w:rsid w:val="00F060E0"/>
    <w:rsid w:val="00F060EF"/>
    <w:rsid w:val="00F06205"/>
    <w:rsid w:val="00F063D9"/>
    <w:rsid w:val="00F06D77"/>
    <w:rsid w:val="00F07007"/>
    <w:rsid w:val="00F07095"/>
    <w:rsid w:val="00F0741D"/>
    <w:rsid w:val="00F07832"/>
    <w:rsid w:val="00F0798B"/>
    <w:rsid w:val="00F07B80"/>
    <w:rsid w:val="00F10258"/>
    <w:rsid w:val="00F10487"/>
    <w:rsid w:val="00F1076E"/>
    <w:rsid w:val="00F1086E"/>
    <w:rsid w:val="00F10B6B"/>
    <w:rsid w:val="00F10BCF"/>
    <w:rsid w:val="00F10C47"/>
    <w:rsid w:val="00F1145C"/>
    <w:rsid w:val="00F11468"/>
    <w:rsid w:val="00F1163F"/>
    <w:rsid w:val="00F1175F"/>
    <w:rsid w:val="00F117A7"/>
    <w:rsid w:val="00F11CC5"/>
    <w:rsid w:val="00F1216E"/>
    <w:rsid w:val="00F125EF"/>
    <w:rsid w:val="00F1268F"/>
    <w:rsid w:val="00F128C8"/>
    <w:rsid w:val="00F12B62"/>
    <w:rsid w:val="00F12DC6"/>
    <w:rsid w:val="00F12FC0"/>
    <w:rsid w:val="00F1325C"/>
    <w:rsid w:val="00F13463"/>
    <w:rsid w:val="00F1358E"/>
    <w:rsid w:val="00F135D4"/>
    <w:rsid w:val="00F1365C"/>
    <w:rsid w:val="00F13CEC"/>
    <w:rsid w:val="00F13D8C"/>
    <w:rsid w:val="00F13EC1"/>
    <w:rsid w:val="00F13EC8"/>
    <w:rsid w:val="00F13F57"/>
    <w:rsid w:val="00F14110"/>
    <w:rsid w:val="00F1468C"/>
    <w:rsid w:val="00F146F2"/>
    <w:rsid w:val="00F14D06"/>
    <w:rsid w:val="00F14F61"/>
    <w:rsid w:val="00F15064"/>
    <w:rsid w:val="00F15145"/>
    <w:rsid w:val="00F15275"/>
    <w:rsid w:val="00F15712"/>
    <w:rsid w:val="00F157BE"/>
    <w:rsid w:val="00F15A45"/>
    <w:rsid w:val="00F15A56"/>
    <w:rsid w:val="00F15BD9"/>
    <w:rsid w:val="00F15CB3"/>
    <w:rsid w:val="00F15D67"/>
    <w:rsid w:val="00F16111"/>
    <w:rsid w:val="00F16B0B"/>
    <w:rsid w:val="00F16B56"/>
    <w:rsid w:val="00F16C1B"/>
    <w:rsid w:val="00F16CA2"/>
    <w:rsid w:val="00F16D34"/>
    <w:rsid w:val="00F175E8"/>
    <w:rsid w:val="00F176E4"/>
    <w:rsid w:val="00F17AFA"/>
    <w:rsid w:val="00F17C3B"/>
    <w:rsid w:val="00F17E39"/>
    <w:rsid w:val="00F2057C"/>
    <w:rsid w:val="00F205D0"/>
    <w:rsid w:val="00F20626"/>
    <w:rsid w:val="00F20913"/>
    <w:rsid w:val="00F20C63"/>
    <w:rsid w:val="00F20DB7"/>
    <w:rsid w:val="00F20FC0"/>
    <w:rsid w:val="00F2128E"/>
    <w:rsid w:val="00F216A6"/>
    <w:rsid w:val="00F21726"/>
    <w:rsid w:val="00F217BD"/>
    <w:rsid w:val="00F21891"/>
    <w:rsid w:val="00F218CD"/>
    <w:rsid w:val="00F21D93"/>
    <w:rsid w:val="00F224CB"/>
    <w:rsid w:val="00F227B6"/>
    <w:rsid w:val="00F22B31"/>
    <w:rsid w:val="00F23041"/>
    <w:rsid w:val="00F23177"/>
    <w:rsid w:val="00F23353"/>
    <w:rsid w:val="00F234C7"/>
    <w:rsid w:val="00F238B6"/>
    <w:rsid w:val="00F23D0E"/>
    <w:rsid w:val="00F240FD"/>
    <w:rsid w:val="00F2451B"/>
    <w:rsid w:val="00F24772"/>
    <w:rsid w:val="00F2479C"/>
    <w:rsid w:val="00F24894"/>
    <w:rsid w:val="00F24AE1"/>
    <w:rsid w:val="00F250C8"/>
    <w:rsid w:val="00F2537F"/>
    <w:rsid w:val="00F2542B"/>
    <w:rsid w:val="00F25878"/>
    <w:rsid w:val="00F25B05"/>
    <w:rsid w:val="00F25B2F"/>
    <w:rsid w:val="00F25BFD"/>
    <w:rsid w:val="00F25D0A"/>
    <w:rsid w:val="00F25F55"/>
    <w:rsid w:val="00F26653"/>
    <w:rsid w:val="00F266FD"/>
    <w:rsid w:val="00F268F0"/>
    <w:rsid w:val="00F268F1"/>
    <w:rsid w:val="00F26902"/>
    <w:rsid w:val="00F27613"/>
    <w:rsid w:val="00F276CD"/>
    <w:rsid w:val="00F27E99"/>
    <w:rsid w:val="00F3010A"/>
    <w:rsid w:val="00F30BFD"/>
    <w:rsid w:val="00F30D0D"/>
    <w:rsid w:val="00F30D83"/>
    <w:rsid w:val="00F30DCD"/>
    <w:rsid w:val="00F3133D"/>
    <w:rsid w:val="00F314C0"/>
    <w:rsid w:val="00F314DC"/>
    <w:rsid w:val="00F3179D"/>
    <w:rsid w:val="00F31893"/>
    <w:rsid w:val="00F31C25"/>
    <w:rsid w:val="00F31D70"/>
    <w:rsid w:val="00F31DDE"/>
    <w:rsid w:val="00F31FC7"/>
    <w:rsid w:val="00F3211C"/>
    <w:rsid w:val="00F32293"/>
    <w:rsid w:val="00F32341"/>
    <w:rsid w:val="00F325C6"/>
    <w:rsid w:val="00F32713"/>
    <w:rsid w:val="00F32754"/>
    <w:rsid w:val="00F32811"/>
    <w:rsid w:val="00F329F4"/>
    <w:rsid w:val="00F331C9"/>
    <w:rsid w:val="00F3379B"/>
    <w:rsid w:val="00F33A8C"/>
    <w:rsid w:val="00F33BC0"/>
    <w:rsid w:val="00F33E35"/>
    <w:rsid w:val="00F33FD2"/>
    <w:rsid w:val="00F3416D"/>
    <w:rsid w:val="00F3434E"/>
    <w:rsid w:val="00F34830"/>
    <w:rsid w:val="00F34D47"/>
    <w:rsid w:val="00F34DE2"/>
    <w:rsid w:val="00F35149"/>
    <w:rsid w:val="00F353BF"/>
    <w:rsid w:val="00F354E3"/>
    <w:rsid w:val="00F35560"/>
    <w:rsid w:val="00F35B3F"/>
    <w:rsid w:val="00F35E33"/>
    <w:rsid w:val="00F35E6B"/>
    <w:rsid w:val="00F35EDF"/>
    <w:rsid w:val="00F360C9"/>
    <w:rsid w:val="00F3624A"/>
    <w:rsid w:val="00F364BE"/>
    <w:rsid w:val="00F36512"/>
    <w:rsid w:val="00F36696"/>
    <w:rsid w:val="00F366FA"/>
    <w:rsid w:val="00F36F27"/>
    <w:rsid w:val="00F370B3"/>
    <w:rsid w:val="00F37995"/>
    <w:rsid w:val="00F37AB8"/>
    <w:rsid w:val="00F37B3A"/>
    <w:rsid w:val="00F37FBE"/>
    <w:rsid w:val="00F37FE3"/>
    <w:rsid w:val="00F40274"/>
    <w:rsid w:val="00F40833"/>
    <w:rsid w:val="00F40A24"/>
    <w:rsid w:val="00F40AE3"/>
    <w:rsid w:val="00F40CEC"/>
    <w:rsid w:val="00F40F2D"/>
    <w:rsid w:val="00F41046"/>
    <w:rsid w:val="00F41150"/>
    <w:rsid w:val="00F41BC0"/>
    <w:rsid w:val="00F41BC8"/>
    <w:rsid w:val="00F41FF8"/>
    <w:rsid w:val="00F420EE"/>
    <w:rsid w:val="00F4213C"/>
    <w:rsid w:val="00F423F8"/>
    <w:rsid w:val="00F4253D"/>
    <w:rsid w:val="00F4254B"/>
    <w:rsid w:val="00F42564"/>
    <w:rsid w:val="00F427CE"/>
    <w:rsid w:val="00F428C8"/>
    <w:rsid w:val="00F42F6A"/>
    <w:rsid w:val="00F431C6"/>
    <w:rsid w:val="00F43216"/>
    <w:rsid w:val="00F43604"/>
    <w:rsid w:val="00F437AB"/>
    <w:rsid w:val="00F43C89"/>
    <w:rsid w:val="00F43E62"/>
    <w:rsid w:val="00F43F0D"/>
    <w:rsid w:val="00F4402D"/>
    <w:rsid w:val="00F44043"/>
    <w:rsid w:val="00F44231"/>
    <w:rsid w:val="00F44322"/>
    <w:rsid w:val="00F4435D"/>
    <w:rsid w:val="00F444BF"/>
    <w:rsid w:val="00F44590"/>
    <w:rsid w:val="00F44C8A"/>
    <w:rsid w:val="00F4522D"/>
    <w:rsid w:val="00F454EB"/>
    <w:rsid w:val="00F45797"/>
    <w:rsid w:val="00F4615E"/>
    <w:rsid w:val="00F4648C"/>
    <w:rsid w:val="00F469EF"/>
    <w:rsid w:val="00F46D19"/>
    <w:rsid w:val="00F46D8E"/>
    <w:rsid w:val="00F46E31"/>
    <w:rsid w:val="00F47282"/>
    <w:rsid w:val="00F47510"/>
    <w:rsid w:val="00F47B6F"/>
    <w:rsid w:val="00F47C1E"/>
    <w:rsid w:val="00F47CD8"/>
    <w:rsid w:val="00F47D1A"/>
    <w:rsid w:val="00F47F98"/>
    <w:rsid w:val="00F500C1"/>
    <w:rsid w:val="00F50301"/>
    <w:rsid w:val="00F5031E"/>
    <w:rsid w:val="00F503CD"/>
    <w:rsid w:val="00F5079D"/>
    <w:rsid w:val="00F50BBC"/>
    <w:rsid w:val="00F50D9C"/>
    <w:rsid w:val="00F50E7A"/>
    <w:rsid w:val="00F50ECD"/>
    <w:rsid w:val="00F5142D"/>
    <w:rsid w:val="00F514F4"/>
    <w:rsid w:val="00F51525"/>
    <w:rsid w:val="00F515E3"/>
    <w:rsid w:val="00F518A5"/>
    <w:rsid w:val="00F518B7"/>
    <w:rsid w:val="00F52264"/>
    <w:rsid w:val="00F52801"/>
    <w:rsid w:val="00F528BF"/>
    <w:rsid w:val="00F52C0D"/>
    <w:rsid w:val="00F52C23"/>
    <w:rsid w:val="00F5329C"/>
    <w:rsid w:val="00F53513"/>
    <w:rsid w:val="00F53676"/>
    <w:rsid w:val="00F53A84"/>
    <w:rsid w:val="00F53ED2"/>
    <w:rsid w:val="00F54058"/>
    <w:rsid w:val="00F5418E"/>
    <w:rsid w:val="00F541EE"/>
    <w:rsid w:val="00F54454"/>
    <w:rsid w:val="00F5451F"/>
    <w:rsid w:val="00F547EC"/>
    <w:rsid w:val="00F547F5"/>
    <w:rsid w:val="00F549A2"/>
    <w:rsid w:val="00F54C63"/>
    <w:rsid w:val="00F54EE1"/>
    <w:rsid w:val="00F54FE7"/>
    <w:rsid w:val="00F550E5"/>
    <w:rsid w:val="00F5538A"/>
    <w:rsid w:val="00F55472"/>
    <w:rsid w:val="00F55887"/>
    <w:rsid w:val="00F55958"/>
    <w:rsid w:val="00F55F6E"/>
    <w:rsid w:val="00F56120"/>
    <w:rsid w:val="00F56776"/>
    <w:rsid w:val="00F56A2B"/>
    <w:rsid w:val="00F56FCA"/>
    <w:rsid w:val="00F56FF1"/>
    <w:rsid w:val="00F57CAC"/>
    <w:rsid w:val="00F57D61"/>
    <w:rsid w:val="00F600D6"/>
    <w:rsid w:val="00F6022F"/>
    <w:rsid w:val="00F60378"/>
    <w:rsid w:val="00F603A5"/>
    <w:rsid w:val="00F60502"/>
    <w:rsid w:val="00F608C5"/>
    <w:rsid w:val="00F60973"/>
    <w:rsid w:val="00F60DD9"/>
    <w:rsid w:val="00F60F8B"/>
    <w:rsid w:val="00F60FBE"/>
    <w:rsid w:val="00F612CA"/>
    <w:rsid w:val="00F6142E"/>
    <w:rsid w:val="00F6159A"/>
    <w:rsid w:val="00F61702"/>
    <w:rsid w:val="00F61732"/>
    <w:rsid w:val="00F617D3"/>
    <w:rsid w:val="00F61CD2"/>
    <w:rsid w:val="00F61D27"/>
    <w:rsid w:val="00F61E10"/>
    <w:rsid w:val="00F61EC2"/>
    <w:rsid w:val="00F61F92"/>
    <w:rsid w:val="00F620DC"/>
    <w:rsid w:val="00F6260F"/>
    <w:rsid w:val="00F6280C"/>
    <w:rsid w:val="00F62A1B"/>
    <w:rsid w:val="00F62AC5"/>
    <w:rsid w:val="00F62BF9"/>
    <w:rsid w:val="00F62D18"/>
    <w:rsid w:val="00F62D64"/>
    <w:rsid w:val="00F62F7D"/>
    <w:rsid w:val="00F62FFB"/>
    <w:rsid w:val="00F633F0"/>
    <w:rsid w:val="00F63662"/>
    <w:rsid w:val="00F63C03"/>
    <w:rsid w:val="00F63C8E"/>
    <w:rsid w:val="00F63F9A"/>
    <w:rsid w:val="00F6432F"/>
    <w:rsid w:val="00F64375"/>
    <w:rsid w:val="00F64830"/>
    <w:rsid w:val="00F649AE"/>
    <w:rsid w:val="00F64C73"/>
    <w:rsid w:val="00F651A1"/>
    <w:rsid w:val="00F65211"/>
    <w:rsid w:val="00F65411"/>
    <w:rsid w:val="00F656C4"/>
    <w:rsid w:val="00F65765"/>
    <w:rsid w:val="00F657A8"/>
    <w:rsid w:val="00F65D36"/>
    <w:rsid w:val="00F65D68"/>
    <w:rsid w:val="00F65FCA"/>
    <w:rsid w:val="00F660F6"/>
    <w:rsid w:val="00F662DB"/>
    <w:rsid w:val="00F66335"/>
    <w:rsid w:val="00F6643D"/>
    <w:rsid w:val="00F669D3"/>
    <w:rsid w:val="00F66A77"/>
    <w:rsid w:val="00F66EC6"/>
    <w:rsid w:val="00F670C8"/>
    <w:rsid w:val="00F67252"/>
    <w:rsid w:val="00F6757B"/>
    <w:rsid w:val="00F677BA"/>
    <w:rsid w:val="00F6787E"/>
    <w:rsid w:val="00F67AD5"/>
    <w:rsid w:val="00F67EB1"/>
    <w:rsid w:val="00F70067"/>
    <w:rsid w:val="00F70262"/>
    <w:rsid w:val="00F702E2"/>
    <w:rsid w:val="00F7033A"/>
    <w:rsid w:val="00F70392"/>
    <w:rsid w:val="00F704C3"/>
    <w:rsid w:val="00F70653"/>
    <w:rsid w:val="00F70968"/>
    <w:rsid w:val="00F709AE"/>
    <w:rsid w:val="00F70E1C"/>
    <w:rsid w:val="00F71204"/>
    <w:rsid w:val="00F71333"/>
    <w:rsid w:val="00F71451"/>
    <w:rsid w:val="00F71792"/>
    <w:rsid w:val="00F71B82"/>
    <w:rsid w:val="00F71CA3"/>
    <w:rsid w:val="00F71D2D"/>
    <w:rsid w:val="00F71F1D"/>
    <w:rsid w:val="00F72784"/>
    <w:rsid w:val="00F72B9F"/>
    <w:rsid w:val="00F7301E"/>
    <w:rsid w:val="00F733EA"/>
    <w:rsid w:val="00F7344E"/>
    <w:rsid w:val="00F73690"/>
    <w:rsid w:val="00F7380E"/>
    <w:rsid w:val="00F738C7"/>
    <w:rsid w:val="00F73A06"/>
    <w:rsid w:val="00F73DC8"/>
    <w:rsid w:val="00F73F33"/>
    <w:rsid w:val="00F74079"/>
    <w:rsid w:val="00F741CF"/>
    <w:rsid w:val="00F749E7"/>
    <w:rsid w:val="00F74CCF"/>
    <w:rsid w:val="00F74D4F"/>
    <w:rsid w:val="00F75167"/>
    <w:rsid w:val="00F75315"/>
    <w:rsid w:val="00F75C23"/>
    <w:rsid w:val="00F75D34"/>
    <w:rsid w:val="00F75E57"/>
    <w:rsid w:val="00F75E8A"/>
    <w:rsid w:val="00F75E8D"/>
    <w:rsid w:val="00F763A3"/>
    <w:rsid w:val="00F7687A"/>
    <w:rsid w:val="00F76FD1"/>
    <w:rsid w:val="00F771BE"/>
    <w:rsid w:val="00F7729F"/>
    <w:rsid w:val="00F775E8"/>
    <w:rsid w:val="00F77686"/>
    <w:rsid w:val="00F77E13"/>
    <w:rsid w:val="00F77F20"/>
    <w:rsid w:val="00F77FF5"/>
    <w:rsid w:val="00F8020B"/>
    <w:rsid w:val="00F807FF"/>
    <w:rsid w:val="00F8169C"/>
    <w:rsid w:val="00F819CB"/>
    <w:rsid w:val="00F81AA0"/>
    <w:rsid w:val="00F81CB8"/>
    <w:rsid w:val="00F820C2"/>
    <w:rsid w:val="00F829E7"/>
    <w:rsid w:val="00F839B6"/>
    <w:rsid w:val="00F83CCB"/>
    <w:rsid w:val="00F840D3"/>
    <w:rsid w:val="00F84C0E"/>
    <w:rsid w:val="00F84DE9"/>
    <w:rsid w:val="00F84E02"/>
    <w:rsid w:val="00F84F90"/>
    <w:rsid w:val="00F850FB"/>
    <w:rsid w:val="00F85109"/>
    <w:rsid w:val="00F851E6"/>
    <w:rsid w:val="00F85470"/>
    <w:rsid w:val="00F858EB"/>
    <w:rsid w:val="00F85AC0"/>
    <w:rsid w:val="00F85C79"/>
    <w:rsid w:val="00F85E44"/>
    <w:rsid w:val="00F85EF9"/>
    <w:rsid w:val="00F860EE"/>
    <w:rsid w:val="00F86AFF"/>
    <w:rsid w:val="00F86C07"/>
    <w:rsid w:val="00F86CBF"/>
    <w:rsid w:val="00F86DCC"/>
    <w:rsid w:val="00F872C0"/>
    <w:rsid w:val="00F87426"/>
    <w:rsid w:val="00F874CD"/>
    <w:rsid w:val="00F87612"/>
    <w:rsid w:val="00F877D0"/>
    <w:rsid w:val="00F8792E"/>
    <w:rsid w:val="00F87DF3"/>
    <w:rsid w:val="00F87EA7"/>
    <w:rsid w:val="00F87FE5"/>
    <w:rsid w:val="00F9046C"/>
    <w:rsid w:val="00F906E7"/>
    <w:rsid w:val="00F9085A"/>
    <w:rsid w:val="00F909BA"/>
    <w:rsid w:val="00F90F02"/>
    <w:rsid w:val="00F9118B"/>
    <w:rsid w:val="00F91436"/>
    <w:rsid w:val="00F919DB"/>
    <w:rsid w:val="00F91E34"/>
    <w:rsid w:val="00F92B06"/>
    <w:rsid w:val="00F92C0D"/>
    <w:rsid w:val="00F92DF7"/>
    <w:rsid w:val="00F92DFD"/>
    <w:rsid w:val="00F93075"/>
    <w:rsid w:val="00F930B6"/>
    <w:rsid w:val="00F9337A"/>
    <w:rsid w:val="00F93410"/>
    <w:rsid w:val="00F938A6"/>
    <w:rsid w:val="00F93938"/>
    <w:rsid w:val="00F93B8A"/>
    <w:rsid w:val="00F93D98"/>
    <w:rsid w:val="00F93E52"/>
    <w:rsid w:val="00F93F55"/>
    <w:rsid w:val="00F9470A"/>
    <w:rsid w:val="00F9493B"/>
    <w:rsid w:val="00F949C5"/>
    <w:rsid w:val="00F94AB8"/>
    <w:rsid w:val="00F94C02"/>
    <w:rsid w:val="00F94DFE"/>
    <w:rsid w:val="00F94EDE"/>
    <w:rsid w:val="00F94F2C"/>
    <w:rsid w:val="00F9595E"/>
    <w:rsid w:val="00F95AAC"/>
    <w:rsid w:val="00F95CDD"/>
    <w:rsid w:val="00F96114"/>
    <w:rsid w:val="00F963A8"/>
    <w:rsid w:val="00F96592"/>
    <w:rsid w:val="00F9687B"/>
    <w:rsid w:val="00F9691F"/>
    <w:rsid w:val="00F96AC0"/>
    <w:rsid w:val="00F96C62"/>
    <w:rsid w:val="00F96D5D"/>
    <w:rsid w:val="00F97112"/>
    <w:rsid w:val="00F972D4"/>
    <w:rsid w:val="00F975CE"/>
    <w:rsid w:val="00F977E3"/>
    <w:rsid w:val="00F97831"/>
    <w:rsid w:val="00F97994"/>
    <w:rsid w:val="00F979EB"/>
    <w:rsid w:val="00F97B92"/>
    <w:rsid w:val="00FA012F"/>
    <w:rsid w:val="00FA01D1"/>
    <w:rsid w:val="00FA0444"/>
    <w:rsid w:val="00FA05DB"/>
    <w:rsid w:val="00FA075D"/>
    <w:rsid w:val="00FA08EE"/>
    <w:rsid w:val="00FA0A7C"/>
    <w:rsid w:val="00FA0C28"/>
    <w:rsid w:val="00FA10B7"/>
    <w:rsid w:val="00FA1395"/>
    <w:rsid w:val="00FA1748"/>
    <w:rsid w:val="00FA180C"/>
    <w:rsid w:val="00FA1933"/>
    <w:rsid w:val="00FA1DDC"/>
    <w:rsid w:val="00FA1EB8"/>
    <w:rsid w:val="00FA1FA8"/>
    <w:rsid w:val="00FA2224"/>
    <w:rsid w:val="00FA2370"/>
    <w:rsid w:val="00FA2562"/>
    <w:rsid w:val="00FA25E5"/>
    <w:rsid w:val="00FA2CD3"/>
    <w:rsid w:val="00FA2D5D"/>
    <w:rsid w:val="00FA31EF"/>
    <w:rsid w:val="00FA31FE"/>
    <w:rsid w:val="00FA3352"/>
    <w:rsid w:val="00FA35D5"/>
    <w:rsid w:val="00FA3634"/>
    <w:rsid w:val="00FA3B2F"/>
    <w:rsid w:val="00FA3D89"/>
    <w:rsid w:val="00FA3D8B"/>
    <w:rsid w:val="00FA3E57"/>
    <w:rsid w:val="00FA44B1"/>
    <w:rsid w:val="00FA44C9"/>
    <w:rsid w:val="00FA4510"/>
    <w:rsid w:val="00FA48EF"/>
    <w:rsid w:val="00FA4EDC"/>
    <w:rsid w:val="00FA5290"/>
    <w:rsid w:val="00FA557F"/>
    <w:rsid w:val="00FA5606"/>
    <w:rsid w:val="00FA5746"/>
    <w:rsid w:val="00FA593C"/>
    <w:rsid w:val="00FA5AEB"/>
    <w:rsid w:val="00FA5B91"/>
    <w:rsid w:val="00FA5E72"/>
    <w:rsid w:val="00FA5F03"/>
    <w:rsid w:val="00FA633D"/>
    <w:rsid w:val="00FA675D"/>
    <w:rsid w:val="00FA69EF"/>
    <w:rsid w:val="00FA6CED"/>
    <w:rsid w:val="00FA76E7"/>
    <w:rsid w:val="00FA77C3"/>
    <w:rsid w:val="00FA7B7D"/>
    <w:rsid w:val="00FA7E53"/>
    <w:rsid w:val="00FA7EA2"/>
    <w:rsid w:val="00FB0308"/>
    <w:rsid w:val="00FB0899"/>
    <w:rsid w:val="00FB09F9"/>
    <w:rsid w:val="00FB148A"/>
    <w:rsid w:val="00FB167B"/>
    <w:rsid w:val="00FB1F3A"/>
    <w:rsid w:val="00FB2208"/>
    <w:rsid w:val="00FB2859"/>
    <w:rsid w:val="00FB2CED"/>
    <w:rsid w:val="00FB2E9D"/>
    <w:rsid w:val="00FB30BF"/>
    <w:rsid w:val="00FB327C"/>
    <w:rsid w:val="00FB37C7"/>
    <w:rsid w:val="00FB4112"/>
    <w:rsid w:val="00FB4186"/>
    <w:rsid w:val="00FB41FD"/>
    <w:rsid w:val="00FB4289"/>
    <w:rsid w:val="00FB4314"/>
    <w:rsid w:val="00FB483B"/>
    <w:rsid w:val="00FB493B"/>
    <w:rsid w:val="00FB49DE"/>
    <w:rsid w:val="00FB49EC"/>
    <w:rsid w:val="00FB4B29"/>
    <w:rsid w:val="00FB4C36"/>
    <w:rsid w:val="00FB56C7"/>
    <w:rsid w:val="00FB56F8"/>
    <w:rsid w:val="00FB580F"/>
    <w:rsid w:val="00FB5814"/>
    <w:rsid w:val="00FB5C00"/>
    <w:rsid w:val="00FB5D7E"/>
    <w:rsid w:val="00FB5DF9"/>
    <w:rsid w:val="00FB601A"/>
    <w:rsid w:val="00FB6067"/>
    <w:rsid w:val="00FB6161"/>
    <w:rsid w:val="00FB6713"/>
    <w:rsid w:val="00FB6748"/>
    <w:rsid w:val="00FB6806"/>
    <w:rsid w:val="00FB6810"/>
    <w:rsid w:val="00FB6D43"/>
    <w:rsid w:val="00FB6E7C"/>
    <w:rsid w:val="00FB6F14"/>
    <w:rsid w:val="00FB6F9F"/>
    <w:rsid w:val="00FB75E1"/>
    <w:rsid w:val="00FB7F1D"/>
    <w:rsid w:val="00FC0226"/>
    <w:rsid w:val="00FC03B8"/>
    <w:rsid w:val="00FC03F3"/>
    <w:rsid w:val="00FC073C"/>
    <w:rsid w:val="00FC0B4A"/>
    <w:rsid w:val="00FC0B70"/>
    <w:rsid w:val="00FC0C4C"/>
    <w:rsid w:val="00FC2168"/>
    <w:rsid w:val="00FC2221"/>
    <w:rsid w:val="00FC2548"/>
    <w:rsid w:val="00FC2A6D"/>
    <w:rsid w:val="00FC2B3F"/>
    <w:rsid w:val="00FC2F7A"/>
    <w:rsid w:val="00FC30C5"/>
    <w:rsid w:val="00FC312C"/>
    <w:rsid w:val="00FC3214"/>
    <w:rsid w:val="00FC336C"/>
    <w:rsid w:val="00FC3526"/>
    <w:rsid w:val="00FC3795"/>
    <w:rsid w:val="00FC37D4"/>
    <w:rsid w:val="00FC3A27"/>
    <w:rsid w:val="00FC3CFD"/>
    <w:rsid w:val="00FC3EA0"/>
    <w:rsid w:val="00FC3F00"/>
    <w:rsid w:val="00FC41F3"/>
    <w:rsid w:val="00FC427D"/>
    <w:rsid w:val="00FC42ED"/>
    <w:rsid w:val="00FC43CE"/>
    <w:rsid w:val="00FC45E4"/>
    <w:rsid w:val="00FC4B89"/>
    <w:rsid w:val="00FC53BC"/>
    <w:rsid w:val="00FC543A"/>
    <w:rsid w:val="00FC54BF"/>
    <w:rsid w:val="00FC5609"/>
    <w:rsid w:val="00FC5A7A"/>
    <w:rsid w:val="00FC5A8B"/>
    <w:rsid w:val="00FC5AA6"/>
    <w:rsid w:val="00FC5E7E"/>
    <w:rsid w:val="00FC5FAB"/>
    <w:rsid w:val="00FC627D"/>
    <w:rsid w:val="00FC62E1"/>
    <w:rsid w:val="00FC65FB"/>
    <w:rsid w:val="00FC66D1"/>
    <w:rsid w:val="00FC6A12"/>
    <w:rsid w:val="00FC6AC7"/>
    <w:rsid w:val="00FC7196"/>
    <w:rsid w:val="00FC7466"/>
    <w:rsid w:val="00FC7894"/>
    <w:rsid w:val="00FD0040"/>
    <w:rsid w:val="00FD0238"/>
    <w:rsid w:val="00FD03F6"/>
    <w:rsid w:val="00FD063A"/>
    <w:rsid w:val="00FD14DF"/>
    <w:rsid w:val="00FD165F"/>
    <w:rsid w:val="00FD186A"/>
    <w:rsid w:val="00FD1940"/>
    <w:rsid w:val="00FD19B2"/>
    <w:rsid w:val="00FD1B73"/>
    <w:rsid w:val="00FD1DC4"/>
    <w:rsid w:val="00FD227F"/>
    <w:rsid w:val="00FD2299"/>
    <w:rsid w:val="00FD23B6"/>
    <w:rsid w:val="00FD2462"/>
    <w:rsid w:val="00FD275D"/>
    <w:rsid w:val="00FD28CD"/>
    <w:rsid w:val="00FD291B"/>
    <w:rsid w:val="00FD3417"/>
    <w:rsid w:val="00FD34B7"/>
    <w:rsid w:val="00FD3870"/>
    <w:rsid w:val="00FD3ADD"/>
    <w:rsid w:val="00FD3AF4"/>
    <w:rsid w:val="00FD3FEB"/>
    <w:rsid w:val="00FD40C1"/>
    <w:rsid w:val="00FD4572"/>
    <w:rsid w:val="00FD46E2"/>
    <w:rsid w:val="00FD484F"/>
    <w:rsid w:val="00FD4882"/>
    <w:rsid w:val="00FD56FA"/>
    <w:rsid w:val="00FD57DB"/>
    <w:rsid w:val="00FD5A4E"/>
    <w:rsid w:val="00FD5E92"/>
    <w:rsid w:val="00FD60DB"/>
    <w:rsid w:val="00FD64E6"/>
    <w:rsid w:val="00FD65A3"/>
    <w:rsid w:val="00FD6690"/>
    <w:rsid w:val="00FD6736"/>
    <w:rsid w:val="00FD673D"/>
    <w:rsid w:val="00FD6865"/>
    <w:rsid w:val="00FD68E0"/>
    <w:rsid w:val="00FD6CF8"/>
    <w:rsid w:val="00FD6E76"/>
    <w:rsid w:val="00FD6ED5"/>
    <w:rsid w:val="00FD71FD"/>
    <w:rsid w:val="00FD7235"/>
    <w:rsid w:val="00FD749A"/>
    <w:rsid w:val="00FD761B"/>
    <w:rsid w:val="00FD7707"/>
    <w:rsid w:val="00FD778F"/>
    <w:rsid w:val="00FE03D3"/>
    <w:rsid w:val="00FE07AE"/>
    <w:rsid w:val="00FE088B"/>
    <w:rsid w:val="00FE0DE8"/>
    <w:rsid w:val="00FE0F55"/>
    <w:rsid w:val="00FE10FD"/>
    <w:rsid w:val="00FE11E4"/>
    <w:rsid w:val="00FE1229"/>
    <w:rsid w:val="00FE12A0"/>
    <w:rsid w:val="00FE170B"/>
    <w:rsid w:val="00FE187C"/>
    <w:rsid w:val="00FE1902"/>
    <w:rsid w:val="00FE1B0F"/>
    <w:rsid w:val="00FE1C33"/>
    <w:rsid w:val="00FE1C37"/>
    <w:rsid w:val="00FE2408"/>
    <w:rsid w:val="00FE24F1"/>
    <w:rsid w:val="00FE268B"/>
    <w:rsid w:val="00FE2764"/>
    <w:rsid w:val="00FE2794"/>
    <w:rsid w:val="00FE2AB4"/>
    <w:rsid w:val="00FE2B5C"/>
    <w:rsid w:val="00FE2BB1"/>
    <w:rsid w:val="00FE2CA0"/>
    <w:rsid w:val="00FE2D08"/>
    <w:rsid w:val="00FE3280"/>
    <w:rsid w:val="00FE35CB"/>
    <w:rsid w:val="00FE38F9"/>
    <w:rsid w:val="00FE3A54"/>
    <w:rsid w:val="00FE3ACB"/>
    <w:rsid w:val="00FE3AD3"/>
    <w:rsid w:val="00FE3C13"/>
    <w:rsid w:val="00FE3ED5"/>
    <w:rsid w:val="00FE4414"/>
    <w:rsid w:val="00FE467F"/>
    <w:rsid w:val="00FE4780"/>
    <w:rsid w:val="00FE48F2"/>
    <w:rsid w:val="00FE4BAD"/>
    <w:rsid w:val="00FE506A"/>
    <w:rsid w:val="00FE5202"/>
    <w:rsid w:val="00FE5292"/>
    <w:rsid w:val="00FE542D"/>
    <w:rsid w:val="00FE5635"/>
    <w:rsid w:val="00FE563C"/>
    <w:rsid w:val="00FE5683"/>
    <w:rsid w:val="00FE5F44"/>
    <w:rsid w:val="00FE62A8"/>
    <w:rsid w:val="00FE62D0"/>
    <w:rsid w:val="00FE63F2"/>
    <w:rsid w:val="00FE6410"/>
    <w:rsid w:val="00FE655D"/>
    <w:rsid w:val="00FE6667"/>
    <w:rsid w:val="00FE6907"/>
    <w:rsid w:val="00FE6977"/>
    <w:rsid w:val="00FE69A3"/>
    <w:rsid w:val="00FE72EE"/>
    <w:rsid w:val="00FE76A8"/>
    <w:rsid w:val="00FE76E9"/>
    <w:rsid w:val="00FE7790"/>
    <w:rsid w:val="00FE7839"/>
    <w:rsid w:val="00FE788A"/>
    <w:rsid w:val="00FE7E83"/>
    <w:rsid w:val="00FE7E9A"/>
    <w:rsid w:val="00FE7EB4"/>
    <w:rsid w:val="00FE7F7E"/>
    <w:rsid w:val="00FF06D5"/>
    <w:rsid w:val="00FF072B"/>
    <w:rsid w:val="00FF0767"/>
    <w:rsid w:val="00FF0D35"/>
    <w:rsid w:val="00FF119A"/>
    <w:rsid w:val="00FF1209"/>
    <w:rsid w:val="00FF1274"/>
    <w:rsid w:val="00FF1316"/>
    <w:rsid w:val="00FF162B"/>
    <w:rsid w:val="00FF1A4C"/>
    <w:rsid w:val="00FF1B54"/>
    <w:rsid w:val="00FF1CAB"/>
    <w:rsid w:val="00FF1CC2"/>
    <w:rsid w:val="00FF1EE9"/>
    <w:rsid w:val="00FF1F60"/>
    <w:rsid w:val="00FF223C"/>
    <w:rsid w:val="00FF224A"/>
    <w:rsid w:val="00FF23B6"/>
    <w:rsid w:val="00FF2844"/>
    <w:rsid w:val="00FF2ABB"/>
    <w:rsid w:val="00FF2EA5"/>
    <w:rsid w:val="00FF2FB0"/>
    <w:rsid w:val="00FF35B6"/>
    <w:rsid w:val="00FF3607"/>
    <w:rsid w:val="00FF3B00"/>
    <w:rsid w:val="00FF3C3D"/>
    <w:rsid w:val="00FF4091"/>
    <w:rsid w:val="00FF41FE"/>
    <w:rsid w:val="00FF443F"/>
    <w:rsid w:val="00FF4733"/>
    <w:rsid w:val="00FF514E"/>
    <w:rsid w:val="00FF52E4"/>
    <w:rsid w:val="00FF52F5"/>
    <w:rsid w:val="00FF5A75"/>
    <w:rsid w:val="00FF5DAE"/>
    <w:rsid w:val="00FF65B7"/>
    <w:rsid w:val="00FF684E"/>
    <w:rsid w:val="00FF6AA7"/>
    <w:rsid w:val="00FF6B33"/>
    <w:rsid w:val="00FF6FE4"/>
    <w:rsid w:val="00FF6FF9"/>
    <w:rsid w:val="00FF73FA"/>
    <w:rsid w:val="00FF7581"/>
    <w:rsid w:val="00FF76BD"/>
    <w:rsid w:val="00FF7952"/>
    <w:rsid w:val="00FF7A22"/>
    <w:rsid w:val="00FF7A44"/>
    <w:rsid w:val="00FF7D3B"/>
    <w:rsid w:val="00FF7FC9"/>
    <w:rsid w:val="01298D99"/>
    <w:rsid w:val="01606103"/>
    <w:rsid w:val="016A7A68"/>
    <w:rsid w:val="0188643E"/>
    <w:rsid w:val="01CDC480"/>
    <w:rsid w:val="02027901"/>
    <w:rsid w:val="020A8D69"/>
    <w:rsid w:val="025B114E"/>
    <w:rsid w:val="02B3C9C7"/>
    <w:rsid w:val="02EF4236"/>
    <w:rsid w:val="02FFCD15"/>
    <w:rsid w:val="0324349F"/>
    <w:rsid w:val="03895551"/>
    <w:rsid w:val="039CA13F"/>
    <w:rsid w:val="03FDE092"/>
    <w:rsid w:val="0424F45F"/>
    <w:rsid w:val="0451E51C"/>
    <w:rsid w:val="04768459"/>
    <w:rsid w:val="04A7CF1C"/>
    <w:rsid w:val="05171E4F"/>
    <w:rsid w:val="05228BED"/>
    <w:rsid w:val="056AFB20"/>
    <w:rsid w:val="059B8505"/>
    <w:rsid w:val="059F1E87"/>
    <w:rsid w:val="05A9F424"/>
    <w:rsid w:val="05ACB5B0"/>
    <w:rsid w:val="05B6C1A9"/>
    <w:rsid w:val="06376DD7"/>
    <w:rsid w:val="06CE19E3"/>
    <w:rsid w:val="06E232E8"/>
    <w:rsid w:val="0749C147"/>
    <w:rsid w:val="07E57C48"/>
    <w:rsid w:val="08011592"/>
    <w:rsid w:val="0897349F"/>
    <w:rsid w:val="08B6A0E0"/>
    <w:rsid w:val="09197E4D"/>
    <w:rsid w:val="09725004"/>
    <w:rsid w:val="0978677D"/>
    <w:rsid w:val="09A9377C"/>
    <w:rsid w:val="0B08C031"/>
    <w:rsid w:val="0B161E27"/>
    <w:rsid w:val="0B2F7B46"/>
    <w:rsid w:val="0BCB5514"/>
    <w:rsid w:val="0C09D71C"/>
    <w:rsid w:val="0CDE110D"/>
    <w:rsid w:val="0D07FB96"/>
    <w:rsid w:val="0D656D23"/>
    <w:rsid w:val="0D96D57A"/>
    <w:rsid w:val="0DA83A38"/>
    <w:rsid w:val="0DCB0436"/>
    <w:rsid w:val="0DD2187B"/>
    <w:rsid w:val="0E581EA2"/>
    <w:rsid w:val="0EB6C07E"/>
    <w:rsid w:val="0EC672E6"/>
    <w:rsid w:val="0F124E62"/>
    <w:rsid w:val="0F1D3A65"/>
    <w:rsid w:val="0F54D32C"/>
    <w:rsid w:val="0F6D1B5E"/>
    <w:rsid w:val="0F9260EF"/>
    <w:rsid w:val="0FC527C0"/>
    <w:rsid w:val="0FFCFEFF"/>
    <w:rsid w:val="106E4F44"/>
    <w:rsid w:val="10ECF407"/>
    <w:rsid w:val="115F7B68"/>
    <w:rsid w:val="11DBBEC5"/>
    <w:rsid w:val="11F86654"/>
    <w:rsid w:val="121005DE"/>
    <w:rsid w:val="121466EA"/>
    <w:rsid w:val="122239D6"/>
    <w:rsid w:val="12386298"/>
    <w:rsid w:val="124A6720"/>
    <w:rsid w:val="129DA999"/>
    <w:rsid w:val="12C5C588"/>
    <w:rsid w:val="12DE4350"/>
    <w:rsid w:val="12F28531"/>
    <w:rsid w:val="13147426"/>
    <w:rsid w:val="1424EEBA"/>
    <w:rsid w:val="1486892B"/>
    <w:rsid w:val="14BB1A24"/>
    <w:rsid w:val="14F87D9C"/>
    <w:rsid w:val="152048F4"/>
    <w:rsid w:val="1527B284"/>
    <w:rsid w:val="153EC7D8"/>
    <w:rsid w:val="159DAD8B"/>
    <w:rsid w:val="15C14735"/>
    <w:rsid w:val="16F706EF"/>
    <w:rsid w:val="17541391"/>
    <w:rsid w:val="176B19E9"/>
    <w:rsid w:val="180CAC30"/>
    <w:rsid w:val="18182537"/>
    <w:rsid w:val="18252F28"/>
    <w:rsid w:val="18C342F3"/>
    <w:rsid w:val="191D6024"/>
    <w:rsid w:val="19AE554C"/>
    <w:rsid w:val="19E21164"/>
    <w:rsid w:val="19E32ACC"/>
    <w:rsid w:val="1AB35316"/>
    <w:rsid w:val="1AB93085"/>
    <w:rsid w:val="1ACD9BE2"/>
    <w:rsid w:val="1B05E821"/>
    <w:rsid w:val="1BCA136B"/>
    <w:rsid w:val="1BD030F1"/>
    <w:rsid w:val="1BE56F3F"/>
    <w:rsid w:val="1BFCDBE6"/>
    <w:rsid w:val="1C2AC634"/>
    <w:rsid w:val="1C841973"/>
    <w:rsid w:val="1CB1BC8B"/>
    <w:rsid w:val="1CB786A5"/>
    <w:rsid w:val="1DE506CC"/>
    <w:rsid w:val="1E07936A"/>
    <w:rsid w:val="1E2FD588"/>
    <w:rsid w:val="1E5684BD"/>
    <w:rsid w:val="1EB9CDB1"/>
    <w:rsid w:val="1EF52F38"/>
    <w:rsid w:val="1F99438C"/>
    <w:rsid w:val="1FCB8B3E"/>
    <w:rsid w:val="201CF4C0"/>
    <w:rsid w:val="205152E8"/>
    <w:rsid w:val="208B8903"/>
    <w:rsid w:val="2119141A"/>
    <w:rsid w:val="2122CD1D"/>
    <w:rsid w:val="2151F6AC"/>
    <w:rsid w:val="2188AFB8"/>
    <w:rsid w:val="21B8C521"/>
    <w:rsid w:val="21F9E72B"/>
    <w:rsid w:val="2258B8B7"/>
    <w:rsid w:val="22959E93"/>
    <w:rsid w:val="22A1AEB7"/>
    <w:rsid w:val="22D83847"/>
    <w:rsid w:val="22E133CD"/>
    <w:rsid w:val="22FB6CD9"/>
    <w:rsid w:val="230A57C5"/>
    <w:rsid w:val="231A2EEF"/>
    <w:rsid w:val="23B8055D"/>
    <w:rsid w:val="24619A72"/>
    <w:rsid w:val="24E169E8"/>
    <w:rsid w:val="254523EA"/>
    <w:rsid w:val="256A18FC"/>
    <w:rsid w:val="25A39E77"/>
    <w:rsid w:val="25E93BFC"/>
    <w:rsid w:val="262E2CAF"/>
    <w:rsid w:val="266DED45"/>
    <w:rsid w:val="267D3A49"/>
    <w:rsid w:val="26E33D56"/>
    <w:rsid w:val="26F1864E"/>
    <w:rsid w:val="27DC4B6D"/>
    <w:rsid w:val="282806A5"/>
    <w:rsid w:val="2828A8B5"/>
    <w:rsid w:val="283777D5"/>
    <w:rsid w:val="283B299D"/>
    <w:rsid w:val="28B6B4B4"/>
    <w:rsid w:val="292F59C5"/>
    <w:rsid w:val="29359405"/>
    <w:rsid w:val="2975BCF8"/>
    <w:rsid w:val="29D51135"/>
    <w:rsid w:val="29F90163"/>
    <w:rsid w:val="2A7943F0"/>
    <w:rsid w:val="2AAE19D7"/>
    <w:rsid w:val="2ABBEEF4"/>
    <w:rsid w:val="2B3126D5"/>
    <w:rsid w:val="2B6DD171"/>
    <w:rsid w:val="2B6F8A81"/>
    <w:rsid w:val="2BA2C784"/>
    <w:rsid w:val="2BB2E5C4"/>
    <w:rsid w:val="2BF0DB8D"/>
    <w:rsid w:val="2CABD0E6"/>
    <w:rsid w:val="2D96F9D9"/>
    <w:rsid w:val="2DC62D02"/>
    <w:rsid w:val="2E00C4AD"/>
    <w:rsid w:val="2E3A58C8"/>
    <w:rsid w:val="2E435DBC"/>
    <w:rsid w:val="2E971653"/>
    <w:rsid w:val="2EC12E4E"/>
    <w:rsid w:val="2EFBF480"/>
    <w:rsid w:val="2F5A008A"/>
    <w:rsid w:val="2F690719"/>
    <w:rsid w:val="2FBEEDBF"/>
    <w:rsid w:val="309F7D55"/>
    <w:rsid w:val="30D9A8E8"/>
    <w:rsid w:val="30E3137E"/>
    <w:rsid w:val="313C1CFB"/>
    <w:rsid w:val="3167E018"/>
    <w:rsid w:val="3190786E"/>
    <w:rsid w:val="31D29F58"/>
    <w:rsid w:val="31EA546E"/>
    <w:rsid w:val="31F785B7"/>
    <w:rsid w:val="32623294"/>
    <w:rsid w:val="32644FDD"/>
    <w:rsid w:val="327F85EF"/>
    <w:rsid w:val="32B1DC6B"/>
    <w:rsid w:val="33123782"/>
    <w:rsid w:val="3370914F"/>
    <w:rsid w:val="33DACB0B"/>
    <w:rsid w:val="33E4EEB1"/>
    <w:rsid w:val="346920D3"/>
    <w:rsid w:val="34764E71"/>
    <w:rsid w:val="3493B221"/>
    <w:rsid w:val="34B1F8FD"/>
    <w:rsid w:val="3543F4D8"/>
    <w:rsid w:val="357FD1D8"/>
    <w:rsid w:val="35BDA2B2"/>
    <w:rsid w:val="36A2A06E"/>
    <w:rsid w:val="36D2E460"/>
    <w:rsid w:val="3702F262"/>
    <w:rsid w:val="37392CA5"/>
    <w:rsid w:val="377CF4A4"/>
    <w:rsid w:val="377FE600"/>
    <w:rsid w:val="37B5C4C1"/>
    <w:rsid w:val="37EBAE5A"/>
    <w:rsid w:val="3832C685"/>
    <w:rsid w:val="38838565"/>
    <w:rsid w:val="38D4FD06"/>
    <w:rsid w:val="392AE881"/>
    <w:rsid w:val="3A39D343"/>
    <w:rsid w:val="3A63B75C"/>
    <w:rsid w:val="3A8B87AD"/>
    <w:rsid w:val="3AA724C8"/>
    <w:rsid w:val="3ABD30CB"/>
    <w:rsid w:val="3AF000A2"/>
    <w:rsid w:val="3BF190FA"/>
    <w:rsid w:val="3C07C550"/>
    <w:rsid w:val="3C27580E"/>
    <w:rsid w:val="3CF695FB"/>
    <w:rsid w:val="3D02E179"/>
    <w:rsid w:val="3D225991"/>
    <w:rsid w:val="3D660E08"/>
    <w:rsid w:val="3D7F12A7"/>
    <w:rsid w:val="3DAE36D8"/>
    <w:rsid w:val="3DF0E5A2"/>
    <w:rsid w:val="3DF2A5A3"/>
    <w:rsid w:val="3E48BCB1"/>
    <w:rsid w:val="3E573BB8"/>
    <w:rsid w:val="3EA01558"/>
    <w:rsid w:val="3EBDFAED"/>
    <w:rsid w:val="3EC90F9A"/>
    <w:rsid w:val="3F3F1E99"/>
    <w:rsid w:val="3FA81B9D"/>
    <w:rsid w:val="3FB0F5B9"/>
    <w:rsid w:val="4038A38D"/>
    <w:rsid w:val="40696F0C"/>
    <w:rsid w:val="41B76B75"/>
    <w:rsid w:val="41E9135C"/>
    <w:rsid w:val="42A328D1"/>
    <w:rsid w:val="4349AD2C"/>
    <w:rsid w:val="434E555A"/>
    <w:rsid w:val="441627A9"/>
    <w:rsid w:val="442B14E0"/>
    <w:rsid w:val="44A0E2E3"/>
    <w:rsid w:val="44CD7513"/>
    <w:rsid w:val="45165837"/>
    <w:rsid w:val="451DB037"/>
    <w:rsid w:val="4545BA7D"/>
    <w:rsid w:val="455DAA2F"/>
    <w:rsid w:val="459C40F7"/>
    <w:rsid w:val="46CFCFB7"/>
    <w:rsid w:val="46D6F24B"/>
    <w:rsid w:val="471BDC50"/>
    <w:rsid w:val="4735F110"/>
    <w:rsid w:val="4747E11D"/>
    <w:rsid w:val="477DBD31"/>
    <w:rsid w:val="4790CABD"/>
    <w:rsid w:val="484D1FB1"/>
    <w:rsid w:val="485498BF"/>
    <w:rsid w:val="487EC186"/>
    <w:rsid w:val="48B49E9C"/>
    <w:rsid w:val="48B848F0"/>
    <w:rsid w:val="49BAB52C"/>
    <w:rsid w:val="49E77359"/>
    <w:rsid w:val="49F95DF4"/>
    <w:rsid w:val="4A740FC2"/>
    <w:rsid w:val="4AA4461D"/>
    <w:rsid w:val="4B0704DE"/>
    <w:rsid w:val="4B5E3C4B"/>
    <w:rsid w:val="4C412A7A"/>
    <w:rsid w:val="4CE621B9"/>
    <w:rsid w:val="4CED8090"/>
    <w:rsid w:val="4D168485"/>
    <w:rsid w:val="4D5BA5AF"/>
    <w:rsid w:val="4D8C97E7"/>
    <w:rsid w:val="4D8E2F27"/>
    <w:rsid w:val="4DF82D20"/>
    <w:rsid w:val="4E45B81E"/>
    <w:rsid w:val="4E8D3905"/>
    <w:rsid w:val="4F53CB44"/>
    <w:rsid w:val="4F773EE8"/>
    <w:rsid w:val="4F824351"/>
    <w:rsid w:val="4FAB8A3A"/>
    <w:rsid w:val="4FC6C71F"/>
    <w:rsid w:val="50118420"/>
    <w:rsid w:val="501FAC1F"/>
    <w:rsid w:val="505790F7"/>
    <w:rsid w:val="50797398"/>
    <w:rsid w:val="507D7463"/>
    <w:rsid w:val="50D73F73"/>
    <w:rsid w:val="51049FBA"/>
    <w:rsid w:val="5131690F"/>
    <w:rsid w:val="51428A4A"/>
    <w:rsid w:val="515947E3"/>
    <w:rsid w:val="5177BF6E"/>
    <w:rsid w:val="51EC6D49"/>
    <w:rsid w:val="5243DEC7"/>
    <w:rsid w:val="5324B4BC"/>
    <w:rsid w:val="53DD34C8"/>
    <w:rsid w:val="53FB83B8"/>
    <w:rsid w:val="54A225C8"/>
    <w:rsid w:val="5516AE3A"/>
    <w:rsid w:val="554A3336"/>
    <w:rsid w:val="554A519B"/>
    <w:rsid w:val="5552A587"/>
    <w:rsid w:val="559B0BA2"/>
    <w:rsid w:val="559DA92B"/>
    <w:rsid w:val="55B2001A"/>
    <w:rsid w:val="55D2336E"/>
    <w:rsid w:val="560C0F69"/>
    <w:rsid w:val="560FBD71"/>
    <w:rsid w:val="5616EB46"/>
    <w:rsid w:val="566BE006"/>
    <w:rsid w:val="576E03CF"/>
    <w:rsid w:val="57B3CEDF"/>
    <w:rsid w:val="57E7CDED"/>
    <w:rsid w:val="581975C8"/>
    <w:rsid w:val="581D8E89"/>
    <w:rsid w:val="58BEAE7A"/>
    <w:rsid w:val="59ED374C"/>
    <w:rsid w:val="5AD6DBC3"/>
    <w:rsid w:val="5AEE369E"/>
    <w:rsid w:val="5AFAA346"/>
    <w:rsid w:val="5B9F44F3"/>
    <w:rsid w:val="5C994D62"/>
    <w:rsid w:val="5D1E5C44"/>
    <w:rsid w:val="5D33505E"/>
    <w:rsid w:val="5E2FDFB1"/>
    <w:rsid w:val="5E800C2C"/>
    <w:rsid w:val="5EF5C696"/>
    <w:rsid w:val="5F18B541"/>
    <w:rsid w:val="5F50C6B1"/>
    <w:rsid w:val="5FA1FD4C"/>
    <w:rsid w:val="5FDE72E6"/>
    <w:rsid w:val="5FE817B4"/>
    <w:rsid w:val="60650456"/>
    <w:rsid w:val="60C19199"/>
    <w:rsid w:val="60C4DD59"/>
    <w:rsid w:val="60F74D3E"/>
    <w:rsid w:val="619B6A30"/>
    <w:rsid w:val="61C03870"/>
    <w:rsid w:val="61DB0F02"/>
    <w:rsid w:val="6232ECD9"/>
    <w:rsid w:val="626704C2"/>
    <w:rsid w:val="6295A1BF"/>
    <w:rsid w:val="62C75F93"/>
    <w:rsid w:val="630E9F6F"/>
    <w:rsid w:val="63110B69"/>
    <w:rsid w:val="631AAB39"/>
    <w:rsid w:val="63243AD9"/>
    <w:rsid w:val="633554FE"/>
    <w:rsid w:val="638AAEFC"/>
    <w:rsid w:val="63DB6162"/>
    <w:rsid w:val="63DE3E4C"/>
    <w:rsid w:val="6423ECF2"/>
    <w:rsid w:val="64620B86"/>
    <w:rsid w:val="6467886E"/>
    <w:rsid w:val="646C177F"/>
    <w:rsid w:val="647F13FF"/>
    <w:rsid w:val="64AA5CCB"/>
    <w:rsid w:val="64EE2F0B"/>
    <w:rsid w:val="659EA584"/>
    <w:rsid w:val="65A1791D"/>
    <w:rsid w:val="65EBDD9E"/>
    <w:rsid w:val="662CDB9D"/>
    <w:rsid w:val="663AF196"/>
    <w:rsid w:val="66AB5226"/>
    <w:rsid w:val="66DF127B"/>
    <w:rsid w:val="66ECC071"/>
    <w:rsid w:val="67579D4D"/>
    <w:rsid w:val="67C9B3D5"/>
    <w:rsid w:val="67D6C1F7"/>
    <w:rsid w:val="68181633"/>
    <w:rsid w:val="6825CFCD"/>
    <w:rsid w:val="6833394E"/>
    <w:rsid w:val="68431351"/>
    <w:rsid w:val="685B2888"/>
    <w:rsid w:val="6876077E"/>
    <w:rsid w:val="69006A63"/>
    <w:rsid w:val="6904A702"/>
    <w:rsid w:val="695B22DF"/>
    <w:rsid w:val="69739CD4"/>
    <w:rsid w:val="69BC097E"/>
    <w:rsid w:val="69C0A28E"/>
    <w:rsid w:val="6A208CC3"/>
    <w:rsid w:val="6A319165"/>
    <w:rsid w:val="6A3BAC4E"/>
    <w:rsid w:val="6A7237F5"/>
    <w:rsid w:val="6B5C1AB8"/>
    <w:rsid w:val="6C791388"/>
    <w:rsid w:val="6C8CB1A7"/>
    <w:rsid w:val="6C9D1045"/>
    <w:rsid w:val="6CEEA9FB"/>
    <w:rsid w:val="6D75D092"/>
    <w:rsid w:val="6DD007B0"/>
    <w:rsid w:val="6E08EDCC"/>
    <w:rsid w:val="6E428D32"/>
    <w:rsid w:val="6E591629"/>
    <w:rsid w:val="6E612EAE"/>
    <w:rsid w:val="6E695917"/>
    <w:rsid w:val="6EBF8DF6"/>
    <w:rsid w:val="6F25DE9C"/>
    <w:rsid w:val="6F75D784"/>
    <w:rsid w:val="6F8C88A9"/>
    <w:rsid w:val="6F941ACE"/>
    <w:rsid w:val="6FCE828C"/>
    <w:rsid w:val="6FE9D8AA"/>
    <w:rsid w:val="6FF582BE"/>
    <w:rsid w:val="70200894"/>
    <w:rsid w:val="70B83855"/>
    <w:rsid w:val="7112B51A"/>
    <w:rsid w:val="71437BC0"/>
    <w:rsid w:val="716A52ED"/>
    <w:rsid w:val="7175C393"/>
    <w:rsid w:val="71EAFC1F"/>
    <w:rsid w:val="7205A475"/>
    <w:rsid w:val="72716730"/>
    <w:rsid w:val="72EE8EB2"/>
    <w:rsid w:val="735D3C9D"/>
    <w:rsid w:val="738BD949"/>
    <w:rsid w:val="73BEC1E3"/>
    <w:rsid w:val="73C98DF7"/>
    <w:rsid w:val="73E258D8"/>
    <w:rsid w:val="74AB111B"/>
    <w:rsid w:val="74F4189F"/>
    <w:rsid w:val="755760AB"/>
    <w:rsid w:val="75657078"/>
    <w:rsid w:val="75AA8499"/>
    <w:rsid w:val="75AFBA42"/>
    <w:rsid w:val="75B15F47"/>
    <w:rsid w:val="75DC6DE8"/>
    <w:rsid w:val="769A9C97"/>
    <w:rsid w:val="76AAF589"/>
    <w:rsid w:val="76DAECA6"/>
    <w:rsid w:val="77122547"/>
    <w:rsid w:val="771A70B6"/>
    <w:rsid w:val="771E712E"/>
    <w:rsid w:val="77BDB1E5"/>
    <w:rsid w:val="77E80D55"/>
    <w:rsid w:val="77EF0513"/>
    <w:rsid w:val="77F6B1C6"/>
    <w:rsid w:val="78A39305"/>
    <w:rsid w:val="78C09B7E"/>
    <w:rsid w:val="78C2D290"/>
    <w:rsid w:val="795BB909"/>
    <w:rsid w:val="7965E665"/>
    <w:rsid w:val="7A2EBC5A"/>
    <w:rsid w:val="7A38629C"/>
    <w:rsid w:val="7A3D5105"/>
    <w:rsid w:val="7A586A8B"/>
    <w:rsid w:val="7B01B6C6"/>
    <w:rsid w:val="7B9B4BE4"/>
    <w:rsid w:val="7B9BC405"/>
    <w:rsid w:val="7C0311DD"/>
    <w:rsid w:val="7C71ED52"/>
    <w:rsid w:val="7CB4F31A"/>
    <w:rsid w:val="7CBD50E8"/>
    <w:rsid w:val="7D62E01E"/>
    <w:rsid w:val="7DF98607"/>
    <w:rsid w:val="7E001759"/>
    <w:rsid w:val="7E021A8F"/>
    <w:rsid w:val="7E44C0A9"/>
    <w:rsid w:val="7E6CA35F"/>
    <w:rsid w:val="7E7CFE11"/>
    <w:rsid w:val="7E8C57F8"/>
    <w:rsid w:val="7ED2ECA6"/>
    <w:rsid w:val="7F545878"/>
    <w:rsid w:val="7FCBB827"/>
    <w:rsid w:val="7FDAB2D3"/>
    <w:rsid w:val="7FE46E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BF75DD"/>
  <w15:docId w15:val="{D6B6AE8B-9C32-44ED-A582-FB501719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7779"/>
    <w:rPr>
      <w:sz w:val="24"/>
      <w:szCs w:val="24"/>
    </w:rPr>
  </w:style>
  <w:style w:type="paragraph" w:styleId="Heading1">
    <w:name w:val="heading 1"/>
    <w:aliases w:val="Outline1"/>
    <w:basedOn w:val="Normal"/>
    <w:next w:val="Normal"/>
    <w:link w:val="Heading1Char"/>
    <w:qFormat/>
    <w:rsid w:val="00157620"/>
    <w:pPr>
      <w:keepNext/>
      <w:outlineLvl w:val="0"/>
    </w:pPr>
    <w:rPr>
      <w:rFonts w:ascii="Arial" w:hAnsi="Arial" w:cs="Arial"/>
      <w:b/>
      <w:bCs/>
      <w:kern w:val="32"/>
      <w:sz w:val="28"/>
      <w:szCs w:val="32"/>
    </w:rPr>
  </w:style>
  <w:style w:type="paragraph" w:styleId="Heading2">
    <w:name w:val="heading 2"/>
    <w:aliases w:val="Outline2"/>
    <w:basedOn w:val="Normal"/>
    <w:next w:val="Normal"/>
    <w:link w:val="Heading2Char"/>
    <w:qFormat/>
    <w:rsid w:val="00B21DFC"/>
    <w:pPr>
      <w:keepNext/>
      <w:overflowPunct w:val="0"/>
      <w:autoSpaceDE w:val="0"/>
      <w:autoSpaceDN w:val="0"/>
      <w:adjustRightInd w:val="0"/>
      <w:spacing w:before="240" w:after="60"/>
      <w:textAlignment w:val="baseline"/>
      <w:outlineLvl w:val="1"/>
    </w:pPr>
    <w:rPr>
      <w:rFonts w:ascii="Arial" w:hAnsi="Arial"/>
      <w:b/>
      <w:i/>
      <w:szCs w:val="20"/>
      <w:lang w:eastAsia="en-US"/>
    </w:rPr>
  </w:style>
  <w:style w:type="paragraph" w:styleId="Heading3">
    <w:name w:val="heading 3"/>
    <w:aliases w:val="Outline3"/>
    <w:basedOn w:val="Normal"/>
    <w:next w:val="Normal"/>
    <w:link w:val="Heading3Char"/>
    <w:qFormat/>
    <w:rsid w:val="00B21DFC"/>
    <w:pPr>
      <w:keepNext/>
      <w:overflowPunct w:val="0"/>
      <w:autoSpaceDE w:val="0"/>
      <w:autoSpaceDN w:val="0"/>
      <w:adjustRightInd w:val="0"/>
      <w:spacing w:before="240" w:after="60"/>
      <w:textAlignment w:val="baseline"/>
      <w:outlineLvl w:val="2"/>
    </w:pPr>
    <w:rPr>
      <w:rFonts w:ascii="Arial" w:hAnsi="Arial" w:cs="Arial"/>
      <w:b/>
      <w:bCs/>
      <w:sz w:val="26"/>
      <w:szCs w:val="26"/>
      <w:lang w:eastAsia="en-US"/>
    </w:rPr>
  </w:style>
  <w:style w:type="paragraph" w:styleId="Heading4">
    <w:name w:val="heading 4"/>
    <w:basedOn w:val="Normal"/>
    <w:next w:val="Normal"/>
    <w:link w:val="Heading4Char"/>
    <w:qFormat/>
    <w:rsid w:val="00B21DFC"/>
    <w:pPr>
      <w:keepNext/>
      <w:overflowPunct w:val="0"/>
      <w:autoSpaceDE w:val="0"/>
      <w:autoSpaceDN w:val="0"/>
      <w:adjustRightInd w:val="0"/>
      <w:spacing w:before="240" w:after="60"/>
      <w:textAlignment w:val="baseline"/>
      <w:outlineLvl w:val="3"/>
    </w:pPr>
    <w:rPr>
      <w:rFonts w:ascii="Arial" w:hAnsi="Arial"/>
      <w:b/>
      <w:szCs w:val="20"/>
      <w:lang w:eastAsia="en-US"/>
    </w:rPr>
  </w:style>
  <w:style w:type="paragraph" w:styleId="Heading5">
    <w:name w:val="heading 5"/>
    <w:basedOn w:val="Normal"/>
    <w:next w:val="Normal"/>
    <w:link w:val="Heading5Char"/>
    <w:qFormat/>
    <w:rsid w:val="00B21DFC"/>
    <w:pPr>
      <w:overflowPunct w:val="0"/>
      <w:autoSpaceDE w:val="0"/>
      <w:autoSpaceDN w:val="0"/>
      <w:adjustRightInd w:val="0"/>
      <w:spacing w:before="240" w:after="60"/>
      <w:textAlignment w:val="baseline"/>
      <w:outlineLvl w:val="4"/>
    </w:pPr>
    <w:rPr>
      <w:rFonts w:ascii="Arial" w:hAnsi="Arial"/>
      <w:sz w:val="22"/>
      <w:szCs w:val="20"/>
      <w:lang w:eastAsia="en-US"/>
    </w:rPr>
  </w:style>
  <w:style w:type="paragraph" w:styleId="Heading6">
    <w:name w:val="heading 6"/>
    <w:basedOn w:val="Normal"/>
    <w:next w:val="Normal"/>
    <w:link w:val="Heading6Char"/>
    <w:qFormat/>
    <w:rsid w:val="00B21DFC"/>
    <w:pPr>
      <w:overflowPunct w:val="0"/>
      <w:autoSpaceDE w:val="0"/>
      <w:autoSpaceDN w:val="0"/>
      <w:adjustRightInd w:val="0"/>
      <w:spacing w:before="240" w:after="60"/>
      <w:textAlignment w:val="baseline"/>
      <w:outlineLvl w:val="5"/>
    </w:pPr>
    <w:rPr>
      <w:b/>
      <w:bCs/>
      <w:sz w:val="22"/>
      <w:szCs w:val="22"/>
      <w:lang w:eastAsia="en-US"/>
    </w:rPr>
  </w:style>
  <w:style w:type="paragraph" w:styleId="Heading7">
    <w:name w:val="heading 7"/>
    <w:basedOn w:val="Normal"/>
    <w:next w:val="Normal"/>
    <w:link w:val="Heading7Char"/>
    <w:qFormat/>
    <w:rsid w:val="00B21DFC"/>
    <w:pPr>
      <w:keepNext/>
      <w:overflowPunct w:val="0"/>
      <w:autoSpaceDE w:val="0"/>
      <w:autoSpaceDN w:val="0"/>
      <w:adjustRightInd w:val="0"/>
      <w:jc w:val="both"/>
      <w:textAlignment w:val="baseline"/>
      <w:outlineLvl w:val="6"/>
    </w:pPr>
    <w:rPr>
      <w:rFonts w:ascii="Arial" w:hAnsi="Arial"/>
      <w:b/>
      <w:color w:val="000000"/>
      <w:sz w:val="18"/>
      <w:szCs w:val="20"/>
      <w:lang w:eastAsia="en-US"/>
    </w:rPr>
  </w:style>
  <w:style w:type="paragraph" w:styleId="Heading8">
    <w:name w:val="heading 8"/>
    <w:basedOn w:val="Normal"/>
    <w:next w:val="Normal"/>
    <w:link w:val="Heading8Char"/>
    <w:qFormat/>
    <w:rsid w:val="00B21DFC"/>
    <w:pPr>
      <w:overflowPunct w:val="0"/>
      <w:autoSpaceDE w:val="0"/>
      <w:autoSpaceDN w:val="0"/>
      <w:adjustRightInd w:val="0"/>
      <w:spacing w:before="240" w:after="60"/>
      <w:textAlignment w:val="baseline"/>
      <w:outlineLvl w:val="7"/>
    </w:pPr>
    <w:rPr>
      <w:i/>
      <w:iCs/>
      <w:lang w:eastAsia="en-US"/>
    </w:rPr>
  </w:style>
  <w:style w:type="paragraph" w:styleId="Heading9">
    <w:name w:val="heading 9"/>
    <w:basedOn w:val="Normal"/>
    <w:next w:val="Normal"/>
    <w:link w:val="Heading9Char"/>
    <w:qFormat/>
    <w:rsid w:val="00B21DFC"/>
    <w:pPr>
      <w:overflowPunct w:val="0"/>
      <w:autoSpaceDE w:val="0"/>
      <w:autoSpaceDN w:val="0"/>
      <w:adjustRightInd w:val="0"/>
      <w:spacing w:before="240" w:after="60"/>
      <w:textAlignment w:val="baseline"/>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954B7"/>
    <w:pPr>
      <w:spacing w:before="100" w:beforeAutospacing="1" w:after="100" w:afterAutospacing="1"/>
    </w:pPr>
  </w:style>
  <w:style w:type="character" w:styleId="Hyperlink">
    <w:name w:val="Hyperlink"/>
    <w:uiPriority w:val="99"/>
    <w:rsid w:val="00B20031"/>
    <w:rPr>
      <w:color w:val="0000FF"/>
      <w:u w:val="single"/>
    </w:rPr>
  </w:style>
  <w:style w:type="character" w:customStyle="1" w:styleId="st1">
    <w:name w:val="st1"/>
    <w:basedOn w:val="DefaultParagraphFont"/>
    <w:rsid w:val="00C64B77"/>
  </w:style>
  <w:style w:type="paragraph" w:styleId="FootnoteText">
    <w:name w:val="footnote text"/>
    <w:basedOn w:val="Normal"/>
    <w:link w:val="FootnoteTextChar"/>
    <w:uiPriority w:val="99"/>
    <w:rsid w:val="00E85D83"/>
    <w:rPr>
      <w:sz w:val="20"/>
      <w:szCs w:val="20"/>
    </w:rPr>
  </w:style>
  <w:style w:type="character" w:styleId="FootnoteReference">
    <w:name w:val="footnote reference"/>
    <w:uiPriority w:val="99"/>
    <w:rsid w:val="00E85D83"/>
    <w:rPr>
      <w:vertAlign w:val="superscript"/>
    </w:rPr>
  </w:style>
  <w:style w:type="paragraph" w:styleId="Header">
    <w:name w:val="header"/>
    <w:basedOn w:val="Normal"/>
    <w:link w:val="HeaderChar"/>
    <w:uiPriority w:val="99"/>
    <w:rsid w:val="00157620"/>
    <w:pPr>
      <w:tabs>
        <w:tab w:val="center" w:pos="4153"/>
        <w:tab w:val="right" w:pos="8306"/>
      </w:tabs>
    </w:pPr>
  </w:style>
  <w:style w:type="paragraph" w:styleId="Footer">
    <w:name w:val="footer"/>
    <w:basedOn w:val="Normal"/>
    <w:link w:val="FooterChar"/>
    <w:uiPriority w:val="99"/>
    <w:rsid w:val="00157620"/>
    <w:pPr>
      <w:tabs>
        <w:tab w:val="center" w:pos="4153"/>
        <w:tab w:val="right" w:pos="8306"/>
      </w:tabs>
    </w:pPr>
  </w:style>
  <w:style w:type="character" w:styleId="PageNumber">
    <w:name w:val="page number"/>
    <w:basedOn w:val="DefaultParagraphFont"/>
    <w:rsid w:val="00157620"/>
  </w:style>
  <w:style w:type="table" w:styleId="TableGrid">
    <w:name w:val="Table Grid"/>
    <w:basedOn w:val="TableNormal"/>
    <w:uiPriority w:val="39"/>
    <w:rsid w:val="003E4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A64D0"/>
    <w:rPr>
      <w:rFonts w:ascii="Tahoma" w:hAnsi="Tahoma" w:cs="Tahoma"/>
      <w:sz w:val="16"/>
      <w:szCs w:val="16"/>
    </w:rPr>
  </w:style>
  <w:style w:type="character" w:styleId="FollowedHyperlink">
    <w:name w:val="FollowedHyperlink"/>
    <w:rsid w:val="001A64D0"/>
    <w:rPr>
      <w:color w:val="800080"/>
      <w:u w:val="single"/>
    </w:rPr>
  </w:style>
  <w:style w:type="character" w:styleId="CommentReference">
    <w:name w:val="annotation reference"/>
    <w:uiPriority w:val="99"/>
    <w:rsid w:val="003863E8"/>
    <w:rPr>
      <w:sz w:val="16"/>
      <w:szCs w:val="16"/>
    </w:rPr>
  </w:style>
  <w:style w:type="paragraph" w:styleId="CommentText">
    <w:name w:val="annotation text"/>
    <w:basedOn w:val="Normal"/>
    <w:link w:val="CommentTextChar"/>
    <w:uiPriority w:val="99"/>
    <w:rsid w:val="003863E8"/>
    <w:rPr>
      <w:sz w:val="20"/>
      <w:szCs w:val="20"/>
    </w:rPr>
  </w:style>
  <w:style w:type="paragraph" w:styleId="CommentSubject">
    <w:name w:val="annotation subject"/>
    <w:basedOn w:val="CommentText"/>
    <w:next w:val="CommentText"/>
    <w:link w:val="CommentSubjectChar"/>
    <w:semiHidden/>
    <w:rsid w:val="003863E8"/>
    <w:rPr>
      <w:b/>
      <w:bCs/>
    </w:rPr>
  </w:style>
  <w:style w:type="character" w:customStyle="1" w:styleId="FootnoteTextChar">
    <w:name w:val="Footnote Text Char"/>
    <w:link w:val="FootnoteText"/>
    <w:uiPriority w:val="99"/>
    <w:rsid w:val="00E47866"/>
    <w:rPr>
      <w:lang w:val="en-GB" w:eastAsia="en-GB" w:bidi="ar-SA"/>
    </w:rPr>
  </w:style>
  <w:style w:type="paragraph" w:customStyle="1" w:styleId="Default">
    <w:name w:val="Default"/>
    <w:rsid w:val="002466BF"/>
    <w:pPr>
      <w:autoSpaceDE w:val="0"/>
      <w:autoSpaceDN w:val="0"/>
      <w:adjustRightInd w:val="0"/>
    </w:pPr>
    <w:rPr>
      <w:rFonts w:ascii="Arial" w:hAnsi="Arial" w:cs="Arial"/>
      <w:color w:val="000000"/>
      <w:sz w:val="24"/>
      <w:szCs w:val="24"/>
    </w:rPr>
  </w:style>
  <w:style w:type="paragraph" w:styleId="ListParagraph">
    <w:name w:val="List Paragraph"/>
    <w:aliases w:val="Dot pt,No Spacing1,List Paragraph Char Char Char,Indicator Text,Numbered Para 1,List Paragraph1,Bullet 1,Bullet Points,MAIN CONTENT,List Paragraph12,F5 List Paragraph,List Paragraph11,OBC Bullet,Colorful List - Accent 11,Normal numbered,L"/>
    <w:basedOn w:val="Normal"/>
    <w:link w:val="ListParagraphChar"/>
    <w:uiPriority w:val="34"/>
    <w:qFormat/>
    <w:rsid w:val="002466BF"/>
    <w:pPr>
      <w:ind w:left="720"/>
      <w:contextualSpacing/>
    </w:pPr>
  </w:style>
  <w:style w:type="character" w:customStyle="1" w:styleId="newscontenthomepage">
    <w:name w:val="newscontenthomepage"/>
    <w:uiPriority w:val="99"/>
    <w:rsid w:val="00EC7AE2"/>
    <w:rPr>
      <w:rFonts w:cs="Times New Roman"/>
    </w:rPr>
  </w:style>
  <w:style w:type="table" w:customStyle="1" w:styleId="TableGrid1">
    <w:name w:val="Table Grid1"/>
    <w:basedOn w:val="TableNormal"/>
    <w:next w:val="TableGrid"/>
    <w:rsid w:val="001C3D66"/>
    <w:rPr>
      <w:rFonts w:ascii="Arial" w:hAnsi="Arial" w:cs="Arial"/>
      <w:color w:val="000000"/>
      <w:sz w:val="22"/>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1031E"/>
    <w:rPr>
      <w:sz w:val="20"/>
      <w:szCs w:val="20"/>
    </w:rPr>
  </w:style>
  <w:style w:type="character" w:customStyle="1" w:styleId="EndnoteTextChar">
    <w:name w:val="Endnote Text Char"/>
    <w:basedOn w:val="DefaultParagraphFont"/>
    <w:link w:val="EndnoteText"/>
    <w:rsid w:val="0091031E"/>
  </w:style>
  <w:style w:type="character" w:styleId="EndnoteReference">
    <w:name w:val="endnote reference"/>
    <w:rsid w:val="0091031E"/>
    <w:rPr>
      <w:vertAlign w:val="superscript"/>
    </w:rPr>
  </w:style>
  <w:style w:type="character" w:customStyle="1" w:styleId="Heading1Char">
    <w:name w:val="Heading 1 Char"/>
    <w:aliases w:val="Outline1 Char"/>
    <w:link w:val="Heading1"/>
    <w:rsid w:val="008B500E"/>
    <w:rPr>
      <w:rFonts w:ascii="Arial" w:hAnsi="Arial" w:cs="Arial"/>
      <w:b/>
      <w:bCs/>
      <w:kern w:val="32"/>
      <w:sz w:val="28"/>
      <w:szCs w:val="32"/>
    </w:rPr>
  </w:style>
  <w:style w:type="paragraph" w:styleId="PlainText">
    <w:name w:val="Plain Text"/>
    <w:basedOn w:val="Normal"/>
    <w:link w:val="PlainTextChar"/>
    <w:uiPriority w:val="99"/>
    <w:unhideWhenUsed/>
    <w:rsid w:val="004D5004"/>
    <w:rPr>
      <w:rFonts w:ascii="Calibri" w:eastAsia="Calibri" w:hAnsi="Calibri"/>
      <w:sz w:val="22"/>
      <w:szCs w:val="21"/>
      <w:lang w:eastAsia="en-US"/>
    </w:rPr>
  </w:style>
  <w:style w:type="character" w:customStyle="1" w:styleId="PlainTextChar">
    <w:name w:val="Plain Text Char"/>
    <w:link w:val="PlainText"/>
    <w:uiPriority w:val="99"/>
    <w:rsid w:val="004D5004"/>
    <w:rPr>
      <w:rFonts w:ascii="Calibri" w:eastAsia="Calibri" w:hAnsi="Calibri"/>
      <w:sz w:val="22"/>
      <w:szCs w:val="21"/>
      <w:lang w:eastAsia="en-US"/>
    </w:rPr>
  </w:style>
  <w:style w:type="table" w:customStyle="1" w:styleId="TableGrid2">
    <w:name w:val="Table Grid2"/>
    <w:basedOn w:val="TableNormal"/>
    <w:next w:val="TableGrid"/>
    <w:uiPriority w:val="59"/>
    <w:rsid w:val="00AF5E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F5E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618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4">
    <w:name w:val="Pa34"/>
    <w:basedOn w:val="Normal"/>
    <w:uiPriority w:val="99"/>
    <w:rsid w:val="00922164"/>
    <w:pPr>
      <w:autoSpaceDE w:val="0"/>
      <w:autoSpaceDN w:val="0"/>
      <w:spacing w:line="201" w:lineRule="atLeast"/>
    </w:pPr>
    <w:rPr>
      <w:rFonts w:ascii="Myriad Pro Light" w:eastAsia="Calibri" w:hAnsi="Myriad Pro Light"/>
      <w:lang w:eastAsia="en-US"/>
    </w:rPr>
  </w:style>
  <w:style w:type="paragraph" w:customStyle="1" w:styleId="Pa1">
    <w:name w:val="Pa1"/>
    <w:basedOn w:val="Default"/>
    <w:next w:val="Default"/>
    <w:uiPriority w:val="99"/>
    <w:rsid w:val="00161DFB"/>
    <w:pPr>
      <w:spacing w:line="191" w:lineRule="atLeast"/>
    </w:pPr>
    <w:rPr>
      <w:rFonts w:ascii="RotisSemiSans" w:hAnsi="RotisSemiSans" w:cs="Times New Roman"/>
      <w:color w:val="auto"/>
    </w:rPr>
  </w:style>
  <w:style w:type="paragraph" w:customStyle="1" w:styleId="Pa3">
    <w:name w:val="Pa3"/>
    <w:basedOn w:val="Default"/>
    <w:next w:val="Default"/>
    <w:uiPriority w:val="99"/>
    <w:rsid w:val="00161DFB"/>
    <w:pPr>
      <w:spacing w:line="191" w:lineRule="atLeast"/>
    </w:pPr>
    <w:rPr>
      <w:rFonts w:ascii="RotisSemiSans" w:hAnsi="RotisSemiSans" w:cs="Times New Roman"/>
      <w:color w:val="auto"/>
    </w:rPr>
  </w:style>
  <w:style w:type="character" w:customStyle="1" w:styleId="A4">
    <w:name w:val="A4"/>
    <w:uiPriority w:val="99"/>
    <w:rsid w:val="00161DFB"/>
    <w:rPr>
      <w:rFonts w:cs="RotisSemiSans"/>
      <w:color w:val="000000"/>
      <w:sz w:val="17"/>
      <w:szCs w:val="17"/>
    </w:rPr>
  </w:style>
  <w:style w:type="character" w:customStyle="1" w:styleId="Heading2Char">
    <w:name w:val="Heading 2 Char"/>
    <w:aliases w:val="Outline2 Char"/>
    <w:basedOn w:val="DefaultParagraphFont"/>
    <w:link w:val="Heading2"/>
    <w:rsid w:val="00B21DFC"/>
    <w:rPr>
      <w:rFonts w:ascii="Arial" w:hAnsi="Arial"/>
      <w:b/>
      <w:i/>
      <w:sz w:val="24"/>
      <w:lang w:eastAsia="en-US"/>
    </w:rPr>
  </w:style>
  <w:style w:type="character" w:customStyle="1" w:styleId="Heading3Char">
    <w:name w:val="Heading 3 Char"/>
    <w:aliases w:val="Outline3 Char"/>
    <w:basedOn w:val="DefaultParagraphFont"/>
    <w:link w:val="Heading3"/>
    <w:rsid w:val="00B21DFC"/>
    <w:rPr>
      <w:rFonts w:ascii="Arial" w:hAnsi="Arial" w:cs="Arial"/>
      <w:b/>
      <w:bCs/>
      <w:sz w:val="26"/>
      <w:szCs w:val="26"/>
      <w:lang w:eastAsia="en-US"/>
    </w:rPr>
  </w:style>
  <w:style w:type="character" w:customStyle="1" w:styleId="Heading4Char">
    <w:name w:val="Heading 4 Char"/>
    <w:basedOn w:val="DefaultParagraphFont"/>
    <w:link w:val="Heading4"/>
    <w:rsid w:val="00B21DFC"/>
    <w:rPr>
      <w:rFonts w:ascii="Arial" w:hAnsi="Arial"/>
      <w:b/>
      <w:sz w:val="24"/>
      <w:lang w:eastAsia="en-US"/>
    </w:rPr>
  </w:style>
  <w:style w:type="character" w:customStyle="1" w:styleId="Heading5Char">
    <w:name w:val="Heading 5 Char"/>
    <w:basedOn w:val="DefaultParagraphFont"/>
    <w:link w:val="Heading5"/>
    <w:rsid w:val="00B21DFC"/>
    <w:rPr>
      <w:rFonts w:ascii="Arial" w:hAnsi="Arial"/>
      <w:sz w:val="22"/>
      <w:lang w:eastAsia="en-US"/>
    </w:rPr>
  </w:style>
  <w:style w:type="character" w:customStyle="1" w:styleId="Heading6Char">
    <w:name w:val="Heading 6 Char"/>
    <w:basedOn w:val="DefaultParagraphFont"/>
    <w:link w:val="Heading6"/>
    <w:rsid w:val="00B21DFC"/>
    <w:rPr>
      <w:b/>
      <w:bCs/>
      <w:sz w:val="22"/>
      <w:szCs w:val="22"/>
      <w:lang w:eastAsia="en-US"/>
    </w:rPr>
  </w:style>
  <w:style w:type="character" w:customStyle="1" w:styleId="Heading7Char">
    <w:name w:val="Heading 7 Char"/>
    <w:basedOn w:val="DefaultParagraphFont"/>
    <w:link w:val="Heading7"/>
    <w:rsid w:val="00B21DFC"/>
    <w:rPr>
      <w:rFonts w:ascii="Arial" w:hAnsi="Arial"/>
      <w:b/>
      <w:color w:val="000000"/>
      <w:sz w:val="18"/>
      <w:lang w:eastAsia="en-US"/>
    </w:rPr>
  </w:style>
  <w:style w:type="character" w:customStyle="1" w:styleId="Heading8Char">
    <w:name w:val="Heading 8 Char"/>
    <w:basedOn w:val="DefaultParagraphFont"/>
    <w:link w:val="Heading8"/>
    <w:rsid w:val="00B21DFC"/>
    <w:rPr>
      <w:i/>
      <w:iCs/>
      <w:sz w:val="24"/>
      <w:szCs w:val="24"/>
      <w:lang w:eastAsia="en-US"/>
    </w:rPr>
  </w:style>
  <w:style w:type="character" w:customStyle="1" w:styleId="Heading9Char">
    <w:name w:val="Heading 9 Char"/>
    <w:basedOn w:val="DefaultParagraphFont"/>
    <w:link w:val="Heading9"/>
    <w:rsid w:val="00B21DFC"/>
    <w:rPr>
      <w:rFonts w:ascii="Arial" w:hAnsi="Arial" w:cs="Arial"/>
      <w:sz w:val="22"/>
      <w:szCs w:val="22"/>
      <w:lang w:eastAsia="en-US"/>
    </w:rPr>
  </w:style>
  <w:style w:type="paragraph" w:styleId="BodyText2">
    <w:name w:val="Body Text 2"/>
    <w:basedOn w:val="Normal"/>
    <w:link w:val="BodyText2Char"/>
    <w:rsid w:val="00B21DFC"/>
    <w:pPr>
      <w:overflowPunct w:val="0"/>
      <w:autoSpaceDE w:val="0"/>
      <w:autoSpaceDN w:val="0"/>
      <w:adjustRightInd w:val="0"/>
      <w:ind w:left="709" w:hanging="709"/>
      <w:textAlignment w:val="baseline"/>
    </w:pPr>
    <w:rPr>
      <w:rFonts w:ascii="Arial" w:hAnsi="Arial"/>
      <w:b/>
      <w:color w:val="000000"/>
      <w:sz w:val="18"/>
      <w:szCs w:val="20"/>
      <w:lang w:eastAsia="en-US"/>
    </w:rPr>
  </w:style>
  <w:style w:type="character" w:customStyle="1" w:styleId="BodyText2Char">
    <w:name w:val="Body Text 2 Char"/>
    <w:basedOn w:val="DefaultParagraphFont"/>
    <w:link w:val="BodyText2"/>
    <w:rsid w:val="00B21DFC"/>
    <w:rPr>
      <w:rFonts w:ascii="Arial" w:hAnsi="Arial"/>
      <w:b/>
      <w:color w:val="000000"/>
      <w:sz w:val="18"/>
      <w:lang w:eastAsia="en-US"/>
    </w:rPr>
  </w:style>
  <w:style w:type="paragraph" w:styleId="List">
    <w:name w:val="List"/>
    <w:basedOn w:val="Normal"/>
    <w:rsid w:val="00B21DFC"/>
    <w:pPr>
      <w:overflowPunct w:val="0"/>
      <w:autoSpaceDE w:val="0"/>
      <w:autoSpaceDN w:val="0"/>
      <w:adjustRightInd w:val="0"/>
      <w:ind w:left="283" w:hanging="283"/>
      <w:textAlignment w:val="baseline"/>
    </w:pPr>
    <w:rPr>
      <w:sz w:val="20"/>
      <w:szCs w:val="20"/>
      <w:lang w:eastAsia="en-US"/>
    </w:rPr>
  </w:style>
  <w:style w:type="paragraph" w:styleId="BodyText">
    <w:name w:val="Body Text"/>
    <w:basedOn w:val="Normal"/>
    <w:link w:val="BodyTextChar"/>
    <w:rsid w:val="00B21DFC"/>
    <w:pPr>
      <w:overflowPunct w:val="0"/>
      <w:autoSpaceDE w:val="0"/>
      <w:autoSpaceDN w:val="0"/>
      <w:adjustRightInd w:val="0"/>
      <w:spacing w:after="120"/>
      <w:textAlignment w:val="baseline"/>
    </w:pPr>
    <w:rPr>
      <w:sz w:val="20"/>
      <w:szCs w:val="20"/>
      <w:lang w:eastAsia="en-US"/>
    </w:rPr>
  </w:style>
  <w:style w:type="character" w:customStyle="1" w:styleId="BodyTextChar">
    <w:name w:val="Body Text Char"/>
    <w:basedOn w:val="DefaultParagraphFont"/>
    <w:link w:val="BodyText"/>
    <w:rsid w:val="00B21DFC"/>
    <w:rPr>
      <w:lang w:eastAsia="en-US"/>
    </w:rPr>
  </w:style>
  <w:style w:type="paragraph" w:styleId="List2">
    <w:name w:val="List 2"/>
    <w:basedOn w:val="Normal"/>
    <w:rsid w:val="00B21DFC"/>
    <w:pPr>
      <w:overflowPunct w:val="0"/>
      <w:autoSpaceDE w:val="0"/>
      <w:autoSpaceDN w:val="0"/>
      <w:adjustRightInd w:val="0"/>
      <w:ind w:left="566" w:hanging="283"/>
      <w:textAlignment w:val="baseline"/>
    </w:pPr>
    <w:rPr>
      <w:sz w:val="20"/>
      <w:szCs w:val="20"/>
      <w:lang w:eastAsia="en-US"/>
    </w:rPr>
  </w:style>
  <w:style w:type="paragraph" w:styleId="Date">
    <w:name w:val="Date"/>
    <w:basedOn w:val="Normal"/>
    <w:link w:val="DateChar"/>
    <w:rsid w:val="00B21DFC"/>
    <w:pPr>
      <w:overflowPunct w:val="0"/>
      <w:autoSpaceDE w:val="0"/>
      <w:autoSpaceDN w:val="0"/>
      <w:adjustRightInd w:val="0"/>
      <w:textAlignment w:val="baseline"/>
    </w:pPr>
    <w:rPr>
      <w:sz w:val="20"/>
      <w:szCs w:val="20"/>
      <w:lang w:eastAsia="en-US"/>
    </w:rPr>
  </w:style>
  <w:style w:type="character" w:customStyle="1" w:styleId="DateChar">
    <w:name w:val="Date Char"/>
    <w:basedOn w:val="DefaultParagraphFont"/>
    <w:link w:val="Date"/>
    <w:rsid w:val="00B21DFC"/>
    <w:rPr>
      <w:lang w:eastAsia="en-US"/>
    </w:rPr>
  </w:style>
  <w:style w:type="paragraph" w:styleId="ListBullet">
    <w:name w:val="List Bullet"/>
    <w:basedOn w:val="Normal"/>
    <w:rsid w:val="00B21DFC"/>
    <w:pPr>
      <w:overflowPunct w:val="0"/>
      <w:autoSpaceDE w:val="0"/>
      <w:autoSpaceDN w:val="0"/>
      <w:adjustRightInd w:val="0"/>
      <w:ind w:left="283" w:hanging="283"/>
      <w:textAlignment w:val="baseline"/>
    </w:pPr>
    <w:rPr>
      <w:sz w:val="20"/>
      <w:szCs w:val="20"/>
      <w:lang w:eastAsia="en-US"/>
    </w:rPr>
  </w:style>
  <w:style w:type="paragraph" w:styleId="ListBullet3">
    <w:name w:val="List Bullet 3"/>
    <w:basedOn w:val="Normal"/>
    <w:rsid w:val="00B21DFC"/>
    <w:pPr>
      <w:overflowPunct w:val="0"/>
      <w:autoSpaceDE w:val="0"/>
      <w:autoSpaceDN w:val="0"/>
      <w:adjustRightInd w:val="0"/>
      <w:ind w:left="849" w:hanging="283"/>
      <w:textAlignment w:val="baseline"/>
    </w:pPr>
    <w:rPr>
      <w:sz w:val="20"/>
      <w:szCs w:val="20"/>
      <w:lang w:eastAsia="en-US"/>
    </w:rPr>
  </w:style>
  <w:style w:type="paragraph" w:styleId="ListBullet4">
    <w:name w:val="List Bullet 4"/>
    <w:basedOn w:val="Normal"/>
    <w:rsid w:val="00B21DFC"/>
    <w:pPr>
      <w:overflowPunct w:val="0"/>
      <w:autoSpaceDE w:val="0"/>
      <w:autoSpaceDN w:val="0"/>
      <w:adjustRightInd w:val="0"/>
      <w:ind w:left="1132" w:hanging="283"/>
      <w:textAlignment w:val="baseline"/>
    </w:pPr>
    <w:rPr>
      <w:sz w:val="20"/>
      <w:szCs w:val="20"/>
      <w:lang w:eastAsia="en-US"/>
    </w:rPr>
  </w:style>
  <w:style w:type="paragraph" w:styleId="ListContinue">
    <w:name w:val="List Continue"/>
    <w:basedOn w:val="Normal"/>
    <w:rsid w:val="00B21DFC"/>
    <w:pPr>
      <w:overflowPunct w:val="0"/>
      <w:autoSpaceDE w:val="0"/>
      <w:autoSpaceDN w:val="0"/>
      <w:adjustRightInd w:val="0"/>
      <w:spacing w:after="120"/>
      <w:ind w:left="283"/>
      <w:textAlignment w:val="baseline"/>
    </w:pPr>
    <w:rPr>
      <w:sz w:val="20"/>
      <w:szCs w:val="20"/>
      <w:lang w:eastAsia="en-US"/>
    </w:rPr>
  </w:style>
  <w:style w:type="paragraph" w:styleId="ListContinue2">
    <w:name w:val="List Continue 2"/>
    <w:basedOn w:val="Normal"/>
    <w:rsid w:val="00B21DFC"/>
    <w:pPr>
      <w:overflowPunct w:val="0"/>
      <w:autoSpaceDE w:val="0"/>
      <w:autoSpaceDN w:val="0"/>
      <w:adjustRightInd w:val="0"/>
      <w:spacing w:after="120"/>
      <w:ind w:left="566"/>
      <w:textAlignment w:val="baseline"/>
    </w:pPr>
    <w:rPr>
      <w:sz w:val="20"/>
      <w:szCs w:val="20"/>
      <w:lang w:eastAsia="en-US"/>
    </w:rPr>
  </w:style>
  <w:style w:type="paragraph" w:styleId="ListContinue3">
    <w:name w:val="List Continue 3"/>
    <w:basedOn w:val="Normal"/>
    <w:rsid w:val="00B21DFC"/>
    <w:pPr>
      <w:overflowPunct w:val="0"/>
      <w:autoSpaceDE w:val="0"/>
      <w:autoSpaceDN w:val="0"/>
      <w:adjustRightInd w:val="0"/>
      <w:spacing w:after="120"/>
      <w:ind w:left="849"/>
      <w:textAlignment w:val="baseline"/>
    </w:pPr>
    <w:rPr>
      <w:sz w:val="20"/>
      <w:szCs w:val="20"/>
      <w:lang w:eastAsia="en-US"/>
    </w:rPr>
  </w:style>
  <w:style w:type="paragraph" w:styleId="BodyText3">
    <w:name w:val="Body Text 3"/>
    <w:basedOn w:val="BodyText2"/>
    <w:link w:val="BodyText3Char"/>
    <w:rsid w:val="00B21DFC"/>
    <w:pPr>
      <w:spacing w:after="120"/>
      <w:ind w:left="283" w:firstLine="0"/>
    </w:pPr>
    <w:rPr>
      <w:rFonts w:ascii="Times New Roman" w:hAnsi="Times New Roman"/>
      <w:b w:val="0"/>
      <w:color w:val="auto"/>
      <w:sz w:val="20"/>
    </w:rPr>
  </w:style>
  <w:style w:type="character" w:customStyle="1" w:styleId="BodyText3Char">
    <w:name w:val="Body Text 3 Char"/>
    <w:basedOn w:val="DefaultParagraphFont"/>
    <w:link w:val="BodyText3"/>
    <w:rsid w:val="00B21DFC"/>
    <w:rPr>
      <w:lang w:eastAsia="en-US"/>
    </w:rPr>
  </w:style>
  <w:style w:type="paragraph" w:customStyle="1" w:styleId="BodyText4">
    <w:name w:val="Body Text 4"/>
    <w:basedOn w:val="BodyText2"/>
    <w:rsid w:val="00B21DFC"/>
    <w:pPr>
      <w:spacing w:after="120"/>
      <w:ind w:left="283" w:firstLine="0"/>
    </w:pPr>
    <w:rPr>
      <w:rFonts w:ascii="Times New Roman" w:hAnsi="Times New Roman"/>
      <w:b w:val="0"/>
      <w:color w:val="auto"/>
      <w:sz w:val="20"/>
    </w:rPr>
  </w:style>
  <w:style w:type="paragraph" w:customStyle="1" w:styleId="Bullet">
    <w:name w:val="Bullet"/>
    <w:basedOn w:val="Normal"/>
    <w:rsid w:val="00B21DFC"/>
    <w:pPr>
      <w:tabs>
        <w:tab w:val="left" w:pos="284"/>
      </w:tabs>
      <w:overflowPunct w:val="0"/>
      <w:autoSpaceDE w:val="0"/>
      <w:autoSpaceDN w:val="0"/>
      <w:adjustRightInd w:val="0"/>
      <w:spacing w:after="260"/>
      <w:ind w:left="284" w:hanging="284"/>
      <w:jc w:val="both"/>
      <w:textAlignment w:val="baseline"/>
    </w:pPr>
    <w:rPr>
      <w:sz w:val="22"/>
      <w:szCs w:val="20"/>
      <w:lang w:eastAsia="en-US"/>
    </w:rPr>
  </w:style>
  <w:style w:type="character" w:styleId="Strong">
    <w:name w:val="Strong"/>
    <w:uiPriority w:val="22"/>
    <w:qFormat/>
    <w:rsid w:val="00B21DFC"/>
    <w:rPr>
      <w:b/>
      <w:bCs/>
    </w:rPr>
  </w:style>
  <w:style w:type="paragraph" w:customStyle="1" w:styleId="05Bodytext">
    <w:name w:val="05 Body text"/>
    <w:basedOn w:val="Normal"/>
    <w:rsid w:val="00B21DFC"/>
    <w:pPr>
      <w:spacing w:after="284" w:line="360" w:lineRule="auto"/>
    </w:pPr>
    <w:rPr>
      <w:rFonts w:ascii="Arial" w:hAnsi="Arial"/>
      <w:sz w:val="20"/>
      <w:szCs w:val="20"/>
      <w:lang w:eastAsia="en-US"/>
    </w:rPr>
  </w:style>
  <w:style w:type="paragraph" w:customStyle="1" w:styleId="01Chapterhead">
    <w:name w:val="01 Chapter head"/>
    <w:basedOn w:val="05Bodytext"/>
    <w:next w:val="Normal"/>
    <w:rsid w:val="00B21DFC"/>
    <w:pPr>
      <w:keepNext/>
      <w:spacing w:line="240" w:lineRule="auto"/>
    </w:pPr>
    <w:rPr>
      <w:sz w:val="60"/>
    </w:rPr>
  </w:style>
  <w:style w:type="paragraph" w:customStyle="1" w:styleId="06Bullet1">
    <w:name w:val="06 Bullet 1"/>
    <w:basedOn w:val="05Bodytext"/>
    <w:link w:val="06Bullet1Char"/>
    <w:rsid w:val="00B21DFC"/>
    <w:pPr>
      <w:numPr>
        <w:numId w:val="2"/>
      </w:numPr>
      <w:tabs>
        <w:tab w:val="left" w:pos="907"/>
      </w:tabs>
      <w:spacing w:before="140" w:after="0"/>
    </w:pPr>
    <w:rPr>
      <w:lang w:val="x-none"/>
    </w:rPr>
  </w:style>
  <w:style w:type="character" w:customStyle="1" w:styleId="06Bullet1Char">
    <w:name w:val="06 Bullet 1 Char"/>
    <w:link w:val="06Bullet1"/>
    <w:rsid w:val="00B21DFC"/>
    <w:rPr>
      <w:rFonts w:ascii="Arial" w:hAnsi="Arial"/>
      <w:lang w:val="x-none" w:eastAsia="en-US"/>
    </w:rPr>
  </w:style>
  <w:style w:type="paragraph" w:customStyle="1" w:styleId="yellow1">
    <w:name w:val="yellow 1"/>
    <w:basedOn w:val="Heading1"/>
    <w:rsid w:val="00B21DFC"/>
    <w:pPr>
      <w:spacing w:before="60" w:after="60"/>
      <w:ind w:hanging="180"/>
    </w:pPr>
    <w:rPr>
      <w:kern w:val="0"/>
      <w:szCs w:val="24"/>
      <w:lang w:val="x-none" w:eastAsia="en-US"/>
    </w:rPr>
  </w:style>
  <w:style w:type="paragraph" w:customStyle="1" w:styleId="sectionnote">
    <w:name w:val="sectionnote"/>
    <w:basedOn w:val="Normal"/>
    <w:autoRedefine/>
    <w:rsid w:val="00B21DFC"/>
    <w:pPr>
      <w:spacing w:before="60" w:after="60"/>
    </w:pPr>
    <w:rPr>
      <w:rFonts w:ascii="Arial" w:hAnsi="Arial" w:cs="Arial"/>
      <w:i/>
      <w:iCs/>
      <w:color w:val="000000"/>
      <w:sz w:val="18"/>
      <w:lang w:eastAsia="en-US"/>
    </w:rPr>
  </w:style>
  <w:style w:type="character" w:customStyle="1" w:styleId="grame">
    <w:name w:val="grame"/>
    <w:basedOn w:val="DefaultParagraphFont"/>
    <w:rsid w:val="00B21DFC"/>
  </w:style>
  <w:style w:type="character" w:customStyle="1" w:styleId="spelle">
    <w:name w:val="spelle"/>
    <w:basedOn w:val="DefaultParagraphFont"/>
    <w:rsid w:val="00B21DFC"/>
  </w:style>
  <w:style w:type="paragraph" w:customStyle="1" w:styleId="Title1">
    <w:name w:val="Title1"/>
    <w:basedOn w:val="Normal"/>
    <w:rsid w:val="00B21DFC"/>
    <w:pPr>
      <w:spacing w:before="100" w:beforeAutospacing="1" w:after="100" w:afterAutospacing="1"/>
    </w:pPr>
    <w:rPr>
      <w:rFonts w:ascii="Arial" w:hAnsi="Arial" w:cs="Arial"/>
      <w:b/>
      <w:bCs/>
    </w:rPr>
  </w:style>
  <w:style w:type="paragraph" w:customStyle="1" w:styleId="08Bodynumber1">
    <w:name w:val="08 Body number 1"/>
    <w:basedOn w:val="06Bullet1"/>
    <w:link w:val="08Bodynumber1Char"/>
    <w:rsid w:val="00B21DFC"/>
    <w:pPr>
      <w:numPr>
        <w:numId w:val="3"/>
      </w:numPr>
      <w:tabs>
        <w:tab w:val="num" w:pos="360"/>
      </w:tabs>
      <w:spacing w:before="280"/>
    </w:pPr>
  </w:style>
  <w:style w:type="character" w:customStyle="1" w:styleId="08Bodynumber1Char">
    <w:name w:val="08 Body number 1 Char"/>
    <w:basedOn w:val="06Bullet1Char"/>
    <w:link w:val="08Bodynumber1"/>
    <w:rsid w:val="00B21DFC"/>
    <w:rPr>
      <w:rFonts w:ascii="Arial" w:hAnsi="Arial"/>
      <w:lang w:val="x-none" w:eastAsia="en-US"/>
    </w:rPr>
  </w:style>
  <w:style w:type="character" w:customStyle="1" w:styleId="hlterm0">
    <w:name w:val="hlterm0"/>
    <w:basedOn w:val="DefaultParagraphFont"/>
    <w:rsid w:val="00B21DFC"/>
  </w:style>
  <w:style w:type="paragraph" w:customStyle="1" w:styleId="immtextalignleft">
    <w:name w:val="immtextalign_left"/>
    <w:basedOn w:val="Normal"/>
    <w:rsid w:val="00B21DFC"/>
    <w:rPr>
      <w:color w:val="111144"/>
    </w:rPr>
  </w:style>
  <w:style w:type="character" w:styleId="Emphasis">
    <w:name w:val="Emphasis"/>
    <w:uiPriority w:val="20"/>
    <w:qFormat/>
    <w:rsid w:val="00B21DFC"/>
    <w:rPr>
      <w:i/>
      <w:iCs/>
    </w:rPr>
  </w:style>
  <w:style w:type="paragraph" w:styleId="TOC1">
    <w:name w:val="toc 1"/>
    <w:basedOn w:val="Normal"/>
    <w:next w:val="Normal"/>
    <w:autoRedefine/>
    <w:uiPriority w:val="39"/>
    <w:qFormat/>
    <w:rsid w:val="00F62A1B"/>
    <w:pPr>
      <w:tabs>
        <w:tab w:val="left" w:pos="540"/>
        <w:tab w:val="right" w:leader="dot" w:pos="9969"/>
      </w:tabs>
      <w:overflowPunct w:val="0"/>
      <w:autoSpaceDE w:val="0"/>
      <w:autoSpaceDN w:val="0"/>
      <w:adjustRightInd w:val="0"/>
      <w:spacing w:line="360" w:lineRule="auto"/>
      <w:ind w:left="284" w:hanging="284"/>
      <w:textAlignment w:val="baseline"/>
    </w:pPr>
    <w:rPr>
      <w:rFonts w:ascii="Arial Bold" w:hAnsi="Arial Bold"/>
      <w:bCs/>
      <w:noProof/>
      <w:color w:val="000000" w:themeColor="text1"/>
      <w:lang w:eastAsia="en-US"/>
    </w:rPr>
  </w:style>
  <w:style w:type="paragraph" w:styleId="TOC2">
    <w:name w:val="toc 2"/>
    <w:basedOn w:val="Normal"/>
    <w:next w:val="Normal"/>
    <w:autoRedefine/>
    <w:uiPriority w:val="39"/>
    <w:qFormat/>
    <w:rsid w:val="00757D19"/>
    <w:pPr>
      <w:tabs>
        <w:tab w:val="left" w:pos="1200"/>
        <w:tab w:val="right" w:leader="dot" w:pos="9771"/>
      </w:tabs>
      <w:spacing w:line="360" w:lineRule="auto"/>
      <w:ind w:left="238"/>
    </w:pPr>
    <w:rPr>
      <w:rFonts w:ascii="Arial" w:hAnsi="Arial"/>
    </w:rPr>
  </w:style>
  <w:style w:type="character" w:customStyle="1" w:styleId="CommentTextChar">
    <w:name w:val="Comment Text Char"/>
    <w:link w:val="CommentText"/>
    <w:uiPriority w:val="99"/>
    <w:rsid w:val="00B21DFC"/>
  </w:style>
  <w:style w:type="paragraph" w:customStyle="1" w:styleId="11-Bullet1">
    <w:name w:val="11-Bullet 1"/>
    <w:basedOn w:val="Normal"/>
    <w:qFormat/>
    <w:rsid w:val="00B21DFC"/>
    <w:pPr>
      <w:numPr>
        <w:numId w:val="4"/>
      </w:numPr>
      <w:tabs>
        <w:tab w:val="left" w:pos="907"/>
      </w:tabs>
      <w:spacing w:before="80" w:line="320" w:lineRule="atLeast"/>
    </w:pPr>
    <w:rPr>
      <w:rFonts w:ascii="Arial" w:eastAsia="Arial" w:hAnsi="Arial"/>
      <w:sz w:val="22"/>
      <w:szCs w:val="22"/>
      <w:lang w:eastAsia="en-US"/>
    </w:rPr>
  </w:style>
  <w:style w:type="paragraph" w:customStyle="1" w:styleId="01cSubsubheader0">
    <w:name w:val="01c. Sub sub header"/>
    <w:basedOn w:val="ListParagraph"/>
    <w:link w:val="01cSubsubheaderChar"/>
    <w:qFormat/>
    <w:rsid w:val="003272C6"/>
    <w:pPr>
      <w:numPr>
        <w:ilvl w:val="1"/>
        <w:numId w:val="13"/>
      </w:numPr>
      <w:spacing w:line="360" w:lineRule="auto"/>
    </w:pPr>
    <w:rPr>
      <w:rFonts w:ascii="Arial" w:hAnsi="Arial" w:cs="Arial"/>
      <w:b/>
      <w:color w:val="73AE57"/>
      <w:lang w:eastAsia="en-US"/>
    </w:rPr>
  </w:style>
  <w:style w:type="character" w:customStyle="1" w:styleId="FooterChar">
    <w:name w:val="Footer Char"/>
    <w:link w:val="Footer"/>
    <w:uiPriority w:val="99"/>
    <w:rsid w:val="00B21DFC"/>
    <w:rPr>
      <w:sz w:val="24"/>
      <w:szCs w:val="24"/>
    </w:rPr>
  </w:style>
  <w:style w:type="paragraph" w:customStyle="1" w:styleId="01aMainHeader">
    <w:name w:val="01a. Main Header"/>
    <w:basedOn w:val="Normal"/>
    <w:link w:val="01aMainHeaderChar"/>
    <w:qFormat/>
    <w:rsid w:val="001624CF"/>
    <w:pPr>
      <w:spacing w:before="200" w:after="200" w:line="360" w:lineRule="auto"/>
      <w:textAlignment w:val="baseline"/>
    </w:pPr>
    <w:rPr>
      <w:rFonts w:ascii="Arial" w:eastAsia="Arial" w:hAnsi="Arial"/>
      <w:b/>
      <w:color w:val="00526F"/>
      <w:sz w:val="32"/>
      <w:szCs w:val="32"/>
      <w:lang w:val="en-US"/>
    </w:rPr>
  </w:style>
  <w:style w:type="paragraph" w:customStyle="1" w:styleId="01bSubheader">
    <w:name w:val="01b. Sub header"/>
    <w:basedOn w:val="Normal"/>
    <w:link w:val="01bSubheaderChar"/>
    <w:qFormat/>
    <w:rsid w:val="001624CF"/>
    <w:pPr>
      <w:spacing w:line="360" w:lineRule="auto"/>
      <w:jc w:val="both"/>
      <w:textAlignment w:val="baseline"/>
    </w:pPr>
    <w:rPr>
      <w:rFonts w:ascii="Arial" w:eastAsia="Arial" w:hAnsi="Arial" w:cs="Arial"/>
      <w:b/>
      <w:color w:val="66AA58"/>
      <w:sz w:val="28"/>
      <w:szCs w:val="28"/>
      <w:lang w:val="en-US"/>
    </w:rPr>
  </w:style>
  <w:style w:type="character" w:customStyle="1" w:styleId="01aMainHeaderChar">
    <w:name w:val="01a. Main Header Char"/>
    <w:link w:val="01aMainHeader"/>
    <w:rsid w:val="001624CF"/>
    <w:rPr>
      <w:rFonts w:ascii="Arial" w:eastAsia="Arial" w:hAnsi="Arial"/>
      <w:b/>
      <w:color w:val="00526F"/>
      <w:sz w:val="32"/>
      <w:szCs w:val="32"/>
      <w:lang w:val="en-US"/>
    </w:rPr>
  </w:style>
  <w:style w:type="numbering" w:customStyle="1" w:styleId="01cSubsubheader">
    <w:name w:val="01c. Subsub header"/>
    <w:rsid w:val="00B21DFC"/>
    <w:pPr>
      <w:numPr>
        <w:numId w:val="5"/>
      </w:numPr>
    </w:pPr>
  </w:style>
  <w:style w:type="table" w:styleId="TableClassic1">
    <w:name w:val="Table Classic 1"/>
    <w:basedOn w:val="TableNormal"/>
    <w:rsid w:val="00B21DF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01dFootnote">
    <w:name w:val="01d. Footnote"/>
    <w:basedOn w:val="Normal"/>
    <w:qFormat/>
    <w:rsid w:val="00427079"/>
    <w:rPr>
      <w:rFonts w:ascii="Arial" w:hAnsi="Arial" w:cs="Arial"/>
      <w:szCs w:val="20"/>
    </w:rPr>
  </w:style>
  <w:style w:type="paragraph" w:styleId="Revision">
    <w:name w:val="Revision"/>
    <w:hidden/>
    <w:uiPriority w:val="99"/>
    <w:semiHidden/>
    <w:rsid w:val="00B21DFC"/>
    <w:rPr>
      <w:sz w:val="24"/>
      <w:szCs w:val="24"/>
    </w:rPr>
  </w:style>
  <w:style w:type="paragraph" w:styleId="TOCHeading">
    <w:name w:val="TOC Heading"/>
    <w:basedOn w:val="Heading1"/>
    <w:next w:val="Normal"/>
    <w:uiPriority w:val="39"/>
    <w:unhideWhenUsed/>
    <w:qFormat/>
    <w:rsid w:val="00B21DFC"/>
    <w:pPr>
      <w:keepLines/>
      <w:spacing w:before="48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character" w:customStyle="1" w:styleId="HeaderChar">
    <w:name w:val="Header Char"/>
    <w:basedOn w:val="DefaultParagraphFont"/>
    <w:link w:val="Header"/>
    <w:uiPriority w:val="99"/>
    <w:rsid w:val="00B21DFC"/>
    <w:rPr>
      <w:sz w:val="24"/>
      <w:szCs w:val="24"/>
    </w:rPr>
  </w:style>
  <w:style w:type="character" w:customStyle="1" w:styleId="01bSubheaderChar">
    <w:name w:val="01b. Sub header Char"/>
    <w:basedOn w:val="Heading1Char"/>
    <w:link w:val="01bSubheader"/>
    <w:rsid w:val="001624CF"/>
    <w:rPr>
      <w:rFonts w:ascii="Arial" w:eastAsia="Arial" w:hAnsi="Arial" w:cs="Arial"/>
      <w:b/>
      <w:bCs w:val="0"/>
      <w:color w:val="66AA58"/>
      <w:kern w:val="32"/>
      <w:sz w:val="28"/>
      <w:szCs w:val="28"/>
      <w:lang w:val="en-US"/>
    </w:rPr>
  </w:style>
  <w:style w:type="character" w:customStyle="1" w:styleId="01cSubsubheaderChar">
    <w:name w:val="01c. Sub sub header Char"/>
    <w:basedOn w:val="01bSubheaderChar"/>
    <w:link w:val="01cSubsubheader0"/>
    <w:rsid w:val="003272C6"/>
    <w:rPr>
      <w:rFonts w:ascii="Arial" w:eastAsia="Arial" w:hAnsi="Arial" w:cs="Arial"/>
      <w:b/>
      <w:bCs w:val="0"/>
      <w:color w:val="73AE57"/>
      <w:kern w:val="32"/>
      <w:sz w:val="24"/>
      <w:szCs w:val="24"/>
      <w:lang w:val="en-US" w:eastAsia="en-US"/>
    </w:rPr>
  </w:style>
  <w:style w:type="paragraph" w:styleId="TOC4">
    <w:name w:val="toc 4"/>
    <w:basedOn w:val="Normal"/>
    <w:next w:val="Normal"/>
    <w:autoRedefine/>
    <w:unhideWhenUsed/>
    <w:rsid w:val="00B21DFC"/>
    <w:pPr>
      <w:spacing w:after="100"/>
      <w:ind w:left="720"/>
    </w:pPr>
    <w:rPr>
      <w:rFonts w:ascii="Arial" w:hAnsi="Arial"/>
      <w:i/>
      <w:sz w:val="20"/>
    </w:rPr>
  </w:style>
  <w:style w:type="paragraph" w:styleId="TOC3">
    <w:name w:val="toc 3"/>
    <w:basedOn w:val="Normal"/>
    <w:next w:val="Normal"/>
    <w:autoRedefine/>
    <w:uiPriority w:val="39"/>
    <w:unhideWhenUsed/>
    <w:qFormat/>
    <w:rsid w:val="008B1FFB"/>
    <w:pPr>
      <w:spacing w:after="100" w:line="276" w:lineRule="auto"/>
      <w:ind w:left="440"/>
    </w:pPr>
    <w:rPr>
      <w:rFonts w:asciiTheme="minorHAnsi" w:eastAsiaTheme="minorEastAsia" w:hAnsiTheme="minorHAnsi" w:cstheme="minorBidi"/>
      <w:sz w:val="22"/>
      <w:szCs w:val="22"/>
      <w:lang w:val="en-US" w:eastAsia="ja-JP"/>
    </w:rPr>
  </w:style>
  <w:style w:type="paragraph" w:styleId="Bibliography">
    <w:name w:val="Bibliography"/>
    <w:basedOn w:val="Normal"/>
    <w:next w:val="Normal"/>
    <w:uiPriority w:val="37"/>
    <w:semiHidden/>
    <w:unhideWhenUsed/>
    <w:rsid w:val="0040300E"/>
  </w:style>
  <w:style w:type="paragraph" w:styleId="BlockText">
    <w:name w:val="Block Text"/>
    <w:basedOn w:val="Normal"/>
    <w:rsid w:val="0040300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40300E"/>
    <w:pPr>
      <w:overflowPunct/>
      <w:autoSpaceDE/>
      <w:autoSpaceDN/>
      <w:adjustRightInd/>
      <w:spacing w:after="0"/>
      <w:ind w:firstLine="360"/>
      <w:textAlignment w:val="auto"/>
    </w:pPr>
    <w:rPr>
      <w:sz w:val="24"/>
      <w:szCs w:val="24"/>
      <w:lang w:eastAsia="en-GB"/>
    </w:rPr>
  </w:style>
  <w:style w:type="character" w:customStyle="1" w:styleId="BodyTextFirstIndentChar">
    <w:name w:val="Body Text First Indent Char"/>
    <w:basedOn w:val="BodyTextChar"/>
    <w:link w:val="BodyTextFirstIndent"/>
    <w:rsid w:val="0040300E"/>
    <w:rPr>
      <w:sz w:val="24"/>
      <w:szCs w:val="24"/>
      <w:lang w:eastAsia="en-US"/>
    </w:rPr>
  </w:style>
  <w:style w:type="paragraph" w:styleId="BodyTextIndent">
    <w:name w:val="Body Text Indent"/>
    <w:basedOn w:val="Normal"/>
    <w:link w:val="BodyTextIndentChar"/>
    <w:rsid w:val="0040300E"/>
    <w:pPr>
      <w:spacing w:after="120"/>
      <w:ind w:left="283"/>
    </w:pPr>
  </w:style>
  <w:style w:type="character" w:customStyle="1" w:styleId="BodyTextIndentChar">
    <w:name w:val="Body Text Indent Char"/>
    <w:basedOn w:val="DefaultParagraphFont"/>
    <w:link w:val="BodyTextIndent"/>
    <w:rsid w:val="0040300E"/>
    <w:rPr>
      <w:sz w:val="24"/>
      <w:szCs w:val="24"/>
    </w:rPr>
  </w:style>
  <w:style w:type="paragraph" w:styleId="BodyTextFirstIndent2">
    <w:name w:val="Body Text First Indent 2"/>
    <w:basedOn w:val="BodyTextIndent"/>
    <w:link w:val="BodyTextFirstIndent2Char"/>
    <w:rsid w:val="0040300E"/>
    <w:pPr>
      <w:spacing w:after="0"/>
      <w:ind w:left="360" w:firstLine="360"/>
    </w:pPr>
  </w:style>
  <w:style w:type="character" w:customStyle="1" w:styleId="BodyTextFirstIndent2Char">
    <w:name w:val="Body Text First Indent 2 Char"/>
    <w:basedOn w:val="BodyTextIndentChar"/>
    <w:link w:val="BodyTextFirstIndent2"/>
    <w:rsid w:val="0040300E"/>
    <w:rPr>
      <w:sz w:val="24"/>
      <w:szCs w:val="24"/>
    </w:rPr>
  </w:style>
  <w:style w:type="paragraph" w:styleId="BodyTextIndent2">
    <w:name w:val="Body Text Indent 2"/>
    <w:basedOn w:val="Normal"/>
    <w:link w:val="BodyTextIndent2Char"/>
    <w:rsid w:val="0040300E"/>
    <w:pPr>
      <w:spacing w:after="120" w:line="480" w:lineRule="auto"/>
      <w:ind w:left="283"/>
    </w:pPr>
  </w:style>
  <w:style w:type="character" w:customStyle="1" w:styleId="BodyTextIndent2Char">
    <w:name w:val="Body Text Indent 2 Char"/>
    <w:basedOn w:val="DefaultParagraphFont"/>
    <w:link w:val="BodyTextIndent2"/>
    <w:rsid w:val="0040300E"/>
    <w:rPr>
      <w:sz w:val="24"/>
      <w:szCs w:val="24"/>
    </w:rPr>
  </w:style>
  <w:style w:type="paragraph" w:styleId="BodyTextIndent3">
    <w:name w:val="Body Text Indent 3"/>
    <w:basedOn w:val="Normal"/>
    <w:link w:val="BodyTextIndent3Char"/>
    <w:rsid w:val="0040300E"/>
    <w:pPr>
      <w:spacing w:after="120"/>
      <w:ind w:left="283"/>
    </w:pPr>
    <w:rPr>
      <w:sz w:val="16"/>
      <w:szCs w:val="16"/>
    </w:rPr>
  </w:style>
  <w:style w:type="character" w:customStyle="1" w:styleId="BodyTextIndent3Char">
    <w:name w:val="Body Text Indent 3 Char"/>
    <w:basedOn w:val="DefaultParagraphFont"/>
    <w:link w:val="BodyTextIndent3"/>
    <w:rsid w:val="0040300E"/>
    <w:rPr>
      <w:sz w:val="16"/>
      <w:szCs w:val="16"/>
    </w:rPr>
  </w:style>
  <w:style w:type="paragraph" w:styleId="Caption">
    <w:name w:val="caption"/>
    <w:basedOn w:val="Normal"/>
    <w:next w:val="Normal"/>
    <w:uiPriority w:val="35"/>
    <w:unhideWhenUsed/>
    <w:qFormat/>
    <w:rsid w:val="0040300E"/>
    <w:pPr>
      <w:spacing w:after="200"/>
    </w:pPr>
    <w:rPr>
      <w:b/>
      <w:bCs/>
      <w:color w:val="4F81BD" w:themeColor="accent1"/>
      <w:sz w:val="18"/>
      <w:szCs w:val="18"/>
    </w:rPr>
  </w:style>
  <w:style w:type="paragraph" w:styleId="Closing">
    <w:name w:val="Closing"/>
    <w:basedOn w:val="Normal"/>
    <w:link w:val="ClosingChar"/>
    <w:rsid w:val="0040300E"/>
    <w:pPr>
      <w:ind w:left="4252"/>
    </w:pPr>
  </w:style>
  <w:style w:type="character" w:customStyle="1" w:styleId="ClosingChar">
    <w:name w:val="Closing Char"/>
    <w:basedOn w:val="DefaultParagraphFont"/>
    <w:link w:val="Closing"/>
    <w:rsid w:val="0040300E"/>
    <w:rPr>
      <w:sz w:val="24"/>
      <w:szCs w:val="24"/>
    </w:rPr>
  </w:style>
  <w:style w:type="paragraph" w:styleId="DocumentMap">
    <w:name w:val="Document Map"/>
    <w:basedOn w:val="Normal"/>
    <w:link w:val="DocumentMapChar"/>
    <w:rsid w:val="0040300E"/>
    <w:rPr>
      <w:rFonts w:ascii="Tahoma" w:hAnsi="Tahoma" w:cs="Tahoma"/>
      <w:sz w:val="16"/>
      <w:szCs w:val="16"/>
    </w:rPr>
  </w:style>
  <w:style w:type="character" w:customStyle="1" w:styleId="DocumentMapChar">
    <w:name w:val="Document Map Char"/>
    <w:basedOn w:val="DefaultParagraphFont"/>
    <w:link w:val="DocumentMap"/>
    <w:rsid w:val="0040300E"/>
    <w:rPr>
      <w:rFonts w:ascii="Tahoma" w:hAnsi="Tahoma" w:cs="Tahoma"/>
      <w:sz w:val="16"/>
      <w:szCs w:val="16"/>
    </w:rPr>
  </w:style>
  <w:style w:type="paragraph" w:styleId="E-mailSignature">
    <w:name w:val="E-mail Signature"/>
    <w:basedOn w:val="Normal"/>
    <w:link w:val="E-mailSignatureChar"/>
    <w:rsid w:val="0040300E"/>
  </w:style>
  <w:style w:type="character" w:customStyle="1" w:styleId="E-mailSignatureChar">
    <w:name w:val="E-mail Signature Char"/>
    <w:basedOn w:val="DefaultParagraphFont"/>
    <w:link w:val="E-mailSignature"/>
    <w:rsid w:val="0040300E"/>
    <w:rPr>
      <w:sz w:val="24"/>
      <w:szCs w:val="24"/>
    </w:rPr>
  </w:style>
  <w:style w:type="paragraph" w:styleId="EnvelopeAddress">
    <w:name w:val="envelope address"/>
    <w:basedOn w:val="Normal"/>
    <w:rsid w:val="0040300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0300E"/>
    <w:rPr>
      <w:rFonts w:asciiTheme="majorHAnsi" w:eastAsiaTheme="majorEastAsia" w:hAnsiTheme="majorHAnsi" w:cstheme="majorBidi"/>
      <w:sz w:val="20"/>
      <w:szCs w:val="20"/>
    </w:rPr>
  </w:style>
  <w:style w:type="paragraph" w:styleId="HTMLAddress">
    <w:name w:val="HTML Address"/>
    <w:basedOn w:val="Normal"/>
    <w:link w:val="HTMLAddressChar"/>
    <w:rsid w:val="0040300E"/>
    <w:rPr>
      <w:i/>
      <w:iCs/>
    </w:rPr>
  </w:style>
  <w:style w:type="character" w:customStyle="1" w:styleId="HTMLAddressChar">
    <w:name w:val="HTML Address Char"/>
    <w:basedOn w:val="DefaultParagraphFont"/>
    <w:link w:val="HTMLAddress"/>
    <w:rsid w:val="0040300E"/>
    <w:rPr>
      <w:i/>
      <w:iCs/>
      <w:sz w:val="24"/>
      <w:szCs w:val="24"/>
    </w:rPr>
  </w:style>
  <w:style w:type="paragraph" w:styleId="HTMLPreformatted">
    <w:name w:val="HTML Preformatted"/>
    <w:basedOn w:val="Normal"/>
    <w:link w:val="HTMLPreformattedChar"/>
    <w:rsid w:val="0040300E"/>
    <w:rPr>
      <w:rFonts w:ascii="Consolas" w:hAnsi="Consolas"/>
      <w:sz w:val="20"/>
      <w:szCs w:val="20"/>
    </w:rPr>
  </w:style>
  <w:style w:type="character" w:customStyle="1" w:styleId="HTMLPreformattedChar">
    <w:name w:val="HTML Preformatted Char"/>
    <w:basedOn w:val="DefaultParagraphFont"/>
    <w:link w:val="HTMLPreformatted"/>
    <w:rsid w:val="0040300E"/>
    <w:rPr>
      <w:rFonts w:ascii="Consolas" w:hAnsi="Consolas"/>
    </w:rPr>
  </w:style>
  <w:style w:type="paragraph" w:styleId="Index1">
    <w:name w:val="index 1"/>
    <w:basedOn w:val="Normal"/>
    <w:next w:val="Normal"/>
    <w:autoRedefine/>
    <w:rsid w:val="0040300E"/>
    <w:pPr>
      <w:ind w:left="240" w:hanging="240"/>
    </w:pPr>
  </w:style>
  <w:style w:type="paragraph" w:styleId="Index2">
    <w:name w:val="index 2"/>
    <w:basedOn w:val="Normal"/>
    <w:next w:val="Normal"/>
    <w:autoRedefine/>
    <w:rsid w:val="0040300E"/>
    <w:pPr>
      <w:ind w:left="480" w:hanging="240"/>
    </w:pPr>
  </w:style>
  <w:style w:type="paragraph" w:styleId="Index3">
    <w:name w:val="index 3"/>
    <w:basedOn w:val="Normal"/>
    <w:next w:val="Normal"/>
    <w:autoRedefine/>
    <w:rsid w:val="0040300E"/>
    <w:pPr>
      <w:ind w:left="720" w:hanging="240"/>
    </w:pPr>
  </w:style>
  <w:style w:type="paragraph" w:styleId="Index4">
    <w:name w:val="index 4"/>
    <w:basedOn w:val="Normal"/>
    <w:next w:val="Normal"/>
    <w:autoRedefine/>
    <w:rsid w:val="0040300E"/>
    <w:pPr>
      <w:ind w:left="960" w:hanging="240"/>
    </w:pPr>
  </w:style>
  <w:style w:type="paragraph" w:styleId="Index5">
    <w:name w:val="index 5"/>
    <w:basedOn w:val="Normal"/>
    <w:next w:val="Normal"/>
    <w:autoRedefine/>
    <w:rsid w:val="0040300E"/>
    <w:pPr>
      <w:ind w:left="1200" w:hanging="240"/>
    </w:pPr>
  </w:style>
  <w:style w:type="paragraph" w:styleId="Index6">
    <w:name w:val="index 6"/>
    <w:basedOn w:val="Normal"/>
    <w:next w:val="Normal"/>
    <w:autoRedefine/>
    <w:rsid w:val="0040300E"/>
    <w:pPr>
      <w:ind w:left="1440" w:hanging="240"/>
    </w:pPr>
  </w:style>
  <w:style w:type="paragraph" w:styleId="Index7">
    <w:name w:val="index 7"/>
    <w:basedOn w:val="Normal"/>
    <w:next w:val="Normal"/>
    <w:autoRedefine/>
    <w:rsid w:val="0040300E"/>
    <w:pPr>
      <w:ind w:left="1680" w:hanging="240"/>
    </w:pPr>
  </w:style>
  <w:style w:type="paragraph" w:styleId="Index8">
    <w:name w:val="index 8"/>
    <w:basedOn w:val="Normal"/>
    <w:next w:val="Normal"/>
    <w:autoRedefine/>
    <w:rsid w:val="0040300E"/>
    <w:pPr>
      <w:ind w:left="1920" w:hanging="240"/>
    </w:pPr>
  </w:style>
  <w:style w:type="paragraph" w:styleId="Index9">
    <w:name w:val="index 9"/>
    <w:basedOn w:val="Normal"/>
    <w:next w:val="Normal"/>
    <w:autoRedefine/>
    <w:rsid w:val="0040300E"/>
    <w:pPr>
      <w:ind w:left="2160" w:hanging="240"/>
    </w:pPr>
  </w:style>
  <w:style w:type="paragraph" w:styleId="IndexHeading">
    <w:name w:val="index heading"/>
    <w:basedOn w:val="Normal"/>
    <w:next w:val="Index1"/>
    <w:rsid w:val="0040300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030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300E"/>
    <w:rPr>
      <w:b/>
      <w:bCs/>
      <w:i/>
      <w:iCs/>
      <w:color w:val="4F81BD" w:themeColor="accent1"/>
      <w:sz w:val="24"/>
      <w:szCs w:val="24"/>
    </w:rPr>
  </w:style>
  <w:style w:type="paragraph" w:styleId="List3">
    <w:name w:val="List 3"/>
    <w:basedOn w:val="Normal"/>
    <w:rsid w:val="0040300E"/>
    <w:pPr>
      <w:ind w:left="849" w:hanging="283"/>
      <w:contextualSpacing/>
    </w:pPr>
  </w:style>
  <w:style w:type="paragraph" w:styleId="List4">
    <w:name w:val="List 4"/>
    <w:basedOn w:val="Normal"/>
    <w:rsid w:val="0040300E"/>
    <w:pPr>
      <w:ind w:left="1132" w:hanging="283"/>
      <w:contextualSpacing/>
    </w:pPr>
  </w:style>
  <w:style w:type="paragraph" w:styleId="List5">
    <w:name w:val="List 5"/>
    <w:basedOn w:val="Normal"/>
    <w:rsid w:val="0040300E"/>
    <w:pPr>
      <w:ind w:left="1415" w:hanging="283"/>
      <w:contextualSpacing/>
    </w:pPr>
  </w:style>
  <w:style w:type="paragraph" w:styleId="ListBullet2">
    <w:name w:val="List Bullet 2"/>
    <w:basedOn w:val="Normal"/>
    <w:rsid w:val="0040300E"/>
    <w:pPr>
      <w:numPr>
        <w:numId w:val="6"/>
      </w:numPr>
      <w:contextualSpacing/>
    </w:pPr>
  </w:style>
  <w:style w:type="paragraph" w:styleId="ListBullet5">
    <w:name w:val="List Bullet 5"/>
    <w:basedOn w:val="Normal"/>
    <w:rsid w:val="0040300E"/>
    <w:pPr>
      <w:numPr>
        <w:numId w:val="7"/>
      </w:numPr>
      <w:contextualSpacing/>
    </w:pPr>
  </w:style>
  <w:style w:type="paragraph" w:styleId="ListContinue4">
    <w:name w:val="List Continue 4"/>
    <w:basedOn w:val="Normal"/>
    <w:rsid w:val="0040300E"/>
    <w:pPr>
      <w:spacing w:after="120"/>
      <w:ind w:left="1132"/>
      <w:contextualSpacing/>
    </w:pPr>
  </w:style>
  <w:style w:type="paragraph" w:styleId="ListContinue5">
    <w:name w:val="List Continue 5"/>
    <w:basedOn w:val="Normal"/>
    <w:rsid w:val="0040300E"/>
    <w:pPr>
      <w:spacing w:after="120"/>
      <w:ind w:left="1415"/>
      <w:contextualSpacing/>
    </w:pPr>
  </w:style>
  <w:style w:type="paragraph" w:styleId="ListNumber">
    <w:name w:val="List Number"/>
    <w:basedOn w:val="Normal"/>
    <w:rsid w:val="0040300E"/>
    <w:pPr>
      <w:numPr>
        <w:numId w:val="8"/>
      </w:numPr>
      <w:contextualSpacing/>
    </w:pPr>
  </w:style>
  <w:style w:type="paragraph" w:styleId="ListNumber2">
    <w:name w:val="List Number 2"/>
    <w:basedOn w:val="Normal"/>
    <w:rsid w:val="0040300E"/>
    <w:pPr>
      <w:numPr>
        <w:numId w:val="9"/>
      </w:numPr>
      <w:contextualSpacing/>
    </w:pPr>
  </w:style>
  <w:style w:type="paragraph" w:styleId="ListNumber3">
    <w:name w:val="List Number 3"/>
    <w:basedOn w:val="Normal"/>
    <w:rsid w:val="0040300E"/>
    <w:pPr>
      <w:numPr>
        <w:numId w:val="10"/>
      </w:numPr>
      <w:contextualSpacing/>
    </w:pPr>
  </w:style>
  <w:style w:type="paragraph" w:styleId="ListNumber4">
    <w:name w:val="List Number 4"/>
    <w:basedOn w:val="Normal"/>
    <w:rsid w:val="0040300E"/>
    <w:pPr>
      <w:numPr>
        <w:numId w:val="11"/>
      </w:numPr>
      <w:contextualSpacing/>
    </w:pPr>
  </w:style>
  <w:style w:type="paragraph" w:styleId="ListNumber5">
    <w:name w:val="List Number 5"/>
    <w:basedOn w:val="Normal"/>
    <w:rsid w:val="0040300E"/>
    <w:pPr>
      <w:numPr>
        <w:numId w:val="12"/>
      </w:numPr>
      <w:contextualSpacing/>
    </w:pPr>
  </w:style>
  <w:style w:type="paragraph" w:styleId="MacroText">
    <w:name w:val="macro"/>
    <w:link w:val="MacroTextChar"/>
    <w:rsid w:val="0040300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40300E"/>
    <w:rPr>
      <w:rFonts w:ascii="Consolas" w:hAnsi="Consolas"/>
    </w:rPr>
  </w:style>
  <w:style w:type="paragraph" w:styleId="MessageHeader">
    <w:name w:val="Message Header"/>
    <w:basedOn w:val="Normal"/>
    <w:link w:val="MessageHeaderChar"/>
    <w:rsid w:val="0040300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0300E"/>
    <w:rPr>
      <w:rFonts w:asciiTheme="majorHAnsi" w:eastAsiaTheme="majorEastAsia" w:hAnsiTheme="majorHAnsi" w:cstheme="majorBidi"/>
      <w:sz w:val="24"/>
      <w:szCs w:val="24"/>
      <w:shd w:val="pct20" w:color="auto" w:fill="auto"/>
    </w:rPr>
  </w:style>
  <w:style w:type="paragraph" w:styleId="NoSpacing">
    <w:name w:val="No Spacing"/>
    <w:uiPriority w:val="1"/>
    <w:qFormat/>
    <w:rsid w:val="0040300E"/>
    <w:rPr>
      <w:sz w:val="24"/>
      <w:szCs w:val="24"/>
    </w:rPr>
  </w:style>
  <w:style w:type="paragraph" w:styleId="NormalIndent">
    <w:name w:val="Normal Indent"/>
    <w:basedOn w:val="Normal"/>
    <w:rsid w:val="0040300E"/>
    <w:pPr>
      <w:ind w:left="720"/>
    </w:pPr>
  </w:style>
  <w:style w:type="paragraph" w:styleId="NoteHeading">
    <w:name w:val="Note Heading"/>
    <w:basedOn w:val="Normal"/>
    <w:next w:val="Normal"/>
    <w:link w:val="NoteHeadingChar"/>
    <w:rsid w:val="0040300E"/>
  </w:style>
  <w:style w:type="character" w:customStyle="1" w:styleId="NoteHeadingChar">
    <w:name w:val="Note Heading Char"/>
    <w:basedOn w:val="DefaultParagraphFont"/>
    <w:link w:val="NoteHeading"/>
    <w:rsid w:val="0040300E"/>
    <w:rPr>
      <w:sz w:val="24"/>
      <w:szCs w:val="24"/>
    </w:rPr>
  </w:style>
  <w:style w:type="paragraph" w:styleId="Quote">
    <w:name w:val="Quote"/>
    <w:basedOn w:val="Normal"/>
    <w:next w:val="Normal"/>
    <w:link w:val="QuoteChar"/>
    <w:uiPriority w:val="29"/>
    <w:qFormat/>
    <w:rsid w:val="0040300E"/>
    <w:rPr>
      <w:i/>
      <w:iCs/>
      <w:color w:val="000000" w:themeColor="text1"/>
    </w:rPr>
  </w:style>
  <w:style w:type="character" w:customStyle="1" w:styleId="QuoteChar">
    <w:name w:val="Quote Char"/>
    <w:basedOn w:val="DefaultParagraphFont"/>
    <w:link w:val="Quote"/>
    <w:uiPriority w:val="29"/>
    <w:rsid w:val="0040300E"/>
    <w:rPr>
      <w:i/>
      <w:iCs/>
      <w:color w:val="000000" w:themeColor="text1"/>
      <w:sz w:val="24"/>
      <w:szCs w:val="24"/>
    </w:rPr>
  </w:style>
  <w:style w:type="paragraph" w:styleId="Salutation">
    <w:name w:val="Salutation"/>
    <w:basedOn w:val="Normal"/>
    <w:next w:val="Normal"/>
    <w:link w:val="SalutationChar"/>
    <w:rsid w:val="0040300E"/>
  </w:style>
  <w:style w:type="character" w:customStyle="1" w:styleId="SalutationChar">
    <w:name w:val="Salutation Char"/>
    <w:basedOn w:val="DefaultParagraphFont"/>
    <w:link w:val="Salutation"/>
    <w:rsid w:val="0040300E"/>
    <w:rPr>
      <w:sz w:val="24"/>
      <w:szCs w:val="24"/>
    </w:rPr>
  </w:style>
  <w:style w:type="paragraph" w:styleId="Signature">
    <w:name w:val="Signature"/>
    <w:basedOn w:val="Normal"/>
    <w:link w:val="SignatureChar"/>
    <w:rsid w:val="0040300E"/>
    <w:pPr>
      <w:ind w:left="4252"/>
    </w:pPr>
  </w:style>
  <w:style w:type="character" w:customStyle="1" w:styleId="SignatureChar">
    <w:name w:val="Signature Char"/>
    <w:basedOn w:val="DefaultParagraphFont"/>
    <w:link w:val="Signature"/>
    <w:rsid w:val="0040300E"/>
    <w:rPr>
      <w:sz w:val="24"/>
      <w:szCs w:val="24"/>
    </w:rPr>
  </w:style>
  <w:style w:type="paragraph" w:styleId="Subtitle">
    <w:name w:val="Subtitle"/>
    <w:basedOn w:val="Normal"/>
    <w:next w:val="Normal"/>
    <w:link w:val="SubtitleChar"/>
    <w:qFormat/>
    <w:rsid w:val="004030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0300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0300E"/>
    <w:pPr>
      <w:ind w:left="240" w:hanging="240"/>
    </w:pPr>
  </w:style>
  <w:style w:type="paragraph" w:styleId="TableofFigures">
    <w:name w:val="table of figures"/>
    <w:basedOn w:val="Normal"/>
    <w:next w:val="Normal"/>
    <w:uiPriority w:val="99"/>
    <w:rsid w:val="0040300E"/>
  </w:style>
  <w:style w:type="paragraph" w:styleId="Title">
    <w:name w:val="Title"/>
    <w:basedOn w:val="Normal"/>
    <w:next w:val="Normal"/>
    <w:link w:val="TitleChar"/>
    <w:uiPriority w:val="99"/>
    <w:qFormat/>
    <w:rsid w:val="004030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40300E"/>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40300E"/>
    <w:pPr>
      <w:spacing w:before="120"/>
    </w:pPr>
    <w:rPr>
      <w:rFonts w:asciiTheme="majorHAnsi" w:eastAsiaTheme="majorEastAsia" w:hAnsiTheme="majorHAnsi" w:cstheme="majorBidi"/>
      <w:b/>
      <w:bCs/>
    </w:rPr>
  </w:style>
  <w:style w:type="paragraph" w:styleId="TOC5">
    <w:name w:val="toc 5"/>
    <w:basedOn w:val="Normal"/>
    <w:next w:val="Normal"/>
    <w:autoRedefine/>
    <w:rsid w:val="0040300E"/>
    <w:pPr>
      <w:spacing w:after="100"/>
      <w:ind w:left="960"/>
    </w:pPr>
  </w:style>
  <w:style w:type="paragraph" w:styleId="TOC6">
    <w:name w:val="toc 6"/>
    <w:basedOn w:val="Normal"/>
    <w:next w:val="Normal"/>
    <w:autoRedefine/>
    <w:rsid w:val="0040300E"/>
    <w:pPr>
      <w:spacing w:after="100"/>
      <w:ind w:left="1200"/>
    </w:pPr>
  </w:style>
  <w:style w:type="paragraph" w:styleId="TOC7">
    <w:name w:val="toc 7"/>
    <w:basedOn w:val="Normal"/>
    <w:next w:val="Normal"/>
    <w:autoRedefine/>
    <w:rsid w:val="0040300E"/>
    <w:pPr>
      <w:spacing w:after="100"/>
      <w:ind w:left="1440"/>
    </w:pPr>
  </w:style>
  <w:style w:type="paragraph" w:styleId="TOC8">
    <w:name w:val="toc 8"/>
    <w:basedOn w:val="Normal"/>
    <w:next w:val="Normal"/>
    <w:autoRedefine/>
    <w:rsid w:val="0040300E"/>
    <w:pPr>
      <w:spacing w:after="100"/>
      <w:ind w:left="1680"/>
    </w:pPr>
  </w:style>
  <w:style w:type="paragraph" w:styleId="TOC9">
    <w:name w:val="toc 9"/>
    <w:basedOn w:val="Normal"/>
    <w:next w:val="Normal"/>
    <w:autoRedefine/>
    <w:rsid w:val="0040300E"/>
    <w:pPr>
      <w:spacing w:after="100"/>
      <w:ind w:left="1920"/>
    </w:pPr>
  </w:style>
  <w:style w:type="table" w:customStyle="1" w:styleId="TableGrid5">
    <w:name w:val="Table Grid5"/>
    <w:basedOn w:val="TableNormal"/>
    <w:next w:val="TableGrid"/>
    <w:uiPriority w:val="59"/>
    <w:rsid w:val="00B80F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0nh2b">
    <w:name w:val="y0nh2b"/>
    <w:basedOn w:val="DefaultParagraphFont"/>
    <w:rsid w:val="00460F24"/>
  </w:style>
  <w:style w:type="table" w:customStyle="1" w:styleId="TableGrid6">
    <w:name w:val="Table Grid6"/>
    <w:basedOn w:val="TableNormal"/>
    <w:next w:val="TableGrid"/>
    <w:uiPriority w:val="59"/>
    <w:rsid w:val="000506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1aMainHeader12pt">
    <w:name w:val="Style 01a. Main Header + 12 pt"/>
    <w:basedOn w:val="01aMainHeader"/>
    <w:rsid w:val="00061D49"/>
    <w:rPr>
      <w:bCs/>
      <w:sz w:val="36"/>
      <w:szCs w:val="36"/>
      <w:lang w:val="en-GB"/>
    </w:rPr>
  </w:style>
  <w:style w:type="paragraph" w:customStyle="1" w:styleId="Style01bSubheaderLeft">
    <w:name w:val="Style 01b. Sub header + Left"/>
    <w:basedOn w:val="01bSubheader"/>
    <w:rsid w:val="00061D49"/>
    <w:pPr>
      <w:jc w:val="left"/>
    </w:pPr>
    <w:rPr>
      <w:rFonts w:cs="Times New Roman"/>
      <w:bCs/>
      <w:noProof/>
      <w:color w:val="auto"/>
      <w:szCs w:val="20"/>
    </w:rPr>
  </w:style>
  <w:style w:type="character" w:customStyle="1" w:styleId="BalloonTextChar">
    <w:name w:val="Balloon Text Char"/>
    <w:basedOn w:val="DefaultParagraphFont"/>
    <w:link w:val="BalloonText"/>
    <w:semiHidden/>
    <w:rsid w:val="00061D49"/>
    <w:rPr>
      <w:rFonts w:ascii="Tahoma" w:hAnsi="Tahoma" w:cs="Tahoma"/>
      <w:sz w:val="16"/>
      <w:szCs w:val="16"/>
    </w:rPr>
  </w:style>
  <w:style w:type="character" w:customStyle="1" w:styleId="CommentSubjectChar">
    <w:name w:val="Comment Subject Char"/>
    <w:basedOn w:val="CommentTextChar"/>
    <w:link w:val="CommentSubject"/>
    <w:semiHidden/>
    <w:rsid w:val="00061D49"/>
    <w:rPr>
      <w:b/>
      <w:bCs/>
    </w:rPr>
  </w:style>
  <w:style w:type="table" w:customStyle="1" w:styleId="TableGrid11">
    <w:name w:val="Table Grid11"/>
    <w:basedOn w:val="TableNormal"/>
    <w:next w:val="TableGrid"/>
    <w:uiPriority w:val="59"/>
    <w:rsid w:val="00061D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0D2572"/>
  </w:style>
  <w:style w:type="table" w:styleId="GridTable3-Accent6">
    <w:name w:val="Grid Table 3 Accent 6"/>
    <w:basedOn w:val="TableNormal"/>
    <w:uiPriority w:val="48"/>
    <w:rsid w:val="00061D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7Colorful-Accent6">
    <w:name w:val="List Table 7 Colorful Accent 6"/>
    <w:basedOn w:val="TableNormal"/>
    <w:uiPriority w:val="52"/>
    <w:rsid w:val="00061D4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61D4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061D4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061D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3">
    <w:name w:val="List Table 6 Colorful Accent 3"/>
    <w:basedOn w:val="TableNormal"/>
    <w:uiPriority w:val="51"/>
    <w:rsid w:val="00061D4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3">
    <w:name w:val="List Table 3"/>
    <w:basedOn w:val="TableNormal"/>
    <w:uiPriority w:val="48"/>
    <w:rsid w:val="00061D4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3">
    <w:name w:val="List Table 3 Accent 3"/>
    <w:basedOn w:val="TableNormal"/>
    <w:uiPriority w:val="48"/>
    <w:rsid w:val="00061D4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6">
    <w:name w:val="List Table 3 Accent 6"/>
    <w:basedOn w:val="TableNormal"/>
    <w:uiPriority w:val="48"/>
    <w:rsid w:val="00061D4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5Dark-Accent1">
    <w:name w:val="Grid Table 5 Dark Accent 1"/>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1Light">
    <w:name w:val="Grid Table 1 Light"/>
    <w:basedOn w:val="TableNormal"/>
    <w:uiPriority w:val="46"/>
    <w:rsid w:val="00061D4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061D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4">
    <w:name w:val="Grid Table 3 Accent 4"/>
    <w:basedOn w:val="TableNormal"/>
    <w:uiPriority w:val="48"/>
    <w:rsid w:val="00061D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3">
    <w:name w:val="Grid Table 3 Accent 3"/>
    <w:basedOn w:val="TableNormal"/>
    <w:uiPriority w:val="48"/>
    <w:rsid w:val="00061D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2">
    <w:name w:val="Grid Table 3 Accent 2"/>
    <w:basedOn w:val="TableNormal"/>
    <w:uiPriority w:val="48"/>
    <w:rsid w:val="00061D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1">
    <w:name w:val="Grid Table 3 Accent 1"/>
    <w:basedOn w:val="TableNormal"/>
    <w:uiPriority w:val="48"/>
    <w:rsid w:val="00061D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
    <w:name w:val="Grid Table 5 Dark"/>
    <w:basedOn w:val="TableNormal"/>
    <w:uiPriority w:val="50"/>
    <w:rsid w:val="00061D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6Colorful">
    <w:name w:val="List Table 6 Colorful"/>
    <w:basedOn w:val="TableNormal"/>
    <w:uiPriority w:val="51"/>
    <w:rsid w:val="00061D4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61D4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61D4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4">
    <w:name w:val="List Table 3 Accent 4"/>
    <w:basedOn w:val="TableNormal"/>
    <w:uiPriority w:val="48"/>
    <w:rsid w:val="00061D4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61D4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6Colorful">
    <w:name w:val="Grid Table 6 Colorful"/>
    <w:basedOn w:val="TableNormal"/>
    <w:uiPriority w:val="51"/>
    <w:rsid w:val="00061D4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61D4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61D4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61D4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61D4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61D4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61D4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61D4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5">
    <w:name w:val="Grid Table 7 Colorful Accent 5"/>
    <w:basedOn w:val="TableNormal"/>
    <w:uiPriority w:val="52"/>
    <w:rsid w:val="00061D4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1Light-Accent5">
    <w:name w:val="List Table 1 Light Accent 5"/>
    <w:basedOn w:val="TableNormal"/>
    <w:uiPriority w:val="46"/>
    <w:rsid w:val="00061D4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4">
    <w:name w:val="List Table 1 Light Accent 4"/>
    <w:basedOn w:val="TableNormal"/>
    <w:uiPriority w:val="46"/>
    <w:rsid w:val="00061D4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4">
    <w:name w:val="Grid Table 7 Colorful Accent 4"/>
    <w:basedOn w:val="TableNormal"/>
    <w:uiPriority w:val="52"/>
    <w:rsid w:val="00061D4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PlainTable2">
    <w:name w:val="Plain Table 2"/>
    <w:basedOn w:val="TableNormal"/>
    <w:uiPriority w:val="42"/>
    <w:rsid w:val="00061D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061D4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061D49"/>
    <w:rPr>
      <w:rFonts w:ascii="Gill Sans MT" w:hAnsi="Gill Sans MT"/>
      <w:lang w:eastAsia="en-US"/>
    </w:rPr>
    <w:tblPr>
      <w:tblStyleRowBandSize w:val="1"/>
      <w:tblStyleColBandSize w:val="1"/>
      <w:tblBorders>
        <w:top w:val="single" w:sz="4" w:space="0" w:color="C7E4DB"/>
        <w:left w:val="single" w:sz="4" w:space="0" w:color="C7E4DB"/>
        <w:bottom w:val="single" w:sz="4" w:space="0" w:color="C7E4DB"/>
        <w:right w:val="single" w:sz="4" w:space="0" w:color="C7E4DB"/>
        <w:insideH w:val="single" w:sz="4" w:space="0" w:color="C7E4DB"/>
        <w:insideV w:val="single" w:sz="4" w:space="0" w:color="C7E4DB"/>
      </w:tblBorders>
    </w:tblPr>
    <w:tblStylePr w:type="firstRow">
      <w:rPr>
        <w:b/>
        <w:bCs/>
      </w:rPr>
      <w:tblPr/>
      <w:tcPr>
        <w:tcBorders>
          <w:bottom w:val="single" w:sz="12" w:space="0" w:color="ACD7CA"/>
        </w:tcBorders>
      </w:tcPr>
    </w:tblStylePr>
    <w:tblStylePr w:type="lastRow">
      <w:rPr>
        <w:b/>
        <w:bCs/>
      </w:rPr>
      <w:tblPr/>
      <w:tcPr>
        <w:tcBorders>
          <w:top w:val="double" w:sz="2" w:space="0" w:color="ACD7CA"/>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1D4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Style1">
    <w:name w:val="Style1"/>
    <w:basedOn w:val="Title"/>
    <w:link w:val="Style1Char"/>
    <w:qFormat/>
    <w:rsid w:val="00061D49"/>
    <w:pPr>
      <w:pBdr>
        <w:bottom w:val="none" w:sz="0" w:space="0" w:color="auto"/>
      </w:pBdr>
      <w:spacing w:after="0"/>
    </w:pPr>
    <w:rPr>
      <w:spacing w:val="-10"/>
      <w:sz w:val="56"/>
      <w:szCs w:val="56"/>
      <w:lang w:eastAsia="en-US"/>
    </w:rPr>
  </w:style>
  <w:style w:type="character" w:customStyle="1" w:styleId="Style1Char">
    <w:name w:val="Style1 Char"/>
    <w:basedOn w:val="TitleChar"/>
    <w:link w:val="Style1"/>
    <w:rsid w:val="00061D49"/>
    <w:rPr>
      <w:rFonts w:asciiTheme="majorHAnsi" w:eastAsiaTheme="majorEastAsia" w:hAnsiTheme="majorHAnsi" w:cstheme="majorBidi"/>
      <w:color w:val="17365D" w:themeColor="text2" w:themeShade="BF"/>
      <w:spacing w:val="-10"/>
      <w:kern w:val="28"/>
      <w:sz w:val="56"/>
      <w:szCs w:val="56"/>
      <w:lang w:eastAsia="en-US"/>
    </w:rPr>
  </w:style>
  <w:style w:type="table" w:customStyle="1" w:styleId="GridTable1Light-Accent32">
    <w:name w:val="Grid Table 1 Light - Accent 32"/>
    <w:basedOn w:val="TableNormal"/>
    <w:next w:val="GridTable1Light-Accent3"/>
    <w:uiPriority w:val="46"/>
    <w:rsid w:val="00061D49"/>
    <w:rPr>
      <w:rFonts w:ascii="Gill Sans MT" w:hAnsi="Gill Sans MT"/>
      <w:lang w:eastAsia="en-US"/>
    </w:rPr>
    <w:tblPr>
      <w:tblStyleRowBandSize w:val="1"/>
      <w:tblStyleColBandSize w:val="1"/>
      <w:tblBorders>
        <w:top w:val="single" w:sz="4" w:space="0" w:color="BDC6D7"/>
        <w:left w:val="single" w:sz="4" w:space="0" w:color="BDC6D7"/>
        <w:bottom w:val="single" w:sz="4" w:space="0" w:color="BDC6D7"/>
        <w:right w:val="single" w:sz="4" w:space="0" w:color="BDC6D7"/>
        <w:insideH w:val="single" w:sz="4" w:space="0" w:color="BDC6D7"/>
        <w:insideV w:val="single" w:sz="4" w:space="0" w:color="BDC6D7"/>
      </w:tblBorders>
    </w:tblPr>
    <w:tblStylePr w:type="firstRow">
      <w:rPr>
        <w:b/>
        <w:bCs/>
      </w:rPr>
      <w:tblPr/>
      <w:tcPr>
        <w:tcBorders>
          <w:bottom w:val="single" w:sz="12" w:space="0" w:color="9CAAC3"/>
        </w:tcBorders>
      </w:tcPr>
    </w:tblStylePr>
    <w:tblStylePr w:type="lastRow">
      <w:rPr>
        <w:b/>
        <w:bCs/>
      </w:rPr>
      <w:tblPr/>
      <w:tcPr>
        <w:tcBorders>
          <w:top w:val="double" w:sz="2" w:space="0" w:color="9CAAC3"/>
        </w:tcBorders>
      </w:tcPr>
    </w:tblStylePr>
    <w:tblStylePr w:type="firstCol">
      <w:rPr>
        <w:b/>
        <w:bCs/>
      </w:rPr>
    </w:tblStylePr>
    <w:tblStylePr w:type="lastCol">
      <w:rPr>
        <w:b/>
        <w:bCs/>
      </w:rPr>
    </w:tblStylePr>
  </w:style>
  <w:style w:type="character" w:customStyle="1" w:styleId="text-class-181">
    <w:name w:val="text-class-181"/>
    <w:basedOn w:val="DefaultParagraphFont"/>
    <w:rsid w:val="001A5B51"/>
    <w:rPr>
      <w:sz w:val="20"/>
      <w:szCs w:val="20"/>
    </w:rPr>
  </w:style>
  <w:style w:type="table" w:customStyle="1" w:styleId="TableGrid7">
    <w:name w:val="Table Grid7"/>
    <w:basedOn w:val="TableNormal"/>
    <w:next w:val="TableGrid"/>
    <w:uiPriority w:val="59"/>
    <w:rsid w:val="000025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s3">
    <w:name w:val="x_s3"/>
    <w:basedOn w:val="Normal"/>
    <w:rsid w:val="00290EE4"/>
    <w:pPr>
      <w:spacing w:before="100" w:beforeAutospacing="1" w:after="100" w:afterAutospacing="1"/>
    </w:pPr>
    <w:rPr>
      <w:rFonts w:eastAsiaTheme="minorHAnsi"/>
    </w:rPr>
  </w:style>
  <w:style w:type="paragraph" w:customStyle="1" w:styleId="Pa0">
    <w:name w:val="Pa0"/>
    <w:basedOn w:val="Default"/>
    <w:next w:val="Default"/>
    <w:uiPriority w:val="99"/>
    <w:rsid w:val="00103843"/>
    <w:pPr>
      <w:spacing w:line="241" w:lineRule="atLeast"/>
    </w:pPr>
    <w:rPr>
      <w:rFonts w:ascii="RotisSemiSans Light" w:eastAsiaTheme="minorHAnsi" w:hAnsi="RotisSemiSans Light" w:cstheme="minorBidi"/>
      <w:color w:val="auto"/>
      <w:lang w:eastAsia="en-US"/>
    </w:rPr>
  </w:style>
  <w:style w:type="table" w:customStyle="1" w:styleId="TableGrid8">
    <w:name w:val="Table Grid8"/>
    <w:basedOn w:val="TableNormal"/>
    <w:next w:val="TableGrid"/>
    <w:uiPriority w:val="39"/>
    <w:rsid w:val="00187D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F5 List Paragraph Char,L Char"/>
    <w:basedOn w:val="DefaultParagraphFont"/>
    <w:link w:val="ListParagraph"/>
    <w:uiPriority w:val="34"/>
    <w:locked/>
    <w:rsid w:val="00187D36"/>
    <w:rPr>
      <w:sz w:val="24"/>
      <w:szCs w:val="24"/>
    </w:rPr>
  </w:style>
  <w:style w:type="character" w:customStyle="1" w:styleId="A3">
    <w:name w:val="A3"/>
    <w:uiPriority w:val="99"/>
    <w:rsid w:val="00187D36"/>
    <w:rPr>
      <w:rFonts w:cs="RotisSemiSans Light"/>
      <w:color w:val="000000"/>
      <w:sz w:val="22"/>
      <w:szCs w:val="22"/>
    </w:rPr>
  </w:style>
  <w:style w:type="paragraph" w:customStyle="1" w:styleId="default0">
    <w:name w:val="default"/>
    <w:basedOn w:val="Normal"/>
    <w:rsid w:val="006619B1"/>
    <w:pPr>
      <w:spacing w:before="100" w:beforeAutospacing="1" w:after="100" w:afterAutospacing="1"/>
    </w:pPr>
    <w:rPr>
      <w:rFonts w:eastAsiaTheme="minorHAnsi"/>
    </w:rPr>
  </w:style>
  <w:style w:type="character" w:customStyle="1" w:styleId="A7">
    <w:name w:val="A7"/>
    <w:uiPriority w:val="99"/>
    <w:rsid w:val="000A5965"/>
    <w:rPr>
      <w:rFonts w:cs="Rotis Semi Sans Std"/>
      <w:color w:val="000000"/>
      <w:sz w:val="14"/>
      <w:szCs w:val="14"/>
    </w:rPr>
  </w:style>
  <w:style w:type="paragraph" w:customStyle="1" w:styleId="gem-c-lead-paragraph">
    <w:name w:val="gem-c-lead-paragraph"/>
    <w:basedOn w:val="Normal"/>
    <w:rsid w:val="000D7CD6"/>
    <w:pPr>
      <w:spacing w:before="100" w:beforeAutospacing="1" w:after="100" w:afterAutospacing="1"/>
    </w:pPr>
  </w:style>
  <w:style w:type="character" w:customStyle="1" w:styleId="e24kjd">
    <w:name w:val="e24kjd"/>
    <w:basedOn w:val="DefaultParagraphFont"/>
    <w:rsid w:val="00090769"/>
  </w:style>
  <w:style w:type="character" w:customStyle="1" w:styleId="apple-converted-space">
    <w:name w:val="apple-converted-space"/>
    <w:basedOn w:val="DefaultParagraphFont"/>
    <w:rsid w:val="00B71F38"/>
  </w:style>
  <w:style w:type="paragraph" w:customStyle="1" w:styleId="09-Bodytext">
    <w:name w:val="09-Body text"/>
    <w:basedOn w:val="Normal"/>
    <w:qFormat/>
    <w:rsid w:val="00635B00"/>
    <w:pPr>
      <w:tabs>
        <w:tab w:val="left" w:pos="454"/>
        <w:tab w:val="left" w:pos="567"/>
      </w:tabs>
      <w:spacing w:after="240"/>
      <w:ind w:right="2268"/>
    </w:pPr>
    <w:rPr>
      <w:rFonts w:ascii="Arial" w:hAnsi="Arial"/>
      <w:color w:val="595959" w:themeColor="text1" w:themeTint="A6"/>
      <w:sz w:val="20"/>
      <w:szCs w:val="20"/>
    </w:rPr>
  </w:style>
  <w:style w:type="paragraph" w:customStyle="1" w:styleId="16-Subhead2">
    <w:name w:val="16-Subhead 2"/>
    <w:basedOn w:val="Normal"/>
    <w:next w:val="Normal"/>
    <w:qFormat/>
    <w:rsid w:val="00635B00"/>
    <w:pPr>
      <w:keepNext/>
      <w:keepLines/>
      <w:tabs>
        <w:tab w:val="left" w:pos="454"/>
        <w:tab w:val="left" w:pos="567"/>
      </w:tabs>
      <w:spacing w:before="240"/>
      <w:ind w:right="2268"/>
      <w:outlineLvl w:val="2"/>
    </w:pPr>
    <w:rPr>
      <w:rFonts w:ascii="Arial" w:hAnsi="Arial"/>
      <w:b/>
      <w:color w:val="006B8D"/>
      <w:sz w:val="22"/>
      <w:szCs w:val="26"/>
    </w:rPr>
  </w:style>
  <w:style w:type="character" w:customStyle="1" w:styleId="01-Bold">
    <w:name w:val="01-Bold"/>
    <w:basedOn w:val="DefaultParagraphFont"/>
    <w:uiPriority w:val="1"/>
    <w:qFormat/>
    <w:rsid w:val="00635B00"/>
    <w:rPr>
      <w:b/>
    </w:rPr>
  </w:style>
  <w:style w:type="character" w:customStyle="1" w:styleId="04-Normalcharacter">
    <w:name w:val="04-Normal character"/>
    <w:uiPriority w:val="1"/>
    <w:qFormat/>
    <w:rsid w:val="00635B00"/>
  </w:style>
  <w:style w:type="paragraph" w:customStyle="1" w:styleId="paragraph">
    <w:name w:val="paragraph"/>
    <w:basedOn w:val="Normal"/>
    <w:uiPriority w:val="99"/>
    <w:rsid w:val="00635B00"/>
    <w:pPr>
      <w:spacing w:before="100" w:beforeAutospacing="1" w:after="100" w:afterAutospacing="1"/>
    </w:pPr>
  </w:style>
  <w:style w:type="character" w:customStyle="1" w:styleId="normaltextrun">
    <w:name w:val="normaltextrun"/>
    <w:basedOn w:val="DefaultParagraphFont"/>
    <w:rsid w:val="00635B00"/>
  </w:style>
  <w:style w:type="character" w:styleId="UnresolvedMention">
    <w:name w:val="Unresolved Mention"/>
    <w:basedOn w:val="DefaultParagraphFont"/>
    <w:uiPriority w:val="99"/>
    <w:semiHidden/>
    <w:unhideWhenUsed/>
    <w:rsid w:val="000C6600"/>
    <w:rPr>
      <w:color w:val="605E5C"/>
      <w:shd w:val="clear" w:color="auto" w:fill="E1DFDD"/>
    </w:rPr>
  </w:style>
  <w:style w:type="table" w:customStyle="1" w:styleId="TableGrid9">
    <w:name w:val="Table Grid9"/>
    <w:basedOn w:val="TableNormal"/>
    <w:next w:val="TableGrid"/>
    <w:uiPriority w:val="59"/>
    <w:rsid w:val="00850026"/>
    <w:rPr>
      <w:rFonts w:ascii="Calibri" w:eastAsia="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Copy">
    <w:name w:val="BulletCopy"/>
    <w:basedOn w:val="BodyText"/>
    <w:qFormat/>
    <w:rsid w:val="00B46587"/>
    <w:pPr>
      <w:overflowPunct/>
      <w:autoSpaceDE/>
      <w:autoSpaceDN/>
      <w:adjustRightInd/>
      <w:spacing w:after="0" w:line="300" w:lineRule="atLeast"/>
      <w:textAlignment w:val="auto"/>
    </w:pPr>
    <w:rPr>
      <w:rFonts w:ascii="Arial" w:eastAsia="Calibri" w:hAnsi="Arial"/>
      <w:color w:val="000000" w:themeColor="text1"/>
      <w:szCs w:val="22"/>
    </w:rPr>
  </w:style>
  <w:style w:type="character" w:customStyle="1" w:styleId="eop">
    <w:name w:val="eop"/>
    <w:basedOn w:val="DefaultParagraphFont"/>
    <w:rsid w:val="003A7816"/>
  </w:style>
  <w:style w:type="paragraph" w:customStyle="1" w:styleId="xmsonormal">
    <w:name w:val="x_msonormal"/>
    <w:basedOn w:val="Normal"/>
    <w:uiPriority w:val="99"/>
    <w:rsid w:val="00825615"/>
    <w:rPr>
      <w:rFonts w:ascii="Calibri" w:eastAsiaTheme="minorHAnsi" w:hAnsi="Calibri" w:cs="Calibri"/>
      <w:sz w:val="22"/>
      <w:szCs w:val="22"/>
    </w:rPr>
  </w:style>
  <w:style w:type="paragraph" w:customStyle="1" w:styleId="AS-P06-Bodytext">
    <w:name w:val="AS-P06-Body text"/>
    <w:basedOn w:val="Normal"/>
    <w:uiPriority w:val="99"/>
    <w:qFormat/>
    <w:rsid w:val="00C101B6"/>
    <w:pPr>
      <w:spacing w:after="240"/>
      <w:ind w:right="1701"/>
    </w:pPr>
    <w:rPr>
      <w:rFonts w:ascii="Arial" w:hAnsi="Arial"/>
      <w:color w:val="1F497D" w:themeColor="text2"/>
      <w:szCs w:val="20"/>
    </w:rPr>
  </w:style>
  <w:style w:type="paragraph" w:customStyle="1" w:styleId="AS-P03-Subhead1">
    <w:name w:val="AS-P03-Subhead 1"/>
    <w:basedOn w:val="AS-P06-Bodytext"/>
    <w:next w:val="Normal"/>
    <w:uiPriority w:val="99"/>
    <w:qFormat/>
    <w:rsid w:val="00C101B6"/>
    <w:pPr>
      <w:keepNext/>
      <w:spacing w:before="240"/>
      <w:outlineLvl w:val="1"/>
    </w:pPr>
    <w:rPr>
      <w:b/>
      <w:color w:val="006B8D"/>
      <w:sz w:val="28"/>
    </w:rPr>
  </w:style>
  <w:style w:type="paragraph" w:customStyle="1" w:styleId="AS-P04-Subhead2">
    <w:name w:val="AS-P04-Subhead 2"/>
    <w:basedOn w:val="AS-P03-Subhead1"/>
    <w:next w:val="Normal"/>
    <w:qFormat/>
    <w:rsid w:val="00C101B6"/>
    <w:pPr>
      <w:keepLines/>
      <w:spacing w:after="120"/>
      <w:outlineLvl w:val="2"/>
    </w:pPr>
    <w:rPr>
      <w:color w:val="1F497D" w:themeColor="text2"/>
      <w:sz w:val="26"/>
      <w:szCs w:val="26"/>
    </w:rPr>
  </w:style>
  <w:style w:type="paragraph" w:customStyle="1" w:styleId="AS-P08-Bullet1">
    <w:name w:val="AS-P08-Bullet 1"/>
    <w:basedOn w:val="AS-P06-Bodytext"/>
    <w:qFormat/>
    <w:rsid w:val="00C101B6"/>
    <w:pPr>
      <w:numPr>
        <w:numId w:val="50"/>
      </w:numPr>
      <w:tabs>
        <w:tab w:val="left" w:pos="284"/>
        <w:tab w:val="left" w:pos="851"/>
      </w:tabs>
      <w:ind w:left="850"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0417">
      <w:bodyDiv w:val="1"/>
      <w:marLeft w:val="0"/>
      <w:marRight w:val="0"/>
      <w:marTop w:val="0"/>
      <w:marBottom w:val="0"/>
      <w:divBdr>
        <w:top w:val="none" w:sz="0" w:space="0" w:color="auto"/>
        <w:left w:val="none" w:sz="0" w:space="0" w:color="auto"/>
        <w:bottom w:val="none" w:sz="0" w:space="0" w:color="auto"/>
        <w:right w:val="none" w:sz="0" w:space="0" w:color="auto"/>
      </w:divBdr>
    </w:div>
    <w:div w:id="27416086">
      <w:bodyDiv w:val="1"/>
      <w:marLeft w:val="0"/>
      <w:marRight w:val="0"/>
      <w:marTop w:val="0"/>
      <w:marBottom w:val="0"/>
      <w:divBdr>
        <w:top w:val="none" w:sz="0" w:space="0" w:color="auto"/>
        <w:left w:val="none" w:sz="0" w:space="0" w:color="auto"/>
        <w:bottom w:val="none" w:sz="0" w:space="0" w:color="auto"/>
        <w:right w:val="none" w:sz="0" w:space="0" w:color="auto"/>
      </w:divBdr>
    </w:div>
    <w:div w:id="28532022">
      <w:bodyDiv w:val="1"/>
      <w:marLeft w:val="0"/>
      <w:marRight w:val="0"/>
      <w:marTop w:val="0"/>
      <w:marBottom w:val="0"/>
      <w:divBdr>
        <w:top w:val="none" w:sz="0" w:space="0" w:color="auto"/>
        <w:left w:val="none" w:sz="0" w:space="0" w:color="auto"/>
        <w:bottom w:val="none" w:sz="0" w:space="0" w:color="auto"/>
        <w:right w:val="none" w:sz="0" w:space="0" w:color="auto"/>
      </w:divBdr>
    </w:div>
    <w:div w:id="34040890">
      <w:bodyDiv w:val="1"/>
      <w:marLeft w:val="0"/>
      <w:marRight w:val="0"/>
      <w:marTop w:val="0"/>
      <w:marBottom w:val="0"/>
      <w:divBdr>
        <w:top w:val="none" w:sz="0" w:space="0" w:color="auto"/>
        <w:left w:val="none" w:sz="0" w:space="0" w:color="auto"/>
        <w:bottom w:val="none" w:sz="0" w:space="0" w:color="auto"/>
        <w:right w:val="none" w:sz="0" w:space="0" w:color="auto"/>
      </w:divBdr>
      <w:divsChild>
        <w:div w:id="1981765765">
          <w:marLeft w:val="547"/>
          <w:marRight w:val="0"/>
          <w:marTop w:val="0"/>
          <w:marBottom w:val="0"/>
          <w:divBdr>
            <w:top w:val="none" w:sz="0" w:space="0" w:color="auto"/>
            <w:left w:val="none" w:sz="0" w:space="0" w:color="auto"/>
            <w:bottom w:val="none" w:sz="0" w:space="0" w:color="auto"/>
            <w:right w:val="none" w:sz="0" w:space="0" w:color="auto"/>
          </w:divBdr>
        </w:div>
      </w:divsChild>
    </w:div>
    <w:div w:id="35275868">
      <w:bodyDiv w:val="1"/>
      <w:marLeft w:val="0"/>
      <w:marRight w:val="0"/>
      <w:marTop w:val="0"/>
      <w:marBottom w:val="0"/>
      <w:divBdr>
        <w:top w:val="none" w:sz="0" w:space="0" w:color="auto"/>
        <w:left w:val="none" w:sz="0" w:space="0" w:color="auto"/>
        <w:bottom w:val="none" w:sz="0" w:space="0" w:color="auto"/>
        <w:right w:val="none" w:sz="0" w:space="0" w:color="auto"/>
      </w:divBdr>
    </w:div>
    <w:div w:id="65615685">
      <w:bodyDiv w:val="1"/>
      <w:marLeft w:val="0"/>
      <w:marRight w:val="0"/>
      <w:marTop w:val="0"/>
      <w:marBottom w:val="0"/>
      <w:divBdr>
        <w:top w:val="none" w:sz="0" w:space="0" w:color="auto"/>
        <w:left w:val="none" w:sz="0" w:space="0" w:color="auto"/>
        <w:bottom w:val="none" w:sz="0" w:space="0" w:color="auto"/>
        <w:right w:val="none" w:sz="0" w:space="0" w:color="auto"/>
      </w:divBdr>
    </w:div>
    <w:div w:id="68966304">
      <w:bodyDiv w:val="1"/>
      <w:marLeft w:val="0"/>
      <w:marRight w:val="0"/>
      <w:marTop w:val="0"/>
      <w:marBottom w:val="0"/>
      <w:divBdr>
        <w:top w:val="none" w:sz="0" w:space="0" w:color="auto"/>
        <w:left w:val="none" w:sz="0" w:space="0" w:color="auto"/>
        <w:bottom w:val="none" w:sz="0" w:space="0" w:color="auto"/>
        <w:right w:val="none" w:sz="0" w:space="0" w:color="auto"/>
      </w:divBdr>
    </w:div>
    <w:div w:id="212238245">
      <w:bodyDiv w:val="1"/>
      <w:marLeft w:val="0"/>
      <w:marRight w:val="0"/>
      <w:marTop w:val="0"/>
      <w:marBottom w:val="0"/>
      <w:divBdr>
        <w:top w:val="none" w:sz="0" w:space="0" w:color="auto"/>
        <w:left w:val="none" w:sz="0" w:space="0" w:color="auto"/>
        <w:bottom w:val="none" w:sz="0" w:space="0" w:color="auto"/>
        <w:right w:val="none" w:sz="0" w:space="0" w:color="auto"/>
      </w:divBdr>
    </w:div>
    <w:div w:id="227811392">
      <w:bodyDiv w:val="1"/>
      <w:marLeft w:val="0"/>
      <w:marRight w:val="0"/>
      <w:marTop w:val="0"/>
      <w:marBottom w:val="0"/>
      <w:divBdr>
        <w:top w:val="none" w:sz="0" w:space="0" w:color="auto"/>
        <w:left w:val="none" w:sz="0" w:space="0" w:color="auto"/>
        <w:bottom w:val="none" w:sz="0" w:space="0" w:color="auto"/>
        <w:right w:val="none" w:sz="0" w:space="0" w:color="auto"/>
      </w:divBdr>
      <w:divsChild>
        <w:div w:id="46346170">
          <w:marLeft w:val="547"/>
          <w:marRight w:val="0"/>
          <w:marTop w:val="0"/>
          <w:marBottom w:val="0"/>
          <w:divBdr>
            <w:top w:val="none" w:sz="0" w:space="0" w:color="auto"/>
            <w:left w:val="none" w:sz="0" w:space="0" w:color="auto"/>
            <w:bottom w:val="none" w:sz="0" w:space="0" w:color="auto"/>
            <w:right w:val="none" w:sz="0" w:space="0" w:color="auto"/>
          </w:divBdr>
        </w:div>
        <w:div w:id="490755960">
          <w:marLeft w:val="547"/>
          <w:marRight w:val="0"/>
          <w:marTop w:val="0"/>
          <w:marBottom w:val="0"/>
          <w:divBdr>
            <w:top w:val="none" w:sz="0" w:space="0" w:color="auto"/>
            <w:left w:val="none" w:sz="0" w:space="0" w:color="auto"/>
            <w:bottom w:val="none" w:sz="0" w:space="0" w:color="auto"/>
            <w:right w:val="none" w:sz="0" w:space="0" w:color="auto"/>
          </w:divBdr>
        </w:div>
      </w:divsChild>
    </w:div>
    <w:div w:id="277025500">
      <w:bodyDiv w:val="1"/>
      <w:marLeft w:val="0"/>
      <w:marRight w:val="0"/>
      <w:marTop w:val="0"/>
      <w:marBottom w:val="0"/>
      <w:divBdr>
        <w:top w:val="none" w:sz="0" w:space="0" w:color="auto"/>
        <w:left w:val="none" w:sz="0" w:space="0" w:color="auto"/>
        <w:bottom w:val="none" w:sz="0" w:space="0" w:color="auto"/>
        <w:right w:val="none" w:sz="0" w:space="0" w:color="auto"/>
      </w:divBdr>
    </w:div>
    <w:div w:id="283191323">
      <w:bodyDiv w:val="1"/>
      <w:marLeft w:val="0"/>
      <w:marRight w:val="0"/>
      <w:marTop w:val="0"/>
      <w:marBottom w:val="0"/>
      <w:divBdr>
        <w:top w:val="none" w:sz="0" w:space="0" w:color="auto"/>
        <w:left w:val="none" w:sz="0" w:space="0" w:color="auto"/>
        <w:bottom w:val="none" w:sz="0" w:space="0" w:color="auto"/>
        <w:right w:val="none" w:sz="0" w:space="0" w:color="auto"/>
      </w:divBdr>
    </w:div>
    <w:div w:id="301732904">
      <w:bodyDiv w:val="1"/>
      <w:marLeft w:val="0"/>
      <w:marRight w:val="0"/>
      <w:marTop w:val="0"/>
      <w:marBottom w:val="0"/>
      <w:divBdr>
        <w:top w:val="none" w:sz="0" w:space="0" w:color="auto"/>
        <w:left w:val="none" w:sz="0" w:space="0" w:color="auto"/>
        <w:bottom w:val="none" w:sz="0" w:space="0" w:color="auto"/>
        <w:right w:val="none" w:sz="0" w:space="0" w:color="auto"/>
      </w:divBdr>
    </w:div>
    <w:div w:id="316694343">
      <w:bodyDiv w:val="1"/>
      <w:marLeft w:val="0"/>
      <w:marRight w:val="0"/>
      <w:marTop w:val="0"/>
      <w:marBottom w:val="0"/>
      <w:divBdr>
        <w:top w:val="none" w:sz="0" w:space="0" w:color="auto"/>
        <w:left w:val="none" w:sz="0" w:space="0" w:color="auto"/>
        <w:bottom w:val="none" w:sz="0" w:space="0" w:color="auto"/>
        <w:right w:val="none" w:sz="0" w:space="0" w:color="auto"/>
      </w:divBdr>
      <w:divsChild>
        <w:div w:id="1597251139">
          <w:marLeft w:val="0"/>
          <w:marRight w:val="0"/>
          <w:marTop w:val="0"/>
          <w:marBottom w:val="0"/>
          <w:divBdr>
            <w:top w:val="none" w:sz="0" w:space="0" w:color="auto"/>
            <w:left w:val="none" w:sz="0" w:space="0" w:color="auto"/>
            <w:bottom w:val="none" w:sz="0" w:space="0" w:color="auto"/>
            <w:right w:val="none" w:sz="0" w:space="0" w:color="auto"/>
          </w:divBdr>
          <w:divsChild>
            <w:div w:id="2073847744">
              <w:marLeft w:val="0"/>
              <w:marRight w:val="0"/>
              <w:marTop w:val="0"/>
              <w:marBottom w:val="0"/>
              <w:divBdr>
                <w:top w:val="none" w:sz="0" w:space="0" w:color="auto"/>
                <w:left w:val="none" w:sz="0" w:space="0" w:color="auto"/>
                <w:bottom w:val="none" w:sz="0" w:space="0" w:color="auto"/>
                <w:right w:val="none" w:sz="0" w:space="0" w:color="auto"/>
              </w:divBdr>
              <w:divsChild>
                <w:div w:id="283200253">
                  <w:marLeft w:val="0"/>
                  <w:marRight w:val="0"/>
                  <w:marTop w:val="0"/>
                  <w:marBottom w:val="0"/>
                  <w:divBdr>
                    <w:top w:val="none" w:sz="0" w:space="0" w:color="auto"/>
                    <w:left w:val="none" w:sz="0" w:space="0" w:color="auto"/>
                    <w:bottom w:val="none" w:sz="0" w:space="0" w:color="auto"/>
                    <w:right w:val="none" w:sz="0" w:space="0" w:color="auto"/>
                  </w:divBdr>
                  <w:divsChild>
                    <w:div w:id="711468388">
                      <w:marLeft w:val="0"/>
                      <w:marRight w:val="0"/>
                      <w:marTop w:val="0"/>
                      <w:marBottom w:val="0"/>
                      <w:divBdr>
                        <w:top w:val="none" w:sz="0" w:space="0" w:color="auto"/>
                        <w:left w:val="none" w:sz="0" w:space="0" w:color="auto"/>
                        <w:bottom w:val="none" w:sz="0" w:space="0" w:color="auto"/>
                        <w:right w:val="none" w:sz="0" w:space="0" w:color="auto"/>
                      </w:divBdr>
                      <w:divsChild>
                        <w:div w:id="156851941">
                          <w:marLeft w:val="0"/>
                          <w:marRight w:val="0"/>
                          <w:marTop w:val="0"/>
                          <w:marBottom w:val="0"/>
                          <w:divBdr>
                            <w:top w:val="none" w:sz="0" w:space="0" w:color="auto"/>
                            <w:left w:val="none" w:sz="0" w:space="0" w:color="auto"/>
                            <w:bottom w:val="none" w:sz="0" w:space="0" w:color="auto"/>
                            <w:right w:val="none" w:sz="0" w:space="0" w:color="auto"/>
                          </w:divBdr>
                          <w:divsChild>
                            <w:div w:id="1071973006">
                              <w:marLeft w:val="0"/>
                              <w:marRight w:val="0"/>
                              <w:marTop w:val="0"/>
                              <w:marBottom w:val="0"/>
                              <w:divBdr>
                                <w:top w:val="none" w:sz="0" w:space="0" w:color="auto"/>
                                <w:left w:val="none" w:sz="0" w:space="0" w:color="auto"/>
                                <w:bottom w:val="none" w:sz="0" w:space="0" w:color="auto"/>
                                <w:right w:val="none" w:sz="0" w:space="0" w:color="auto"/>
                              </w:divBdr>
                              <w:divsChild>
                                <w:div w:id="59864464">
                                  <w:marLeft w:val="0"/>
                                  <w:marRight w:val="0"/>
                                  <w:marTop w:val="0"/>
                                  <w:marBottom w:val="0"/>
                                  <w:divBdr>
                                    <w:top w:val="none" w:sz="0" w:space="0" w:color="auto"/>
                                    <w:left w:val="none" w:sz="0" w:space="0" w:color="auto"/>
                                    <w:bottom w:val="none" w:sz="0" w:space="0" w:color="auto"/>
                                    <w:right w:val="none" w:sz="0" w:space="0" w:color="auto"/>
                                  </w:divBdr>
                                  <w:divsChild>
                                    <w:div w:id="430322725">
                                      <w:marLeft w:val="0"/>
                                      <w:marRight w:val="0"/>
                                      <w:marTop w:val="0"/>
                                      <w:marBottom w:val="0"/>
                                      <w:divBdr>
                                        <w:top w:val="none" w:sz="0" w:space="0" w:color="auto"/>
                                        <w:left w:val="none" w:sz="0" w:space="0" w:color="auto"/>
                                        <w:bottom w:val="none" w:sz="0" w:space="0" w:color="auto"/>
                                        <w:right w:val="none" w:sz="0" w:space="0" w:color="auto"/>
                                      </w:divBdr>
                                      <w:divsChild>
                                        <w:div w:id="532688940">
                                          <w:marLeft w:val="0"/>
                                          <w:marRight w:val="0"/>
                                          <w:marTop w:val="0"/>
                                          <w:marBottom w:val="0"/>
                                          <w:divBdr>
                                            <w:top w:val="none" w:sz="0" w:space="0" w:color="auto"/>
                                            <w:left w:val="none" w:sz="0" w:space="0" w:color="auto"/>
                                            <w:bottom w:val="none" w:sz="0" w:space="0" w:color="auto"/>
                                            <w:right w:val="none" w:sz="0" w:space="0" w:color="auto"/>
                                          </w:divBdr>
                                          <w:divsChild>
                                            <w:div w:id="19202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740118">
      <w:bodyDiv w:val="1"/>
      <w:marLeft w:val="0"/>
      <w:marRight w:val="0"/>
      <w:marTop w:val="0"/>
      <w:marBottom w:val="0"/>
      <w:divBdr>
        <w:top w:val="none" w:sz="0" w:space="0" w:color="auto"/>
        <w:left w:val="none" w:sz="0" w:space="0" w:color="auto"/>
        <w:bottom w:val="none" w:sz="0" w:space="0" w:color="auto"/>
        <w:right w:val="none" w:sz="0" w:space="0" w:color="auto"/>
      </w:divBdr>
    </w:div>
    <w:div w:id="406224120">
      <w:bodyDiv w:val="1"/>
      <w:marLeft w:val="0"/>
      <w:marRight w:val="0"/>
      <w:marTop w:val="0"/>
      <w:marBottom w:val="0"/>
      <w:divBdr>
        <w:top w:val="none" w:sz="0" w:space="0" w:color="auto"/>
        <w:left w:val="none" w:sz="0" w:space="0" w:color="auto"/>
        <w:bottom w:val="none" w:sz="0" w:space="0" w:color="auto"/>
        <w:right w:val="none" w:sz="0" w:space="0" w:color="auto"/>
      </w:divBdr>
      <w:divsChild>
        <w:div w:id="971407149">
          <w:marLeft w:val="547"/>
          <w:marRight w:val="0"/>
          <w:marTop w:val="0"/>
          <w:marBottom w:val="0"/>
          <w:divBdr>
            <w:top w:val="none" w:sz="0" w:space="0" w:color="auto"/>
            <w:left w:val="none" w:sz="0" w:space="0" w:color="auto"/>
            <w:bottom w:val="none" w:sz="0" w:space="0" w:color="auto"/>
            <w:right w:val="none" w:sz="0" w:space="0" w:color="auto"/>
          </w:divBdr>
        </w:div>
      </w:divsChild>
    </w:div>
    <w:div w:id="433522210">
      <w:bodyDiv w:val="1"/>
      <w:marLeft w:val="0"/>
      <w:marRight w:val="0"/>
      <w:marTop w:val="0"/>
      <w:marBottom w:val="0"/>
      <w:divBdr>
        <w:top w:val="none" w:sz="0" w:space="0" w:color="auto"/>
        <w:left w:val="none" w:sz="0" w:space="0" w:color="auto"/>
        <w:bottom w:val="none" w:sz="0" w:space="0" w:color="auto"/>
        <w:right w:val="none" w:sz="0" w:space="0" w:color="auto"/>
      </w:divBdr>
    </w:div>
    <w:div w:id="433938584">
      <w:bodyDiv w:val="1"/>
      <w:marLeft w:val="0"/>
      <w:marRight w:val="0"/>
      <w:marTop w:val="0"/>
      <w:marBottom w:val="0"/>
      <w:divBdr>
        <w:top w:val="none" w:sz="0" w:space="0" w:color="auto"/>
        <w:left w:val="none" w:sz="0" w:space="0" w:color="auto"/>
        <w:bottom w:val="none" w:sz="0" w:space="0" w:color="auto"/>
        <w:right w:val="none" w:sz="0" w:space="0" w:color="auto"/>
      </w:divBdr>
    </w:div>
    <w:div w:id="435562611">
      <w:bodyDiv w:val="1"/>
      <w:marLeft w:val="0"/>
      <w:marRight w:val="0"/>
      <w:marTop w:val="0"/>
      <w:marBottom w:val="0"/>
      <w:divBdr>
        <w:top w:val="none" w:sz="0" w:space="0" w:color="auto"/>
        <w:left w:val="none" w:sz="0" w:space="0" w:color="auto"/>
        <w:bottom w:val="none" w:sz="0" w:space="0" w:color="auto"/>
        <w:right w:val="none" w:sz="0" w:space="0" w:color="auto"/>
      </w:divBdr>
    </w:div>
    <w:div w:id="456526809">
      <w:bodyDiv w:val="1"/>
      <w:marLeft w:val="0"/>
      <w:marRight w:val="0"/>
      <w:marTop w:val="0"/>
      <w:marBottom w:val="0"/>
      <w:divBdr>
        <w:top w:val="none" w:sz="0" w:space="0" w:color="auto"/>
        <w:left w:val="none" w:sz="0" w:space="0" w:color="auto"/>
        <w:bottom w:val="none" w:sz="0" w:space="0" w:color="auto"/>
        <w:right w:val="none" w:sz="0" w:space="0" w:color="auto"/>
      </w:divBdr>
      <w:divsChild>
        <w:div w:id="76948270">
          <w:marLeft w:val="0"/>
          <w:marRight w:val="0"/>
          <w:marTop w:val="0"/>
          <w:marBottom w:val="0"/>
          <w:divBdr>
            <w:top w:val="none" w:sz="0" w:space="0" w:color="auto"/>
            <w:left w:val="none" w:sz="0" w:space="0" w:color="auto"/>
            <w:bottom w:val="none" w:sz="0" w:space="0" w:color="auto"/>
            <w:right w:val="none" w:sz="0" w:space="0" w:color="auto"/>
          </w:divBdr>
        </w:div>
        <w:div w:id="139155181">
          <w:marLeft w:val="0"/>
          <w:marRight w:val="0"/>
          <w:marTop w:val="0"/>
          <w:marBottom w:val="0"/>
          <w:divBdr>
            <w:top w:val="none" w:sz="0" w:space="0" w:color="auto"/>
            <w:left w:val="none" w:sz="0" w:space="0" w:color="auto"/>
            <w:bottom w:val="none" w:sz="0" w:space="0" w:color="auto"/>
            <w:right w:val="none" w:sz="0" w:space="0" w:color="auto"/>
          </w:divBdr>
        </w:div>
        <w:div w:id="203057652">
          <w:marLeft w:val="0"/>
          <w:marRight w:val="0"/>
          <w:marTop w:val="0"/>
          <w:marBottom w:val="0"/>
          <w:divBdr>
            <w:top w:val="none" w:sz="0" w:space="0" w:color="auto"/>
            <w:left w:val="none" w:sz="0" w:space="0" w:color="auto"/>
            <w:bottom w:val="none" w:sz="0" w:space="0" w:color="auto"/>
            <w:right w:val="none" w:sz="0" w:space="0" w:color="auto"/>
          </w:divBdr>
        </w:div>
        <w:div w:id="313342410">
          <w:marLeft w:val="0"/>
          <w:marRight w:val="0"/>
          <w:marTop w:val="0"/>
          <w:marBottom w:val="0"/>
          <w:divBdr>
            <w:top w:val="none" w:sz="0" w:space="0" w:color="auto"/>
            <w:left w:val="none" w:sz="0" w:space="0" w:color="auto"/>
            <w:bottom w:val="none" w:sz="0" w:space="0" w:color="auto"/>
            <w:right w:val="none" w:sz="0" w:space="0" w:color="auto"/>
          </w:divBdr>
        </w:div>
        <w:div w:id="655189316">
          <w:marLeft w:val="0"/>
          <w:marRight w:val="0"/>
          <w:marTop w:val="0"/>
          <w:marBottom w:val="0"/>
          <w:divBdr>
            <w:top w:val="none" w:sz="0" w:space="0" w:color="auto"/>
            <w:left w:val="none" w:sz="0" w:space="0" w:color="auto"/>
            <w:bottom w:val="none" w:sz="0" w:space="0" w:color="auto"/>
            <w:right w:val="none" w:sz="0" w:space="0" w:color="auto"/>
          </w:divBdr>
        </w:div>
        <w:div w:id="697777455">
          <w:marLeft w:val="0"/>
          <w:marRight w:val="0"/>
          <w:marTop w:val="0"/>
          <w:marBottom w:val="0"/>
          <w:divBdr>
            <w:top w:val="none" w:sz="0" w:space="0" w:color="auto"/>
            <w:left w:val="none" w:sz="0" w:space="0" w:color="auto"/>
            <w:bottom w:val="none" w:sz="0" w:space="0" w:color="auto"/>
            <w:right w:val="none" w:sz="0" w:space="0" w:color="auto"/>
          </w:divBdr>
        </w:div>
        <w:div w:id="819731640">
          <w:marLeft w:val="0"/>
          <w:marRight w:val="0"/>
          <w:marTop w:val="0"/>
          <w:marBottom w:val="0"/>
          <w:divBdr>
            <w:top w:val="none" w:sz="0" w:space="0" w:color="auto"/>
            <w:left w:val="none" w:sz="0" w:space="0" w:color="auto"/>
            <w:bottom w:val="none" w:sz="0" w:space="0" w:color="auto"/>
            <w:right w:val="none" w:sz="0" w:space="0" w:color="auto"/>
          </w:divBdr>
        </w:div>
        <w:div w:id="1191727838">
          <w:marLeft w:val="0"/>
          <w:marRight w:val="0"/>
          <w:marTop w:val="0"/>
          <w:marBottom w:val="0"/>
          <w:divBdr>
            <w:top w:val="none" w:sz="0" w:space="0" w:color="auto"/>
            <w:left w:val="none" w:sz="0" w:space="0" w:color="auto"/>
            <w:bottom w:val="none" w:sz="0" w:space="0" w:color="auto"/>
            <w:right w:val="none" w:sz="0" w:space="0" w:color="auto"/>
          </w:divBdr>
        </w:div>
        <w:div w:id="1224020142">
          <w:marLeft w:val="0"/>
          <w:marRight w:val="0"/>
          <w:marTop w:val="0"/>
          <w:marBottom w:val="0"/>
          <w:divBdr>
            <w:top w:val="none" w:sz="0" w:space="0" w:color="auto"/>
            <w:left w:val="none" w:sz="0" w:space="0" w:color="auto"/>
            <w:bottom w:val="none" w:sz="0" w:space="0" w:color="auto"/>
            <w:right w:val="none" w:sz="0" w:space="0" w:color="auto"/>
          </w:divBdr>
        </w:div>
        <w:div w:id="1272082480">
          <w:marLeft w:val="0"/>
          <w:marRight w:val="0"/>
          <w:marTop w:val="0"/>
          <w:marBottom w:val="0"/>
          <w:divBdr>
            <w:top w:val="none" w:sz="0" w:space="0" w:color="auto"/>
            <w:left w:val="none" w:sz="0" w:space="0" w:color="auto"/>
            <w:bottom w:val="none" w:sz="0" w:space="0" w:color="auto"/>
            <w:right w:val="none" w:sz="0" w:space="0" w:color="auto"/>
          </w:divBdr>
        </w:div>
        <w:div w:id="1381249435">
          <w:marLeft w:val="0"/>
          <w:marRight w:val="0"/>
          <w:marTop w:val="0"/>
          <w:marBottom w:val="0"/>
          <w:divBdr>
            <w:top w:val="none" w:sz="0" w:space="0" w:color="auto"/>
            <w:left w:val="none" w:sz="0" w:space="0" w:color="auto"/>
            <w:bottom w:val="none" w:sz="0" w:space="0" w:color="auto"/>
            <w:right w:val="none" w:sz="0" w:space="0" w:color="auto"/>
          </w:divBdr>
        </w:div>
        <w:div w:id="1516309270">
          <w:marLeft w:val="0"/>
          <w:marRight w:val="0"/>
          <w:marTop w:val="0"/>
          <w:marBottom w:val="0"/>
          <w:divBdr>
            <w:top w:val="none" w:sz="0" w:space="0" w:color="auto"/>
            <w:left w:val="none" w:sz="0" w:space="0" w:color="auto"/>
            <w:bottom w:val="none" w:sz="0" w:space="0" w:color="auto"/>
            <w:right w:val="none" w:sz="0" w:space="0" w:color="auto"/>
          </w:divBdr>
        </w:div>
        <w:div w:id="1722904802">
          <w:marLeft w:val="0"/>
          <w:marRight w:val="0"/>
          <w:marTop w:val="0"/>
          <w:marBottom w:val="0"/>
          <w:divBdr>
            <w:top w:val="none" w:sz="0" w:space="0" w:color="auto"/>
            <w:left w:val="none" w:sz="0" w:space="0" w:color="auto"/>
            <w:bottom w:val="none" w:sz="0" w:space="0" w:color="auto"/>
            <w:right w:val="none" w:sz="0" w:space="0" w:color="auto"/>
          </w:divBdr>
        </w:div>
        <w:div w:id="1724793451">
          <w:marLeft w:val="0"/>
          <w:marRight w:val="0"/>
          <w:marTop w:val="0"/>
          <w:marBottom w:val="0"/>
          <w:divBdr>
            <w:top w:val="none" w:sz="0" w:space="0" w:color="auto"/>
            <w:left w:val="none" w:sz="0" w:space="0" w:color="auto"/>
            <w:bottom w:val="none" w:sz="0" w:space="0" w:color="auto"/>
            <w:right w:val="none" w:sz="0" w:space="0" w:color="auto"/>
          </w:divBdr>
        </w:div>
      </w:divsChild>
    </w:div>
    <w:div w:id="460851678">
      <w:bodyDiv w:val="1"/>
      <w:marLeft w:val="0"/>
      <w:marRight w:val="0"/>
      <w:marTop w:val="0"/>
      <w:marBottom w:val="0"/>
      <w:divBdr>
        <w:top w:val="none" w:sz="0" w:space="0" w:color="auto"/>
        <w:left w:val="none" w:sz="0" w:space="0" w:color="auto"/>
        <w:bottom w:val="none" w:sz="0" w:space="0" w:color="auto"/>
        <w:right w:val="none" w:sz="0" w:space="0" w:color="auto"/>
      </w:divBdr>
      <w:divsChild>
        <w:div w:id="2128159894">
          <w:marLeft w:val="547"/>
          <w:marRight w:val="0"/>
          <w:marTop w:val="0"/>
          <w:marBottom w:val="0"/>
          <w:divBdr>
            <w:top w:val="none" w:sz="0" w:space="0" w:color="auto"/>
            <w:left w:val="none" w:sz="0" w:space="0" w:color="auto"/>
            <w:bottom w:val="none" w:sz="0" w:space="0" w:color="auto"/>
            <w:right w:val="none" w:sz="0" w:space="0" w:color="auto"/>
          </w:divBdr>
        </w:div>
      </w:divsChild>
    </w:div>
    <w:div w:id="461118570">
      <w:bodyDiv w:val="1"/>
      <w:marLeft w:val="0"/>
      <w:marRight w:val="0"/>
      <w:marTop w:val="0"/>
      <w:marBottom w:val="0"/>
      <w:divBdr>
        <w:top w:val="none" w:sz="0" w:space="0" w:color="auto"/>
        <w:left w:val="none" w:sz="0" w:space="0" w:color="auto"/>
        <w:bottom w:val="none" w:sz="0" w:space="0" w:color="auto"/>
        <w:right w:val="none" w:sz="0" w:space="0" w:color="auto"/>
      </w:divBdr>
      <w:divsChild>
        <w:div w:id="956640126">
          <w:marLeft w:val="0"/>
          <w:marRight w:val="0"/>
          <w:marTop w:val="0"/>
          <w:marBottom w:val="0"/>
          <w:divBdr>
            <w:top w:val="none" w:sz="0" w:space="0" w:color="auto"/>
            <w:left w:val="none" w:sz="0" w:space="0" w:color="auto"/>
            <w:bottom w:val="none" w:sz="0" w:space="0" w:color="auto"/>
            <w:right w:val="none" w:sz="0" w:space="0" w:color="auto"/>
          </w:divBdr>
          <w:divsChild>
            <w:div w:id="903028379">
              <w:marLeft w:val="0"/>
              <w:marRight w:val="0"/>
              <w:marTop w:val="0"/>
              <w:marBottom w:val="0"/>
              <w:divBdr>
                <w:top w:val="none" w:sz="0" w:space="0" w:color="auto"/>
                <w:left w:val="none" w:sz="0" w:space="0" w:color="auto"/>
                <w:bottom w:val="none" w:sz="0" w:space="0" w:color="auto"/>
                <w:right w:val="none" w:sz="0" w:space="0" w:color="auto"/>
              </w:divBdr>
              <w:divsChild>
                <w:div w:id="2014794225">
                  <w:marLeft w:val="0"/>
                  <w:marRight w:val="0"/>
                  <w:marTop w:val="0"/>
                  <w:marBottom w:val="0"/>
                  <w:divBdr>
                    <w:top w:val="none" w:sz="0" w:space="0" w:color="auto"/>
                    <w:left w:val="none" w:sz="0" w:space="0" w:color="auto"/>
                    <w:bottom w:val="none" w:sz="0" w:space="0" w:color="auto"/>
                    <w:right w:val="none" w:sz="0" w:space="0" w:color="auto"/>
                  </w:divBdr>
                  <w:divsChild>
                    <w:div w:id="101463180">
                      <w:marLeft w:val="0"/>
                      <w:marRight w:val="0"/>
                      <w:marTop w:val="0"/>
                      <w:marBottom w:val="0"/>
                      <w:divBdr>
                        <w:top w:val="none" w:sz="0" w:space="0" w:color="auto"/>
                        <w:left w:val="none" w:sz="0" w:space="0" w:color="auto"/>
                        <w:bottom w:val="none" w:sz="0" w:space="0" w:color="auto"/>
                        <w:right w:val="none" w:sz="0" w:space="0" w:color="auto"/>
                      </w:divBdr>
                      <w:divsChild>
                        <w:div w:id="750279540">
                          <w:marLeft w:val="0"/>
                          <w:marRight w:val="0"/>
                          <w:marTop w:val="0"/>
                          <w:marBottom w:val="0"/>
                          <w:divBdr>
                            <w:top w:val="none" w:sz="0" w:space="0" w:color="auto"/>
                            <w:left w:val="none" w:sz="0" w:space="0" w:color="auto"/>
                            <w:bottom w:val="none" w:sz="0" w:space="0" w:color="auto"/>
                            <w:right w:val="none" w:sz="0" w:space="0" w:color="auto"/>
                          </w:divBdr>
                          <w:divsChild>
                            <w:div w:id="1078791283">
                              <w:marLeft w:val="0"/>
                              <w:marRight w:val="0"/>
                              <w:marTop w:val="0"/>
                              <w:marBottom w:val="0"/>
                              <w:divBdr>
                                <w:top w:val="none" w:sz="0" w:space="0" w:color="auto"/>
                                <w:left w:val="none" w:sz="0" w:space="0" w:color="auto"/>
                                <w:bottom w:val="none" w:sz="0" w:space="0" w:color="auto"/>
                                <w:right w:val="none" w:sz="0" w:space="0" w:color="auto"/>
                              </w:divBdr>
                              <w:divsChild>
                                <w:div w:id="1465126070">
                                  <w:marLeft w:val="0"/>
                                  <w:marRight w:val="0"/>
                                  <w:marTop w:val="0"/>
                                  <w:marBottom w:val="0"/>
                                  <w:divBdr>
                                    <w:top w:val="none" w:sz="0" w:space="0" w:color="auto"/>
                                    <w:left w:val="none" w:sz="0" w:space="0" w:color="auto"/>
                                    <w:bottom w:val="none" w:sz="0" w:space="0" w:color="auto"/>
                                    <w:right w:val="none" w:sz="0" w:space="0" w:color="auto"/>
                                  </w:divBdr>
                                  <w:divsChild>
                                    <w:div w:id="78522266">
                                      <w:marLeft w:val="0"/>
                                      <w:marRight w:val="0"/>
                                      <w:marTop w:val="0"/>
                                      <w:marBottom w:val="0"/>
                                      <w:divBdr>
                                        <w:top w:val="none" w:sz="0" w:space="0" w:color="auto"/>
                                        <w:left w:val="none" w:sz="0" w:space="0" w:color="auto"/>
                                        <w:bottom w:val="none" w:sz="0" w:space="0" w:color="auto"/>
                                        <w:right w:val="none" w:sz="0" w:space="0" w:color="auto"/>
                                      </w:divBdr>
                                      <w:divsChild>
                                        <w:div w:id="1255821735">
                                          <w:marLeft w:val="0"/>
                                          <w:marRight w:val="0"/>
                                          <w:marTop w:val="0"/>
                                          <w:marBottom w:val="0"/>
                                          <w:divBdr>
                                            <w:top w:val="none" w:sz="0" w:space="0" w:color="auto"/>
                                            <w:left w:val="none" w:sz="0" w:space="0" w:color="auto"/>
                                            <w:bottom w:val="none" w:sz="0" w:space="0" w:color="auto"/>
                                            <w:right w:val="none" w:sz="0" w:space="0" w:color="auto"/>
                                          </w:divBdr>
                                          <w:divsChild>
                                            <w:div w:id="190072005">
                                              <w:marLeft w:val="0"/>
                                              <w:marRight w:val="0"/>
                                              <w:marTop w:val="0"/>
                                              <w:marBottom w:val="0"/>
                                              <w:divBdr>
                                                <w:top w:val="none" w:sz="0" w:space="0" w:color="auto"/>
                                                <w:left w:val="none" w:sz="0" w:space="0" w:color="auto"/>
                                                <w:bottom w:val="none" w:sz="0" w:space="0" w:color="auto"/>
                                                <w:right w:val="none" w:sz="0" w:space="0" w:color="auto"/>
                                              </w:divBdr>
                                              <w:divsChild>
                                                <w:div w:id="235672497">
                                                  <w:marLeft w:val="0"/>
                                                  <w:marRight w:val="0"/>
                                                  <w:marTop w:val="0"/>
                                                  <w:marBottom w:val="0"/>
                                                  <w:divBdr>
                                                    <w:top w:val="none" w:sz="0" w:space="0" w:color="auto"/>
                                                    <w:left w:val="none" w:sz="0" w:space="0" w:color="auto"/>
                                                    <w:bottom w:val="none" w:sz="0" w:space="0" w:color="auto"/>
                                                    <w:right w:val="none" w:sz="0" w:space="0" w:color="auto"/>
                                                  </w:divBdr>
                                                  <w:divsChild>
                                                    <w:div w:id="3322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317395">
      <w:bodyDiv w:val="1"/>
      <w:marLeft w:val="0"/>
      <w:marRight w:val="0"/>
      <w:marTop w:val="0"/>
      <w:marBottom w:val="0"/>
      <w:divBdr>
        <w:top w:val="none" w:sz="0" w:space="0" w:color="auto"/>
        <w:left w:val="none" w:sz="0" w:space="0" w:color="auto"/>
        <w:bottom w:val="none" w:sz="0" w:space="0" w:color="auto"/>
        <w:right w:val="none" w:sz="0" w:space="0" w:color="auto"/>
      </w:divBdr>
    </w:div>
    <w:div w:id="511183458">
      <w:bodyDiv w:val="1"/>
      <w:marLeft w:val="0"/>
      <w:marRight w:val="0"/>
      <w:marTop w:val="0"/>
      <w:marBottom w:val="0"/>
      <w:divBdr>
        <w:top w:val="none" w:sz="0" w:space="0" w:color="auto"/>
        <w:left w:val="none" w:sz="0" w:space="0" w:color="auto"/>
        <w:bottom w:val="none" w:sz="0" w:space="0" w:color="auto"/>
        <w:right w:val="none" w:sz="0" w:space="0" w:color="auto"/>
      </w:divBdr>
      <w:divsChild>
        <w:div w:id="723211000">
          <w:marLeft w:val="547"/>
          <w:marRight w:val="0"/>
          <w:marTop w:val="0"/>
          <w:marBottom w:val="0"/>
          <w:divBdr>
            <w:top w:val="none" w:sz="0" w:space="0" w:color="auto"/>
            <w:left w:val="none" w:sz="0" w:space="0" w:color="auto"/>
            <w:bottom w:val="none" w:sz="0" w:space="0" w:color="auto"/>
            <w:right w:val="none" w:sz="0" w:space="0" w:color="auto"/>
          </w:divBdr>
        </w:div>
      </w:divsChild>
    </w:div>
    <w:div w:id="539560695">
      <w:bodyDiv w:val="1"/>
      <w:marLeft w:val="0"/>
      <w:marRight w:val="0"/>
      <w:marTop w:val="0"/>
      <w:marBottom w:val="0"/>
      <w:divBdr>
        <w:top w:val="none" w:sz="0" w:space="0" w:color="auto"/>
        <w:left w:val="none" w:sz="0" w:space="0" w:color="auto"/>
        <w:bottom w:val="none" w:sz="0" w:space="0" w:color="auto"/>
        <w:right w:val="none" w:sz="0" w:space="0" w:color="auto"/>
      </w:divBdr>
    </w:div>
    <w:div w:id="600724430">
      <w:bodyDiv w:val="1"/>
      <w:marLeft w:val="0"/>
      <w:marRight w:val="0"/>
      <w:marTop w:val="0"/>
      <w:marBottom w:val="0"/>
      <w:divBdr>
        <w:top w:val="none" w:sz="0" w:space="0" w:color="auto"/>
        <w:left w:val="none" w:sz="0" w:space="0" w:color="auto"/>
        <w:bottom w:val="none" w:sz="0" w:space="0" w:color="auto"/>
        <w:right w:val="none" w:sz="0" w:space="0" w:color="auto"/>
      </w:divBdr>
    </w:div>
    <w:div w:id="627273305">
      <w:bodyDiv w:val="1"/>
      <w:marLeft w:val="0"/>
      <w:marRight w:val="0"/>
      <w:marTop w:val="0"/>
      <w:marBottom w:val="0"/>
      <w:divBdr>
        <w:top w:val="none" w:sz="0" w:space="0" w:color="auto"/>
        <w:left w:val="none" w:sz="0" w:space="0" w:color="auto"/>
        <w:bottom w:val="none" w:sz="0" w:space="0" w:color="auto"/>
        <w:right w:val="none" w:sz="0" w:space="0" w:color="auto"/>
      </w:divBdr>
    </w:div>
    <w:div w:id="634651332">
      <w:bodyDiv w:val="1"/>
      <w:marLeft w:val="0"/>
      <w:marRight w:val="0"/>
      <w:marTop w:val="0"/>
      <w:marBottom w:val="0"/>
      <w:divBdr>
        <w:top w:val="none" w:sz="0" w:space="0" w:color="auto"/>
        <w:left w:val="none" w:sz="0" w:space="0" w:color="auto"/>
        <w:bottom w:val="none" w:sz="0" w:space="0" w:color="auto"/>
        <w:right w:val="none" w:sz="0" w:space="0" w:color="auto"/>
      </w:divBdr>
    </w:div>
    <w:div w:id="648873690">
      <w:bodyDiv w:val="1"/>
      <w:marLeft w:val="0"/>
      <w:marRight w:val="0"/>
      <w:marTop w:val="0"/>
      <w:marBottom w:val="0"/>
      <w:divBdr>
        <w:top w:val="none" w:sz="0" w:space="0" w:color="auto"/>
        <w:left w:val="none" w:sz="0" w:space="0" w:color="auto"/>
        <w:bottom w:val="none" w:sz="0" w:space="0" w:color="auto"/>
        <w:right w:val="none" w:sz="0" w:space="0" w:color="auto"/>
      </w:divBdr>
    </w:div>
    <w:div w:id="691304569">
      <w:bodyDiv w:val="1"/>
      <w:marLeft w:val="0"/>
      <w:marRight w:val="0"/>
      <w:marTop w:val="0"/>
      <w:marBottom w:val="0"/>
      <w:divBdr>
        <w:top w:val="none" w:sz="0" w:space="0" w:color="auto"/>
        <w:left w:val="none" w:sz="0" w:space="0" w:color="auto"/>
        <w:bottom w:val="none" w:sz="0" w:space="0" w:color="auto"/>
        <w:right w:val="none" w:sz="0" w:space="0" w:color="auto"/>
      </w:divBdr>
    </w:div>
    <w:div w:id="716396878">
      <w:bodyDiv w:val="1"/>
      <w:marLeft w:val="0"/>
      <w:marRight w:val="0"/>
      <w:marTop w:val="0"/>
      <w:marBottom w:val="0"/>
      <w:divBdr>
        <w:top w:val="none" w:sz="0" w:space="0" w:color="auto"/>
        <w:left w:val="none" w:sz="0" w:space="0" w:color="auto"/>
        <w:bottom w:val="none" w:sz="0" w:space="0" w:color="auto"/>
        <w:right w:val="none" w:sz="0" w:space="0" w:color="auto"/>
      </w:divBdr>
    </w:div>
    <w:div w:id="716778643">
      <w:bodyDiv w:val="1"/>
      <w:marLeft w:val="0"/>
      <w:marRight w:val="0"/>
      <w:marTop w:val="0"/>
      <w:marBottom w:val="0"/>
      <w:divBdr>
        <w:top w:val="none" w:sz="0" w:space="0" w:color="auto"/>
        <w:left w:val="none" w:sz="0" w:space="0" w:color="auto"/>
        <w:bottom w:val="none" w:sz="0" w:space="0" w:color="auto"/>
        <w:right w:val="none" w:sz="0" w:space="0" w:color="auto"/>
      </w:divBdr>
    </w:div>
    <w:div w:id="726607435">
      <w:bodyDiv w:val="1"/>
      <w:marLeft w:val="0"/>
      <w:marRight w:val="0"/>
      <w:marTop w:val="0"/>
      <w:marBottom w:val="0"/>
      <w:divBdr>
        <w:top w:val="none" w:sz="0" w:space="0" w:color="auto"/>
        <w:left w:val="none" w:sz="0" w:space="0" w:color="auto"/>
        <w:bottom w:val="none" w:sz="0" w:space="0" w:color="auto"/>
        <w:right w:val="none" w:sz="0" w:space="0" w:color="auto"/>
      </w:divBdr>
    </w:div>
    <w:div w:id="812912132">
      <w:bodyDiv w:val="1"/>
      <w:marLeft w:val="0"/>
      <w:marRight w:val="0"/>
      <w:marTop w:val="0"/>
      <w:marBottom w:val="0"/>
      <w:divBdr>
        <w:top w:val="none" w:sz="0" w:space="0" w:color="auto"/>
        <w:left w:val="none" w:sz="0" w:space="0" w:color="auto"/>
        <w:bottom w:val="none" w:sz="0" w:space="0" w:color="auto"/>
        <w:right w:val="none" w:sz="0" w:space="0" w:color="auto"/>
      </w:divBdr>
    </w:div>
    <w:div w:id="862934949">
      <w:bodyDiv w:val="1"/>
      <w:marLeft w:val="0"/>
      <w:marRight w:val="0"/>
      <w:marTop w:val="0"/>
      <w:marBottom w:val="0"/>
      <w:divBdr>
        <w:top w:val="none" w:sz="0" w:space="0" w:color="auto"/>
        <w:left w:val="none" w:sz="0" w:space="0" w:color="auto"/>
        <w:bottom w:val="none" w:sz="0" w:space="0" w:color="auto"/>
        <w:right w:val="none" w:sz="0" w:space="0" w:color="auto"/>
      </w:divBdr>
      <w:divsChild>
        <w:div w:id="542601185">
          <w:marLeft w:val="0"/>
          <w:marRight w:val="0"/>
          <w:marTop w:val="0"/>
          <w:marBottom w:val="0"/>
          <w:divBdr>
            <w:top w:val="none" w:sz="0" w:space="0" w:color="auto"/>
            <w:left w:val="none" w:sz="0" w:space="0" w:color="auto"/>
            <w:bottom w:val="none" w:sz="0" w:space="0" w:color="auto"/>
            <w:right w:val="none" w:sz="0" w:space="0" w:color="auto"/>
          </w:divBdr>
        </w:div>
        <w:div w:id="1878665460">
          <w:marLeft w:val="0"/>
          <w:marRight w:val="0"/>
          <w:marTop w:val="0"/>
          <w:marBottom w:val="0"/>
          <w:divBdr>
            <w:top w:val="none" w:sz="0" w:space="0" w:color="auto"/>
            <w:left w:val="none" w:sz="0" w:space="0" w:color="auto"/>
            <w:bottom w:val="none" w:sz="0" w:space="0" w:color="auto"/>
            <w:right w:val="none" w:sz="0" w:space="0" w:color="auto"/>
          </w:divBdr>
          <w:divsChild>
            <w:div w:id="68821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21777">
      <w:bodyDiv w:val="1"/>
      <w:marLeft w:val="0"/>
      <w:marRight w:val="0"/>
      <w:marTop w:val="0"/>
      <w:marBottom w:val="0"/>
      <w:divBdr>
        <w:top w:val="none" w:sz="0" w:space="0" w:color="auto"/>
        <w:left w:val="none" w:sz="0" w:space="0" w:color="auto"/>
        <w:bottom w:val="none" w:sz="0" w:space="0" w:color="auto"/>
        <w:right w:val="none" w:sz="0" w:space="0" w:color="auto"/>
      </w:divBdr>
      <w:divsChild>
        <w:div w:id="1307319056">
          <w:marLeft w:val="547"/>
          <w:marRight w:val="0"/>
          <w:marTop w:val="0"/>
          <w:marBottom w:val="0"/>
          <w:divBdr>
            <w:top w:val="none" w:sz="0" w:space="0" w:color="auto"/>
            <w:left w:val="none" w:sz="0" w:space="0" w:color="auto"/>
            <w:bottom w:val="none" w:sz="0" w:space="0" w:color="auto"/>
            <w:right w:val="none" w:sz="0" w:space="0" w:color="auto"/>
          </w:divBdr>
        </w:div>
      </w:divsChild>
    </w:div>
    <w:div w:id="906502631">
      <w:bodyDiv w:val="1"/>
      <w:marLeft w:val="0"/>
      <w:marRight w:val="0"/>
      <w:marTop w:val="0"/>
      <w:marBottom w:val="0"/>
      <w:divBdr>
        <w:top w:val="none" w:sz="0" w:space="0" w:color="auto"/>
        <w:left w:val="none" w:sz="0" w:space="0" w:color="auto"/>
        <w:bottom w:val="none" w:sz="0" w:space="0" w:color="auto"/>
        <w:right w:val="none" w:sz="0" w:space="0" w:color="auto"/>
      </w:divBdr>
    </w:div>
    <w:div w:id="908273152">
      <w:bodyDiv w:val="1"/>
      <w:marLeft w:val="0"/>
      <w:marRight w:val="0"/>
      <w:marTop w:val="0"/>
      <w:marBottom w:val="0"/>
      <w:divBdr>
        <w:top w:val="none" w:sz="0" w:space="0" w:color="auto"/>
        <w:left w:val="none" w:sz="0" w:space="0" w:color="auto"/>
        <w:bottom w:val="none" w:sz="0" w:space="0" w:color="auto"/>
        <w:right w:val="none" w:sz="0" w:space="0" w:color="auto"/>
      </w:divBdr>
    </w:div>
    <w:div w:id="927157701">
      <w:bodyDiv w:val="1"/>
      <w:marLeft w:val="0"/>
      <w:marRight w:val="0"/>
      <w:marTop w:val="0"/>
      <w:marBottom w:val="0"/>
      <w:divBdr>
        <w:top w:val="none" w:sz="0" w:space="0" w:color="auto"/>
        <w:left w:val="none" w:sz="0" w:space="0" w:color="auto"/>
        <w:bottom w:val="none" w:sz="0" w:space="0" w:color="auto"/>
        <w:right w:val="none" w:sz="0" w:space="0" w:color="auto"/>
      </w:divBdr>
    </w:div>
    <w:div w:id="988632314">
      <w:bodyDiv w:val="1"/>
      <w:marLeft w:val="0"/>
      <w:marRight w:val="0"/>
      <w:marTop w:val="0"/>
      <w:marBottom w:val="0"/>
      <w:divBdr>
        <w:top w:val="none" w:sz="0" w:space="0" w:color="auto"/>
        <w:left w:val="none" w:sz="0" w:space="0" w:color="auto"/>
        <w:bottom w:val="none" w:sz="0" w:space="0" w:color="auto"/>
        <w:right w:val="none" w:sz="0" w:space="0" w:color="auto"/>
      </w:divBdr>
    </w:div>
    <w:div w:id="998770879">
      <w:bodyDiv w:val="1"/>
      <w:marLeft w:val="0"/>
      <w:marRight w:val="0"/>
      <w:marTop w:val="0"/>
      <w:marBottom w:val="0"/>
      <w:divBdr>
        <w:top w:val="none" w:sz="0" w:space="0" w:color="auto"/>
        <w:left w:val="none" w:sz="0" w:space="0" w:color="auto"/>
        <w:bottom w:val="none" w:sz="0" w:space="0" w:color="auto"/>
        <w:right w:val="none" w:sz="0" w:space="0" w:color="auto"/>
      </w:divBdr>
    </w:div>
    <w:div w:id="1017805979">
      <w:bodyDiv w:val="1"/>
      <w:marLeft w:val="0"/>
      <w:marRight w:val="0"/>
      <w:marTop w:val="0"/>
      <w:marBottom w:val="0"/>
      <w:divBdr>
        <w:top w:val="none" w:sz="0" w:space="0" w:color="auto"/>
        <w:left w:val="none" w:sz="0" w:space="0" w:color="auto"/>
        <w:bottom w:val="none" w:sz="0" w:space="0" w:color="auto"/>
        <w:right w:val="none" w:sz="0" w:space="0" w:color="auto"/>
      </w:divBdr>
    </w:div>
    <w:div w:id="1055130786">
      <w:bodyDiv w:val="1"/>
      <w:marLeft w:val="0"/>
      <w:marRight w:val="0"/>
      <w:marTop w:val="0"/>
      <w:marBottom w:val="0"/>
      <w:divBdr>
        <w:top w:val="none" w:sz="0" w:space="0" w:color="auto"/>
        <w:left w:val="none" w:sz="0" w:space="0" w:color="auto"/>
        <w:bottom w:val="none" w:sz="0" w:space="0" w:color="auto"/>
        <w:right w:val="none" w:sz="0" w:space="0" w:color="auto"/>
      </w:divBdr>
    </w:div>
    <w:div w:id="1095596514">
      <w:bodyDiv w:val="1"/>
      <w:marLeft w:val="0"/>
      <w:marRight w:val="0"/>
      <w:marTop w:val="0"/>
      <w:marBottom w:val="0"/>
      <w:divBdr>
        <w:top w:val="none" w:sz="0" w:space="0" w:color="auto"/>
        <w:left w:val="none" w:sz="0" w:space="0" w:color="auto"/>
        <w:bottom w:val="none" w:sz="0" w:space="0" w:color="auto"/>
        <w:right w:val="none" w:sz="0" w:space="0" w:color="auto"/>
      </w:divBdr>
    </w:div>
    <w:div w:id="1125344796">
      <w:bodyDiv w:val="1"/>
      <w:marLeft w:val="0"/>
      <w:marRight w:val="0"/>
      <w:marTop w:val="0"/>
      <w:marBottom w:val="0"/>
      <w:divBdr>
        <w:top w:val="none" w:sz="0" w:space="0" w:color="auto"/>
        <w:left w:val="none" w:sz="0" w:space="0" w:color="auto"/>
        <w:bottom w:val="none" w:sz="0" w:space="0" w:color="auto"/>
        <w:right w:val="none" w:sz="0" w:space="0" w:color="auto"/>
      </w:divBdr>
      <w:divsChild>
        <w:div w:id="1375811036">
          <w:marLeft w:val="0"/>
          <w:marRight w:val="0"/>
          <w:marTop w:val="0"/>
          <w:marBottom w:val="375"/>
          <w:divBdr>
            <w:top w:val="none" w:sz="0" w:space="0" w:color="auto"/>
            <w:left w:val="single" w:sz="6" w:space="0" w:color="E4E4E4"/>
            <w:bottom w:val="single" w:sz="6" w:space="0" w:color="E4E4E4"/>
            <w:right w:val="single" w:sz="6" w:space="0" w:color="E4E4E4"/>
          </w:divBdr>
          <w:divsChild>
            <w:div w:id="890120367">
              <w:marLeft w:val="0"/>
              <w:marRight w:val="0"/>
              <w:marTop w:val="0"/>
              <w:marBottom w:val="0"/>
              <w:divBdr>
                <w:top w:val="none" w:sz="0" w:space="0" w:color="auto"/>
                <w:left w:val="none" w:sz="0" w:space="0" w:color="auto"/>
                <w:bottom w:val="none" w:sz="0" w:space="0" w:color="auto"/>
                <w:right w:val="none" w:sz="0" w:space="0" w:color="auto"/>
              </w:divBdr>
              <w:divsChild>
                <w:div w:id="45017637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3743">
      <w:bodyDiv w:val="1"/>
      <w:marLeft w:val="0"/>
      <w:marRight w:val="0"/>
      <w:marTop w:val="0"/>
      <w:marBottom w:val="0"/>
      <w:divBdr>
        <w:top w:val="none" w:sz="0" w:space="0" w:color="auto"/>
        <w:left w:val="none" w:sz="0" w:space="0" w:color="auto"/>
        <w:bottom w:val="none" w:sz="0" w:space="0" w:color="auto"/>
        <w:right w:val="none" w:sz="0" w:space="0" w:color="auto"/>
      </w:divBdr>
    </w:div>
    <w:div w:id="1148588840">
      <w:bodyDiv w:val="1"/>
      <w:marLeft w:val="0"/>
      <w:marRight w:val="0"/>
      <w:marTop w:val="0"/>
      <w:marBottom w:val="0"/>
      <w:divBdr>
        <w:top w:val="none" w:sz="0" w:space="0" w:color="auto"/>
        <w:left w:val="none" w:sz="0" w:space="0" w:color="auto"/>
        <w:bottom w:val="none" w:sz="0" w:space="0" w:color="auto"/>
        <w:right w:val="none" w:sz="0" w:space="0" w:color="auto"/>
      </w:divBdr>
    </w:div>
    <w:div w:id="1151097366">
      <w:bodyDiv w:val="1"/>
      <w:marLeft w:val="0"/>
      <w:marRight w:val="0"/>
      <w:marTop w:val="0"/>
      <w:marBottom w:val="0"/>
      <w:divBdr>
        <w:top w:val="none" w:sz="0" w:space="0" w:color="auto"/>
        <w:left w:val="none" w:sz="0" w:space="0" w:color="auto"/>
        <w:bottom w:val="none" w:sz="0" w:space="0" w:color="auto"/>
        <w:right w:val="none" w:sz="0" w:space="0" w:color="auto"/>
      </w:divBdr>
    </w:div>
    <w:div w:id="1170295559">
      <w:bodyDiv w:val="1"/>
      <w:marLeft w:val="0"/>
      <w:marRight w:val="0"/>
      <w:marTop w:val="0"/>
      <w:marBottom w:val="0"/>
      <w:divBdr>
        <w:top w:val="none" w:sz="0" w:space="0" w:color="auto"/>
        <w:left w:val="none" w:sz="0" w:space="0" w:color="auto"/>
        <w:bottom w:val="none" w:sz="0" w:space="0" w:color="auto"/>
        <w:right w:val="none" w:sz="0" w:space="0" w:color="auto"/>
      </w:divBdr>
    </w:div>
    <w:div w:id="1177841516">
      <w:bodyDiv w:val="1"/>
      <w:marLeft w:val="0"/>
      <w:marRight w:val="0"/>
      <w:marTop w:val="0"/>
      <w:marBottom w:val="0"/>
      <w:divBdr>
        <w:top w:val="none" w:sz="0" w:space="0" w:color="auto"/>
        <w:left w:val="none" w:sz="0" w:space="0" w:color="auto"/>
        <w:bottom w:val="none" w:sz="0" w:space="0" w:color="auto"/>
        <w:right w:val="none" w:sz="0" w:space="0" w:color="auto"/>
      </w:divBdr>
    </w:div>
    <w:div w:id="1181821049">
      <w:bodyDiv w:val="1"/>
      <w:marLeft w:val="0"/>
      <w:marRight w:val="0"/>
      <w:marTop w:val="0"/>
      <w:marBottom w:val="0"/>
      <w:divBdr>
        <w:top w:val="none" w:sz="0" w:space="0" w:color="auto"/>
        <w:left w:val="none" w:sz="0" w:space="0" w:color="auto"/>
        <w:bottom w:val="none" w:sz="0" w:space="0" w:color="auto"/>
        <w:right w:val="none" w:sz="0" w:space="0" w:color="auto"/>
      </w:divBdr>
    </w:div>
    <w:div w:id="1191921266">
      <w:bodyDiv w:val="1"/>
      <w:marLeft w:val="0"/>
      <w:marRight w:val="0"/>
      <w:marTop w:val="0"/>
      <w:marBottom w:val="0"/>
      <w:divBdr>
        <w:top w:val="none" w:sz="0" w:space="0" w:color="auto"/>
        <w:left w:val="none" w:sz="0" w:space="0" w:color="auto"/>
        <w:bottom w:val="none" w:sz="0" w:space="0" w:color="auto"/>
        <w:right w:val="none" w:sz="0" w:space="0" w:color="auto"/>
      </w:divBdr>
    </w:div>
    <w:div w:id="1195071012">
      <w:bodyDiv w:val="1"/>
      <w:marLeft w:val="0"/>
      <w:marRight w:val="0"/>
      <w:marTop w:val="0"/>
      <w:marBottom w:val="0"/>
      <w:divBdr>
        <w:top w:val="none" w:sz="0" w:space="0" w:color="auto"/>
        <w:left w:val="none" w:sz="0" w:space="0" w:color="auto"/>
        <w:bottom w:val="none" w:sz="0" w:space="0" w:color="auto"/>
        <w:right w:val="none" w:sz="0" w:space="0" w:color="auto"/>
      </w:divBdr>
      <w:divsChild>
        <w:div w:id="1637762221">
          <w:marLeft w:val="0"/>
          <w:marRight w:val="0"/>
          <w:marTop w:val="0"/>
          <w:marBottom w:val="0"/>
          <w:divBdr>
            <w:top w:val="none" w:sz="0" w:space="0" w:color="auto"/>
            <w:left w:val="single" w:sz="6" w:space="0" w:color="D1D2D4"/>
            <w:bottom w:val="none" w:sz="0" w:space="0" w:color="auto"/>
            <w:right w:val="single" w:sz="6" w:space="0" w:color="D1D2D4"/>
          </w:divBdr>
          <w:divsChild>
            <w:div w:id="355715">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 w:id="1205943273">
      <w:bodyDiv w:val="1"/>
      <w:marLeft w:val="0"/>
      <w:marRight w:val="0"/>
      <w:marTop w:val="0"/>
      <w:marBottom w:val="0"/>
      <w:divBdr>
        <w:top w:val="none" w:sz="0" w:space="0" w:color="auto"/>
        <w:left w:val="none" w:sz="0" w:space="0" w:color="auto"/>
        <w:bottom w:val="none" w:sz="0" w:space="0" w:color="auto"/>
        <w:right w:val="none" w:sz="0" w:space="0" w:color="auto"/>
      </w:divBdr>
    </w:div>
    <w:div w:id="1232234072">
      <w:bodyDiv w:val="1"/>
      <w:marLeft w:val="0"/>
      <w:marRight w:val="0"/>
      <w:marTop w:val="0"/>
      <w:marBottom w:val="0"/>
      <w:divBdr>
        <w:top w:val="none" w:sz="0" w:space="0" w:color="auto"/>
        <w:left w:val="none" w:sz="0" w:space="0" w:color="auto"/>
        <w:bottom w:val="none" w:sz="0" w:space="0" w:color="auto"/>
        <w:right w:val="none" w:sz="0" w:space="0" w:color="auto"/>
      </w:divBdr>
    </w:div>
    <w:div w:id="1248421922">
      <w:bodyDiv w:val="1"/>
      <w:marLeft w:val="0"/>
      <w:marRight w:val="0"/>
      <w:marTop w:val="0"/>
      <w:marBottom w:val="0"/>
      <w:divBdr>
        <w:top w:val="none" w:sz="0" w:space="0" w:color="auto"/>
        <w:left w:val="none" w:sz="0" w:space="0" w:color="auto"/>
        <w:bottom w:val="none" w:sz="0" w:space="0" w:color="auto"/>
        <w:right w:val="none" w:sz="0" w:space="0" w:color="auto"/>
      </w:divBdr>
    </w:div>
    <w:div w:id="1319771328">
      <w:bodyDiv w:val="1"/>
      <w:marLeft w:val="0"/>
      <w:marRight w:val="0"/>
      <w:marTop w:val="0"/>
      <w:marBottom w:val="0"/>
      <w:divBdr>
        <w:top w:val="none" w:sz="0" w:space="0" w:color="auto"/>
        <w:left w:val="none" w:sz="0" w:space="0" w:color="auto"/>
        <w:bottom w:val="none" w:sz="0" w:space="0" w:color="auto"/>
        <w:right w:val="none" w:sz="0" w:space="0" w:color="auto"/>
      </w:divBdr>
    </w:div>
    <w:div w:id="1343973200">
      <w:bodyDiv w:val="1"/>
      <w:marLeft w:val="0"/>
      <w:marRight w:val="0"/>
      <w:marTop w:val="0"/>
      <w:marBottom w:val="5325"/>
      <w:divBdr>
        <w:top w:val="none" w:sz="0" w:space="0" w:color="auto"/>
        <w:left w:val="none" w:sz="0" w:space="0" w:color="auto"/>
        <w:bottom w:val="none" w:sz="0" w:space="0" w:color="auto"/>
        <w:right w:val="none" w:sz="0" w:space="0" w:color="auto"/>
      </w:divBdr>
      <w:divsChild>
        <w:div w:id="2137523599">
          <w:marLeft w:val="0"/>
          <w:marRight w:val="0"/>
          <w:marTop w:val="0"/>
          <w:marBottom w:val="0"/>
          <w:divBdr>
            <w:top w:val="none" w:sz="0" w:space="0" w:color="auto"/>
            <w:left w:val="none" w:sz="0" w:space="0" w:color="auto"/>
            <w:bottom w:val="none" w:sz="0" w:space="0" w:color="auto"/>
            <w:right w:val="none" w:sz="0" w:space="0" w:color="auto"/>
          </w:divBdr>
          <w:divsChild>
            <w:div w:id="2079664504">
              <w:marLeft w:val="-225"/>
              <w:marRight w:val="-225"/>
              <w:marTop w:val="0"/>
              <w:marBottom w:val="0"/>
              <w:divBdr>
                <w:top w:val="none" w:sz="0" w:space="0" w:color="auto"/>
                <w:left w:val="none" w:sz="0" w:space="0" w:color="auto"/>
                <w:bottom w:val="none" w:sz="0" w:space="0" w:color="auto"/>
                <w:right w:val="none" w:sz="0" w:space="0" w:color="auto"/>
              </w:divBdr>
              <w:divsChild>
                <w:div w:id="9577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9077">
      <w:bodyDiv w:val="1"/>
      <w:marLeft w:val="0"/>
      <w:marRight w:val="0"/>
      <w:marTop w:val="0"/>
      <w:marBottom w:val="0"/>
      <w:divBdr>
        <w:top w:val="none" w:sz="0" w:space="0" w:color="auto"/>
        <w:left w:val="none" w:sz="0" w:space="0" w:color="auto"/>
        <w:bottom w:val="none" w:sz="0" w:space="0" w:color="auto"/>
        <w:right w:val="none" w:sz="0" w:space="0" w:color="auto"/>
      </w:divBdr>
      <w:divsChild>
        <w:div w:id="881399768">
          <w:marLeft w:val="0"/>
          <w:marRight w:val="0"/>
          <w:marTop w:val="0"/>
          <w:marBottom w:val="0"/>
          <w:divBdr>
            <w:top w:val="single" w:sz="6" w:space="0" w:color="D7D7D7"/>
            <w:left w:val="single" w:sz="6" w:space="0" w:color="D7D7D7"/>
            <w:bottom w:val="single" w:sz="6" w:space="0" w:color="D7D7D7"/>
            <w:right w:val="single" w:sz="6" w:space="0" w:color="D7D7D7"/>
          </w:divBdr>
          <w:divsChild>
            <w:div w:id="134258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5539">
      <w:bodyDiv w:val="1"/>
      <w:marLeft w:val="0"/>
      <w:marRight w:val="0"/>
      <w:marTop w:val="0"/>
      <w:marBottom w:val="0"/>
      <w:divBdr>
        <w:top w:val="none" w:sz="0" w:space="0" w:color="auto"/>
        <w:left w:val="none" w:sz="0" w:space="0" w:color="auto"/>
        <w:bottom w:val="none" w:sz="0" w:space="0" w:color="auto"/>
        <w:right w:val="none" w:sz="0" w:space="0" w:color="auto"/>
      </w:divBdr>
    </w:div>
    <w:div w:id="1418818955">
      <w:bodyDiv w:val="1"/>
      <w:marLeft w:val="0"/>
      <w:marRight w:val="0"/>
      <w:marTop w:val="0"/>
      <w:marBottom w:val="0"/>
      <w:divBdr>
        <w:top w:val="none" w:sz="0" w:space="0" w:color="auto"/>
        <w:left w:val="none" w:sz="0" w:space="0" w:color="auto"/>
        <w:bottom w:val="none" w:sz="0" w:space="0" w:color="auto"/>
        <w:right w:val="none" w:sz="0" w:space="0" w:color="auto"/>
      </w:divBdr>
    </w:div>
    <w:div w:id="1419642379">
      <w:bodyDiv w:val="1"/>
      <w:marLeft w:val="0"/>
      <w:marRight w:val="0"/>
      <w:marTop w:val="0"/>
      <w:marBottom w:val="0"/>
      <w:divBdr>
        <w:top w:val="none" w:sz="0" w:space="0" w:color="auto"/>
        <w:left w:val="none" w:sz="0" w:space="0" w:color="auto"/>
        <w:bottom w:val="none" w:sz="0" w:space="0" w:color="auto"/>
        <w:right w:val="none" w:sz="0" w:space="0" w:color="auto"/>
      </w:divBdr>
    </w:div>
    <w:div w:id="1433042047">
      <w:bodyDiv w:val="1"/>
      <w:marLeft w:val="0"/>
      <w:marRight w:val="0"/>
      <w:marTop w:val="0"/>
      <w:marBottom w:val="0"/>
      <w:divBdr>
        <w:top w:val="none" w:sz="0" w:space="0" w:color="auto"/>
        <w:left w:val="none" w:sz="0" w:space="0" w:color="auto"/>
        <w:bottom w:val="none" w:sz="0" w:space="0" w:color="auto"/>
        <w:right w:val="none" w:sz="0" w:space="0" w:color="auto"/>
      </w:divBdr>
    </w:div>
    <w:div w:id="1472551918">
      <w:bodyDiv w:val="1"/>
      <w:marLeft w:val="0"/>
      <w:marRight w:val="0"/>
      <w:marTop w:val="0"/>
      <w:marBottom w:val="0"/>
      <w:divBdr>
        <w:top w:val="none" w:sz="0" w:space="0" w:color="auto"/>
        <w:left w:val="none" w:sz="0" w:space="0" w:color="auto"/>
        <w:bottom w:val="none" w:sz="0" w:space="0" w:color="auto"/>
        <w:right w:val="none" w:sz="0" w:space="0" w:color="auto"/>
      </w:divBdr>
    </w:div>
    <w:div w:id="1495485194">
      <w:bodyDiv w:val="1"/>
      <w:marLeft w:val="0"/>
      <w:marRight w:val="0"/>
      <w:marTop w:val="0"/>
      <w:marBottom w:val="0"/>
      <w:divBdr>
        <w:top w:val="none" w:sz="0" w:space="0" w:color="auto"/>
        <w:left w:val="none" w:sz="0" w:space="0" w:color="auto"/>
        <w:bottom w:val="none" w:sz="0" w:space="0" w:color="auto"/>
        <w:right w:val="none" w:sz="0" w:space="0" w:color="auto"/>
      </w:divBdr>
    </w:div>
    <w:div w:id="1498157670">
      <w:bodyDiv w:val="1"/>
      <w:marLeft w:val="0"/>
      <w:marRight w:val="0"/>
      <w:marTop w:val="0"/>
      <w:marBottom w:val="0"/>
      <w:divBdr>
        <w:top w:val="none" w:sz="0" w:space="0" w:color="auto"/>
        <w:left w:val="none" w:sz="0" w:space="0" w:color="auto"/>
        <w:bottom w:val="none" w:sz="0" w:space="0" w:color="auto"/>
        <w:right w:val="none" w:sz="0" w:space="0" w:color="auto"/>
      </w:divBdr>
    </w:div>
    <w:div w:id="1508445280">
      <w:bodyDiv w:val="1"/>
      <w:marLeft w:val="0"/>
      <w:marRight w:val="0"/>
      <w:marTop w:val="0"/>
      <w:marBottom w:val="0"/>
      <w:divBdr>
        <w:top w:val="none" w:sz="0" w:space="0" w:color="auto"/>
        <w:left w:val="none" w:sz="0" w:space="0" w:color="auto"/>
        <w:bottom w:val="none" w:sz="0" w:space="0" w:color="auto"/>
        <w:right w:val="none" w:sz="0" w:space="0" w:color="auto"/>
      </w:divBdr>
    </w:div>
    <w:div w:id="1510946104">
      <w:bodyDiv w:val="1"/>
      <w:marLeft w:val="0"/>
      <w:marRight w:val="0"/>
      <w:marTop w:val="0"/>
      <w:marBottom w:val="0"/>
      <w:divBdr>
        <w:top w:val="none" w:sz="0" w:space="0" w:color="auto"/>
        <w:left w:val="none" w:sz="0" w:space="0" w:color="auto"/>
        <w:bottom w:val="none" w:sz="0" w:space="0" w:color="auto"/>
        <w:right w:val="none" w:sz="0" w:space="0" w:color="auto"/>
      </w:divBdr>
    </w:div>
    <w:div w:id="1514150554">
      <w:bodyDiv w:val="1"/>
      <w:marLeft w:val="0"/>
      <w:marRight w:val="0"/>
      <w:marTop w:val="0"/>
      <w:marBottom w:val="0"/>
      <w:divBdr>
        <w:top w:val="none" w:sz="0" w:space="0" w:color="auto"/>
        <w:left w:val="none" w:sz="0" w:space="0" w:color="auto"/>
        <w:bottom w:val="none" w:sz="0" w:space="0" w:color="auto"/>
        <w:right w:val="none" w:sz="0" w:space="0" w:color="auto"/>
      </w:divBdr>
    </w:div>
    <w:div w:id="1524129979">
      <w:bodyDiv w:val="1"/>
      <w:marLeft w:val="0"/>
      <w:marRight w:val="0"/>
      <w:marTop w:val="0"/>
      <w:marBottom w:val="0"/>
      <w:divBdr>
        <w:top w:val="none" w:sz="0" w:space="0" w:color="auto"/>
        <w:left w:val="none" w:sz="0" w:space="0" w:color="auto"/>
        <w:bottom w:val="none" w:sz="0" w:space="0" w:color="auto"/>
        <w:right w:val="none" w:sz="0" w:space="0" w:color="auto"/>
      </w:divBdr>
    </w:div>
    <w:div w:id="1551916759">
      <w:bodyDiv w:val="1"/>
      <w:marLeft w:val="0"/>
      <w:marRight w:val="0"/>
      <w:marTop w:val="0"/>
      <w:marBottom w:val="0"/>
      <w:divBdr>
        <w:top w:val="none" w:sz="0" w:space="0" w:color="auto"/>
        <w:left w:val="none" w:sz="0" w:space="0" w:color="auto"/>
        <w:bottom w:val="none" w:sz="0" w:space="0" w:color="auto"/>
        <w:right w:val="none" w:sz="0" w:space="0" w:color="auto"/>
      </w:divBdr>
    </w:div>
    <w:div w:id="1552694134">
      <w:bodyDiv w:val="1"/>
      <w:marLeft w:val="0"/>
      <w:marRight w:val="0"/>
      <w:marTop w:val="0"/>
      <w:marBottom w:val="0"/>
      <w:divBdr>
        <w:top w:val="none" w:sz="0" w:space="0" w:color="auto"/>
        <w:left w:val="none" w:sz="0" w:space="0" w:color="auto"/>
        <w:bottom w:val="none" w:sz="0" w:space="0" w:color="auto"/>
        <w:right w:val="none" w:sz="0" w:space="0" w:color="auto"/>
      </w:divBdr>
    </w:div>
    <w:div w:id="1575428294">
      <w:bodyDiv w:val="1"/>
      <w:marLeft w:val="0"/>
      <w:marRight w:val="0"/>
      <w:marTop w:val="0"/>
      <w:marBottom w:val="0"/>
      <w:divBdr>
        <w:top w:val="none" w:sz="0" w:space="0" w:color="auto"/>
        <w:left w:val="none" w:sz="0" w:space="0" w:color="auto"/>
        <w:bottom w:val="none" w:sz="0" w:space="0" w:color="auto"/>
        <w:right w:val="none" w:sz="0" w:space="0" w:color="auto"/>
      </w:divBdr>
    </w:div>
    <w:div w:id="1584802597">
      <w:bodyDiv w:val="1"/>
      <w:marLeft w:val="0"/>
      <w:marRight w:val="0"/>
      <w:marTop w:val="0"/>
      <w:marBottom w:val="0"/>
      <w:divBdr>
        <w:top w:val="none" w:sz="0" w:space="0" w:color="auto"/>
        <w:left w:val="none" w:sz="0" w:space="0" w:color="auto"/>
        <w:bottom w:val="none" w:sz="0" w:space="0" w:color="auto"/>
        <w:right w:val="none" w:sz="0" w:space="0" w:color="auto"/>
      </w:divBdr>
    </w:div>
    <w:div w:id="1644893368">
      <w:bodyDiv w:val="1"/>
      <w:marLeft w:val="0"/>
      <w:marRight w:val="0"/>
      <w:marTop w:val="0"/>
      <w:marBottom w:val="0"/>
      <w:divBdr>
        <w:top w:val="none" w:sz="0" w:space="0" w:color="auto"/>
        <w:left w:val="none" w:sz="0" w:space="0" w:color="auto"/>
        <w:bottom w:val="none" w:sz="0" w:space="0" w:color="auto"/>
        <w:right w:val="none" w:sz="0" w:space="0" w:color="auto"/>
      </w:divBdr>
    </w:div>
    <w:div w:id="1674406408">
      <w:bodyDiv w:val="1"/>
      <w:marLeft w:val="0"/>
      <w:marRight w:val="0"/>
      <w:marTop w:val="0"/>
      <w:marBottom w:val="0"/>
      <w:divBdr>
        <w:top w:val="none" w:sz="0" w:space="0" w:color="auto"/>
        <w:left w:val="none" w:sz="0" w:space="0" w:color="auto"/>
        <w:bottom w:val="none" w:sz="0" w:space="0" w:color="auto"/>
        <w:right w:val="none" w:sz="0" w:space="0" w:color="auto"/>
      </w:divBdr>
    </w:div>
    <w:div w:id="1722483460">
      <w:bodyDiv w:val="1"/>
      <w:marLeft w:val="0"/>
      <w:marRight w:val="0"/>
      <w:marTop w:val="0"/>
      <w:marBottom w:val="0"/>
      <w:divBdr>
        <w:top w:val="none" w:sz="0" w:space="0" w:color="auto"/>
        <w:left w:val="none" w:sz="0" w:space="0" w:color="auto"/>
        <w:bottom w:val="none" w:sz="0" w:space="0" w:color="auto"/>
        <w:right w:val="none" w:sz="0" w:space="0" w:color="auto"/>
      </w:divBdr>
    </w:div>
    <w:div w:id="1723677788">
      <w:bodyDiv w:val="1"/>
      <w:marLeft w:val="0"/>
      <w:marRight w:val="0"/>
      <w:marTop w:val="0"/>
      <w:marBottom w:val="0"/>
      <w:divBdr>
        <w:top w:val="none" w:sz="0" w:space="0" w:color="auto"/>
        <w:left w:val="none" w:sz="0" w:space="0" w:color="auto"/>
        <w:bottom w:val="none" w:sz="0" w:space="0" w:color="auto"/>
        <w:right w:val="none" w:sz="0" w:space="0" w:color="auto"/>
      </w:divBdr>
      <w:divsChild>
        <w:div w:id="204484927">
          <w:marLeft w:val="0"/>
          <w:marRight w:val="0"/>
          <w:marTop w:val="0"/>
          <w:marBottom w:val="0"/>
          <w:divBdr>
            <w:top w:val="none" w:sz="0" w:space="0" w:color="auto"/>
            <w:left w:val="none" w:sz="0" w:space="0" w:color="auto"/>
            <w:bottom w:val="none" w:sz="0" w:space="0" w:color="auto"/>
            <w:right w:val="none" w:sz="0" w:space="0" w:color="auto"/>
          </w:divBdr>
        </w:div>
        <w:div w:id="212664913">
          <w:marLeft w:val="0"/>
          <w:marRight w:val="0"/>
          <w:marTop w:val="0"/>
          <w:marBottom w:val="0"/>
          <w:divBdr>
            <w:top w:val="none" w:sz="0" w:space="0" w:color="auto"/>
            <w:left w:val="none" w:sz="0" w:space="0" w:color="auto"/>
            <w:bottom w:val="none" w:sz="0" w:space="0" w:color="auto"/>
            <w:right w:val="none" w:sz="0" w:space="0" w:color="auto"/>
          </w:divBdr>
        </w:div>
        <w:div w:id="462312471">
          <w:marLeft w:val="0"/>
          <w:marRight w:val="0"/>
          <w:marTop w:val="0"/>
          <w:marBottom w:val="0"/>
          <w:divBdr>
            <w:top w:val="none" w:sz="0" w:space="0" w:color="auto"/>
            <w:left w:val="none" w:sz="0" w:space="0" w:color="auto"/>
            <w:bottom w:val="none" w:sz="0" w:space="0" w:color="auto"/>
            <w:right w:val="none" w:sz="0" w:space="0" w:color="auto"/>
          </w:divBdr>
        </w:div>
        <w:div w:id="510995201">
          <w:marLeft w:val="0"/>
          <w:marRight w:val="0"/>
          <w:marTop w:val="0"/>
          <w:marBottom w:val="0"/>
          <w:divBdr>
            <w:top w:val="none" w:sz="0" w:space="0" w:color="auto"/>
            <w:left w:val="none" w:sz="0" w:space="0" w:color="auto"/>
            <w:bottom w:val="none" w:sz="0" w:space="0" w:color="auto"/>
            <w:right w:val="none" w:sz="0" w:space="0" w:color="auto"/>
          </w:divBdr>
        </w:div>
        <w:div w:id="651298289">
          <w:marLeft w:val="0"/>
          <w:marRight w:val="0"/>
          <w:marTop w:val="0"/>
          <w:marBottom w:val="0"/>
          <w:divBdr>
            <w:top w:val="none" w:sz="0" w:space="0" w:color="auto"/>
            <w:left w:val="none" w:sz="0" w:space="0" w:color="auto"/>
            <w:bottom w:val="none" w:sz="0" w:space="0" w:color="auto"/>
            <w:right w:val="none" w:sz="0" w:space="0" w:color="auto"/>
          </w:divBdr>
        </w:div>
        <w:div w:id="673648915">
          <w:marLeft w:val="0"/>
          <w:marRight w:val="0"/>
          <w:marTop w:val="0"/>
          <w:marBottom w:val="0"/>
          <w:divBdr>
            <w:top w:val="none" w:sz="0" w:space="0" w:color="auto"/>
            <w:left w:val="none" w:sz="0" w:space="0" w:color="auto"/>
            <w:bottom w:val="none" w:sz="0" w:space="0" w:color="auto"/>
            <w:right w:val="none" w:sz="0" w:space="0" w:color="auto"/>
          </w:divBdr>
        </w:div>
        <w:div w:id="757210459">
          <w:marLeft w:val="0"/>
          <w:marRight w:val="0"/>
          <w:marTop w:val="0"/>
          <w:marBottom w:val="0"/>
          <w:divBdr>
            <w:top w:val="none" w:sz="0" w:space="0" w:color="auto"/>
            <w:left w:val="none" w:sz="0" w:space="0" w:color="auto"/>
            <w:bottom w:val="none" w:sz="0" w:space="0" w:color="auto"/>
            <w:right w:val="none" w:sz="0" w:space="0" w:color="auto"/>
          </w:divBdr>
        </w:div>
        <w:div w:id="800612692">
          <w:marLeft w:val="0"/>
          <w:marRight w:val="0"/>
          <w:marTop w:val="0"/>
          <w:marBottom w:val="0"/>
          <w:divBdr>
            <w:top w:val="none" w:sz="0" w:space="0" w:color="auto"/>
            <w:left w:val="none" w:sz="0" w:space="0" w:color="auto"/>
            <w:bottom w:val="none" w:sz="0" w:space="0" w:color="auto"/>
            <w:right w:val="none" w:sz="0" w:space="0" w:color="auto"/>
          </w:divBdr>
        </w:div>
        <w:div w:id="806168072">
          <w:marLeft w:val="0"/>
          <w:marRight w:val="0"/>
          <w:marTop w:val="0"/>
          <w:marBottom w:val="0"/>
          <w:divBdr>
            <w:top w:val="none" w:sz="0" w:space="0" w:color="auto"/>
            <w:left w:val="none" w:sz="0" w:space="0" w:color="auto"/>
            <w:bottom w:val="none" w:sz="0" w:space="0" w:color="auto"/>
            <w:right w:val="none" w:sz="0" w:space="0" w:color="auto"/>
          </w:divBdr>
        </w:div>
        <w:div w:id="1185048978">
          <w:marLeft w:val="0"/>
          <w:marRight w:val="0"/>
          <w:marTop w:val="0"/>
          <w:marBottom w:val="0"/>
          <w:divBdr>
            <w:top w:val="none" w:sz="0" w:space="0" w:color="auto"/>
            <w:left w:val="none" w:sz="0" w:space="0" w:color="auto"/>
            <w:bottom w:val="none" w:sz="0" w:space="0" w:color="auto"/>
            <w:right w:val="none" w:sz="0" w:space="0" w:color="auto"/>
          </w:divBdr>
        </w:div>
        <w:div w:id="1359115884">
          <w:marLeft w:val="0"/>
          <w:marRight w:val="0"/>
          <w:marTop w:val="0"/>
          <w:marBottom w:val="0"/>
          <w:divBdr>
            <w:top w:val="none" w:sz="0" w:space="0" w:color="auto"/>
            <w:left w:val="none" w:sz="0" w:space="0" w:color="auto"/>
            <w:bottom w:val="none" w:sz="0" w:space="0" w:color="auto"/>
            <w:right w:val="none" w:sz="0" w:space="0" w:color="auto"/>
          </w:divBdr>
          <w:divsChild>
            <w:div w:id="194511097">
              <w:marLeft w:val="0"/>
              <w:marRight w:val="0"/>
              <w:marTop w:val="0"/>
              <w:marBottom w:val="0"/>
              <w:divBdr>
                <w:top w:val="none" w:sz="0" w:space="0" w:color="auto"/>
                <w:left w:val="none" w:sz="0" w:space="0" w:color="auto"/>
                <w:bottom w:val="none" w:sz="0" w:space="0" w:color="auto"/>
                <w:right w:val="none" w:sz="0" w:space="0" w:color="auto"/>
              </w:divBdr>
            </w:div>
            <w:div w:id="1147239495">
              <w:marLeft w:val="0"/>
              <w:marRight w:val="0"/>
              <w:marTop w:val="0"/>
              <w:marBottom w:val="0"/>
              <w:divBdr>
                <w:top w:val="none" w:sz="0" w:space="0" w:color="auto"/>
                <w:left w:val="none" w:sz="0" w:space="0" w:color="auto"/>
                <w:bottom w:val="none" w:sz="0" w:space="0" w:color="auto"/>
                <w:right w:val="none" w:sz="0" w:space="0" w:color="auto"/>
              </w:divBdr>
            </w:div>
            <w:div w:id="1772819751">
              <w:marLeft w:val="0"/>
              <w:marRight w:val="0"/>
              <w:marTop w:val="0"/>
              <w:marBottom w:val="0"/>
              <w:divBdr>
                <w:top w:val="none" w:sz="0" w:space="0" w:color="auto"/>
                <w:left w:val="none" w:sz="0" w:space="0" w:color="auto"/>
                <w:bottom w:val="none" w:sz="0" w:space="0" w:color="auto"/>
                <w:right w:val="none" w:sz="0" w:space="0" w:color="auto"/>
              </w:divBdr>
            </w:div>
          </w:divsChild>
        </w:div>
        <w:div w:id="1487014652">
          <w:marLeft w:val="0"/>
          <w:marRight w:val="0"/>
          <w:marTop w:val="0"/>
          <w:marBottom w:val="0"/>
          <w:divBdr>
            <w:top w:val="none" w:sz="0" w:space="0" w:color="auto"/>
            <w:left w:val="none" w:sz="0" w:space="0" w:color="auto"/>
            <w:bottom w:val="none" w:sz="0" w:space="0" w:color="auto"/>
            <w:right w:val="none" w:sz="0" w:space="0" w:color="auto"/>
          </w:divBdr>
        </w:div>
        <w:div w:id="1493716480">
          <w:marLeft w:val="0"/>
          <w:marRight w:val="0"/>
          <w:marTop w:val="0"/>
          <w:marBottom w:val="0"/>
          <w:divBdr>
            <w:top w:val="none" w:sz="0" w:space="0" w:color="auto"/>
            <w:left w:val="none" w:sz="0" w:space="0" w:color="auto"/>
            <w:bottom w:val="none" w:sz="0" w:space="0" w:color="auto"/>
            <w:right w:val="none" w:sz="0" w:space="0" w:color="auto"/>
          </w:divBdr>
        </w:div>
        <w:div w:id="1719861388">
          <w:marLeft w:val="0"/>
          <w:marRight w:val="0"/>
          <w:marTop w:val="0"/>
          <w:marBottom w:val="0"/>
          <w:divBdr>
            <w:top w:val="none" w:sz="0" w:space="0" w:color="auto"/>
            <w:left w:val="none" w:sz="0" w:space="0" w:color="auto"/>
            <w:bottom w:val="none" w:sz="0" w:space="0" w:color="auto"/>
            <w:right w:val="none" w:sz="0" w:space="0" w:color="auto"/>
          </w:divBdr>
        </w:div>
        <w:div w:id="1726877011">
          <w:marLeft w:val="0"/>
          <w:marRight w:val="0"/>
          <w:marTop w:val="0"/>
          <w:marBottom w:val="0"/>
          <w:divBdr>
            <w:top w:val="none" w:sz="0" w:space="0" w:color="auto"/>
            <w:left w:val="none" w:sz="0" w:space="0" w:color="auto"/>
            <w:bottom w:val="none" w:sz="0" w:space="0" w:color="auto"/>
            <w:right w:val="none" w:sz="0" w:space="0" w:color="auto"/>
          </w:divBdr>
        </w:div>
        <w:div w:id="1772771728">
          <w:marLeft w:val="0"/>
          <w:marRight w:val="0"/>
          <w:marTop w:val="0"/>
          <w:marBottom w:val="0"/>
          <w:divBdr>
            <w:top w:val="none" w:sz="0" w:space="0" w:color="auto"/>
            <w:left w:val="none" w:sz="0" w:space="0" w:color="auto"/>
            <w:bottom w:val="none" w:sz="0" w:space="0" w:color="auto"/>
            <w:right w:val="none" w:sz="0" w:space="0" w:color="auto"/>
          </w:divBdr>
        </w:div>
        <w:div w:id="1778135793">
          <w:marLeft w:val="0"/>
          <w:marRight w:val="0"/>
          <w:marTop w:val="0"/>
          <w:marBottom w:val="0"/>
          <w:divBdr>
            <w:top w:val="none" w:sz="0" w:space="0" w:color="auto"/>
            <w:left w:val="none" w:sz="0" w:space="0" w:color="auto"/>
            <w:bottom w:val="none" w:sz="0" w:space="0" w:color="auto"/>
            <w:right w:val="none" w:sz="0" w:space="0" w:color="auto"/>
          </w:divBdr>
        </w:div>
        <w:div w:id="1879778588">
          <w:marLeft w:val="0"/>
          <w:marRight w:val="0"/>
          <w:marTop w:val="0"/>
          <w:marBottom w:val="0"/>
          <w:divBdr>
            <w:top w:val="none" w:sz="0" w:space="0" w:color="auto"/>
            <w:left w:val="none" w:sz="0" w:space="0" w:color="auto"/>
            <w:bottom w:val="none" w:sz="0" w:space="0" w:color="auto"/>
            <w:right w:val="none" w:sz="0" w:space="0" w:color="auto"/>
          </w:divBdr>
        </w:div>
        <w:div w:id="2086341774">
          <w:marLeft w:val="0"/>
          <w:marRight w:val="0"/>
          <w:marTop w:val="0"/>
          <w:marBottom w:val="0"/>
          <w:divBdr>
            <w:top w:val="none" w:sz="0" w:space="0" w:color="auto"/>
            <w:left w:val="none" w:sz="0" w:space="0" w:color="auto"/>
            <w:bottom w:val="none" w:sz="0" w:space="0" w:color="auto"/>
            <w:right w:val="none" w:sz="0" w:space="0" w:color="auto"/>
          </w:divBdr>
        </w:div>
      </w:divsChild>
    </w:div>
    <w:div w:id="1727296597">
      <w:bodyDiv w:val="1"/>
      <w:marLeft w:val="0"/>
      <w:marRight w:val="0"/>
      <w:marTop w:val="0"/>
      <w:marBottom w:val="0"/>
      <w:divBdr>
        <w:top w:val="none" w:sz="0" w:space="0" w:color="auto"/>
        <w:left w:val="none" w:sz="0" w:space="0" w:color="auto"/>
        <w:bottom w:val="none" w:sz="0" w:space="0" w:color="auto"/>
        <w:right w:val="none" w:sz="0" w:space="0" w:color="auto"/>
      </w:divBdr>
    </w:div>
    <w:div w:id="1783649227">
      <w:bodyDiv w:val="1"/>
      <w:marLeft w:val="0"/>
      <w:marRight w:val="0"/>
      <w:marTop w:val="0"/>
      <w:marBottom w:val="0"/>
      <w:divBdr>
        <w:top w:val="none" w:sz="0" w:space="0" w:color="auto"/>
        <w:left w:val="none" w:sz="0" w:space="0" w:color="auto"/>
        <w:bottom w:val="none" w:sz="0" w:space="0" w:color="auto"/>
        <w:right w:val="none" w:sz="0" w:space="0" w:color="auto"/>
      </w:divBdr>
    </w:div>
    <w:div w:id="1794397358">
      <w:bodyDiv w:val="1"/>
      <w:marLeft w:val="0"/>
      <w:marRight w:val="0"/>
      <w:marTop w:val="0"/>
      <w:marBottom w:val="0"/>
      <w:divBdr>
        <w:top w:val="none" w:sz="0" w:space="0" w:color="auto"/>
        <w:left w:val="none" w:sz="0" w:space="0" w:color="auto"/>
        <w:bottom w:val="none" w:sz="0" w:space="0" w:color="auto"/>
        <w:right w:val="none" w:sz="0" w:space="0" w:color="auto"/>
      </w:divBdr>
    </w:div>
    <w:div w:id="1796409647">
      <w:bodyDiv w:val="1"/>
      <w:marLeft w:val="0"/>
      <w:marRight w:val="0"/>
      <w:marTop w:val="0"/>
      <w:marBottom w:val="0"/>
      <w:divBdr>
        <w:top w:val="none" w:sz="0" w:space="0" w:color="auto"/>
        <w:left w:val="none" w:sz="0" w:space="0" w:color="auto"/>
        <w:bottom w:val="none" w:sz="0" w:space="0" w:color="auto"/>
        <w:right w:val="none" w:sz="0" w:space="0" w:color="auto"/>
      </w:divBdr>
      <w:divsChild>
        <w:div w:id="15161755">
          <w:marLeft w:val="0"/>
          <w:marRight w:val="0"/>
          <w:marTop w:val="0"/>
          <w:marBottom w:val="0"/>
          <w:divBdr>
            <w:top w:val="none" w:sz="0" w:space="0" w:color="auto"/>
            <w:left w:val="none" w:sz="0" w:space="0" w:color="auto"/>
            <w:bottom w:val="none" w:sz="0" w:space="0" w:color="auto"/>
            <w:right w:val="none" w:sz="0" w:space="0" w:color="auto"/>
          </w:divBdr>
        </w:div>
        <w:div w:id="1659382029">
          <w:marLeft w:val="0"/>
          <w:marRight w:val="0"/>
          <w:marTop w:val="0"/>
          <w:marBottom w:val="0"/>
          <w:divBdr>
            <w:top w:val="none" w:sz="0" w:space="0" w:color="auto"/>
            <w:left w:val="none" w:sz="0" w:space="0" w:color="auto"/>
            <w:bottom w:val="none" w:sz="0" w:space="0" w:color="auto"/>
            <w:right w:val="none" w:sz="0" w:space="0" w:color="auto"/>
          </w:divBdr>
          <w:divsChild>
            <w:div w:id="8384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86291">
      <w:bodyDiv w:val="1"/>
      <w:marLeft w:val="0"/>
      <w:marRight w:val="0"/>
      <w:marTop w:val="0"/>
      <w:marBottom w:val="0"/>
      <w:divBdr>
        <w:top w:val="none" w:sz="0" w:space="0" w:color="auto"/>
        <w:left w:val="none" w:sz="0" w:space="0" w:color="auto"/>
        <w:bottom w:val="none" w:sz="0" w:space="0" w:color="auto"/>
        <w:right w:val="none" w:sz="0" w:space="0" w:color="auto"/>
      </w:divBdr>
      <w:divsChild>
        <w:div w:id="215161507">
          <w:marLeft w:val="547"/>
          <w:marRight w:val="0"/>
          <w:marTop w:val="0"/>
          <w:marBottom w:val="0"/>
          <w:divBdr>
            <w:top w:val="none" w:sz="0" w:space="0" w:color="auto"/>
            <w:left w:val="none" w:sz="0" w:space="0" w:color="auto"/>
            <w:bottom w:val="none" w:sz="0" w:space="0" w:color="auto"/>
            <w:right w:val="none" w:sz="0" w:space="0" w:color="auto"/>
          </w:divBdr>
        </w:div>
        <w:div w:id="554513981">
          <w:marLeft w:val="547"/>
          <w:marRight w:val="0"/>
          <w:marTop w:val="0"/>
          <w:marBottom w:val="0"/>
          <w:divBdr>
            <w:top w:val="none" w:sz="0" w:space="0" w:color="auto"/>
            <w:left w:val="none" w:sz="0" w:space="0" w:color="auto"/>
            <w:bottom w:val="none" w:sz="0" w:space="0" w:color="auto"/>
            <w:right w:val="none" w:sz="0" w:space="0" w:color="auto"/>
          </w:divBdr>
        </w:div>
      </w:divsChild>
    </w:div>
    <w:div w:id="1859854223">
      <w:bodyDiv w:val="1"/>
      <w:marLeft w:val="0"/>
      <w:marRight w:val="0"/>
      <w:marTop w:val="0"/>
      <w:marBottom w:val="0"/>
      <w:divBdr>
        <w:top w:val="none" w:sz="0" w:space="0" w:color="auto"/>
        <w:left w:val="none" w:sz="0" w:space="0" w:color="auto"/>
        <w:bottom w:val="none" w:sz="0" w:space="0" w:color="auto"/>
        <w:right w:val="none" w:sz="0" w:space="0" w:color="auto"/>
      </w:divBdr>
    </w:div>
    <w:div w:id="1870291030">
      <w:bodyDiv w:val="1"/>
      <w:marLeft w:val="0"/>
      <w:marRight w:val="0"/>
      <w:marTop w:val="0"/>
      <w:marBottom w:val="0"/>
      <w:divBdr>
        <w:top w:val="none" w:sz="0" w:space="0" w:color="auto"/>
        <w:left w:val="none" w:sz="0" w:space="0" w:color="auto"/>
        <w:bottom w:val="none" w:sz="0" w:space="0" w:color="auto"/>
        <w:right w:val="none" w:sz="0" w:space="0" w:color="auto"/>
      </w:divBdr>
      <w:divsChild>
        <w:div w:id="5719201">
          <w:marLeft w:val="0"/>
          <w:marRight w:val="0"/>
          <w:marTop w:val="100"/>
          <w:marBottom w:val="100"/>
          <w:divBdr>
            <w:top w:val="single" w:sz="6" w:space="0" w:color="999999"/>
            <w:left w:val="single" w:sz="6" w:space="0" w:color="999999"/>
            <w:bottom w:val="single" w:sz="6" w:space="0" w:color="999999"/>
            <w:right w:val="single" w:sz="6" w:space="0" w:color="999999"/>
          </w:divBdr>
          <w:divsChild>
            <w:div w:id="1000427389">
              <w:marLeft w:val="0"/>
              <w:marRight w:val="0"/>
              <w:marTop w:val="0"/>
              <w:marBottom w:val="0"/>
              <w:divBdr>
                <w:top w:val="none" w:sz="0" w:space="0" w:color="auto"/>
                <w:left w:val="none" w:sz="0" w:space="0" w:color="auto"/>
                <w:bottom w:val="none" w:sz="0" w:space="0" w:color="auto"/>
                <w:right w:val="none" w:sz="0" w:space="0" w:color="auto"/>
              </w:divBdr>
              <w:divsChild>
                <w:div w:id="2118745121">
                  <w:marLeft w:val="0"/>
                  <w:marRight w:val="0"/>
                  <w:marTop w:val="0"/>
                  <w:marBottom w:val="0"/>
                  <w:divBdr>
                    <w:top w:val="none" w:sz="0" w:space="0" w:color="auto"/>
                    <w:left w:val="none" w:sz="0" w:space="0" w:color="auto"/>
                    <w:bottom w:val="none" w:sz="0" w:space="0" w:color="auto"/>
                    <w:right w:val="none" w:sz="0" w:space="0" w:color="auto"/>
                  </w:divBdr>
                  <w:divsChild>
                    <w:div w:id="2122334880">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sChild>
        </w:div>
      </w:divsChild>
    </w:div>
    <w:div w:id="1916697877">
      <w:bodyDiv w:val="1"/>
      <w:marLeft w:val="0"/>
      <w:marRight w:val="0"/>
      <w:marTop w:val="0"/>
      <w:marBottom w:val="0"/>
      <w:divBdr>
        <w:top w:val="none" w:sz="0" w:space="0" w:color="auto"/>
        <w:left w:val="none" w:sz="0" w:space="0" w:color="auto"/>
        <w:bottom w:val="none" w:sz="0" w:space="0" w:color="auto"/>
        <w:right w:val="none" w:sz="0" w:space="0" w:color="auto"/>
      </w:divBdr>
      <w:divsChild>
        <w:div w:id="201523339">
          <w:marLeft w:val="0"/>
          <w:marRight w:val="0"/>
          <w:marTop w:val="0"/>
          <w:marBottom w:val="0"/>
          <w:divBdr>
            <w:top w:val="none" w:sz="0" w:space="0" w:color="auto"/>
            <w:left w:val="none" w:sz="0" w:space="0" w:color="auto"/>
            <w:bottom w:val="none" w:sz="0" w:space="0" w:color="auto"/>
            <w:right w:val="none" w:sz="0" w:space="0" w:color="auto"/>
          </w:divBdr>
        </w:div>
        <w:div w:id="1428578459">
          <w:marLeft w:val="0"/>
          <w:marRight w:val="0"/>
          <w:marTop w:val="0"/>
          <w:marBottom w:val="0"/>
          <w:divBdr>
            <w:top w:val="none" w:sz="0" w:space="0" w:color="auto"/>
            <w:left w:val="none" w:sz="0" w:space="0" w:color="auto"/>
            <w:bottom w:val="none" w:sz="0" w:space="0" w:color="auto"/>
            <w:right w:val="none" w:sz="0" w:space="0" w:color="auto"/>
          </w:divBdr>
          <w:divsChild>
            <w:div w:id="1355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3862">
      <w:bodyDiv w:val="1"/>
      <w:marLeft w:val="0"/>
      <w:marRight w:val="0"/>
      <w:marTop w:val="0"/>
      <w:marBottom w:val="0"/>
      <w:divBdr>
        <w:top w:val="none" w:sz="0" w:space="0" w:color="auto"/>
        <w:left w:val="none" w:sz="0" w:space="0" w:color="auto"/>
        <w:bottom w:val="none" w:sz="0" w:space="0" w:color="auto"/>
        <w:right w:val="none" w:sz="0" w:space="0" w:color="auto"/>
      </w:divBdr>
      <w:divsChild>
        <w:div w:id="95751732">
          <w:marLeft w:val="0"/>
          <w:marRight w:val="0"/>
          <w:marTop w:val="0"/>
          <w:marBottom w:val="0"/>
          <w:divBdr>
            <w:top w:val="none" w:sz="0" w:space="0" w:color="auto"/>
            <w:left w:val="none" w:sz="0" w:space="0" w:color="auto"/>
            <w:bottom w:val="none" w:sz="0" w:space="0" w:color="auto"/>
            <w:right w:val="none" w:sz="0" w:space="0" w:color="auto"/>
          </w:divBdr>
        </w:div>
        <w:div w:id="956527711">
          <w:marLeft w:val="0"/>
          <w:marRight w:val="0"/>
          <w:marTop w:val="0"/>
          <w:marBottom w:val="0"/>
          <w:divBdr>
            <w:top w:val="none" w:sz="0" w:space="0" w:color="auto"/>
            <w:left w:val="none" w:sz="0" w:space="0" w:color="auto"/>
            <w:bottom w:val="none" w:sz="0" w:space="0" w:color="auto"/>
            <w:right w:val="none" w:sz="0" w:space="0" w:color="auto"/>
          </w:divBdr>
          <w:divsChild>
            <w:div w:id="1809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12656">
      <w:bodyDiv w:val="1"/>
      <w:marLeft w:val="0"/>
      <w:marRight w:val="0"/>
      <w:marTop w:val="0"/>
      <w:marBottom w:val="0"/>
      <w:divBdr>
        <w:top w:val="none" w:sz="0" w:space="0" w:color="auto"/>
        <w:left w:val="none" w:sz="0" w:space="0" w:color="auto"/>
        <w:bottom w:val="none" w:sz="0" w:space="0" w:color="auto"/>
        <w:right w:val="none" w:sz="0" w:space="0" w:color="auto"/>
      </w:divBdr>
    </w:div>
    <w:div w:id="1992365343">
      <w:bodyDiv w:val="1"/>
      <w:marLeft w:val="0"/>
      <w:marRight w:val="0"/>
      <w:marTop w:val="0"/>
      <w:marBottom w:val="0"/>
      <w:divBdr>
        <w:top w:val="none" w:sz="0" w:space="0" w:color="auto"/>
        <w:left w:val="none" w:sz="0" w:space="0" w:color="auto"/>
        <w:bottom w:val="none" w:sz="0" w:space="0" w:color="auto"/>
        <w:right w:val="none" w:sz="0" w:space="0" w:color="auto"/>
      </w:divBdr>
    </w:div>
    <w:div w:id="2001273287">
      <w:bodyDiv w:val="1"/>
      <w:marLeft w:val="0"/>
      <w:marRight w:val="0"/>
      <w:marTop w:val="0"/>
      <w:marBottom w:val="0"/>
      <w:divBdr>
        <w:top w:val="none" w:sz="0" w:space="0" w:color="auto"/>
        <w:left w:val="none" w:sz="0" w:space="0" w:color="auto"/>
        <w:bottom w:val="none" w:sz="0" w:space="0" w:color="auto"/>
        <w:right w:val="none" w:sz="0" w:space="0" w:color="auto"/>
      </w:divBdr>
    </w:div>
    <w:div w:id="2024161533">
      <w:bodyDiv w:val="1"/>
      <w:marLeft w:val="0"/>
      <w:marRight w:val="0"/>
      <w:marTop w:val="0"/>
      <w:marBottom w:val="0"/>
      <w:divBdr>
        <w:top w:val="none" w:sz="0" w:space="0" w:color="auto"/>
        <w:left w:val="none" w:sz="0" w:space="0" w:color="auto"/>
        <w:bottom w:val="none" w:sz="0" w:space="0" w:color="auto"/>
        <w:right w:val="none" w:sz="0" w:space="0" w:color="auto"/>
      </w:divBdr>
    </w:div>
    <w:div w:id="2041198490">
      <w:bodyDiv w:val="1"/>
      <w:marLeft w:val="0"/>
      <w:marRight w:val="0"/>
      <w:marTop w:val="0"/>
      <w:marBottom w:val="0"/>
      <w:divBdr>
        <w:top w:val="none" w:sz="0" w:space="0" w:color="auto"/>
        <w:left w:val="none" w:sz="0" w:space="0" w:color="auto"/>
        <w:bottom w:val="none" w:sz="0" w:space="0" w:color="auto"/>
        <w:right w:val="none" w:sz="0" w:space="0" w:color="auto"/>
      </w:divBdr>
    </w:div>
    <w:div w:id="2051804814">
      <w:bodyDiv w:val="1"/>
      <w:marLeft w:val="0"/>
      <w:marRight w:val="0"/>
      <w:marTop w:val="0"/>
      <w:marBottom w:val="0"/>
      <w:divBdr>
        <w:top w:val="none" w:sz="0" w:space="0" w:color="auto"/>
        <w:left w:val="none" w:sz="0" w:space="0" w:color="auto"/>
        <w:bottom w:val="none" w:sz="0" w:space="0" w:color="auto"/>
        <w:right w:val="none" w:sz="0" w:space="0" w:color="auto"/>
      </w:divBdr>
    </w:div>
    <w:div w:id="2065375234">
      <w:bodyDiv w:val="1"/>
      <w:marLeft w:val="0"/>
      <w:marRight w:val="0"/>
      <w:marTop w:val="0"/>
      <w:marBottom w:val="0"/>
      <w:divBdr>
        <w:top w:val="none" w:sz="0" w:space="0" w:color="auto"/>
        <w:left w:val="none" w:sz="0" w:space="0" w:color="auto"/>
        <w:bottom w:val="none" w:sz="0" w:space="0" w:color="auto"/>
        <w:right w:val="none" w:sz="0" w:space="0" w:color="auto"/>
      </w:divBdr>
    </w:div>
    <w:div w:id="2101218808">
      <w:bodyDiv w:val="1"/>
      <w:marLeft w:val="0"/>
      <w:marRight w:val="0"/>
      <w:marTop w:val="0"/>
      <w:marBottom w:val="0"/>
      <w:divBdr>
        <w:top w:val="none" w:sz="0" w:space="0" w:color="auto"/>
        <w:left w:val="none" w:sz="0" w:space="0" w:color="auto"/>
        <w:bottom w:val="none" w:sz="0" w:space="0" w:color="auto"/>
        <w:right w:val="none" w:sz="0" w:space="0" w:color="auto"/>
      </w:divBdr>
    </w:div>
    <w:div w:id="2137333819">
      <w:bodyDiv w:val="1"/>
      <w:marLeft w:val="0"/>
      <w:marRight w:val="0"/>
      <w:marTop w:val="0"/>
      <w:marBottom w:val="0"/>
      <w:divBdr>
        <w:top w:val="none" w:sz="0" w:space="0" w:color="auto"/>
        <w:left w:val="none" w:sz="0" w:space="0" w:color="auto"/>
        <w:bottom w:val="none" w:sz="0" w:space="0" w:color="auto"/>
        <w:right w:val="none" w:sz="0" w:space="0" w:color="auto"/>
      </w:divBdr>
    </w:div>
    <w:div w:id="21404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sepa.org.uk/environment/water/river-basin-management-planning/publications/" TargetMode="External"/><Relationship Id="rId42" Type="http://schemas.openxmlformats.org/officeDocument/2006/relationships/hyperlink" Target="https://www.gov.scot/news/scotlands-deposit-return-scheme/" TargetMode="External"/><Relationship Id="rId47" Type="http://schemas.openxmlformats.org/officeDocument/2006/relationships/hyperlink" Target="https://www.sepa.org.uk/about-us/how-we-work/our-board/" TargetMode="External"/><Relationship Id="rId63" Type="http://schemas.openxmlformats.org/officeDocument/2006/relationships/hyperlink" Target="https://www.ukas.com/wp-content/uploads/schedule_uploads/00002/1327Testing-Multiple.pdf" TargetMode="External"/><Relationship Id="rId68" Type="http://schemas.openxmlformats.org/officeDocument/2006/relationships/hyperlink" Target="https://www.sepa.org.uk/media/219242/enforcement-guidance.pdf" TargetMode="External"/><Relationship Id="rId84" Type="http://schemas.openxmlformats.org/officeDocument/2006/relationships/footer" Target="footer5.xml"/><Relationship Id="rId89" Type="http://schemas.openxmlformats.org/officeDocument/2006/relationships/footer" Target="footer7.xml"/><Relationship Id="rId16" Type="http://schemas.openxmlformats.org/officeDocument/2006/relationships/hyperlink" Target="mailto:equalities@sepa.org.uk" TargetMode="External"/><Relationship Id="rId11" Type="http://schemas.openxmlformats.org/officeDocument/2006/relationships/image" Target="media/image1.jpg"/><Relationship Id="rId32" Type="http://schemas.openxmlformats.org/officeDocument/2006/relationships/hyperlink" Target="https://www.scottishairquality.scot/lez" TargetMode="External"/><Relationship Id="rId37" Type="http://schemas.openxmlformats.org/officeDocument/2006/relationships/hyperlink" Target="https://www.gov.scot/groups/wellbeing-economy-governments-wego/" TargetMode="External"/><Relationship Id="rId53" Type="http://schemas.openxmlformats.org/officeDocument/2006/relationships/hyperlink" Target="https://www.sepa.org.uk/media/496182/audit-committee-terms-of-reference-feb-2020-current.pdf" TargetMode="External"/><Relationship Id="rId58" Type="http://schemas.openxmlformats.org/officeDocument/2006/relationships/footer" Target="footer3.xml"/><Relationship Id="rId74" Type="http://schemas.microsoft.com/office/2007/relationships/diagramDrawing" Target="diagrams/drawing1.xml"/><Relationship Id="rId79" Type="http://schemas.openxmlformats.org/officeDocument/2006/relationships/image" Target="media/image8.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hyperlink" Target="https://www.sepa.org.uk/media/286930/2017-2022-corporate-plan.pdf" TargetMode="External"/><Relationship Id="rId27" Type="http://schemas.openxmlformats.org/officeDocument/2006/relationships/hyperlink" Target="https://www.sepa.org.uk/about-us/cyber-attack/" TargetMode="External"/><Relationship Id="rId30" Type="http://schemas.openxmlformats.org/officeDocument/2006/relationships/image" Target="media/image6.jpeg"/><Relationship Id="rId35" Type="http://schemas.openxmlformats.org/officeDocument/2006/relationships/image" Target="media/image7.jpeg"/><Relationship Id="rId43" Type="http://schemas.openxmlformats.org/officeDocument/2006/relationships/hyperlink" Target="https://www.sepa.org.uk/media/593753/mainstreaming-report-2021.pdf" TargetMode="External"/><Relationship Id="rId48" Type="http://schemas.openxmlformats.org/officeDocument/2006/relationships/hyperlink" Target="https://www.sepa.org.uk/about-us/how-we-work/our-board/members/" TargetMode="External"/><Relationship Id="rId56" Type="http://schemas.openxmlformats.org/officeDocument/2006/relationships/footer" Target="footer2.xml"/><Relationship Id="rId64" Type="http://schemas.openxmlformats.org/officeDocument/2006/relationships/hyperlink" Target="https://www.sepa.org.uk/about-us/cyber-attack/service-status/" TargetMode="External"/><Relationship Id="rId69" Type="http://schemas.openxmlformats.org/officeDocument/2006/relationships/hyperlink" Target="https://www.sepa.org.uk/media/593800/how-to-determine-a-vmp.pdf" TargetMode="External"/><Relationship Id="rId77" Type="http://schemas.openxmlformats.org/officeDocument/2006/relationships/hyperlink" Target="http://www.frc.org.uk/auditorsresponsibilities" TargetMode="External"/><Relationship Id="rId8" Type="http://schemas.openxmlformats.org/officeDocument/2006/relationships/webSettings" Target="webSettings.xml"/><Relationship Id="rId51" Type="http://schemas.openxmlformats.org/officeDocument/2006/relationships/hyperlink" Target="https://www.sepa.org.uk/media/593782/sepa-framework-document-2021.pdf" TargetMode="External"/><Relationship Id="rId72" Type="http://schemas.openxmlformats.org/officeDocument/2006/relationships/diagramQuickStyle" Target="diagrams/quickStyle1.xml"/><Relationship Id="rId80" Type="http://schemas.openxmlformats.org/officeDocument/2006/relationships/header" Target="header6.xml"/><Relationship Id="rId85"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contactscotland-bsl.org/" TargetMode="External"/><Relationship Id="rId25" Type="http://schemas.openxmlformats.org/officeDocument/2006/relationships/hyperlink" Target="https://www.sepa.org.uk/media/286930/2017-2022-corporate-plan.pdf" TargetMode="External"/><Relationship Id="rId33" Type="http://schemas.openxmlformats.org/officeDocument/2006/relationships/hyperlink" Target="https://www.lowemissionzones.scot/about" TargetMode="External"/><Relationship Id="rId38" Type="http://schemas.openxmlformats.org/officeDocument/2006/relationships/hyperlink" Target="https://www.sepa.org.uk/about-us/access-to-information/guide-to-information/class-6-procurement/" TargetMode="External"/><Relationship Id="rId46" Type="http://schemas.openxmlformats.org/officeDocument/2006/relationships/hyperlink" Target="https://www.overshootday.org/" TargetMode="External"/><Relationship Id="rId59" Type="http://schemas.openxmlformats.org/officeDocument/2006/relationships/hyperlink" Target="https://www.sepa.org.uk/media/286930/2017-2022-corporate-plan.pdf" TargetMode="External"/><Relationship Id="rId67" Type="http://schemas.openxmlformats.org/officeDocument/2006/relationships/hyperlink" Target="https://consultation.sepa.org.uk/compliance-and-beyond/revised-guidance-on-enforcement-action/" TargetMode="External"/><Relationship Id="rId20" Type="http://schemas.openxmlformats.org/officeDocument/2006/relationships/hyperlink" Target="https://eur01.safelinks.protection.outlook.com/?url=http://scottishenvironmentprotectionagency.newsweaver.com/ceospotlight/13tc392w4pm1l9pscq6w81/external?email%3Dtrue%26a%3D6%26p%3D5854831%26t%3D4831&amp;data=04%7c01%7ckatherine.russell%40sepa.org.uk%7cc19474c785ea45e8c64008d9e4d77c5c%7c5cf26d65cf464c72ba827577d9c2d7ab%7c0%7c0%7c637792436429450588%7cUnknown%7cTWFpbGZsb3d8eyJWIjoiMC4wLjAwMDAiLCJQIjoiV2luMzIiLCJBTiI6Ik1haWwiLCJXVCI6Mn0%3D%7c3000&amp;sdata=9W/RG8EkecxWSjGZx9lr/2xxqQQmBbNgBX%2BxDmFUhug%3D&amp;reserved=0" TargetMode="External"/><Relationship Id="rId41" Type="http://schemas.openxmlformats.org/officeDocument/2006/relationships/hyperlink" Target="https://www.environment.gov.scot/about-us/our-partners/" TargetMode="External"/><Relationship Id="rId54" Type="http://schemas.openxmlformats.org/officeDocument/2006/relationships/header" Target="header3.xml"/><Relationship Id="rId62" Type="http://schemas.openxmlformats.org/officeDocument/2006/relationships/hyperlink" Target="https://www.sepa.org.uk/about-us/cyber-attack/service-status/" TargetMode="External"/><Relationship Id="rId70" Type="http://schemas.openxmlformats.org/officeDocument/2006/relationships/diagramData" Target="diagrams/data1.xml"/><Relationship Id="rId75" Type="http://schemas.openxmlformats.org/officeDocument/2006/relationships/hyperlink" Target="https://www.audit-scotland.gov.uk/uploads/docs/report/2016/code_audit_practice_16.pdf" TargetMode="External"/><Relationship Id="rId83" Type="http://schemas.openxmlformats.org/officeDocument/2006/relationships/header" Target="header8.xml"/><Relationship Id="rId88" Type="http://schemas.openxmlformats.org/officeDocument/2006/relationships/header" Target="header1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sepa.org.uk/media/594211/annual-operating-plan-2022-2023.pdf" TargetMode="External"/><Relationship Id="rId28" Type="http://schemas.openxmlformats.org/officeDocument/2006/relationships/image" Target="media/image5.jpg"/><Relationship Id="rId36" Type="http://schemas.openxmlformats.org/officeDocument/2006/relationships/hyperlink" Target="https://www.sepa.org.uk/about-us/cyber-attack/" TargetMode="External"/><Relationship Id="rId49" Type="http://schemas.openxmlformats.org/officeDocument/2006/relationships/hyperlink" Target="https://www.sepa.org.uk/media/593782/sepa-framework-document-2021.pdf" TargetMode="External"/><Relationship Id="rId57"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hyperlink" Target="https://www.sepa.org.uk/environment/water/river-basin-management-planning/" TargetMode="External"/><Relationship Id="rId44" Type="http://schemas.openxmlformats.org/officeDocument/2006/relationships/hyperlink" Target="https://sustainablescotlandnetwork.org/reports/the-scottish-environment-protection-agency" TargetMode="External"/><Relationship Id="rId52" Type="http://schemas.openxmlformats.org/officeDocument/2006/relationships/hyperlink" Target="https://www.sepa.org.uk/media/594218/agency-board-standing-orders.pdf" TargetMode="External"/><Relationship Id="rId60" Type="http://schemas.openxmlformats.org/officeDocument/2006/relationships/hyperlink" Target="https://www.sepa.org.uk/media/585301/annual-operating-plan-2021-2022.pdf" TargetMode="External"/><Relationship Id="rId65" Type="http://schemas.openxmlformats.org/officeDocument/2006/relationships/hyperlink" Target="https://consultation.sepa.org.uk/sector-plan/finfishaquaculture/" TargetMode="External"/><Relationship Id="rId73" Type="http://schemas.openxmlformats.org/officeDocument/2006/relationships/diagramColors" Target="diagrams/colors1.xml"/><Relationship Id="rId78" Type="http://schemas.openxmlformats.org/officeDocument/2006/relationships/hyperlink" Target="https://www.sepa.org.uk/about-us/how-we-work/our-board/members/" TargetMode="External"/><Relationship Id="rId81" Type="http://schemas.openxmlformats.org/officeDocument/2006/relationships/header" Target="header7.xml"/><Relationship Id="rId86"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sepa.org.uk/environment/water/river-basin-management-planning/publications/" TargetMode="External"/><Relationship Id="rId39" Type="http://schemas.openxmlformats.org/officeDocument/2006/relationships/hyperlink" Target="https://www.sepa.org.uk/about-us/access-to-information/guide-to-information/class-6-procurement/" TargetMode="External"/><Relationship Id="rId34" Type="http://schemas.openxmlformats.org/officeDocument/2006/relationships/hyperlink" Target="http://www.learnaboutair.com/" TargetMode="External"/><Relationship Id="rId50" Type="http://schemas.openxmlformats.org/officeDocument/2006/relationships/hyperlink" Target="https://assets.publishing.service.gov.uk/government/uploads/system/uploads/attachment_data/file/1075006/MPM_Spring_21__without_annexes_040322__1_.pdf" TargetMode="External"/><Relationship Id="rId55" Type="http://schemas.openxmlformats.org/officeDocument/2006/relationships/header" Target="header4.xml"/><Relationship Id="rId76" Type="http://schemas.openxmlformats.org/officeDocument/2006/relationships/hyperlink" Target="https://www.audit-scotland.gov.uk/our-work/annual-audits" TargetMode="External"/><Relationship Id="rId7" Type="http://schemas.openxmlformats.org/officeDocument/2006/relationships/settings" Target="settings.xml"/><Relationship Id="rId71" Type="http://schemas.openxmlformats.org/officeDocument/2006/relationships/diagramLayout" Target="diagrams/layout1.xml"/><Relationship Id="rId2" Type="http://schemas.openxmlformats.org/officeDocument/2006/relationships/customXml" Target="../customXml/item2.xml"/><Relationship Id="rId29" Type="http://schemas.openxmlformats.org/officeDocument/2006/relationships/hyperlink" Target="https://media.sepa.org.uk/media-releases/2021/earth-overshoot-day-creeps-back-to-july-29.aspx" TargetMode="External"/><Relationship Id="rId24" Type="http://schemas.openxmlformats.org/officeDocument/2006/relationships/image" Target="media/image3.jpeg"/><Relationship Id="rId40" Type="http://schemas.openxmlformats.org/officeDocument/2006/relationships/hyperlink" Target="https://www.sepa.org.uk/about-us/access-to-information/guide-to-information/class-6-procurement/" TargetMode="External"/><Relationship Id="rId45" Type="http://schemas.openxmlformats.org/officeDocument/2006/relationships/hyperlink" Target="https://www.pathtocop26.com/workstreams/finance-for-nature/" TargetMode="External"/><Relationship Id="rId66" Type="http://schemas.openxmlformats.org/officeDocument/2006/relationships/hyperlink" Target="https://consultation.sepa.org.uk/regulatory-services/protection-of-wild-salmon/" TargetMode="External"/><Relationship Id="rId87" Type="http://schemas.openxmlformats.org/officeDocument/2006/relationships/footer" Target="footer6.xml"/><Relationship Id="rId61" Type="http://schemas.openxmlformats.org/officeDocument/2006/relationships/hyperlink" Target="https://www.sepa.org.uk/about-us/cyber-attack/" TargetMode="External"/><Relationship Id="rId82" Type="http://schemas.openxmlformats.org/officeDocument/2006/relationships/footer" Target="footer4.xml"/><Relationship Id="rId19" Type="http://schemas.openxmlformats.org/officeDocument/2006/relationships/hyperlink" Target="https://www.sepa.org.uk/regulations/how-we-regulate/delivering-one-planet-prosperit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mets.onlinelibrary.wiley.com/doi/10.1002/JOC.7787" TargetMode="External"/><Relationship Id="rId2" Type="http://schemas.openxmlformats.org/officeDocument/2006/relationships/hyperlink" Target="https://media.sepa.org.uk/media-releases/2021/sepa-engages-innovative-modelling-techniques-to-help-scotland-better-prepare-for-future-increased-flooding.aspx" TargetMode="External"/><Relationship Id="rId1" Type="http://schemas.openxmlformats.org/officeDocument/2006/relationships/hyperlink" Target="https://www.sepa.org.uk/about-us/how-we-work/our-boar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E016FB-01E9-45F2-AEB8-89BC854D8E5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CF3F131-9C1C-4F0B-BD35-2FD26EBE6AAB}">
      <dgm:prSet phldrT="[Text]" custT="1"/>
      <dgm:spPr>
        <a:solidFill>
          <a:schemeClr val="accent3">
            <a:lumMod val="20000"/>
            <a:lumOff val="80000"/>
          </a:schemeClr>
        </a:solidFill>
      </dgm:spPr>
      <dgm:t>
        <a:bodyPr/>
        <a:lstStyle/>
        <a:p>
          <a:r>
            <a:rPr lang="en-GB" sz="900">
              <a:solidFill>
                <a:schemeClr val="tx2"/>
              </a:solidFill>
              <a:latin typeface="Arial" panose="020B0604020202020204" pitchFamily="34" charset="0"/>
              <a:cs typeface="Arial" panose="020B0604020202020204" pitchFamily="34" charset="0"/>
            </a:rPr>
            <a:t>Agency Management Team </a:t>
          </a:r>
        </a:p>
        <a:p>
          <a:r>
            <a:rPr lang="en-GB" sz="900">
              <a:solidFill>
                <a:schemeClr val="tx2"/>
              </a:solidFill>
              <a:latin typeface="Arial" panose="020B0604020202020204" pitchFamily="34" charset="0"/>
              <a:cs typeface="Arial" panose="020B0604020202020204" pitchFamily="34" charset="0"/>
            </a:rPr>
            <a:t>(AMT)</a:t>
          </a:r>
        </a:p>
      </dgm:t>
    </dgm:pt>
    <dgm:pt modelId="{F6ACB1E0-EDD5-4B5A-AE77-CF1FBC75396F}" type="parTrans" cxnId="{D5A6A84F-F2D9-4AB1-8998-50B3F693CC3A}">
      <dgm:prSet/>
      <dgm:spPr/>
      <dgm:t>
        <a:bodyPr/>
        <a:lstStyle/>
        <a:p>
          <a:endParaRPr lang="en-GB" sz="900"/>
        </a:p>
      </dgm:t>
    </dgm:pt>
    <dgm:pt modelId="{96A9E4A2-5941-401F-8C1A-435341BB72DB}" type="sibTrans" cxnId="{D5A6A84F-F2D9-4AB1-8998-50B3F693CC3A}">
      <dgm:prSet/>
      <dgm:spPr/>
      <dgm:t>
        <a:bodyPr/>
        <a:lstStyle/>
        <a:p>
          <a:endParaRPr lang="en-GB" sz="900"/>
        </a:p>
      </dgm:t>
    </dgm:pt>
    <dgm:pt modelId="{064095BE-0B69-4EBC-8F70-FCD95875CB99}">
      <dgm:prSet phldrT="[Text]" custT="1"/>
      <dgm:spPr>
        <a:solidFill>
          <a:schemeClr val="accent3">
            <a:lumMod val="20000"/>
            <a:lumOff val="80000"/>
          </a:schemeClr>
        </a:solidFill>
      </dgm:spPr>
      <dgm:t>
        <a:bodyPr/>
        <a:lstStyle/>
        <a:p>
          <a:pPr marL="72000" algn="ctr"/>
          <a:r>
            <a:rPr lang="en-GB" sz="900">
              <a:solidFill>
                <a:schemeClr val="tx2"/>
              </a:solidFill>
              <a:latin typeface="Arial" panose="020B0604020202020204" pitchFamily="34" charset="0"/>
              <a:cs typeface="Arial" panose="020B0604020202020204" pitchFamily="34" charset="0"/>
            </a:rPr>
            <a:t>UNISON</a:t>
          </a:r>
        </a:p>
        <a:p>
          <a:pPr marL="72000" algn="l"/>
          <a:r>
            <a:rPr lang="en-GB" sz="900">
              <a:solidFill>
                <a:schemeClr val="tx2"/>
              </a:solidFill>
              <a:latin typeface="Arial" panose="020B0604020202020204" pitchFamily="34" charset="0"/>
              <a:cs typeface="Arial" panose="020B0604020202020204" pitchFamily="34" charset="0"/>
            </a:rPr>
            <a:t>Z Hussain, Unison Convenor, Secretary</a:t>
          </a:r>
        </a:p>
        <a:p>
          <a:pPr marL="72000" algn="l"/>
          <a:r>
            <a:rPr lang="en-GB" sz="900">
              <a:solidFill>
                <a:schemeClr val="tx2"/>
              </a:solidFill>
              <a:latin typeface="Arial" panose="020B0604020202020204" pitchFamily="34" charset="0"/>
              <a:cs typeface="Arial" panose="020B0604020202020204" pitchFamily="34" charset="0"/>
            </a:rPr>
            <a:t>L Giblin, International Officer, Co-Chair</a:t>
          </a:r>
        </a:p>
        <a:p>
          <a:pPr marL="72000" algn="l"/>
          <a:r>
            <a:rPr lang="en-GB" sz="900">
              <a:solidFill>
                <a:schemeClr val="tx2"/>
              </a:solidFill>
              <a:latin typeface="Arial" panose="020B0604020202020204" pitchFamily="34" charset="0"/>
              <a:cs typeface="Arial" panose="020B0604020202020204" pitchFamily="34" charset="0"/>
            </a:rPr>
            <a:t>L Dundas, Equalities Co-ordinator</a:t>
          </a:r>
        </a:p>
        <a:p>
          <a:pPr marL="72000" algn="l"/>
          <a:r>
            <a:rPr lang="en-GB" sz="900">
              <a:solidFill>
                <a:schemeClr val="tx2"/>
              </a:solidFill>
              <a:latin typeface="Arial" panose="020B0604020202020204" pitchFamily="34" charset="0"/>
              <a:cs typeface="Arial" panose="020B0604020202020204" pitchFamily="34" charset="0"/>
            </a:rPr>
            <a:t>J Dillon, Unison Co-Health and Safety Officer</a:t>
          </a:r>
        </a:p>
      </dgm:t>
    </dgm:pt>
    <dgm:pt modelId="{D93EDBE2-1737-45DA-B469-EEE8BE155348}" type="parTrans" cxnId="{3A2A240F-9F2D-4D4E-87DE-A9EEDA9E3E34}">
      <dgm:prSet/>
      <dgm:spPr/>
      <dgm:t>
        <a:bodyPr/>
        <a:lstStyle/>
        <a:p>
          <a:endParaRPr lang="en-GB" sz="900"/>
        </a:p>
      </dgm:t>
    </dgm:pt>
    <dgm:pt modelId="{7D711D08-7E9F-4028-9F1E-9A0A34E68418}" type="sibTrans" cxnId="{3A2A240F-9F2D-4D4E-87DE-A9EEDA9E3E34}">
      <dgm:prSet/>
      <dgm:spPr/>
      <dgm:t>
        <a:bodyPr/>
        <a:lstStyle/>
        <a:p>
          <a:endParaRPr lang="en-GB" sz="900"/>
        </a:p>
      </dgm:t>
    </dgm:pt>
    <dgm:pt modelId="{D91CB9C8-2728-4C8C-AE0C-5CB62BDBC38E}">
      <dgm:prSet phldrT="[Text]" custT="1"/>
      <dgm:spPr>
        <a:solidFill>
          <a:schemeClr val="accent3">
            <a:lumMod val="20000"/>
            <a:lumOff val="80000"/>
          </a:schemeClr>
        </a:solidFill>
      </dgm:spPr>
      <dgm:t>
        <a:bodyPr/>
        <a:lstStyle/>
        <a:p>
          <a:pPr marL="0" algn="ctr"/>
          <a:r>
            <a:rPr lang="en-GB" sz="900">
              <a:solidFill>
                <a:schemeClr val="tx2"/>
              </a:solidFill>
              <a:latin typeface="Arial" panose="020B0604020202020204" pitchFamily="34" charset="0"/>
              <a:cs typeface="Arial" panose="020B0604020202020204" pitchFamily="34" charset="0"/>
            </a:rPr>
            <a:t>Management</a:t>
          </a:r>
        </a:p>
        <a:p>
          <a:pPr marL="72000" algn="l"/>
          <a:r>
            <a:rPr lang="en-GB" sz="900">
              <a:solidFill>
                <a:schemeClr val="tx2"/>
              </a:solidFill>
              <a:latin typeface="Arial" panose="020B0604020202020204" pitchFamily="34" charset="0"/>
              <a:cs typeface="Arial" panose="020B0604020202020204" pitchFamily="34" charset="0"/>
            </a:rPr>
            <a:t>S McGregor, Chief Officer, Finance (Chair)</a:t>
          </a:r>
        </a:p>
        <a:p>
          <a:pPr marL="72000" algn="l"/>
          <a:r>
            <a:rPr lang="en-GB" sz="900">
              <a:solidFill>
                <a:schemeClr val="tx2"/>
              </a:solidFill>
              <a:latin typeface="Arial" panose="020B0604020202020204" pitchFamily="34" charset="0"/>
              <a:cs typeface="Arial" panose="020B0604020202020204" pitchFamily="34" charset="0"/>
            </a:rPr>
            <a:t>D Pirie, Executive Director, Evidence &amp; Flooding</a:t>
          </a:r>
        </a:p>
        <a:p>
          <a:pPr marL="72000" algn="l"/>
          <a:r>
            <a:rPr lang="en-GB" sz="900">
              <a:solidFill>
                <a:schemeClr val="tx2"/>
              </a:solidFill>
              <a:latin typeface="Arial" panose="020B0604020202020204" pitchFamily="34" charset="0"/>
              <a:cs typeface="Arial" panose="020B0604020202020204" pitchFamily="34" charset="0"/>
            </a:rPr>
            <a:t>I Buchanan, Chief Officer, Compliance &amp; Beyond</a:t>
          </a:r>
        </a:p>
        <a:p>
          <a:pPr marL="72000" algn="l"/>
          <a:r>
            <a:rPr lang="en-GB" sz="900">
              <a:solidFill>
                <a:schemeClr val="tx2"/>
              </a:solidFill>
              <a:latin typeface="Arial" panose="020B0604020202020204" pitchFamily="34" charset="0"/>
              <a:cs typeface="Arial" panose="020B0604020202020204" pitchFamily="34" charset="0"/>
            </a:rPr>
            <a:t>J Green, Chief Officer, Performance &amp; Innovation (until 05/01/22)</a:t>
          </a:r>
        </a:p>
        <a:p>
          <a:pPr marL="72000" algn="l"/>
          <a:r>
            <a:rPr lang="en-GB" sz="900">
              <a:solidFill>
                <a:schemeClr val="tx2"/>
              </a:solidFill>
              <a:latin typeface="Arial" panose="020B0604020202020204" pitchFamily="34" charset="0"/>
              <a:cs typeface="Arial" panose="020B0604020202020204" pitchFamily="34" charset="0"/>
            </a:rPr>
            <a:t>B Marshall, Interim Chief Officer, Performance &amp; Innovation (from 20/01/22)</a:t>
          </a:r>
        </a:p>
        <a:p>
          <a:pPr marL="72000" algn="l"/>
          <a:r>
            <a:rPr lang="en-GB" sz="900">
              <a:solidFill>
                <a:schemeClr val="tx2"/>
              </a:solidFill>
              <a:latin typeface="Arial" panose="020B0604020202020204" pitchFamily="34" charset="0"/>
              <a:cs typeface="Arial" panose="020B0604020202020204" pitchFamily="34" charset="0"/>
            </a:rPr>
            <a:t>F Martin, Chief Officer, People &amp; Property (until 21/12/21)</a:t>
          </a:r>
        </a:p>
        <a:p>
          <a:pPr marL="72000" algn="l"/>
          <a:r>
            <a:rPr lang="en-GB" sz="900">
              <a:solidFill>
                <a:schemeClr val="tx2"/>
              </a:solidFill>
              <a:latin typeface="Arial" panose="020B0604020202020204" pitchFamily="34" charset="0"/>
              <a:cs typeface="Arial" panose="020B0604020202020204" pitchFamily="34" charset="0"/>
            </a:rPr>
            <a:t>J Kenny, as Chief Officer, Circular Economy (until 31/01/22, then Interim Chief Officer, People &amp; Property from 01/02/22).</a:t>
          </a:r>
        </a:p>
        <a:p>
          <a:pPr marL="72000" algn="l"/>
          <a:r>
            <a:rPr lang="en-GB" sz="900">
              <a:solidFill>
                <a:schemeClr val="tx2"/>
              </a:solidFill>
              <a:latin typeface="Arial" panose="020B0604020202020204" pitchFamily="34" charset="0"/>
              <a:cs typeface="Arial" panose="020B0604020202020204" pitchFamily="34" charset="0"/>
            </a:rPr>
            <a:t>D Harley, Interim Chief Officer, Circular Economy (from 01/02/22).</a:t>
          </a:r>
        </a:p>
      </dgm:t>
    </dgm:pt>
    <dgm:pt modelId="{6AD4F15F-393B-4C4B-B6EA-9F750E3633AB}" type="parTrans" cxnId="{BB9BA91D-4970-4BBF-8077-0A63E28E57BE}">
      <dgm:prSet/>
      <dgm:spPr/>
      <dgm:t>
        <a:bodyPr/>
        <a:lstStyle/>
        <a:p>
          <a:endParaRPr lang="en-GB" sz="900"/>
        </a:p>
      </dgm:t>
    </dgm:pt>
    <dgm:pt modelId="{82DE8AB2-DDA0-41CE-9604-90EFE5611AD7}" type="sibTrans" cxnId="{BB9BA91D-4970-4BBF-8077-0A63E28E57BE}">
      <dgm:prSet/>
      <dgm:spPr/>
      <dgm:t>
        <a:bodyPr/>
        <a:lstStyle/>
        <a:p>
          <a:endParaRPr lang="en-GB" sz="900"/>
        </a:p>
      </dgm:t>
    </dgm:pt>
    <dgm:pt modelId="{352BE7DA-FBD1-4234-8890-EB7C39DE75D6}">
      <dgm:prSet custT="1"/>
      <dgm:spPr>
        <a:solidFill>
          <a:schemeClr val="accent3">
            <a:lumMod val="20000"/>
            <a:lumOff val="80000"/>
          </a:schemeClr>
        </a:solidFill>
      </dgm:spPr>
      <dgm:t>
        <a:bodyPr/>
        <a:lstStyle/>
        <a:p>
          <a:r>
            <a:rPr lang="en-GB" sz="900">
              <a:solidFill>
                <a:schemeClr val="tx2"/>
              </a:solidFill>
              <a:latin typeface="Arial" panose="020B0604020202020204" pitchFamily="34" charset="0"/>
              <a:cs typeface="Arial" panose="020B0604020202020204" pitchFamily="34" charset="0"/>
            </a:rPr>
            <a:t>Joint Negotiation and Consultation Committee </a:t>
          </a:r>
        </a:p>
        <a:p>
          <a:r>
            <a:rPr lang="en-GB" sz="900">
              <a:solidFill>
                <a:schemeClr val="tx2"/>
              </a:solidFill>
              <a:latin typeface="Arial" panose="020B0604020202020204" pitchFamily="34" charset="0"/>
              <a:cs typeface="Arial" panose="020B0604020202020204" pitchFamily="34" charset="0"/>
            </a:rPr>
            <a:t>(JNCC)</a:t>
          </a:r>
        </a:p>
      </dgm:t>
    </dgm:pt>
    <dgm:pt modelId="{49C10EF7-E768-4D5D-83DC-8B6B87D71F26}" type="parTrans" cxnId="{5892BF73-6915-4FEE-BF4C-B1D791396B82}">
      <dgm:prSet/>
      <dgm:spPr/>
      <dgm:t>
        <a:bodyPr/>
        <a:lstStyle/>
        <a:p>
          <a:endParaRPr lang="en-GB" sz="900"/>
        </a:p>
      </dgm:t>
    </dgm:pt>
    <dgm:pt modelId="{D334ADE7-AA31-46D4-B930-C02FAB267B19}" type="sibTrans" cxnId="{5892BF73-6915-4FEE-BF4C-B1D791396B82}">
      <dgm:prSet/>
      <dgm:spPr/>
      <dgm:t>
        <a:bodyPr/>
        <a:lstStyle/>
        <a:p>
          <a:endParaRPr lang="en-GB" sz="900"/>
        </a:p>
      </dgm:t>
    </dgm:pt>
    <dgm:pt modelId="{15188FA7-7328-4BCD-A3DF-B5D93572F758}" type="pres">
      <dgm:prSet presAssocID="{B6E016FB-01E9-45F2-AEB8-89BC854D8E53}" presName="hierChild1" presStyleCnt="0">
        <dgm:presLayoutVars>
          <dgm:orgChart val="1"/>
          <dgm:chPref val="1"/>
          <dgm:dir/>
          <dgm:animOne val="branch"/>
          <dgm:animLvl val="lvl"/>
          <dgm:resizeHandles/>
        </dgm:presLayoutVars>
      </dgm:prSet>
      <dgm:spPr/>
    </dgm:pt>
    <dgm:pt modelId="{8B7D161C-37B4-46D3-8B47-586FE6D2808B}" type="pres">
      <dgm:prSet presAssocID="{2CF3F131-9C1C-4F0B-BD35-2FD26EBE6AAB}" presName="hierRoot1" presStyleCnt="0">
        <dgm:presLayoutVars>
          <dgm:hierBranch val="init"/>
        </dgm:presLayoutVars>
      </dgm:prSet>
      <dgm:spPr/>
    </dgm:pt>
    <dgm:pt modelId="{B99BF64D-A473-43D0-ABDE-8C2855E96798}" type="pres">
      <dgm:prSet presAssocID="{2CF3F131-9C1C-4F0B-BD35-2FD26EBE6AAB}" presName="rootComposite1" presStyleCnt="0"/>
      <dgm:spPr/>
    </dgm:pt>
    <dgm:pt modelId="{57D506F4-A38F-4DC1-8405-FF661B5513D6}" type="pres">
      <dgm:prSet presAssocID="{2CF3F131-9C1C-4F0B-BD35-2FD26EBE6AAB}" presName="rootText1" presStyleLbl="node0" presStyleIdx="0" presStyleCnt="1" custScaleX="95201" custScaleY="67663">
        <dgm:presLayoutVars>
          <dgm:chPref val="3"/>
        </dgm:presLayoutVars>
      </dgm:prSet>
      <dgm:spPr/>
    </dgm:pt>
    <dgm:pt modelId="{7A3B2B15-AB3C-40EB-B4AA-57523C975996}" type="pres">
      <dgm:prSet presAssocID="{2CF3F131-9C1C-4F0B-BD35-2FD26EBE6AAB}" presName="rootConnector1" presStyleLbl="node1" presStyleIdx="0" presStyleCnt="0"/>
      <dgm:spPr/>
    </dgm:pt>
    <dgm:pt modelId="{7E16CCFD-0B89-4DF0-A91B-AA468DAB1540}" type="pres">
      <dgm:prSet presAssocID="{2CF3F131-9C1C-4F0B-BD35-2FD26EBE6AAB}" presName="hierChild2" presStyleCnt="0"/>
      <dgm:spPr/>
    </dgm:pt>
    <dgm:pt modelId="{5465BE25-C803-4060-BCD2-FD0AD1775830}" type="pres">
      <dgm:prSet presAssocID="{D93EDBE2-1737-45DA-B469-EEE8BE155348}" presName="Name37" presStyleLbl="parChTrans1D2" presStyleIdx="0" presStyleCnt="3"/>
      <dgm:spPr/>
    </dgm:pt>
    <dgm:pt modelId="{50C800A4-35D6-4DEC-8126-1ADFDC078378}" type="pres">
      <dgm:prSet presAssocID="{064095BE-0B69-4EBC-8F70-FCD95875CB99}" presName="hierRoot2" presStyleCnt="0">
        <dgm:presLayoutVars>
          <dgm:hierBranch val="init"/>
        </dgm:presLayoutVars>
      </dgm:prSet>
      <dgm:spPr/>
    </dgm:pt>
    <dgm:pt modelId="{ECF4E24D-A092-4386-A936-1C2602B9298F}" type="pres">
      <dgm:prSet presAssocID="{064095BE-0B69-4EBC-8F70-FCD95875CB99}" presName="rootComposite" presStyleCnt="0"/>
      <dgm:spPr/>
    </dgm:pt>
    <dgm:pt modelId="{D82CBE9D-A4A3-415F-855A-60FF1185016C}" type="pres">
      <dgm:prSet presAssocID="{064095BE-0B69-4EBC-8F70-FCD95875CB99}" presName="rootText" presStyleLbl="node2" presStyleIdx="0" presStyleCnt="3" custScaleX="128035" custScaleY="300332" custLinFactNeighborX="3638" custLinFactNeighborY="27329">
        <dgm:presLayoutVars>
          <dgm:chPref val="3"/>
        </dgm:presLayoutVars>
      </dgm:prSet>
      <dgm:spPr/>
    </dgm:pt>
    <dgm:pt modelId="{4A9C7701-16DB-469E-8E07-C6AF0207E9B4}" type="pres">
      <dgm:prSet presAssocID="{064095BE-0B69-4EBC-8F70-FCD95875CB99}" presName="rootConnector" presStyleLbl="node2" presStyleIdx="0" presStyleCnt="3"/>
      <dgm:spPr/>
    </dgm:pt>
    <dgm:pt modelId="{F35D9A13-8908-4C1F-8924-A80F2806A8F5}" type="pres">
      <dgm:prSet presAssocID="{064095BE-0B69-4EBC-8F70-FCD95875CB99}" presName="hierChild4" presStyleCnt="0"/>
      <dgm:spPr/>
    </dgm:pt>
    <dgm:pt modelId="{C35A7B5B-B1D6-4A55-9469-BD99B8F94899}" type="pres">
      <dgm:prSet presAssocID="{064095BE-0B69-4EBC-8F70-FCD95875CB99}" presName="hierChild5" presStyleCnt="0"/>
      <dgm:spPr/>
    </dgm:pt>
    <dgm:pt modelId="{4F0A643E-B4FC-474E-B7FA-029B6A4CBBAE}" type="pres">
      <dgm:prSet presAssocID="{6AD4F15F-393B-4C4B-B6EA-9F750E3633AB}" presName="Name37" presStyleLbl="parChTrans1D2" presStyleIdx="1" presStyleCnt="3"/>
      <dgm:spPr/>
    </dgm:pt>
    <dgm:pt modelId="{5E748025-0CEE-46F5-A986-213B8E0D1214}" type="pres">
      <dgm:prSet presAssocID="{D91CB9C8-2728-4C8C-AE0C-5CB62BDBC38E}" presName="hierRoot2" presStyleCnt="0">
        <dgm:presLayoutVars>
          <dgm:hierBranch val="init"/>
        </dgm:presLayoutVars>
      </dgm:prSet>
      <dgm:spPr/>
    </dgm:pt>
    <dgm:pt modelId="{C8C440E8-BC7F-4739-9F99-BC7FFBFBF813}" type="pres">
      <dgm:prSet presAssocID="{D91CB9C8-2728-4C8C-AE0C-5CB62BDBC38E}" presName="rootComposite" presStyleCnt="0"/>
      <dgm:spPr/>
    </dgm:pt>
    <dgm:pt modelId="{F9D7A652-9819-4F84-8168-75557F9AA207}" type="pres">
      <dgm:prSet presAssocID="{D91CB9C8-2728-4C8C-AE0C-5CB62BDBC38E}" presName="rootText" presStyleLbl="node2" presStyleIdx="1" presStyleCnt="3" custScaleX="136564" custScaleY="294338" custLinFactX="11919" custLinFactNeighborX="100000" custLinFactNeighborY="34401">
        <dgm:presLayoutVars>
          <dgm:chPref val="3"/>
        </dgm:presLayoutVars>
      </dgm:prSet>
      <dgm:spPr/>
    </dgm:pt>
    <dgm:pt modelId="{5AC311B8-65B8-42B9-B738-51BF4E41004D}" type="pres">
      <dgm:prSet presAssocID="{D91CB9C8-2728-4C8C-AE0C-5CB62BDBC38E}" presName="rootConnector" presStyleLbl="node2" presStyleIdx="1" presStyleCnt="3"/>
      <dgm:spPr/>
    </dgm:pt>
    <dgm:pt modelId="{09E2B67A-A8BA-4DBC-88BF-312EA05D347C}" type="pres">
      <dgm:prSet presAssocID="{D91CB9C8-2728-4C8C-AE0C-5CB62BDBC38E}" presName="hierChild4" presStyleCnt="0"/>
      <dgm:spPr/>
    </dgm:pt>
    <dgm:pt modelId="{CD07F360-D0BB-44FB-ABDE-989C1553F5C5}" type="pres">
      <dgm:prSet presAssocID="{D91CB9C8-2728-4C8C-AE0C-5CB62BDBC38E}" presName="hierChild5" presStyleCnt="0"/>
      <dgm:spPr/>
    </dgm:pt>
    <dgm:pt modelId="{5237D78D-690B-48BD-8319-5B470C5FA095}" type="pres">
      <dgm:prSet presAssocID="{49C10EF7-E768-4D5D-83DC-8B6B87D71F26}" presName="Name37" presStyleLbl="parChTrans1D2" presStyleIdx="2" presStyleCnt="3"/>
      <dgm:spPr/>
    </dgm:pt>
    <dgm:pt modelId="{89BF1B37-A565-4FA5-A316-B34EC43D2CE3}" type="pres">
      <dgm:prSet presAssocID="{352BE7DA-FBD1-4234-8890-EB7C39DE75D6}" presName="hierRoot2" presStyleCnt="0">
        <dgm:presLayoutVars>
          <dgm:hierBranch val="init"/>
        </dgm:presLayoutVars>
      </dgm:prSet>
      <dgm:spPr/>
    </dgm:pt>
    <dgm:pt modelId="{A4F64BF2-0DDC-4FE9-883A-E96868329640}" type="pres">
      <dgm:prSet presAssocID="{352BE7DA-FBD1-4234-8890-EB7C39DE75D6}" presName="rootComposite" presStyleCnt="0"/>
      <dgm:spPr/>
    </dgm:pt>
    <dgm:pt modelId="{89FBD230-8890-4706-9198-EC615E7EF51D}" type="pres">
      <dgm:prSet presAssocID="{352BE7DA-FBD1-4234-8890-EB7C39DE75D6}" presName="rootText" presStyleLbl="node2" presStyleIdx="2" presStyleCnt="3" custAng="0" custScaleX="90664" custScaleY="81792" custLinFactX="-50577" custLinFactNeighborX="-100000" custLinFactNeighborY="-23439">
        <dgm:presLayoutVars>
          <dgm:chPref val="3"/>
        </dgm:presLayoutVars>
      </dgm:prSet>
      <dgm:spPr/>
    </dgm:pt>
    <dgm:pt modelId="{E218A1EE-8E20-4D88-A888-5310E6F47F19}" type="pres">
      <dgm:prSet presAssocID="{352BE7DA-FBD1-4234-8890-EB7C39DE75D6}" presName="rootConnector" presStyleLbl="node2" presStyleIdx="2" presStyleCnt="3"/>
      <dgm:spPr/>
    </dgm:pt>
    <dgm:pt modelId="{13A201BE-5DB9-4F50-9974-1BC4DB4BF14B}" type="pres">
      <dgm:prSet presAssocID="{352BE7DA-FBD1-4234-8890-EB7C39DE75D6}" presName="hierChild4" presStyleCnt="0"/>
      <dgm:spPr/>
    </dgm:pt>
    <dgm:pt modelId="{368EFE6E-058E-4C78-8AC7-A0A87C4E533F}" type="pres">
      <dgm:prSet presAssocID="{352BE7DA-FBD1-4234-8890-EB7C39DE75D6}" presName="hierChild5" presStyleCnt="0"/>
      <dgm:spPr/>
    </dgm:pt>
    <dgm:pt modelId="{09012E11-B4B2-42CA-B2C7-A0C3A92ADEFB}" type="pres">
      <dgm:prSet presAssocID="{2CF3F131-9C1C-4F0B-BD35-2FD26EBE6AAB}" presName="hierChild3" presStyleCnt="0"/>
      <dgm:spPr/>
    </dgm:pt>
  </dgm:ptLst>
  <dgm:cxnLst>
    <dgm:cxn modelId="{3A2A240F-9F2D-4D4E-87DE-A9EEDA9E3E34}" srcId="{2CF3F131-9C1C-4F0B-BD35-2FD26EBE6AAB}" destId="{064095BE-0B69-4EBC-8F70-FCD95875CB99}" srcOrd="0" destOrd="0" parTransId="{D93EDBE2-1737-45DA-B469-EEE8BE155348}" sibTransId="{7D711D08-7E9F-4028-9F1E-9A0A34E68418}"/>
    <dgm:cxn modelId="{80B69410-7260-4795-AB98-37AE24EF1FD2}" type="presOf" srcId="{6AD4F15F-393B-4C4B-B6EA-9F750E3633AB}" destId="{4F0A643E-B4FC-474E-B7FA-029B6A4CBBAE}" srcOrd="0" destOrd="0" presId="urn:microsoft.com/office/officeart/2005/8/layout/orgChart1"/>
    <dgm:cxn modelId="{549A4014-FD4D-4642-9BCC-68825C7B5EA1}" type="presOf" srcId="{B6E016FB-01E9-45F2-AEB8-89BC854D8E53}" destId="{15188FA7-7328-4BCD-A3DF-B5D93572F758}" srcOrd="0" destOrd="0" presId="urn:microsoft.com/office/officeart/2005/8/layout/orgChart1"/>
    <dgm:cxn modelId="{1FC1E319-FBA1-452B-B852-2D32F6194E2F}" type="presOf" srcId="{D91CB9C8-2728-4C8C-AE0C-5CB62BDBC38E}" destId="{5AC311B8-65B8-42B9-B738-51BF4E41004D}" srcOrd="1" destOrd="0" presId="urn:microsoft.com/office/officeart/2005/8/layout/orgChart1"/>
    <dgm:cxn modelId="{BB9BA91D-4970-4BBF-8077-0A63E28E57BE}" srcId="{2CF3F131-9C1C-4F0B-BD35-2FD26EBE6AAB}" destId="{D91CB9C8-2728-4C8C-AE0C-5CB62BDBC38E}" srcOrd="1" destOrd="0" parTransId="{6AD4F15F-393B-4C4B-B6EA-9F750E3633AB}" sibTransId="{82DE8AB2-DDA0-41CE-9604-90EFE5611AD7}"/>
    <dgm:cxn modelId="{73E7AE26-71E9-4D98-B02B-21D4360AB195}" type="presOf" srcId="{064095BE-0B69-4EBC-8F70-FCD95875CB99}" destId="{4A9C7701-16DB-469E-8E07-C6AF0207E9B4}" srcOrd="1" destOrd="0" presId="urn:microsoft.com/office/officeart/2005/8/layout/orgChart1"/>
    <dgm:cxn modelId="{642E2B29-4B6B-4602-92A9-CC02B0A0DD0C}" type="presOf" srcId="{D93EDBE2-1737-45DA-B469-EEE8BE155348}" destId="{5465BE25-C803-4060-BCD2-FD0AD1775830}" srcOrd="0" destOrd="0" presId="urn:microsoft.com/office/officeart/2005/8/layout/orgChart1"/>
    <dgm:cxn modelId="{4BB51367-3F4C-442E-AD38-46FFC0174B89}" type="presOf" srcId="{2CF3F131-9C1C-4F0B-BD35-2FD26EBE6AAB}" destId="{7A3B2B15-AB3C-40EB-B4AA-57523C975996}" srcOrd="1" destOrd="0" presId="urn:microsoft.com/office/officeart/2005/8/layout/orgChart1"/>
    <dgm:cxn modelId="{9543BB6A-0DEC-427C-88A0-9CD1CAA9BCFA}" type="presOf" srcId="{2CF3F131-9C1C-4F0B-BD35-2FD26EBE6AAB}" destId="{57D506F4-A38F-4DC1-8405-FF661B5513D6}" srcOrd="0" destOrd="0" presId="urn:microsoft.com/office/officeart/2005/8/layout/orgChart1"/>
    <dgm:cxn modelId="{D5A6A84F-F2D9-4AB1-8998-50B3F693CC3A}" srcId="{B6E016FB-01E9-45F2-AEB8-89BC854D8E53}" destId="{2CF3F131-9C1C-4F0B-BD35-2FD26EBE6AAB}" srcOrd="0" destOrd="0" parTransId="{F6ACB1E0-EDD5-4B5A-AE77-CF1FBC75396F}" sibTransId="{96A9E4A2-5941-401F-8C1A-435341BB72DB}"/>
    <dgm:cxn modelId="{5892BF73-6915-4FEE-BF4C-B1D791396B82}" srcId="{2CF3F131-9C1C-4F0B-BD35-2FD26EBE6AAB}" destId="{352BE7DA-FBD1-4234-8890-EB7C39DE75D6}" srcOrd="2" destOrd="0" parTransId="{49C10EF7-E768-4D5D-83DC-8B6B87D71F26}" sibTransId="{D334ADE7-AA31-46D4-B930-C02FAB267B19}"/>
    <dgm:cxn modelId="{552B4655-88DF-4344-8CFD-DB5CCB9B9775}" type="presOf" srcId="{D91CB9C8-2728-4C8C-AE0C-5CB62BDBC38E}" destId="{F9D7A652-9819-4F84-8168-75557F9AA207}" srcOrd="0" destOrd="0" presId="urn:microsoft.com/office/officeart/2005/8/layout/orgChart1"/>
    <dgm:cxn modelId="{4910EC75-4D50-48FF-AE2D-31B76629908C}" type="presOf" srcId="{352BE7DA-FBD1-4234-8890-EB7C39DE75D6}" destId="{89FBD230-8890-4706-9198-EC615E7EF51D}" srcOrd="0" destOrd="0" presId="urn:microsoft.com/office/officeart/2005/8/layout/orgChart1"/>
    <dgm:cxn modelId="{357856A0-5FE7-45CF-9F31-18C6BC3118AC}" type="presOf" srcId="{49C10EF7-E768-4D5D-83DC-8B6B87D71F26}" destId="{5237D78D-690B-48BD-8319-5B470C5FA095}" srcOrd="0" destOrd="0" presId="urn:microsoft.com/office/officeart/2005/8/layout/orgChart1"/>
    <dgm:cxn modelId="{AA6F5EA8-2B2F-46DB-BCE4-E03B777E7BDA}" type="presOf" srcId="{352BE7DA-FBD1-4234-8890-EB7C39DE75D6}" destId="{E218A1EE-8E20-4D88-A888-5310E6F47F19}" srcOrd="1" destOrd="0" presId="urn:microsoft.com/office/officeart/2005/8/layout/orgChart1"/>
    <dgm:cxn modelId="{7DC8D0F4-F16A-41E8-8F8A-FDE0B5C78DCA}" type="presOf" srcId="{064095BE-0B69-4EBC-8F70-FCD95875CB99}" destId="{D82CBE9D-A4A3-415F-855A-60FF1185016C}" srcOrd="0" destOrd="0" presId="urn:microsoft.com/office/officeart/2005/8/layout/orgChart1"/>
    <dgm:cxn modelId="{3A13A544-5D17-4ED0-A511-73C0EDD3CDA6}" type="presParOf" srcId="{15188FA7-7328-4BCD-A3DF-B5D93572F758}" destId="{8B7D161C-37B4-46D3-8B47-586FE6D2808B}" srcOrd="0" destOrd="0" presId="urn:microsoft.com/office/officeart/2005/8/layout/orgChart1"/>
    <dgm:cxn modelId="{AEA7574A-05F4-4F85-AA5B-7F6427F09CE7}" type="presParOf" srcId="{8B7D161C-37B4-46D3-8B47-586FE6D2808B}" destId="{B99BF64D-A473-43D0-ABDE-8C2855E96798}" srcOrd="0" destOrd="0" presId="urn:microsoft.com/office/officeart/2005/8/layout/orgChart1"/>
    <dgm:cxn modelId="{7B2128FB-39EF-48CA-9BEB-BD4404792A39}" type="presParOf" srcId="{B99BF64D-A473-43D0-ABDE-8C2855E96798}" destId="{57D506F4-A38F-4DC1-8405-FF661B5513D6}" srcOrd="0" destOrd="0" presId="urn:microsoft.com/office/officeart/2005/8/layout/orgChart1"/>
    <dgm:cxn modelId="{FABABCC6-47BD-4ABD-A47E-E95112D4797E}" type="presParOf" srcId="{B99BF64D-A473-43D0-ABDE-8C2855E96798}" destId="{7A3B2B15-AB3C-40EB-B4AA-57523C975996}" srcOrd="1" destOrd="0" presId="urn:microsoft.com/office/officeart/2005/8/layout/orgChart1"/>
    <dgm:cxn modelId="{6B5AB0D0-9114-421C-880D-0A5D8175CB04}" type="presParOf" srcId="{8B7D161C-37B4-46D3-8B47-586FE6D2808B}" destId="{7E16CCFD-0B89-4DF0-A91B-AA468DAB1540}" srcOrd="1" destOrd="0" presId="urn:microsoft.com/office/officeart/2005/8/layout/orgChart1"/>
    <dgm:cxn modelId="{5C4B7E42-3925-40D2-BF85-3DA0DF32796C}" type="presParOf" srcId="{7E16CCFD-0B89-4DF0-A91B-AA468DAB1540}" destId="{5465BE25-C803-4060-BCD2-FD0AD1775830}" srcOrd="0" destOrd="0" presId="urn:microsoft.com/office/officeart/2005/8/layout/orgChart1"/>
    <dgm:cxn modelId="{103AEBEA-2B78-489C-B86F-E67C605B337F}" type="presParOf" srcId="{7E16CCFD-0B89-4DF0-A91B-AA468DAB1540}" destId="{50C800A4-35D6-4DEC-8126-1ADFDC078378}" srcOrd="1" destOrd="0" presId="urn:microsoft.com/office/officeart/2005/8/layout/orgChart1"/>
    <dgm:cxn modelId="{6B270147-448E-44C4-A45F-4B800951ABBB}" type="presParOf" srcId="{50C800A4-35D6-4DEC-8126-1ADFDC078378}" destId="{ECF4E24D-A092-4386-A936-1C2602B9298F}" srcOrd="0" destOrd="0" presId="urn:microsoft.com/office/officeart/2005/8/layout/orgChart1"/>
    <dgm:cxn modelId="{61559996-74C5-4E1B-9C04-5F66C8CA4DCA}" type="presParOf" srcId="{ECF4E24D-A092-4386-A936-1C2602B9298F}" destId="{D82CBE9D-A4A3-415F-855A-60FF1185016C}" srcOrd="0" destOrd="0" presId="urn:microsoft.com/office/officeart/2005/8/layout/orgChart1"/>
    <dgm:cxn modelId="{CC462755-69AF-49AB-87DB-27142491D409}" type="presParOf" srcId="{ECF4E24D-A092-4386-A936-1C2602B9298F}" destId="{4A9C7701-16DB-469E-8E07-C6AF0207E9B4}" srcOrd="1" destOrd="0" presId="urn:microsoft.com/office/officeart/2005/8/layout/orgChart1"/>
    <dgm:cxn modelId="{DB818E58-A0F3-483F-BBFC-0B739C997999}" type="presParOf" srcId="{50C800A4-35D6-4DEC-8126-1ADFDC078378}" destId="{F35D9A13-8908-4C1F-8924-A80F2806A8F5}" srcOrd="1" destOrd="0" presId="urn:microsoft.com/office/officeart/2005/8/layout/orgChart1"/>
    <dgm:cxn modelId="{0922DA3F-04B1-42DF-AE5C-75D27E47894B}" type="presParOf" srcId="{50C800A4-35D6-4DEC-8126-1ADFDC078378}" destId="{C35A7B5B-B1D6-4A55-9469-BD99B8F94899}" srcOrd="2" destOrd="0" presId="urn:microsoft.com/office/officeart/2005/8/layout/orgChart1"/>
    <dgm:cxn modelId="{78326F06-5C66-4C54-8DA8-D47129112E80}" type="presParOf" srcId="{7E16CCFD-0B89-4DF0-A91B-AA468DAB1540}" destId="{4F0A643E-B4FC-474E-B7FA-029B6A4CBBAE}" srcOrd="2" destOrd="0" presId="urn:microsoft.com/office/officeart/2005/8/layout/orgChart1"/>
    <dgm:cxn modelId="{58BED5EC-27C7-4589-9A57-D58AF1DCF462}" type="presParOf" srcId="{7E16CCFD-0B89-4DF0-A91B-AA468DAB1540}" destId="{5E748025-0CEE-46F5-A986-213B8E0D1214}" srcOrd="3" destOrd="0" presId="urn:microsoft.com/office/officeart/2005/8/layout/orgChart1"/>
    <dgm:cxn modelId="{CE4CB765-32F7-4BCA-BE20-345336BB2E5D}" type="presParOf" srcId="{5E748025-0CEE-46F5-A986-213B8E0D1214}" destId="{C8C440E8-BC7F-4739-9F99-BC7FFBFBF813}" srcOrd="0" destOrd="0" presId="urn:microsoft.com/office/officeart/2005/8/layout/orgChart1"/>
    <dgm:cxn modelId="{540316F6-F4BA-40F2-878C-F9B9E12FF74C}" type="presParOf" srcId="{C8C440E8-BC7F-4739-9F99-BC7FFBFBF813}" destId="{F9D7A652-9819-4F84-8168-75557F9AA207}" srcOrd="0" destOrd="0" presId="urn:microsoft.com/office/officeart/2005/8/layout/orgChart1"/>
    <dgm:cxn modelId="{5942F58E-8140-4C92-BF26-B70F5ADBD5F0}" type="presParOf" srcId="{C8C440E8-BC7F-4739-9F99-BC7FFBFBF813}" destId="{5AC311B8-65B8-42B9-B738-51BF4E41004D}" srcOrd="1" destOrd="0" presId="urn:microsoft.com/office/officeart/2005/8/layout/orgChart1"/>
    <dgm:cxn modelId="{47E34A8A-6DA2-42C8-8C09-7FD50A443009}" type="presParOf" srcId="{5E748025-0CEE-46F5-A986-213B8E0D1214}" destId="{09E2B67A-A8BA-4DBC-88BF-312EA05D347C}" srcOrd="1" destOrd="0" presId="urn:microsoft.com/office/officeart/2005/8/layout/orgChart1"/>
    <dgm:cxn modelId="{8A2A5C8C-92A4-4FE4-B2D1-EE0150587AA3}" type="presParOf" srcId="{5E748025-0CEE-46F5-A986-213B8E0D1214}" destId="{CD07F360-D0BB-44FB-ABDE-989C1553F5C5}" srcOrd="2" destOrd="0" presId="urn:microsoft.com/office/officeart/2005/8/layout/orgChart1"/>
    <dgm:cxn modelId="{24A9C5CF-49C4-49E6-9B9E-9318C9C054DA}" type="presParOf" srcId="{7E16CCFD-0B89-4DF0-A91B-AA468DAB1540}" destId="{5237D78D-690B-48BD-8319-5B470C5FA095}" srcOrd="4" destOrd="0" presId="urn:microsoft.com/office/officeart/2005/8/layout/orgChart1"/>
    <dgm:cxn modelId="{F517E950-6826-4C8E-816E-94D3DD16F193}" type="presParOf" srcId="{7E16CCFD-0B89-4DF0-A91B-AA468DAB1540}" destId="{89BF1B37-A565-4FA5-A316-B34EC43D2CE3}" srcOrd="5" destOrd="0" presId="urn:microsoft.com/office/officeart/2005/8/layout/orgChart1"/>
    <dgm:cxn modelId="{61B3ACB5-1B94-4EA3-AF03-989F216149A4}" type="presParOf" srcId="{89BF1B37-A565-4FA5-A316-B34EC43D2CE3}" destId="{A4F64BF2-0DDC-4FE9-883A-E96868329640}" srcOrd="0" destOrd="0" presId="urn:microsoft.com/office/officeart/2005/8/layout/orgChart1"/>
    <dgm:cxn modelId="{441A6F89-9B2D-4559-A1F5-1037AACE0947}" type="presParOf" srcId="{A4F64BF2-0DDC-4FE9-883A-E96868329640}" destId="{89FBD230-8890-4706-9198-EC615E7EF51D}" srcOrd="0" destOrd="0" presId="urn:microsoft.com/office/officeart/2005/8/layout/orgChart1"/>
    <dgm:cxn modelId="{0996C81F-2B54-4639-A5E9-0201E1B32FC6}" type="presParOf" srcId="{A4F64BF2-0DDC-4FE9-883A-E96868329640}" destId="{E218A1EE-8E20-4D88-A888-5310E6F47F19}" srcOrd="1" destOrd="0" presId="urn:microsoft.com/office/officeart/2005/8/layout/orgChart1"/>
    <dgm:cxn modelId="{C4A49E5D-4130-482D-A7B8-B7C2F0837B5E}" type="presParOf" srcId="{89BF1B37-A565-4FA5-A316-B34EC43D2CE3}" destId="{13A201BE-5DB9-4F50-9974-1BC4DB4BF14B}" srcOrd="1" destOrd="0" presId="urn:microsoft.com/office/officeart/2005/8/layout/orgChart1"/>
    <dgm:cxn modelId="{597B5E60-5CAD-4211-83A2-FB577C539188}" type="presParOf" srcId="{89BF1B37-A565-4FA5-A316-B34EC43D2CE3}" destId="{368EFE6E-058E-4C78-8AC7-A0A87C4E533F}" srcOrd="2" destOrd="0" presId="urn:microsoft.com/office/officeart/2005/8/layout/orgChart1"/>
    <dgm:cxn modelId="{BEF5F575-67B9-418C-9A2E-AC3B67536DD6}" type="presParOf" srcId="{8B7D161C-37B4-46D3-8B47-586FE6D2808B}" destId="{09012E11-B4B2-42CA-B2C7-A0C3A92ADEFB}"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37D78D-690B-48BD-8319-5B470C5FA095}">
      <dsp:nvSpPr>
        <dsp:cNvPr id="0" name=""/>
        <dsp:cNvSpPr/>
      </dsp:nvSpPr>
      <dsp:spPr>
        <a:xfrm>
          <a:off x="3395980" y="631589"/>
          <a:ext cx="91440" cy="160639"/>
        </a:xfrm>
        <a:custGeom>
          <a:avLst/>
          <a:gdLst/>
          <a:ahLst/>
          <a:cxnLst/>
          <a:rect l="0" t="0" r="0" b="0"/>
          <a:pathLst>
            <a:path>
              <a:moveTo>
                <a:pt x="45720" y="0"/>
              </a:moveTo>
              <a:lnTo>
                <a:pt x="92844" y="0"/>
              </a:lnTo>
              <a:lnTo>
                <a:pt x="92844" y="1606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0A643E-B4FC-474E-B7FA-029B6A4CBBAE}">
      <dsp:nvSpPr>
        <dsp:cNvPr id="0" name=""/>
        <dsp:cNvSpPr/>
      </dsp:nvSpPr>
      <dsp:spPr>
        <a:xfrm>
          <a:off x="3441700" y="631589"/>
          <a:ext cx="2259784" cy="461360"/>
        </a:xfrm>
        <a:custGeom>
          <a:avLst/>
          <a:gdLst/>
          <a:ahLst/>
          <a:cxnLst/>
          <a:rect l="0" t="0" r="0" b="0"/>
          <a:pathLst>
            <a:path>
              <a:moveTo>
                <a:pt x="0" y="0"/>
              </a:moveTo>
              <a:lnTo>
                <a:pt x="0" y="279612"/>
              </a:lnTo>
              <a:lnTo>
                <a:pt x="2259784" y="279612"/>
              </a:lnTo>
              <a:lnTo>
                <a:pt x="2259784" y="4613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65BE25-C803-4060-BCD2-FD0AD1775830}">
      <dsp:nvSpPr>
        <dsp:cNvPr id="0" name=""/>
        <dsp:cNvSpPr/>
      </dsp:nvSpPr>
      <dsp:spPr>
        <a:xfrm>
          <a:off x="1174593" y="631589"/>
          <a:ext cx="2267106" cy="409484"/>
        </a:xfrm>
        <a:custGeom>
          <a:avLst/>
          <a:gdLst/>
          <a:ahLst/>
          <a:cxnLst/>
          <a:rect l="0" t="0" r="0" b="0"/>
          <a:pathLst>
            <a:path>
              <a:moveTo>
                <a:pt x="2267106" y="0"/>
              </a:moveTo>
              <a:lnTo>
                <a:pt x="2267106" y="227736"/>
              </a:lnTo>
              <a:lnTo>
                <a:pt x="0" y="227736"/>
              </a:lnTo>
              <a:lnTo>
                <a:pt x="0" y="4094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D506F4-A38F-4DC1-8405-FF661B5513D6}">
      <dsp:nvSpPr>
        <dsp:cNvPr id="0" name=""/>
        <dsp:cNvSpPr/>
      </dsp:nvSpPr>
      <dsp:spPr>
        <a:xfrm>
          <a:off x="2617767" y="45988"/>
          <a:ext cx="1647865" cy="585600"/>
        </a:xfrm>
        <a:prstGeom prst="rect">
          <a:avLst/>
        </a:prstGeom>
        <a:solidFill>
          <a:schemeClr val="accent3">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Agency Management Team </a:t>
          </a:r>
        </a:p>
        <a:p>
          <a:pPr marL="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(AMT)</a:t>
          </a:r>
        </a:p>
      </dsp:txBody>
      <dsp:txXfrm>
        <a:off x="2617767" y="45988"/>
        <a:ext cx="1647865" cy="585600"/>
      </dsp:txXfrm>
    </dsp:sp>
    <dsp:sp modelId="{D82CBE9D-A4A3-415F-855A-60FF1185016C}">
      <dsp:nvSpPr>
        <dsp:cNvPr id="0" name=""/>
        <dsp:cNvSpPr/>
      </dsp:nvSpPr>
      <dsp:spPr>
        <a:xfrm>
          <a:off x="66492" y="1041073"/>
          <a:ext cx="2216200" cy="2599273"/>
        </a:xfrm>
        <a:prstGeom prst="rect">
          <a:avLst/>
        </a:prstGeom>
        <a:solidFill>
          <a:schemeClr val="accent3">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7200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UNISON</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Z Hussain, Unison Convenor, Secretary</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L Giblin, International Officer, Co-Chair</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L Dundas, Equalities Co-ordinator</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J Dillon, Unison Co-Health and Safety Officer</a:t>
          </a:r>
        </a:p>
      </dsp:txBody>
      <dsp:txXfrm>
        <a:off x="66492" y="1041073"/>
        <a:ext cx="2216200" cy="2599273"/>
      </dsp:txXfrm>
    </dsp:sp>
    <dsp:sp modelId="{F9D7A652-9819-4F84-8168-75557F9AA207}">
      <dsp:nvSpPr>
        <dsp:cNvPr id="0" name=""/>
        <dsp:cNvSpPr/>
      </dsp:nvSpPr>
      <dsp:spPr>
        <a:xfrm>
          <a:off x="4519568" y="1092950"/>
          <a:ext cx="2363831" cy="2547396"/>
        </a:xfrm>
        <a:prstGeom prst="rect">
          <a:avLst/>
        </a:prstGeom>
        <a:solidFill>
          <a:schemeClr val="accent3">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Management</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S McGregor, Chief Officer, Finance (Chair)</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D Pirie, Executive Director, Evidence &amp; Flooding</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I Buchanan, Chief Officer, Compliance &amp; Beyond</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J Green, Chief Officer, Performance &amp; Innovation (until 05/01/22)</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B Marshall, Interim Chief Officer, Performance &amp; Innovation (from 20/01/22)</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F Martin, Chief Officer, People &amp; Property (until 21/12/21)</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J Kenny, as Chief Officer, Circular Economy (until 31/01/22, then Interim Chief Officer, People &amp; Property from 01/02/22).</a:t>
          </a:r>
        </a:p>
        <a:p>
          <a:pPr marL="72000" lvl="0" indent="0" algn="l"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D Harley, Interim Chief Officer, Circular Economy (from 01/02/22).</a:t>
          </a:r>
        </a:p>
      </dsp:txBody>
      <dsp:txXfrm>
        <a:off x="4519568" y="1092950"/>
        <a:ext cx="2363831" cy="2547396"/>
      </dsp:txXfrm>
    </dsp:sp>
    <dsp:sp modelId="{89FBD230-8890-4706-9198-EC615E7EF51D}">
      <dsp:nvSpPr>
        <dsp:cNvPr id="0" name=""/>
        <dsp:cNvSpPr/>
      </dsp:nvSpPr>
      <dsp:spPr>
        <a:xfrm>
          <a:off x="2704158" y="792228"/>
          <a:ext cx="1569333" cy="707882"/>
        </a:xfrm>
        <a:prstGeom prst="rect">
          <a:avLst/>
        </a:prstGeom>
        <a:solidFill>
          <a:schemeClr val="accent3">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Joint Negotiation and Consultation Committee </a:t>
          </a:r>
        </a:p>
        <a:p>
          <a:pPr marL="0" lvl="0" indent="0" algn="ctr" defTabSz="400050">
            <a:lnSpc>
              <a:spcPct val="90000"/>
            </a:lnSpc>
            <a:spcBef>
              <a:spcPct val="0"/>
            </a:spcBef>
            <a:spcAft>
              <a:spcPct val="35000"/>
            </a:spcAft>
            <a:buNone/>
          </a:pPr>
          <a:r>
            <a:rPr lang="en-GB" sz="900" kern="1200">
              <a:solidFill>
                <a:schemeClr val="tx2"/>
              </a:solidFill>
              <a:latin typeface="Arial" panose="020B0604020202020204" pitchFamily="34" charset="0"/>
              <a:cs typeface="Arial" panose="020B0604020202020204" pitchFamily="34" charset="0"/>
            </a:rPr>
            <a:t>(JNCC)</a:t>
          </a:r>
        </a:p>
      </dsp:txBody>
      <dsp:txXfrm>
        <a:off x="2704158" y="792228"/>
        <a:ext cx="1569333" cy="7078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d39391-764d-4b73-99b3-76b85fbb7edd">
      <Terms xmlns="http://schemas.microsoft.com/office/infopath/2007/PartnerControls"/>
    </lcf76f155ced4ddcb4097134ff3c332f>
    <TaxCatchAll xmlns="a5938255-f470-4ef2-bd11-5c82450bd81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CE5B63E53986445AFAE34022A166A94" ma:contentTypeVersion="15" ma:contentTypeDescription="Create a new document." ma:contentTypeScope="" ma:versionID="4dd4d752c1cedf664280006df34a30a5">
  <xsd:schema xmlns:xsd="http://www.w3.org/2001/XMLSchema" xmlns:xs="http://www.w3.org/2001/XMLSchema" xmlns:p="http://schemas.microsoft.com/office/2006/metadata/properties" xmlns:ns2="1fd39391-764d-4b73-99b3-76b85fbb7edd" xmlns:ns3="a5938255-f470-4ef2-bd11-5c82450bd812" targetNamespace="http://schemas.microsoft.com/office/2006/metadata/properties" ma:root="true" ma:fieldsID="823727587dab63f33af3172c03b5b6e0" ns2:_="" ns3:_="">
    <xsd:import namespace="1fd39391-764d-4b73-99b3-76b85fbb7edd"/>
    <xsd:import namespace="a5938255-f470-4ef2-bd11-5c82450bd8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39391-764d-4b73-99b3-76b85fbb7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38255-f470-4ef2-bd11-5c82450bd81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b6d1070-9ff2-42c8-98dd-c2de7c79b881}" ma:internalName="TaxCatchAll" ma:showField="CatchAllData" ma:web="a5938255-f470-4ef2-bd11-5c82450bd81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FD67C-07DD-443E-B5F3-3832F4E8CF76}">
  <ds:schemaRefs>
    <ds:schemaRef ds:uri="http://schemas.microsoft.com/sharepoint/v3/contenttype/forms"/>
  </ds:schemaRefs>
</ds:datastoreItem>
</file>

<file path=customXml/itemProps2.xml><?xml version="1.0" encoding="utf-8"?>
<ds:datastoreItem xmlns:ds="http://schemas.openxmlformats.org/officeDocument/2006/customXml" ds:itemID="{3A4BB1AE-F149-4109-A857-7E2BCE2B79B4}">
  <ds:schemaRefs>
    <ds:schemaRef ds:uri="http://schemas.microsoft.com/office/2006/metadata/properties"/>
    <ds:schemaRef ds:uri="http://schemas.microsoft.com/office/infopath/2007/PartnerControls"/>
    <ds:schemaRef ds:uri="1fd39391-764d-4b73-99b3-76b85fbb7edd"/>
    <ds:schemaRef ds:uri="a5938255-f470-4ef2-bd11-5c82450bd812"/>
  </ds:schemaRefs>
</ds:datastoreItem>
</file>

<file path=customXml/itemProps3.xml><?xml version="1.0" encoding="utf-8"?>
<ds:datastoreItem xmlns:ds="http://schemas.openxmlformats.org/officeDocument/2006/customXml" ds:itemID="{AD5DF801-6012-4A94-9061-4CDDF2424A77}">
  <ds:schemaRefs>
    <ds:schemaRef ds:uri="http://schemas.openxmlformats.org/officeDocument/2006/bibliography"/>
  </ds:schemaRefs>
</ds:datastoreItem>
</file>

<file path=customXml/itemProps4.xml><?xml version="1.0" encoding="utf-8"?>
<ds:datastoreItem xmlns:ds="http://schemas.openxmlformats.org/officeDocument/2006/customXml" ds:itemID="{2C146ADD-7654-4B91-95F5-959B290CF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39391-764d-4b73-99b3-76b85fbb7edd"/>
    <ds:schemaRef ds:uri="a5938255-f470-4ef2-bd11-5c82450bd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145</Pages>
  <Words>36427</Words>
  <Characters>207635</Characters>
  <Application>Microsoft Office Word</Application>
  <DocSecurity>4</DocSecurity>
  <Lines>1730</Lines>
  <Paragraphs>487</Paragraphs>
  <ScaleCrop>false</ScaleCrop>
  <Company>PARADE</Company>
  <LinksUpToDate>false</LinksUpToDate>
  <CharactersWithSpaces>243575</CharactersWithSpaces>
  <SharedDoc>false</SharedDoc>
  <HLinks>
    <vt:vector size="924" baseType="variant">
      <vt:variant>
        <vt:i4>6291496</vt:i4>
      </vt:variant>
      <vt:variant>
        <vt:i4>546</vt:i4>
      </vt:variant>
      <vt:variant>
        <vt:i4>0</vt:i4>
      </vt:variant>
      <vt:variant>
        <vt:i4>5</vt:i4>
      </vt:variant>
      <vt:variant>
        <vt:lpwstr/>
      </vt:variant>
      <vt:variant>
        <vt:lpwstr>Note6interestreceivableandsimilarincome</vt:lpwstr>
      </vt:variant>
      <vt:variant>
        <vt:i4>3735593</vt:i4>
      </vt:variant>
      <vt:variant>
        <vt:i4>543</vt:i4>
      </vt:variant>
      <vt:variant>
        <vt:i4>0</vt:i4>
      </vt:variant>
      <vt:variant>
        <vt:i4>5</vt:i4>
      </vt:variant>
      <vt:variant>
        <vt:lpwstr/>
      </vt:variant>
      <vt:variant>
        <vt:lpwstr>Note13Provisionforliabilitiesandcharges</vt:lpwstr>
      </vt:variant>
      <vt:variant>
        <vt:i4>3735593</vt:i4>
      </vt:variant>
      <vt:variant>
        <vt:i4>540</vt:i4>
      </vt:variant>
      <vt:variant>
        <vt:i4>0</vt:i4>
      </vt:variant>
      <vt:variant>
        <vt:i4>5</vt:i4>
      </vt:variant>
      <vt:variant>
        <vt:lpwstr/>
      </vt:variant>
      <vt:variant>
        <vt:lpwstr>Note13Provisionforliabilitiesandcharges</vt:lpwstr>
      </vt:variant>
      <vt:variant>
        <vt:i4>327770</vt:i4>
      </vt:variant>
      <vt:variant>
        <vt:i4>537</vt:i4>
      </vt:variant>
      <vt:variant>
        <vt:i4>0</vt:i4>
      </vt:variant>
      <vt:variant>
        <vt:i4>5</vt:i4>
      </vt:variant>
      <vt:variant>
        <vt:lpwstr/>
      </vt:variant>
      <vt:variant>
        <vt:lpwstr>Note9noncurrentassets</vt:lpwstr>
      </vt:variant>
      <vt:variant>
        <vt:i4>6881312</vt:i4>
      </vt:variant>
      <vt:variant>
        <vt:i4>534</vt:i4>
      </vt:variant>
      <vt:variant>
        <vt:i4>0</vt:i4>
      </vt:variant>
      <vt:variant>
        <vt:i4>5</vt:i4>
      </vt:variant>
      <vt:variant>
        <vt:lpwstr/>
      </vt:variant>
      <vt:variant>
        <vt:lpwstr>Note4inforegardingemployeesandBoard</vt:lpwstr>
      </vt:variant>
      <vt:variant>
        <vt:i4>6881312</vt:i4>
      </vt:variant>
      <vt:variant>
        <vt:i4>531</vt:i4>
      </vt:variant>
      <vt:variant>
        <vt:i4>0</vt:i4>
      </vt:variant>
      <vt:variant>
        <vt:i4>5</vt:i4>
      </vt:variant>
      <vt:variant>
        <vt:lpwstr/>
      </vt:variant>
      <vt:variant>
        <vt:lpwstr>Note4inforegardingemployeesandBoard</vt:lpwstr>
      </vt:variant>
      <vt:variant>
        <vt:i4>6881312</vt:i4>
      </vt:variant>
      <vt:variant>
        <vt:i4>528</vt:i4>
      </vt:variant>
      <vt:variant>
        <vt:i4>0</vt:i4>
      </vt:variant>
      <vt:variant>
        <vt:i4>5</vt:i4>
      </vt:variant>
      <vt:variant>
        <vt:lpwstr/>
      </vt:variant>
      <vt:variant>
        <vt:lpwstr>Note4inforegardingemployeesandBoard</vt:lpwstr>
      </vt:variant>
      <vt:variant>
        <vt:i4>5898335</vt:i4>
      </vt:variant>
      <vt:variant>
        <vt:i4>525</vt:i4>
      </vt:variant>
      <vt:variant>
        <vt:i4>0</vt:i4>
      </vt:variant>
      <vt:variant>
        <vt:i4>5</vt:i4>
      </vt:variant>
      <vt:variant>
        <vt:lpwstr/>
      </vt:variant>
      <vt:variant>
        <vt:lpwstr>Note10cashandcashequivalents</vt:lpwstr>
      </vt:variant>
      <vt:variant>
        <vt:i4>7995496</vt:i4>
      </vt:variant>
      <vt:variant>
        <vt:i4>522</vt:i4>
      </vt:variant>
      <vt:variant>
        <vt:i4>0</vt:i4>
      </vt:variant>
      <vt:variant>
        <vt:i4>5</vt:i4>
      </vt:variant>
      <vt:variant>
        <vt:lpwstr>https://www.sepa.org.uk/about-us/how-we-work/our-board/members/</vt:lpwstr>
      </vt:variant>
      <vt:variant>
        <vt:lpwstr/>
      </vt:variant>
      <vt:variant>
        <vt:i4>1572955</vt:i4>
      </vt:variant>
      <vt:variant>
        <vt:i4>519</vt:i4>
      </vt:variant>
      <vt:variant>
        <vt:i4>0</vt:i4>
      </vt:variant>
      <vt:variant>
        <vt:i4>5</vt:i4>
      </vt:variant>
      <vt:variant>
        <vt:lpwstr/>
      </vt:variant>
      <vt:variant>
        <vt:lpwstr>Note7interestpayable</vt:lpwstr>
      </vt:variant>
      <vt:variant>
        <vt:i4>6881312</vt:i4>
      </vt:variant>
      <vt:variant>
        <vt:i4>516</vt:i4>
      </vt:variant>
      <vt:variant>
        <vt:i4>0</vt:i4>
      </vt:variant>
      <vt:variant>
        <vt:i4>5</vt:i4>
      </vt:variant>
      <vt:variant>
        <vt:lpwstr/>
      </vt:variant>
      <vt:variant>
        <vt:lpwstr>Note4inforegardingemployeesandBoard</vt:lpwstr>
      </vt:variant>
      <vt:variant>
        <vt:i4>1245213</vt:i4>
      </vt:variant>
      <vt:variant>
        <vt:i4>513</vt:i4>
      </vt:variant>
      <vt:variant>
        <vt:i4>0</vt:i4>
      </vt:variant>
      <vt:variant>
        <vt:i4>5</vt:i4>
      </vt:variant>
      <vt:variant>
        <vt:lpwstr/>
      </vt:variant>
      <vt:variant>
        <vt:lpwstr>Note15IAS19Pensionassetandliabilities</vt:lpwstr>
      </vt:variant>
      <vt:variant>
        <vt:i4>3735593</vt:i4>
      </vt:variant>
      <vt:variant>
        <vt:i4>510</vt:i4>
      </vt:variant>
      <vt:variant>
        <vt:i4>0</vt:i4>
      </vt:variant>
      <vt:variant>
        <vt:i4>5</vt:i4>
      </vt:variant>
      <vt:variant>
        <vt:lpwstr/>
      </vt:variant>
      <vt:variant>
        <vt:lpwstr>Note13Provisionforliabilitiesandcharges</vt:lpwstr>
      </vt:variant>
      <vt:variant>
        <vt:i4>3735593</vt:i4>
      </vt:variant>
      <vt:variant>
        <vt:i4>507</vt:i4>
      </vt:variant>
      <vt:variant>
        <vt:i4>0</vt:i4>
      </vt:variant>
      <vt:variant>
        <vt:i4>5</vt:i4>
      </vt:variant>
      <vt:variant>
        <vt:lpwstr/>
      </vt:variant>
      <vt:variant>
        <vt:lpwstr>Note13Provisionforliabilitiesandcharges</vt:lpwstr>
      </vt:variant>
      <vt:variant>
        <vt:i4>131088</vt:i4>
      </vt:variant>
      <vt:variant>
        <vt:i4>504</vt:i4>
      </vt:variant>
      <vt:variant>
        <vt:i4>0</vt:i4>
      </vt:variant>
      <vt:variant>
        <vt:i4>5</vt:i4>
      </vt:variant>
      <vt:variant>
        <vt:lpwstr/>
      </vt:variant>
      <vt:variant>
        <vt:lpwstr>Note16IAS19DetailsofentriesintheStatemen</vt:lpwstr>
      </vt:variant>
      <vt:variant>
        <vt:i4>3735593</vt:i4>
      </vt:variant>
      <vt:variant>
        <vt:i4>501</vt:i4>
      </vt:variant>
      <vt:variant>
        <vt:i4>0</vt:i4>
      </vt:variant>
      <vt:variant>
        <vt:i4>5</vt:i4>
      </vt:variant>
      <vt:variant>
        <vt:lpwstr/>
      </vt:variant>
      <vt:variant>
        <vt:lpwstr>Note13Provisionforliabilitiesandcharges</vt:lpwstr>
      </vt:variant>
      <vt:variant>
        <vt:i4>327770</vt:i4>
      </vt:variant>
      <vt:variant>
        <vt:i4>498</vt:i4>
      </vt:variant>
      <vt:variant>
        <vt:i4>0</vt:i4>
      </vt:variant>
      <vt:variant>
        <vt:i4>5</vt:i4>
      </vt:variant>
      <vt:variant>
        <vt:lpwstr/>
      </vt:variant>
      <vt:variant>
        <vt:lpwstr>Note9noncurrentassets</vt:lpwstr>
      </vt:variant>
      <vt:variant>
        <vt:i4>327770</vt:i4>
      </vt:variant>
      <vt:variant>
        <vt:i4>495</vt:i4>
      </vt:variant>
      <vt:variant>
        <vt:i4>0</vt:i4>
      </vt:variant>
      <vt:variant>
        <vt:i4>5</vt:i4>
      </vt:variant>
      <vt:variant>
        <vt:lpwstr/>
      </vt:variant>
      <vt:variant>
        <vt:lpwstr>Note9noncurrentassets</vt:lpwstr>
      </vt:variant>
      <vt:variant>
        <vt:i4>4128817</vt:i4>
      </vt:variant>
      <vt:variant>
        <vt:i4>492</vt:i4>
      </vt:variant>
      <vt:variant>
        <vt:i4>0</vt:i4>
      </vt:variant>
      <vt:variant>
        <vt:i4>5</vt:i4>
      </vt:variant>
      <vt:variant>
        <vt:lpwstr/>
      </vt:variant>
      <vt:variant>
        <vt:lpwstr>Note11Tradeandotherreceivables</vt:lpwstr>
      </vt:variant>
      <vt:variant>
        <vt:i4>3735593</vt:i4>
      </vt:variant>
      <vt:variant>
        <vt:i4>489</vt:i4>
      </vt:variant>
      <vt:variant>
        <vt:i4>0</vt:i4>
      </vt:variant>
      <vt:variant>
        <vt:i4>5</vt:i4>
      </vt:variant>
      <vt:variant>
        <vt:lpwstr/>
      </vt:variant>
      <vt:variant>
        <vt:lpwstr>Note13Provisionforliabilitiesandcharges</vt:lpwstr>
      </vt:variant>
      <vt:variant>
        <vt:i4>131088</vt:i4>
      </vt:variant>
      <vt:variant>
        <vt:i4>486</vt:i4>
      </vt:variant>
      <vt:variant>
        <vt:i4>0</vt:i4>
      </vt:variant>
      <vt:variant>
        <vt:i4>5</vt:i4>
      </vt:variant>
      <vt:variant>
        <vt:lpwstr/>
      </vt:variant>
      <vt:variant>
        <vt:lpwstr>Note16IAS19DetailsofentriesintheStatemen</vt:lpwstr>
      </vt:variant>
      <vt:variant>
        <vt:i4>1245213</vt:i4>
      </vt:variant>
      <vt:variant>
        <vt:i4>483</vt:i4>
      </vt:variant>
      <vt:variant>
        <vt:i4>0</vt:i4>
      </vt:variant>
      <vt:variant>
        <vt:i4>5</vt:i4>
      </vt:variant>
      <vt:variant>
        <vt:lpwstr/>
      </vt:variant>
      <vt:variant>
        <vt:lpwstr>Note15IAS19Pensionassetandliabilities</vt:lpwstr>
      </vt:variant>
      <vt:variant>
        <vt:i4>1245213</vt:i4>
      </vt:variant>
      <vt:variant>
        <vt:i4>480</vt:i4>
      </vt:variant>
      <vt:variant>
        <vt:i4>0</vt:i4>
      </vt:variant>
      <vt:variant>
        <vt:i4>5</vt:i4>
      </vt:variant>
      <vt:variant>
        <vt:lpwstr/>
      </vt:variant>
      <vt:variant>
        <vt:lpwstr>Note15IAS19Pensionassetandliabilities</vt:lpwstr>
      </vt:variant>
      <vt:variant>
        <vt:i4>1245213</vt:i4>
      </vt:variant>
      <vt:variant>
        <vt:i4>477</vt:i4>
      </vt:variant>
      <vt:variant>
        <vt:i4>0</vt:i4>
      </vt:variant>
      <vt:variant>
        <vt:i4>5</vt:i4>
      </vt:variant>
      <vt:variant>
        <vt:lpwstr/>
      </vt:variant>
      <vt:variant>
        <vt:lpwstr>Note15IAS19Pensionassetandliabilities</vt:lpwstr>
      </vt:variant>
      <vt:variant>
        <vt:i4>327770</vt:i4>
      </vt:variant>
      <vt:variant>
        <vt:i4>474</vt:i4>
      </vt:variant>
      <vt:variant>
        <vt:i4>0</vt:i4>
      </vt:variant>
      <vt:variant>
        <vt:i4>5</vt:i4>
      </vt:variant>
      <vt:variant>
        <vt:lpwstr/>
      </vt:variant>
      <vt:variant>
        <vt:lpwstr>Note9noncurrentassets</vt:lpwstr>
      </vt:variant>
      <vt:variant>
        <vt:i4>327770</vt:i4>
      </vt:variant>
      <vt:variant>
        <vt:i4>471</vt:i4>
      </vt:variant>
      <vt:variant>
        <vt:i4>0</vt:i4>
      </vt:variant>
      <vt:variant>
        <vt:i4>5</vt:i4>
      </vt:variant>
      <vt:variant>
        <vt:lpwstr/>
      </vt:variant>
      <vt:variant>
        <vt:lpwstr>Note9noncurrentassets</vt:lpwstr>
      </vt:variant>
      <vt:variant>
        <vt:i4>1245213</vt:i4>
      </vt:variant>
      <vt:variant>
        <vt:i4>468</vt:i4>
      </vt:variant>
      <vt:variant>
        <vt:i4>0</vt:i4>
      </vt:variant>
      <vt:variant>
        <vt:i4>5</vt:i4>
      </vt:variant>
      <vt:variant>
        <vt:lpwstr/>
      </vt:variant>
      <vt:variant>
        <vt:lpwstr>Note15IAS19Pensionassetandliabilities</vt:lpwstr>
      </vt:variant>
      <vt:variant>
        <vt:i4>3473468</vt:i4>
      </vt:variant>
      <vt:variant>
        <vt:i4>465</vt:i4>
      </vt:variant>
      <vt:variant>
        <vt:i4>0</vt:i4>
      </vt:variant>
      <vt:variant>
        <vt:i4>5</vt:i4>
      </vt:variant>
      <vt:variant>
        <vt:lpwstr/>
      </vt:variant>
      <vt:variant>
        <vt:lpwstr>Note20GrantinAidfunding</vt:lpwstr>
      </vt:variant>
      <vt:variant>
        <vt:i4>5898335</vt:i4>
      </vt:variant>
      <vt:variant>
        <vt:i4>462</vt:i4>
      </vt:variant>
      <vt:variant>
        <vt:i4>0</vt:i4>
      </vt:variant>
      <vt:variant>
        <vt:i4>5</vt:i4>
      </vt:variant>
      <vt:variant>
        <vt:lpwstr/>
      </vt:variant>
      <vt:variant>
        <vt:lpwstr>Note10cashandcashequivalents</vt:lpwstr>
      </vt:variant>
      <vt:variant>
        <vt:i4>5898335</vt:i4>
      </vt:variant>
      <vt:variant>
        <vt:i4>459</vt:i4>
      </vt:variant>
      <vt:variant>
        <vt:i4>0</vt:i4>
      </vt:variant>
      <vt:variant>
        <vt:i4>5</vt:i4>
      </vt:variant>
      <vt:variant>
        <vt:lpwstr/>
      </vt:variant>
      <vt:variant>
        <vt:lpwstr>Note10cashandcashequivalents</vt:lpwstr>
      </vt:variant>
      <vt:variant>
        <vt:i4>3473468</vt:i4>
      </vt:variant>
      <vt:variant>
        <vt:i4>456</vt:i4>
      </vt:variant>
      <vt:variant>
        <vt:i4>0</vt:i4>
      </vt:variant>
      <vt:variant>
        <vt:i4>5</vt:i4>
      </vt:variant>
      <vt:variant>
        <vt:lpwstr/>
      </vt:variant>
      <vt:variant>
        <vt:lpwstr>Note20GrantinAidfunding</vt:lpwstr>
      </vt:variant>
      <vt:variant>
        <vt:i4>6291496</vt:i4>
      </vt:variant>
      <vt:variant>
        <vt:i4>453</vt:i4>
      </vt:variant>
      <vt:variant>
        <vt:i4>0</vt:i4>
      </vt:variant>
      <vt:variant>
        <vt:i4>5</vt:i4>
      </vt:variant>
      <vt:variant>
        <vt:lpwstr/>
      </vt:variant>
      <vt:variant>
        <vt:lpwstr>Note6interestreceivableandsimilarincome</vt:lpwstr>
      </vt:variant>
      <vt:variant>
        <vt:i4>3407916</vt:i4>
      </vt:variant>
      <vt:variant>
        <vt:i4>450</vt:i4>
      </vt:variant>
      <vt:variant>
        <vt:i4>0</vt:i4>
      </vt:variant>
      <vt:variant>
        <vt:i4>5</vt:i4>
      </vt:variant>
      <vt:variant>
        <vt:lpwstr/>
      </vt:variant>
      <vt:variant>
        <vt:lpwstr>Note12Tradeandotherpayables</vt:lpwstr>
      </vt:variant>
      <vt:variant>
        <vt:i4>4128817</vt:i4>
      </vt:variant>
      <vt:variant>
        <vt:i4>447</vt:i4>
      </vt:variant>
      <vt:variant>
        <vt:i4>0</vt:i4>
      </vt:variant>
      <vt:variant>
        <vt:i4>5</vt:i4>
      </vt:variant>
      <vt:variant>
        <vt:lpwstr/>
      </vt:variant>
      <vt:variant>
        <vt:lpwstr>Note11Tradeandotherreceivables</vt:lpwstr>
      </vt:variant>
      <vt:variant>
        <vt:i4>4128817</vt:i4>
      </vt:variant>
      <vt:variant>
        <vt:i4>444</vt:i4>
      </vt:variant>
      <vt:variant>
        <vt:i4>0</vt:i4>
      </vt:variant>
      <vt:variant>
        <vt:i4>5</vt:i4>
      </vt:variant>
      <vt:variant>
        <vt:lpwstr/>
      </vt:variant>
      <vt:variant>
        <vt:lpwstr>Note11Tradeandotherreceivables</vt:lpwstr>
      </vt:variant>
      <vt:variant>
        <vt:i4>3735593</vt:i4>
      </vt:variant>
      <vt:variant>
        <vt:i4>441</vt:i4>
      </vt:variant>
      <vt:variant>
        <vt:i4>0</vt:i4>
      </vt:variant>
      <vt:variant>
        <vt:i4>5</vt:i4>
      </vt:variant>
      <vt:variant>
        <vt:lpwstr/>
      </vt:variant>
      <vt:variant>
        <vt:lpwstr>Note13Provisionforliabilitiesandcharges</vt:lpwstr>
      </vt:variant>
      <vt:variant>
        <vt:i4>3735593</vt:i4>
      </vt:variant>
      <vt:variant>
        <vt:i4>438</vt:i4>
      </vt:variant>
      <vt:variant>
        <vt:i4>0</vt:i4>
      </vt:variant>
      <vt:variant>
        <vt:i4>5</vt:i4>
      </vt:variant>
      <vt:variant>
        <vt:lpwstr/>
      </vt:variant>
      <vt:variant>
        <vt:lpwstr>Note13Provisionforliabilitiesandcharges</vt:lpwstr>
      </vt:variant>
      <vt:variant>
        <vt:i4>3735593</vt:i4>
      </vt:variant>
      <vt:variant>
        <vt:i4>435</vt:i4>
      </vt:variant>
      <vt:variant>
        <vt:i4>0</vt:i4>
      </vt:variant>
      <vt:variant>
        <vt:i4>5</vt:i4>
      </vt:variant>
      <vt:variant>
        <vt:lpwstr/>
      </vt:variant>
      <vt:variant>
        <vt:lpwstr>Note13Provisionforliabilitiesandcharges</vt:lpwstr>
      </vt:variant>
      <vt:variant>
        <vt:i4>3735593</vt:i4>
      </vt:variant>
      <vt:variant>
        <vt:i4>432</vt:i4>
      </vt:variant>
      <vt:variant>
        <vt:i4>0</vt:i4>
      </vt:variant>
      <vt:variant>
        <vt:i4>5</vt:i4>
      </vt:variant>
      <vt:variant>
        <vt:lpwstr/>
      </vt:variant>
      <vt:variant>
        <vt:lpwstr>Note13Provisionforliabilitiesandcharges</vt:lpwstr>
      </vt:variant>
      <vt:variant>
        <vt:i4>131088</vt:i4>
      </vt:variant>
      <vt:variant>
        <vt:i4>429</vt:i4>
      </vt:variant>
      <vt:variant>
        <vt:i4>0</vt:i4>
      </vt:variant>
      <vt:variant>
        <vt:i4>5</vt:i4>
      </vt:variant>
      <vt:variant>
        <vt:lpwstr/>
      </vt:variant>
      <vt:variant>
        <vt:lpwstr>Note16IAS19DetailsofentriesintheStatemen</vt:lpwstr>
      </vt:variant>
      <vt:variant>
        <vt:i4>327770</vt:i4>
      </vt:variant>
      <vt:variant>
        <vt:i4>426</vt:i4>
      </vt:variant>
      <vt:variant>
        <vt:i4>0</vt:i4>
      </vt:variant>
      <vt:variant>
        <vt:i4>5</vt:i4>
      </vt:variant>
      <vt:variant>
        <vt:lpwstr/>
      </vt:variant>
      <vt:variant>
        <vt:lpwstr>Note9noncurrentassets</vt:lpwstr>
      </vt:variant>
      <vt:variant>
        <vt:i4>1245213</vt:i4>
      </vt:variant>
      <vt:variant>
        <vt:i4>423</vt:i4>
      </vt:variant>
      <vt:variant>
        <vt:i4>0</vt:i4>
      </vt:variant>
      <vt:variant>
        <vt:i4>5</vt:i4>
      </vt:variant>
      <vt:variant>
        <vt:lpwstr/>
      </vt:variant>
      <vt:variant>
        <vt:lpwstr>Note15IAS19Pensionassetandliabilities</vt:lpwstr>
      </vt:variant>
      <vt:variant>
        <vt:i4>3735593</vt:i4>
      </vt:variant>
      <vt:variant>
        <vt:i4>420</vt:i4>
      </vt:variant>
      <vt:variant>
        <vt:i4>0</vt:i4>
      </vt:variant>
      <vt:variant>
        <vt:i4>5</vt:i4>
      </vt:variant>
      <vt:variant>
        <vt:lpwstr/>
      </vt:variant>
      <vt:variant>
        <vt:lpwstr>Note13Provisionforliabilitiesandcharges</vt:lpwstr>
      </vt:variant>
      <vt:variant>
        <vt:i4>3735593</vt:i4>
      </vt:variant>
      <vt:variant>
        <vt:i4>417</vt:i4>
      </vt:variant>
      <vt:variant>
        <vt:i4>0</vt:i4>
      </vt:variant>
      <vt:variant>
        <vt:i4>5</vt:i4>
      </vt:variant>
      <vt:variant>
        <vt:lpwstr/>
      </vt:variant>
      <vt:variant>
        <vt:lpwstr>Note13Provisionforliabilitiesandcharges</vt:lpwstr>
      </vt:variant>
      <vt:variant>
        <vt:i4>3407916</vt:i4>
      </vt:variant>
      <vt:variant>
        <vt:i4>414</vt:i4>
      </vt:variant>
      <vt:variant>
        <vt:i4>0</vt:i4>
      </vt:variant>
      <vt:variant>
        <vt:i4>5</vt:i4>
      </vt:variant>
      <vt:variant>
        <vt:lpwstr/>
      </vt:variant>
      <vt:variant>
        <vt:lpwstr>Note12Tradeandotherpayables</vt:lpwstr>
      </vt:variant>
      <vt:variant>
        <vt:i4>5898335</vt:i4>
      </vt:variant>
      <vt:variant>
        <vt:i4>411</vt:i4>
      </vt:variant>
      <vt:variant>
        <vt:i4>0</vt:i4>
      </vt:variant>
      <vt:variant>
        <vt:i4>5</vt:i4>
      </vt:variant>
      <vt:variant>
        <vt:lpwstr/>
      </vt:variant>
      <vt:variant>
        <vt:lpwstr>Note10cashandcashequivalents</vt:lpwstr>
      </vt:variant>
      <vt:variant>
        <vt:i4>4128817</vt:i4>
      </vt:variant>
      <vt:variant>
        <vt:i4>408</vt:i4>
      </vt:variant>
      <vt:variant>
        <vt:i4>0</vt:i4>
      </vt:variant>
      <vt:variant>
        <vt:i4>5</vt:i4>
      </vt:variant>
      <vt:variant>
        <vt:lpwstr/>
      </vt:variant>
      <vt:variant>
        <vt:lpwstr>Note11Tradeandotherreceivables</vt:lpwstr>
      </vt:variant>
      <vt:variant>
        <vt:i4>327770</vt:i4>
      </vt:variant>
      <vt:variant>
        <vt:i4>405</vt:i4>
      </vt:variant>
      <vt:variant>
        <vt:i4>0</vt:i4>
      </vt:variant>
      <vt:variant>
        <vt:i4>5</vt:i4>
      </vt:variant>
      <vt:variant>
        <vt:lpwstr/>
      </vt:variant>
      <vt:variant>
        <vt:lpwstr>Note9noncurrentassets</vt:lpwstr>
      </vt:variant>
      <vt:variant>
        <vt:i4>327770</vt:i4>
      </vt:variant>
      <vt:variant>
        <vt:i4>402</vt:i4>
      </vt:variant>
      <vt:variant>
        <vt:i4>0</vt:i4>
      </vt:variant>
      <vt:variant>
        <vt:i4>5</vt:i4>
      </vt:variant>
      <vt:variant>
        <vt:lpwstr/>
      </vt:variant>
      <vt:variant>
        <vt:lpwstr>Note9noncurrentassets</vt:lpwstr>
      </vt:variant>
      <vt:variant>
        <vt:i4>1245213</vt:i4>
      </vt:variant>
      <vt:variant>
        <vt:i4>399</vt:i4>
      </vt:variant>
      <vt:variant>
        <vt:i4>0</vt:i4>
      </vt:variant>
      <vt:variant>
        <vt:i4>5</vt:i4>
      </vt:variant>
      <vt:variant>
        <vt:lpwstr/>
      </vt:variant>
      <vt:variant>
        <vt:lpwstr>Note15IAS19Pensionassetandliabilities</vt:lpwstr>
      </vt:variant>
      <vt:variant>
        <vt:i4>327770</vt:i4>
      </vt:variant>
      <vt:variant>
        <vt:i4>396</vt:i4>
      </vt:variant>
      <vt:variant>
        <vt:i4>0</vt:i4>
      </vt:variant>
      <vt:variant>
        <vt:i4>5</vt:i4>
      </vt:variant>
      <vt:variant>
        <vt:lpwstr/>
      </vt:variant>
      <vt:variant>
        <vt:lpwstr>Note9noncurrentassets</vt:lpwstr>
      </vt:variant>
      <vt:variant>
        <vt:i4>1572955</vt:i4>
      </vt:variant>
      <vt:variant>
        <vt:i4>393</vt:i4>
      </vt:variant>
      <vt:variant>
        <vt:i4>0</vt:i4>
      </vt:variant>
      <vt:variant>
        <vt:i4>5</vt:i4>
      </vt:variant>
      <vt:variant>
        <vt:lpwstr/>
      </vt:variant>
      <vt:variant>
        <vt:lpwstr>Note7interestpayable</vt:lpwstr>
      </vt:variant>
      <vt:variant>
        <vt:i4>6291496</vt:i4>
      </vt:variant>
      <vt:variant>
        <vt:i4>390</vt:i4>
      </vt:variant>
      <vt:variant>
        <vt:i4>0</vt:i4>
      </vt:variant>
      <vt:variant>
        <vt:i4>5</vt:i4>
      </vt:variant>
      <vt:variant>
        <vt:lpwstr/>
      </vt:variant>
      <vt:variant>
        <vt:lpwstr>Note6interestreceivableandsimilarincome</vt:lpwstr>
      </vt:variant>
      <vt:variant>
        <vt:i4>7405604</vt:i4>
      </vt:variant>
      <vt:variant>
        <vt:i4>387</vt:i4>
      </vt:variant>
      <vt:variant>
        <vt:i4>0</vt:i4>
      </vt:variant>
      <vt:variant>
        <vt:i4>5</vt:i4>
      </vt:variant>
      <vt:variant>
        <vt:lpwstr/>
      </vt:variant>
      <vt:variant>
        <vt:lpwstr>Note5otheroperatingcharges</vt:lpwstr>
      </vt:variant>
      <vt:variant>
        <vt:i4>327770</vt:i4>
      </vt:variant>
      <vt:variant>
        <vt:i4>384</vt:i4>
      </vt:variant>
      <vt:variant>
        <vt:i4>0</vt:i4>
      </vt:variant>
      <vt:variant>
        <vt:i4>5</vt:i4>
      </vt:variant>
      <vt:variant>
        <vt:lpwstr/>
      </vt:variant>
      <vt:variant>
        <vt:lpwstr>Note9noncurrentassets</vt:lpwstr>
      </vt:variant>
      <vt:variant>
        <vt:i4>6881312</vt:i4>
      </vt:variant>
      <vt:variant>
        <vt:i4>381</vt:i4>
      </vt:variant>
      <vt:variant>
        <vt:i4>0</vt:i4>
      </vt:variant>
      <vt:variant>
        <vt:i4>5</vt:i4>
      </vt:variant>
      <vt:variant>
        <vt:lpwstr/>
      </vt:variant>
      <vt:variant>
        <vt:lpwstr>Note4inforegardingemployeesandBoard</vt:lpwstr>
      </vt:variant>
      <vt:variant>
        <vt:i4>1769567</vt:i4>
      </vt:variant>
      <vt:variant>
        <vt:i4>378</vt:i4>
      </vt:variant>
      <vt:variant>
        <vt:i4>0</vt:i4>
      </vt:variant>
      <vt:variant>
        <vt:i4>5</vt:i4>
      </vt:variant>
      <vt:variant>
        <vt:lpwstr/>
      </vt:variant>
      <vt:variant>
        <vt:lpwstr>Note3otherincome</vt:lpwstr>
      </vt:variant>
      <vt:variant>
        <vt:i4>5046338</vt:i4>
      </vt:variant>
      <vt:variant>
        <vt:i4>375</vt:i4>
      </vt:variant>
      <vt:variant>
        <vt:i4>0</vt:i4>
      </vt:variant>
      <vt:variant>
        <vt:i4>5</vt:i4>
      </vt:variant>
      <vt:variant>
        <vt:lpwstr/>
      </vt:variant>
      <vt:variant>
        <vt:lpwstr>Note19Tradingaccountsschemes</vt:lpwstr>
      </vt:variant>
      <vt:variant>
        <vt:i4>720989</vt:i4>
      </vt:variant>
      <vt:variant>
        <vt:i4>372</vt:i4>
      </vt:variant>
      <vt:variant>
        <vt:i4>0</vt:i4>
      </vt:variant>
      <vt:variant>
        <vt:i4>5</vt:i4>
      </vt:variant>
      <vt:variant>
        <vt:lpwstr/>
      </vt:variant>
      <vt:variant>
        <vt:lpwstr>Note2incomefromcontracts</vt:lpwstr>
      </vt:variant>
      <vt:variant>
        <vt:i4>7602234</vt:i4>
      </vt:variant>
      <vt:variant>
        <vt:i4>369</vt:i4>
      </vt:variant>
      <vt:variant>
        <vt:i4>0</vt:i4>
      </vt:variant>
      <vt:variant>
        <vt:i4>5</vt:i4>
      </vt:variant>
      <vt:variant>
        <vt:lpwstr>http://www.frc.org.uk/auditorsresponsibilities</vt:lpwstr>
      </vt:variant>
      <vt:variant>
        <vt:lpwstr/>
      </vt:variant>
      <vt:variant>
        <vt:i4>5242906</vt:i4>
      </vt:variant>
      <vt:variant>
        <vt:i4>366</vt:i4>
      </vt:variant>
      <vt:variant>
        <vt:i4>0</vt:i4>
      </vt:variant>
      <vt:variant>
        <vt:i4>5</vt:i4>
      </vt:variant>
      <vt:variant>
        <vt:lpwstr>https://www.audit-scotland.gov.uk/our-work/annual-audits</vt:lpwstr>
      </vt:variant>
      <vt:variant>
        <vt:lpwstr/>
      </vt:variant>
      <vt:variant>
        <vt:i4>4980798</vt:i4>
      </vt:variant>
      <vt:variant>
        <vt:i4>363</vt:i4>
      </vt:variant>
      <vt:variant>
        <vt:i4>0</vt:i4>
      </vt:variant>
      <vt:variant>
        <vt:i4>5</vt:i4>
      </vt:variant>
      <vt:variant>
        <vt:lpwstr>https://www.audit-scotland.gov.uk/uploads/docs/report/2016/code_audit_practice_16.pdf</vt:lpwstr>
      </vt:variant>
      <vt:variant>
        <vt:lpwstr/>
      </vt:variant>
      <vt:variant>
        <vt:i4>1769567</vt:i4>
      </vt:variant>
      <vt:variant>
        <vt:i4>360</vt:i4>
      </vt:variant>
      <vt:variant>
        <vt:i4>0</vt:i4>
      </vt:variant>
      <vt:variant>
        <vt:i4>5</vt:i4>
      </vt:variant>
      <vt:variant>
        <vt:lpwstr/>
      </vt:variant>
      <vt:variant>
        <vt:lpwstr>Note3otherincome</vt:lpwstr>
      </vt:variant>
      <vt:variant>
        <vt:i4>5046338</vt:i4>
      </vt:variant>
      <vt:variant>
        <vt:i4>357</vt:i4>
      </vt:variant>
      <vt:variant>
        <vt:i4>0</vt:i4>
      </vt:variant>
      <vt:variant>
        <vt:i4>5</vt:i4>
      </vt:variant>
      <vt:variant>
        <vt:lpwstr/>
      </vt:variant>
      <vt:variant>
        <vt:lpwstr>Note19Tradingaccountsschemes</vt:lpwstr>
      </vt:variant>
      <vt:variant>
        <vt:i4>5570633</vt:i4>
      </vt:variant>
      <vt:variant>
        <vt:i4>354</vt:i4>
      </vt:variant>
      <vt:variant>
        <vt:i4>0</vt:i4>
      </vt:variant>
      <vt:variant>
        <vt:i4>5</vt:i4>
      </vt:variant>
      <vt:variant>
        <vt:lpwstr/>
      </vt:variant>
      <vt:variant>
        <vt:lpwstr>Note22AME</vt:lpwstr>
      </vt:variant>
      <vt:variant>
        <vt:i4>5242973</vt:i4>
      </vt:variant>
      <vt:variant>
        <vt:i4>351</vt:i4>
      </vt:variant>
      <vt:variant>
        <vt:i4>0</vt:i4>
      </vt:variant>
      <vt:variant>
        <vt:i4>5</vt:i4>
      </vt:variant>
      <vt:variant>
        <vt:lpwstr/>
      </vt:variant>
      <vt:variant>
        <vt:lpwstr>Note21Operatingresourcereconciliation</vt:lpwstr>
      </vt:variant>
      <vt:variant>
        <vt:i4>5570633</vt:i4>
      </vt:variant>
      <vt:variant>
        <vt:i4>348</vt:i4>
      </vt:variant>
      <vt:variant>
        <vt:i4>0</vt:i4>
      </vt:variant>
      <vt:variant>
        <vt:i4>5</vt:i4>
      </vt:variant>
      <vt:variant>
        <vt:lpwstr/>
      </vt:variant>
      <vt:variant>
        <vt:lpwstr>Note22AME</vt:lpwstr>
      </vt:variant>
      <vt:variant>
        <vt:i4>5570633</vt:i4>
      </vt:variant>
      <vt:variant>
        <vt:i4>345</vt:i4>
      </vt:variant>
      <vt:variant>
        <vt:i4>0</vt:i4>
      </vt:variant>
      <vt:variant>
        <vt:i4>5</vt:i4>
      </vt:variant>
      <vt:variant>
        <vt:lpwstr/>
      </vt:variant>
      <vt:variant>
        <vt:lpwstr>Note22AME</vt:lpwstr>
      </vt:variant>
      <vt:variant>
        <vt:i4>1245213</vt:i4>
      </vt:variant>
      <vt:variant>
        <vt:i4>342</vt:i4>
      </vt:variant>
      <vt:variant>
        <vt:i4>0</vt:i4>
      </vt:variant>
      <vt:variant>
        <vt:i4>5</vt:i4>
      </vt:variant>
      <vt:variant>
        <vt:lpwstr/>
      </vt:variant>
      <vt:variant>
        <vt:lpwstr>Note15IAS19Pensionassetandliabilities</vt:lpwstr>
      </vt:variant>
      <vt:variant>
        <vt:i4>3735593</vt:i4>
      </vt:variant>
      <vt:variant>
        <vt:i4>339</vt:i4>
      </vt:variant>
      <vt:variant>
        <vt:i4>0</vt:i4>
      </vt:variant>
      <vt:variant>
        <vt:i4>5</vt:i4>
      </vt:variant>
      <vt:variant>
        <vt:lpwstr/>
      </vt:variant>
      <vt:variant>
        <vt:lpwstr>Note13Provisionforliabilitiesandcharges</vt:lpwstr>
      </vt:variant>
      <vt:variant>
        <vt:i4>3735593</vt:i4>
      </vt:variant>
      <vt:variant>
        <vt:i4>336</vt:i4>
      </vt:variant>
      <vt:variant>
        <vt:i4>0</vt:i4>
      </vt:variant>
      <vt:variant>
        <vt:i4>5</vt:i4>
      </vt:variant>
      <vt:variant>
        <vt:lpwstr/>
      </vt:variant>
      <vt:variant>
        <vt:lpwstr>Note13Provisionforliabilitiesandcharges</vt:lpwstr>
      </vt:variant>
      <vt:variant>
        <vt:i4>131088</vt:i4>
      </vt:variant>
      <vt:variant>
        <vt:i4>333</vt:i4>
      </vt:variant>
      <vt:variant>
        <vt:i4>0</vt:i4>
      </vt:variant>
      <vt:variant>
        <vt:i4>5</vt:i4>
      </vt:variant>
      <vt:variant>
        <vt:lpwstr/>
      </vt:variant>
      <vt:variant>
        <vt:lpwstr>Note16IAS19DetailsofentriesintheStatemen</vt:lpwstr>
      </vt:variant>
      <vt:variant>
        <vt:i4>7209087</vt:i4>
      </vt:variant>
      <vt:variant>
        <vt:i4>330</vt:i4>
      </vt:variant>
      <vt:variant>
        <vt:i4>0</vt:i4>
      </vt:variant>
      <vt:variant>
        <vt:i4>5</vt:i4>
      </vt:variant>
      <vt:variant>
        <vt:lpwstr>https://www.sepa.org.uk/media/593800/how-to-determine-a-vmp.pdf</vt:lpwstr>
      </vt:variant>
      <vt:variant>
        <vt:lpwstr/>
      </vt:variant>
      <vt:variant>
        <vt:i4>5177348</vt:i4>
      </vt:variant>
      <vt:variant>
        <vt:i4>327</vt:i4>
      </vt:variant>
      <vt:variant>
        <vt:i4>0</vt:i4>
      </vt:variant>
      <vt:variant>
        <vt:i4>5</vt:i4>
      </vt:variant>
      <vt:variant>
        <vt:lpwstr>https://www.sepa.org.uk/media/219242/enforcement-guidance.pdf</vt:lpwstr>
      </vt:variant>
      <vt:variant>
        <vt:lpwstr/>
      </vt:variant>
      <vt:variant>
        <vt:i4>7405625</vt:i4>
      </vt:variant>
      <vt:variant>
        <vt:i4>324</vt:i4>
      </vt:variant>
      <vt:variant>
        <vt:i4>0</vt:i4>
      </vt:variant>
      <vt:variant>
        <vt:i4>5</vt:i4>
      </vt:variant>
      <vt:variant>
        <vt:lpwstr>https://consultation.sepa.org.uk/compliance-and-beyond/revised-guidance-on-enforcement-action/</vt:lpwstr>
      </vt:variant>
      <vt:variant>
        <vt:lpwstr/>
      </vt:variant>
      <vt:variant>
        <vt:i4>3276855</vt:i4>
      </vt:variant>
      <vt:variant>
        <vt:i4>321</vt:i4>
      </vt:variant>
      <vt:variant>
        <vt:i4>0</vt:i4>
      </vt:variant>
      <vt:variant>
        <vt:i4>5</vt:i4>
      </vt:variant>
      <vt:variant>
        <vt:lpwstr>https://consultation.sepa.org.uk/regulatory-services/protection-of-wild-salmon/</vt:lpwstr>
      </vt:variant>
      <vt:variant>
        <vt:lpwstr/>
      </vt:variant>
      <vt:variant>
        <vt:i4>524293</vt:i4>
      </vt:variant>
      <vt:variant>
        <vt:i4>318</vt:i4>
      </vt:variant>
      <vt:variant>
        <vt:i4>0</vt:i4>
      </vt:variant>
      <vt:variant>
        <vt:i4>5</vt:i4>
      </vt:variant>
      <vt:variant>
        <vt:lpwstr>https://consultation.sepa.org.uk/sector-plan/finfishaquaculture/</vt:lpwstr>
      </vt:variant>
      <vt:variant>
        <vt:lpwstr/>
      </vt:variant>
      <vt:variant>
        <vt:i4>5439583</vt:i4>
      </vt:variant>
      <vt:variant>
        <vt:i4>315</vt:i4>
      </vt:variant>
      <vt:variant>
        <vt:i4>0</vt:i4>
      </vt:variant>
      <vt:variant>
        <vt:i4>5</vt:i4>
      </vt:variant>
      <vt:variant>
        <vt:lpwstr>https://www.sepa.org.uk/about-us/cyber-attack/service-status/</vt:lpwstr>
      </vt:variant>
      <vt:variant>
        <vt:lpwstr/>
      </vt:variant>
      <vt:variant>
        <vt:i4>6357080</vt:i4>
      </vt:variant>
      <vt:variant>
        <vt:i4>312</vt:i4>
      </vt:variant>
      <vt:variant>
        <vt:i4>0</vt:i4>
      </vt:variant>
      <vt:variant>
        <vt:i4>5</vt:i4>
      </vt:variant>
      <vt:variant>
        <vt:lpwstr>https://www.ukas.com/wp-content/uploads/schedule_uploads/00002/1327Testing-Multiple.pdf</vt:lpwstr>
      </vt:variant>
      <vt:variant>
        <vt:lpwstr/>
      </vt:variant>
      <vt:variant>
        <vt:i4>5439583</vt:i4>
      </vt:variant>
      <vt:variant>
        <vt:i4>309</vt:i4>
      </vt:variant>
      <vt:variant>
        <vt:i4>0</vt:i4>
      </vt:variant>
      <vt:variant>
        <vt:i4>5</vt:i4>
      </vt:variant>
      <vt:variant>
        <vt:lpwstr>https://www.sepa.org.uk/about-us/cyber-attack/service-status/</vt:lpwstr>
      </vt:variant>
      <vt:variant>
        <vt:lpwstr/>
      </vt:variant>
      <vt:variant>
        <vt:i4>8192053</vt:i4>
      </vt:variant>
      <vt:variant>
        <vt:i4>306</vt:i4>
      </vt:variant>
      <vt:variant>
        <vt:i4>0</vt:i4>
      </vt:variant>
      <vt:variant>
        <vt:i4>5</vt:i4>
      </vt:variant>
      <vt:variant>
        <vt:lpwstr>https://www.sepa.org.uk/about-us/cyber-attack/</vt:lpwstr>
      </vt:variant>
      <vt:variant>
        <vt:lpwstr/>
      </vt:variant>
      <vt:variant>
        <vt:i4>4849736</vt:i4>
      </vt:variant>
      <vt:variant>
        <vt:i4>303</vt:i4>
      </vt:variant>
      <vt:variant>
        <vt:i4>0</vt:i4>
      </vt:variant>
      <vt:variant>
        <vt:i4>5</vt:i4>
      </vt:variant>
      <vt:variant>
        <vt:lpwstr>https://www.sepa.org.uk/media/585301/annual-operating-plan-2021-2022.pdf</vt:lpwstr>
      </vt:variant>
      <vt:variant>
        <vt:lpwstr/>
      </vt:variant>
      <vt:variant>
        <vt:i4>65606</vt:i4>
      </vt:variant>
      <vt:variant>
        <vt:i4>300</vt:i4>
      </vt:variant>
      <vt:variant>
        <vt:i4>0</vt:i4>
      </vt:variant>
      <vt:variant>
        <vt:i4>5</vt:i4>
      </vt:variant>
      <vt:variant>
        <vt:lpwstr>https://www.sepa.org.uk/media/286930/2017-2022-corporate-plan.pdf</vt:lpwstr>
      </vt:variant>
      <vt:variant>
        <vt:lpwstr/>
      </vt:variant>
      <vt:variant>
        <vt:i4>4325388</vt:i4>
      </vt:variant>
      <vt:variant>
        <vt:i4>297</vt:i4>
      </vt:variant>
      <vt:variant>
        <vt:i4>0</vt:i4>
      </vt:variant>
      <vt:variant>
        <vt:i4>5</vt:i4>
      </vt:variant>
      <vt:variant>
        <vt:lpwstr>https://www.sepa.org.uk/media/496182/audit-committee-terms-of-reference-feb-2020-current.pdf</vt:lpwstr>
      </vt:variant>
      <vt:variant>
        <vt:lpwstr/>
      </vt:variant>
      <vt:variant>
        <vt:i4>5439515</vt:i4>
      </vt:variant>
      <vt:variant>
        <vt:i4>294</vt:i4>
      </vt:variant>
      <vt:variant>
        <vt:i4>0</vt:i4>
      </vt:variant>
      <vt:variant>
        <vt:i4>5</vt:i4>
      </vt:variant>
      <vt:variant>
        <vt:lpwstr>https://www.sepa.org.uk/media/594218/agency-board-standing-orders.pdf</vt:lpwstr>
      </vt:variant>
      <vt:variant>
        <vt:lpwstr/>
      </vt:variant>
      <vt:variant>
        <vt:i4>5832729</vt:i4>
      </vt:variant>
      <vt:variant>
        <vt:i4>291</vt:i4>
      </vt:variant>
      <vt:variant>
        <vt:i4>0</vt:i4>
      </vt:variant>
      <vt:variant>
        <vt:i4>5</vt:i4>
      </vt:variant>
      <vt:variant>
        <vt:lpwstr>https://www.sepa.org.uk/media/593782/sepa-framework-document-2021.pdf</vt:lpwstr>
      </vt:variant>
      <vt:variant>
        <vt:lpwstr/>
      </vt:variant>
      <vt:variant>
        <vt:i4>20</vt:i4>
      </vt:variant>
      <vt:variant>
        <vt:i4>288</vt:i4>
      </vt:variant>
      <vt:variant>
        <vt:i4>0</vt:i4>
      </vt:variant>
      <vt:variant>
        <vt:i4>5</vt:i4>
      </vt:variant>
      <vt:variant>
        <vt:lpwstr>https://assets.publishing.service.gov.uk/government/uploads/system/uploads/attachment_data/file/1075006/MPM_Spring_21__without_annexes_040322__1_.pdf</vt:lpwstr>
      </vt:variant>
      <vt:variant>
        <vt:lpwstr/>
      </vt:variant>
      <vt:variant>
        <vt:i4>5832729</vt:i4>
      </vt:variant>
      <vt:variant>
        <vt:i4>285</vt:i4>
      </vt:variant>
      <vt:variant>
        <vt:i4>0</vt:i4>
      </vt:variant>
      <vt:variant>
        <vt:i4>5</vt:i4>
      </vt:variant>
      <vt:variant>
        <vt:lpwstr>https://www.sepa.org.uk/media/593782/sepa-framework-document-2021.pdf</vt:lpwstr>
      </vt:variant>
      <vt:variant>
        <vt:lpwstr/>
      </vt:variant>
      <vt:variant>
        <vt:i4>7995496</vt:i4>
      </vt:variant>
      <vt:variant>
        <vt:i4>282</vt:i4>
      </vt:variant>
      <vt:variant>
        <vt:i4>0</vt:i4>
      </vt:variant>
      <vt:variant>
        <vt:i4>5</vt:i4>
      </vt:variant>
      <vt:variant>
        <vt:lpwstr>https://www.sepa.org.uk/about-us/how-we-work/our-board/members/</vt:lpwstr>
      </vt:variant>
      <vt:variant>
        <vt:lpwstr/>
      </vt:variant>
      <vt:variant>
        <vt:i4>7077938</vt:i4>
      </vt:variant>
      <vt:variant>
        <vt:i4>279</vt:i4>
      </vt:variant>
      <vt:variant>
        <vt:i4>0</vt:i4>
      </vt:variant>
      <vt:variant>
        <vt:i4>5</vt:i4>
      </vt:variant>
      <vt:variant>
        <vt:lpwstr>https://www.sepa.org.uk/about-us/how-we-work/our-board/</vt:lpwstr>
      </vt:variant>
      <vt:variant>
        <vt:lpwstr/>
      </vt:variant>
      <vt:variant>
        <vt:i4>6160415</vt:i4>
      </vt:variant>
      <vt:variant>
        <vt:i4>276</vt:i4>
      </vt:variant>
      <vt:variant>
        <vt:i4>0</vt:i4>
      </vt:variant>
      <vt:variant>
        <vt:i4>5</vt:i4>
      </vt:variant>
      <vt:variant>
        <vt:lpwstr>https://www.overshootday.org/</vt:lpwstr>
      </vt:variant>
      <vt:variant>
        <vt:lpwstr/>
      </vt:variant>
      <vt:variant>
        <vt:i4>4128882</vt:i4>
      </vt:variant>
      <vt:variant>
        <vt:i4>273</vt:i4>
      </vt:variant>
      <vt:variant>
        <vt:i4>0</vt:i4>
      </vt:variant>
      <vt:variant>
        <vt:i4>5</vt:i4>
      </vt:variant>
      <vt:variant>
        <vt:lpwstr>https://www.pathtocop26.com/workstreams/finance-for-nature/</vt:lpwstr>
      </vt:variant>
      <vt:variant>
        <vt:lpwstr/>
      </vt:variant>
      <vt:variant>
        <vt:i4>1769488</vt:i4>
      </vt:variant>
      <vt:variant>
        <vt:i4>270</vt:i4>
      </vt:variant>
      <vt:variant>
        <vt:i4>0</vt:i4>
      </vt:variant>
      <vt:variant>
        <vt:i4>5</vt:i4>
      </vt:variant>
      <vt:variant>
        <vt:lpwstr>https://sustainablescotlandnetwork.org/reports/the-scottish-environment-protection-agency</vt:lpwstr>
      </vt:variant>
      <vt:variant>
        <vt:lpwstr/>
      </vt:variant>
      <vt:variant>
        <vt:i4>2097194</vt:i4>
      </vt:variant>
      <vt:variant>
        <vt:i4>267</vt:i4>
      </vt:variant>
      <vt:variant>
        <vt:i4>0</vt:i4>
      </vt:variant>
      <vt:variant>
        <vt:i4>5</vt:i4>
      </vt:variant>
      <vt:variant>
        <vt:lpwstr>https://www.sepa.org.uk/media/593753/mainstreaming-report-2021.pdf</vt:lpwstr>
      </vt:variant>
      <vt:variant>
        <vt:lpwstr/>
      </vt:variant>
      <vt:variant>
        <vt:i4>8257584</vt:i4>
      </vt:variant>
      <vt:variant>
        <vt:i4>264</vt:i4>
      </vt:variant>
      <vt:variant>
        <vt:i4>0</vt:i4>
      </vt:variant>
      <vt:variant>
        <vt:i4>5</vt:i4>
      </vt:variant>
      <vt:variant>
        <vt:lpwstr>https://www.gov.scot/news/scotlands-deposit-return-scheme/</vt:lpwstr>
      </vt:variant>
      <vt:variant>
        <vt:lpwstr/>
      </vt:variant>
      <vt:variant>
        <vt:i4>2097206</vt:i4>
      </vt:variant>
      <vt:variant>
        <vt:i4>261</vt:i4>
      </vt:variant>
      <vt:variant>
        <vt:i4>0</vt:i4>
      </vt:variant>
      <vt:variant>
        <vt:i4>5</vt:i4>
      </vt:variant>
      <vt:variant>
        <vt:lpwstr>https://www.environment.gov.scot/about-us/our-partners/</vt:lpwstr>
      </vt:variant>
      <vt:variant>
        <vt:lpwstr/>
      </vt:variant>
      <vt:variant>
        <vt:i4>4522015</vt:i4>
      </vt:variant>
      <vt:variant>
        <vt:i4>258</vt:i4>
      </vt:variant>
      <vt:variant>
        <vt:i4>0</vt:i4>
      </vt:variant>
      <vt:variant>
        <vt:i4>5</vt:i4>
      </vt:variant>
      <vt:variant>
        <vt:lpwstr>https://www.sepa.org.uk/about-us/access-to-information/guide-to-information/class-6-procurement/</vt:lpwstr>
      </vt:variant>
      <vt:variant>
        <vt:lpwstr/>
      </vt:variant>
      <vt:variant>
        <vt:i4>4522015</vt:i4>
      </vt:variant>
      <vt:variant>
        <vt:i4>255</vt:i4>
      </vt:variant>
      <vt:variant>
        <vt:i4>0</vt:i4>
      </vt:variant>
      <vt:variant>
        <vt:i4>5</vt:i4>
      </vt:variant>
      <vt:variant>
        <vt:lpwstr>https://www.sepa.org.uk/about-us/access-to-information/guide-to-information/class-6-procurement/</vt:lpwstr>
      </vt:variant>
      <vt:variant>
        <vt:lpwstr/>
      </vt:variant>
      <vt:variant>
        <vt:i4>4522015</vt:i4>
      </vt:variant>
      <vt:variant>
        <vt:i4>252</vt:i4>
      </vt:variant>
      <vt:variant>
        <vt:i4>0</vt:i4>
      </vt:variant>
      <vt:variant>
        <vt:i4>5</vt:i4>
      </vt:variant>
      <vt:variant>
        <vt:lpwstr>https://www.sepa.org.uk/about-us/access-to-information/guide-to-information/class-6-procurement/</vt:lpwstr>
      </vt:variant>
      <vt:variant>
        <vt:lpwstr/>
      </vt:variant>
      <vt:variant>
        <vt:i4>7929982</vt:i4>
      </vt:variant>
      <vt:variant>
        <vt:i4>249</vt:i4>
      </vt:variant>
      <vt:variant>
        <vt:i4>0</vt:i4>
      </vt:variant>
      <vt:variant>
        <vt:i4>5</vt:i4>
      </vt:variant>
      <vt:variant>
        <vt:lpwstr>https://www.gov.scot/groups/wellbeing-economy-governments-wego/</vt:lpwstr>
      </vt:variant>
      <vt:variant>
        <vt:lpwstr/>
      </vt:variant>
      <vt:variant>
        <vt:i4>8192053</vt:i4>
      </vt:variant>
      <vt:variant>
        <vt:i4>246</vt:i4>
      </vt:variant>
      <vt:variant>
        <vt:i4>0</vt:i4>
      </vt:variant>
      <vt:variant>
        <vt:i4>5</vt:i4>
      </vt:variant>
      <vt:variant>
        <vt:lpwstr>https://www.sepa.org.uk/about-us/cyber-attack/</vt:lpwstr>
      </vt:variant>
      <vt:variant>
        <vt:lpwstr/>
      </vt:variant>
      <vt:variant>
        <vt:i4>4325397</vt:i4>
      </vt:variant>
      <vt:variant>
        <vt:i4>243</vt:i4>
      </vt:variant>
      <vt:variant>
        <vt:i4>0</vt:i4>
      </vt:variant>
      <vt:variant>
        <vt:i4>5</vt:i4>
      </vt:variant>
      <vt:variant>
        <vt:lpwstr>http://www.learnaboutair.com/</vt:lpwstr>
      </vt:variant>
      <vt:variant>
        <vt:lpwstr/>
      </vt:variant>
      <vt:variant>
        <vt:i4>7602303</vt:i4>
      </vt:variant>
      <vt:variant>
        <vt:i4>240</vt:i4>
      </vt:variant>
      <vt:variant>
        <vt:i4>0</vt:i4>
      </vt:variant>
      <vt:variant>
        <vt:i4>5</vt:i4>
      </vt:variant>
      <vt:variant>
        <vt:lpwstr>https://www.lowemissionzones.scot/about</vt:lpwstr>
      </vt:variant>
      <vt:variant>
        <vt:lpwstr/>
      </vt:variant>
      <vt:variant>
        <vt:i4>6357104</vt:i4>
      </vt:variant>
      <vt:variant>
        <vt:i4>237</vt:i4>
      </vt:variant>
      <vt:variant>
        <vt:i4>0</vt:i4>
      </vt:variant>
      <vt:variant>
        <vt:i4>5</vt:i4>
      </vt:variant>
      <vt:variant>
        <vt:lpwstr>https://www.scottishairquality.scot/lez</vt:lpwstr>
      </vt:variant>
      <vt:variant>
        <vt:lpwstr/>
      </vt:variant>
      <vt:variant>
        <vt:i4>4128890</vt:i4>
      </vt:variant>
      <vt:variant>
        <vt:i4>234</vt:i4>
      </vt:variant>
      <vt:variant>
        <vt:i4>0</vt:i4>
      </vt:variant>
      <vt:variant>
        <vt:i4>5</vt:i4>
      </vt:variant>
      <vt:variant>
        <vt:lpwstr>https://www.sepa.org.uk/environment/water/river-basin-management-planning/</vt:lpwstr>
      </vt:variant>
      <vt:variant>
        <vt:lpwstr/>
      </vt:variant>
      <vt:variant>
        <vt:i4>1376261</vt:i4>
      </vt:variant>
      <vt:variant>
        <vt:i4>231</vt:i4>
      </vt:variant>
      <vt:variant>
        <vt:i4>0</vt:i4>
      </vt:variant>
      <vt:variant>
        <vt:i4>5</vt:i4>
      </vt:variant>
      <vt:variant>
        <vt:lpwstr>https://media.sepa.org.uk/media-releases/2021/earth-overshoot-day-creeps-back-to-july-29.aspx</vt:lpwstr>
      </vt:variant>
      <vt:variant>
        <vt:lpwstr/>
      </vt:variant>
      <vt:variant>
        <vt:i4>8192053</vt:i4>
      </vt:variant>
      <vt:variant>
        <vt:i4>228</vt:i4>
      </vt:variant>
      <vt:variant>
        <vt:i4>0</vt:i4>
      </vt:variant>
      <vt:variant>
        <vt:i4>5</vt:i4>
      </vt:variant>
      <vt:variant>
        <vt:lpwstr>https://www.sepa.org.uk/about-us/cyber-attack/</vt:lpwstr>
      </vt:variant>
      <vt:variant>
        <vt:lpwstr/>
      </vt:variant>
      <vt:variant>
        <vt:i4>5570633</vt:i4>
      </vt:variant>
      <vt:variant>
        <vt:i4>225</vt:i4>
      </vt:variant>
      <vt:variant>
        <vt:i4>0</vt:i4>
      </vt:variant>
      <vt:variant>
        <vt:i4>5</vt:i4>
      </vt:variant>
      <vt:variant>
        <vt:lpwstr/>
      </vt:variant>
      <vt:variant>
        <vt:lpwstr>Note22AME</vt:lpwstr>
      </vt:variant>
      <vt:variant>
        <vt:i4>5570633</vt:i4>
      </vt:variant>
      <vt:variant>
        <vt:i4>222</vt:i4>
      </vt:variant>
      <vt:variant>
        <vt:i4>0</vt:i4>
      </vt:variant>
      <vt:variant>
        <vt:i4>5</vt:i4>
      </vt:variant>
      <vt:variant>
        <vt:lpwstr/>
      </vt:variant>
      <vt:variant>
        <vt:lpwstr>Note22AME</vt:lpwstr>
      </vt:variant>
      <vt:variant>
        <vt:i4>65606</vt:i4>
      </vt:variant>
      <vt:variant>
        <vt:i4>219</vt:i4>
      </vt:variant>
      <vt:variant>
        <vt:i4>0</vt:i4>
      </vt:variant>
      <vt:variant>
        <vt:i4>5</vt:i4>
      </vt:variant>
      <vt:variant>
        <vt:lpwstr>https://www.sepa.org.uk/media/286930/2017-2022-corporate-plan.pdf</vt:lpwstr>
      </vt:variant>
      <vt:variant>
        <vt:lpwstr/>
      </vt:variant>
      <vt:variant>
        <vt:i4>4915275</vt:i4>
      </vt:variant>
      <vt:variant>
        <vt:i4>216</vt:i4>
      </vt:variant>
      <vt:variant>
        <vt:i4>0</vt:i4>
      </vt:variant>
      <vt:variant>
        <vt:i4>5</vt:i4>
      </vt:variant>
      <vt:variant>
        <vt:lpwstr>https://www.sepa.org.uk/media/594211/annual-operating-plan-2022-2023.pdf</vt:lpwstr>
      </vt:variant>
      <vt:variant>
        <vt:lpwstr/>
      </vt:variant>
      <vt:variant>
        <vt:i4>65606</vt:i4>
      </vt:variant>
      <vt:variant>
        <vt:i4>213</vt:i4>
      </vt:variant>
      <vt:variant>
        <vt:i4>0</vt:i4>
      </vt:variant>
      <vt:variant>
        <vt:i4>5</vt:i4>
      </vt:variant>
      <vt:variant>
        <vt:lpwstr>https://www.sepa.org.uk/media/286930/2017-2022-corporate-plan.pdf</vt:lpwstr>
      </vt:variant>
      <vt:variant>
        <vt:lpwstr/>
      </vt:variant>
      <vt:variant>
        <vt:i4>2818101</vt:i4>
      </vt:variant>
      <vt:variant>
        <vt:i4>210</vt:i4>
      </vt:variant>
      <vt:variant>
        <vt:i4>0</vt:i4>
      </vt:variant>
      <vt:variant>
        <vt:i4>5</vt:i4>
      </vt:variant>
      <vt:variant>
        <vt:lpwstr>https://eur01.safelinks.protection.outlook.com/?url=http://scottishenvironmentprotectionagency.newsweaver.com/ceospotlight/13tc392w4pm1l9pscq6w81/external?email%3Dtrue%26a%3D6%26p%3D5854831%26t%3D4831&amp;data=04%7c01%7ckatherine.russell%40sepa.org.uk%7cc19474c785ea45e8c64008d9e4d77c5c%7c5cf26d65cf464c72ba827577d9c2d7ab%7c0%7c0%7c637792436429450588%7cUnknown%7cTWFpbGZsb3d8eyJWIjoiMC4wLjAwMDAiLCJQIjoiV2luMzIiLCJBTiI6Ik1haWwiLCJXVCI6Mn0%3D%7c3000&amp;sdata=9W/RG8EkecxWSjGZx9lr/2xxqQQmBbNgBX%2BxDmFUhug%3D&amp;reserved=0</vt:lpwstr>
      </vt:variant>
      <vt:variant>
        <vt:lpwstr/>
      </vt:variant>
      <vt:variant>
        <vt:i4>131081</vt:i4>
      </vt:variant>
      <vt:variant>
        <vt:i4>207</vt:i4>
      </vt:variant>
      <vt:variant>
        <vt:i4>0</vt:i4>
      </vt:variant>
      <vt:variant>
        <vt:i4>5</vt:i4>
      </vt:variant>
      <vt:variant>
        <vt:lpwstr>https://www.sepa.org.uk/regulations/how-we-regulate/delivering-one-planet-prosperity/</vt:lpwstr>
      </vt:variant>
      <vt:variant>
        <vt:lpwstr/>
      </vt:variant>
      <vt:variant>
        <vt:i4>2949223</vt:i4>
      </vt:variant>
      <vt:variant>
        <vt:i4>204</vt:i4>
      </vt:variant>
      <vt:variant>
        <vt:i4>0</vt:i4>
      </vt:variant>
      <vt:variant>
        <vt:i4>5</vt:i4>
      </vt:variant>
      <vt:variant>
        <vt:lpwstr>https://www.sepa.org.uk/environment/water/river-basin-management-planning/publications/</vt:lpwstr>
      </vt:variant>
      <vt:variant>
        <vt:lpwstr/>
      </vt:variant>
      <vt:variant>
        <vt:i4>2818101</vt:i4>
      </vt:variant>
      <vt:variant>
        <vt:i4>201</vt:i4>
      </vt:variant>
      <vt:variant>
        <vt:i4>0</vt:i4>
      </vt:variant>
      <vt:variant>
        <vt:i4>5</vt:i4>
      </vt:variant>
      <vt:variant>
        <vt:lpwstr>https://eur01.safelinks.protection.outlook.com/?url=http://scottishenvironmentprotectionagency.newsweaver.com/ceospotlight/13tc392w4pm1l9pscq6w81/external?email%3Dtrue%26a%3D6%26p%3D5854831%26t%3D4831&amp;data=04%7c01%7ckatherine.russell%40sepa.org.uk%7cc19474c785ea45e8c64008d9e4d77c5c%7c5cf26d65cf464c72ba827577d9c2d7ab%7c0%7c0%7c637792436429450588%7cUnknown%7cTWFpbGZsb3d8eyJWIjoiMC4wLjAwMDAiLCJQIjoiV2luMzIiLCJBTiI6Ik1haWwiLCJXVCI6Mn0%3D%7c3000&amp;sdata=9W/RG8EkecxWSjGZx9lr/2xxqQQmBbNgBX%2BxDmFUhug%3D&amp;reserved=0</vt:lpwstr>
      </vt:variant>
      <vt:variant>
        <vt:lpwstr/>
      </vt:variant>
      <vt:variant>
        <vt:i4>131081</vt:i4>
      </vt:variant>
      <vt:variant>
        <vt:i4>198</vt:i4>
      </vt:variant>
      <vt:variant>
        <vt:i4>0</vt:i4>
      </vt:variant>
      <vt:variant>
        <vt:i4>5</vt:i4>
      </vt:variant>
      <vt:variant>
        <vt:lpwstr>https://www.sepa.org.uk/regulations/how-we-regulate/delivering-one-planet-prosperity/</vt:lpwstr>
      </vt:variant>
      <vt:variant>
        <vt:lpwstr/>
      </vt:variant>
      <vt:variant>
        <vt:i4>2949223</vt:i4>
      </vt:variant>
      <vt:variant>
        <vt:i4>195</vt:i4>
      </vt:variant>
      <vt:variant>
        <vt:i4>0</vt:i4>
      </vt:variant>
      <vt:variant>
        <vt:i4>5</vt:i4>
      </vt:variant>
      <vt:variant>
        <vt:lpwstr>https://www.sepa.org.uk/environment/water/river-basin-management-planning/publications/</vt:lpwstr>
      </vt:variant>
      <vt:variant>
        <vt:lpwstr/>
      </vt:variant>
      <vt:variant>
        <vt:i4>1507390</vt:i4>
      </vt:variant>
      <vt:variant>
        <vt:i4>188</vt:i4>
      </vt:variant>
      <vt:variant>
        <vt:i4>0</vt:i4>
      </vt:variant>
      <vt:variant>
        <vt:i4>5</vt:i4>
      </vt:variant>
      <vt:variant>
        <vt:lpwstr/>
      </vt:variant>
      <vt:variant>
        <vt:lpwstr>_Toc119068093</vt:lpwstr>
      </vt:variant>
      <vt:variant>
        <vt:i4>1507390</vt:i4>
      </vt:variant>
      <vt:variant>
        <vt:i4>182</vt:i4>
      </vt:variant>
      <vt:variant>
        <vt:i4>0</vt:i4>
      </vt:variant>
      <vt:variant>
        <vt:i4>5</vt:i4>
      </vt:variant>
      <vt:variant>
        <vt:lpwstr/>
      </vt:variant>
      <vt:variant>
        <vt:lpwstr>_Toc119068092</vt:lpwstr>
      </vt:variant>
      <vt:variant>
        <vt:i4>1507390</vt:i4>
      </vt:variant>
      <vt:variant>
        <vt:i4>176</vt:i4>
      </vt:variant>
      <vt:variant>
        <vt:i4>0</vt:i4>
      </vt:variant>
      <vt:variant>
        <vt:i4>5</vt:i4>
      </vt:variant>
      <vt:variant>
        <vt:lpwstr/>
      </vt:variant>
      <vt:variant>
        <vt:lpwstr>_Toc119068091</vt:lpwstr>
      </vt:variant>
      <vt:variant>
        <vt:i4>1507390</vt:i4>
      </vt:variant>
      <vt:variant>
        <vt:i4>170</vt:i4>
      </vt:variant>
      <vt:variant>
        <vt:i4>0</vt:i4>
      </vt:variant>
      <vt:variant>
        <vt:i4>5</vt:i4>
      </vt:variant>
      <vt:variant>
        <vt:lpwstr/>
      </vt:variant>
      <vt:variant>
        <vt:lpwstr>_Toc119068090</vt:lpwstr>
      </vt:variant>
      <vt:variant>
        <vt:i4>1441854</vt:i4>
      </vt:variant>
      <vt:variant>
        <vt:i4>164</vt:i4>
      </vt:variant>
      <vt:variant>
        <vt:i4>0</vt:i4>
      </vt:variant>
      <vt:variant>
        <vt:i4>5</vt:i4>
      </vt:variant>
      <vt:variant>
        <vt:lpwstr/>
      </vt:variant>
      <vt:variant>
        <vt:lpwstr>_Toc119068089</vt:lpwstr>
      </vt:variant>
      <vt:variant>
        <vt:i4>1441854</vt:i4>
      </vt:variant>
      <vt:variant>
        <vt:i4>158</vt:i4>
      </vt:variant>
      <vt:variant>
        <vt:i4>0</vt:i4>
      </vt:variant>
      <vt:variant>
        <vt:i4>5</vt:i4>
      </vt:variant>
      <vt:variant>
        <vt:lpwstr/>
      </vt:variant>
      <vt:variant>
        <vt:lpwstr>_Toc119068088</vt:lpwstr>
      </vt:variant>
      <vt:variant>
        <vt:i4>1441854</vt:i4>
      </vt:variant>
      <vt:variant>
        <vt:i4>152</vt:i4>
      </vt:variant>
      <vt:variant>
        <vt:i4>0</vt:i4>
      </vt:variant>
      <vt:variant>
        <vt:i4>5</vt:i4>
      </vt:variant>
      <vt:variant>
        <vt:lpwstr/>
      </vt:variant>
      <vt:variant>
        <vt:lpwstr>_Toc119068087</vt:lpwstr>
      </vt:variant>
      <vt:variant>
        <vt:i4>1441854</vt:i4>
      </vt:variant>
      <vt:variant>
        <vt:i4>146</vt:i4>
      </vt:variant>
      <vt:variant>
        <vt:i4>0</vt:i4>
      </vt:variant>
      <vt:variant>
        <vt:i4>5</vt:i4>
      </vt:variant>
      <vt:variant>
        <vt:lpwstr/>
      </vt:variant>
      <vt:variant>
        <vt:lpwstr>_Toc119068086</vt:lpwstr>
      </vt:variant>
      <vt:variant>
        <vt:i4>1441854</vt:i4>
      </vt:variant>
      <vt:variant>
        <vt:i4>140</vt:i4>
      </vt:variant>
      <vt:variant>
        <vt:i4>0</vt:i4>
      </vt:variant>
      <vt:variant>
        <vt:i4>5</vt:i4>
      </vt:variant>
      <vt:variant>
        <vt:lpwstr/>
      </vt:variant>
      <vt:variant>
        <vt:lpwstr>_Toc119068085</vt:lpwstr>
      </vt:variant>
      <vt:variant>
        <vt:i4>1441854</vt:i4>
      </vt:variant>
      <vt:variant>
        <vt:i4>134</vt:i4>
      </vt:variant>
      <vt:variant>
        <vt:i4>0</vt:i4>
      </vt:variant>
      <vt:variant>
        <vt:i4>5</vt:i4>
      </vt:variant>
      <vt:variant>
        <vt:lpwstr/>
      </vt:variant>
      <vt:variant>
        <vt:lpwstr>_Toc119068084</vt:lpwstr>
      </vt:variant>
      <vt:variant>
        <vt:i4>1441854</vt:i4>
      </vt:variant>
      <vt:variant>
        <vt:i4>128</vt:i4>
      </vt:variant>
      <vt:variant>
        <vt:i4>0</vt:i4>
      </vt:variant>
      <vt:variant>
        <vt:i4>5</vt:i4>
      </vt:variant>
      <vt:variant>
        <vt:lpwstr/>
      </vt:variant>
      <vt:variant>
        <vt:lpwstr>_Toc119068083</vt:lpwstr>
      </vt:variant>
      <vt:variant>
        <vt:i4>1441854</vt:i4>
      </vt:variant>
      <vt:variant>
        <vt:i4>122</vt:i4>
      </vt:variant>
      <vt:variant>
        <vt:i4>0</vt:i4>
      </vt:variant>
      <vt:variant>
        <vt:i4>5</vt:i4>
      </vt:variant>
      <vt:variant>
        <vt:lpwstr/>
      </vt:variant>
      <vt:variant>
        <vt:lpwstr>_Toc119068082</vt:lpwstr>
      </vt:variant>
      <vt:variant>
        <vt:i4>1441854</vt:i4>
      </vt:variant>
      <vt:variant>
        <vt:i4>116</vt:i4>
      </vt:variant>
      <vt:variant>
        <vt:i4>0</vt:i4>
      </vt:variant>
      <vt:variant>
        <vt:i4>5</vt:i4>
      </vt:variant>
      <vt:variant>
        <vt:lpwstr/>
      </vt:variant>
      <vt:variant>
        <vt:lpwstr>_Toc119068081</vt:lpwstr>
      </vt:variant>
      <vt:variant>
        <vt:i4>1638462</vt:i4>
      </vt:variant>
      <vt:variant>
        <vt:i4>110</vt:i4>
      </vt:variant>
      <vt:variant>
        <vt:i4>0</vt:i4>
      </vt:variant>
      <vt:variant>
        <vt:i4>5</vt:i4>
      </vt:variant>
      <vt:variant>
        <vt:lpwstr/>
      </vt:variant>
      <vt:variant>
        <vt:lpwstr>_Toc119068079</vt:lpwstr>
      </vt:variant>
      <vt:variant>
        <vt:i4>1638462</vt:i4>
      </vt:variant>
      <vt:variant>
        <vt:i4>104</vt:i4>
      </vt:variant>
      <vt:variant>
        <vt:i4>0</vt:i4>
      </vt:variant>
      <vt:variant>
        <vt:i4>5</vt:i4>
      </vt:variant>
      <vt:variant>
        <vt:lpwstr/>
      </vt:variant>
      <vt:variant>
        <vt:lpwstr>_Toc119068077</vt:lpwstr>
      </vt:variant>
      <vt:variant>
        <vt:i4>1638462</vt:i4>
      </vt:variant>
      <vt:variant>
        <vt:i4>98</vt:i4>
      </vt:variant>
      <vt:variant>
        <vt:i4>0</vt:i4>
      </vt:variant>
      <vt:variant>
        <vt:i4>5</vt:i4>
      </vt:variant>
      <vt:variant>
        <vt:lpwstr/>
      </vt:variant>
      <vt:variant>
        <vt:lpwstr>_Toc119068076</vt:lpwstr>
      </vt:variant>
      <vt:variant>
        <vt:i4>1638462</vt:i4>
      </vt:variant>
      <vt:variant>
        <vt:i4>92</vt:i4>
      </vt:variant>
      <vt:variant>
        <vt:i4>0</vt:i4>
      </vt:variant>
      <vt:variant>
        <vt:i4>5</vt:i4>
      </vt:variant>
      <vt:variant>
        <vt:lpwstr/>
      </vt:variant>
      <vt:variant>
        <vt:lpwstr>_Toc119068075</vt:lpwstr>
      </vt:variant>
      <vt:variant>
        <vt:i4>1638462</vt:i4>
      </vt:variant>
      <vt:variant>
        <vt:i4>86</vt:i4>
      </vt:variant>
      <vt:variant>
        <vt:i4>0</vt:i4>
      </vt:variant>
      <vt:variant>
        <vt:i4>5</vt:i4>
      </vt:variant>
      <vt:variant>
        <vt:lpwstr/>
      </vt:variant>
      <vt:variant>
        <vt:lpwstr>_Toc119068074</vt:lpwstr>
      </vt:variant>
      <vt:variant>
        <vt:i4>1638462</vt:i4>
      </vt:variant>
      <vt:variant>
        <vt:i4>80</vt:i4>
      </vt:variant>
      <vt:variant>
        <vt:i4>0</vt:i4>
      </vt:variant>
      <vt:variant>
        <vt:i4>5</vt:i4>
      </vt:variant>
      <vt:variant>
        <vt:lpwstr/>
      </vt:variant>
      <vt:variant>
        <vt:lpwstr>_Toc119068073</vt:lpwstr>
      </vt:variant>
      <vt:variant>
        <vt:i4>1638462</vt:i4>
      </vt:variant>
      <vt:variant>
        <vt:i4>74</vt:i4>
      </vt:variant>
      <vt:variant>
        <vt:i4>0</vt:i4>
      </vt:variant>
      <vt:variant>
        <vt:i4>5</vt:i4>
      </vt:variant>
      <vt:variant>
        <vt:lpwstr/>
      </vt:variant>
      <vt:variant>
        <vt:lpwstr>_Toc119068072</vt:lpwstr>
      </vt:variant>
      <vt:variant>
        <vt:i4>1638462</vt:i4>
      </vt:variant>
      <vt:variant>
        <vt:i4>68</vt:i4>
      </vt:variant>
      <vt:variant>
        <vt:i4>0</vt:i4>
      </vt:variant>
      <vt:variant>
        <vt:i4>5</vt:i4>
      </vt:variant>
      <vt:variant>
        <vt:lpwstr/>
      </vt:variant>
      <vt:variant>
        <vt:lpwstr>_Toc119068071</vt:lpwstr>
      </vt:variant>
      <vt:variant>
        <vt:i4>1572926</vt:i4>
      </vt:variant>
      <vt:variant>
        <vt:i4>62</vt:i4>
      </vt:variant>
      <vt:variant>
        <vt:i4>0</vt:i4>
      </vt:variant>
      <vt:variant>
        <vt:i4>5</vt:i4>
      </vt:variant>
      <vt:variant>
        <vt:lpwstr/>
      </vt:variant>
      <vt:variant>
        <vt:lpwstr>_Toc119068069</vt:lpwstr>
      </vt:variant>
      <vt:variant>
        <vt:i4>1572926</vt:i4>
      </vt:variant>
      <vt:variant>
        <vt:i4>56</vt:i4>
      </vt:variant>
      <vt:variant>
        <vt:i4>0</vt:i4>
      </vt:variant>
      <vt:variant>
        <vt:i4>5</vt:i4>
      </vt:variant>
      <vt:variant>
        <vt:lpwstr/>
      </vt:variant>
      <vt:variant>
        <vt:lpwstr>_Toc119068068</vt:lpwstr>
      </vt:variant>
      <vt:variant>
        <vt:i4>1572926</vt:i4>
      </vt:variant>
      <vt:variant>
        <vt:i4>50</vt:i4>
      </vt:variant>
      <vt:variant>
        <vt:i4>0</vt:i4>
      </vt:variant>
      <vt:variant>
        <vt:i4>5</vt:i4>
      </vt:variant>
      <vt:variant>
        <vt:lpwstr/>
      </vt:variant>
      <vt:variant>
        <vt:lpwstr>_Toc119068067</vt:lpwstr>
      </vt:variant>
      <vt:variant>
        <vt:i4>1572926</vt:i4>
      </vt:variant>
      <vt:variant>
        <vt:i4>44</vt:i4>
      </vt:variant>
      <vt:variant>
        <vt:i4>0</vt:i4>
      </vt:variant>
      <vt:variant>
        <vt:i4>5</vt:i4>
      </vt:variant>
      <vt:variant>
        <vt:lpwstr/>
      </vt:variant>
      <vt:variant>
        <vt:lpwstr>_Toc119068066</vt:lpwstr>
      </vt:variant>
      <vt:variant>
        <vt:i4>1572926</vt:i4>
      </vt:variant>
      <vt:variant>
        <vt:i4>38</vt:i4>
      </vt:variant>
      <vt:variant>
        <vt:i4>0</vt:i4>
      </vt:variant>
      <vt:variant>
        <vt:i4>5</vt:i4>
      </vt:variant>
      <vt:variant>
        <vt:lpwstr/>
      </vt:variant>
      <vt:variant>
        <vt:lpwstr>_Toc119068065</vt:lpwstr>
      </vt:variant>
      <vt:variant>
        <vt:i4>1572926</vt:i4>
      </vt:variant>
      <vt:variant>
        <vt:i4>32</vt:i4>
      </vt:variant>
      <vt:variant>
        <vt:i4>0</vt:i4>
      </vt:variant>
      <vt:variant>
        <vt:i4>5</vt:i4>
      </vt:variant>
      <vt:variant>
        <vt:lpwstr/>
      </vt:variant>
      <vt:variant>
        <vt:lpwstr>_Toc119068064</vt:lpwstr>
      </vt:variant>
      <vt:variant>
        <vt:i4>1572926</vt:i4>
      </vt:variant>
      <vt:variant>
        <vt:i4>26</vt:i4>
      </vt:variant>
      <vt:variant>
        <vt:i4>0</vt:i4>
      </vt:variant>
      <vt:variant>
        <vt:i4>5</vt:i4>
      </vt:variant>
      <vt:variant>
        <vt:lpwstr/>
      </vt:variant>
      <vt:variant>
        <vt:lpwstr>_Toc119068063</vt:lpwstr>
      </vt:variant>
      <vt:variant>
        <vt:i4>1572926</vt:i4>
      </vt:variant>
      <vt:variant>
        <vt:i4>20</vt:i4>
      </vt:variant>
      <vt:variant>
        <vt:i4>0</vt:i4>
      </vt:variant>
      <vt:variant>
        <vt:i4>5</vt:i4>
      </vt:variant>
      <vt:variant>
        <vt:lpwstr/>
      </vt:variant>
      <vt:variant>
        <vt:lpwstr>_Toc119068061</vt:lpwstr>
      </vt:variant>
      <vt:variant>
        <vt:i4>1572926</vt:i4>
      </vt:variant>
      <vt:variant>
        <vt:i4>14</vt:i4>
      </vt:variant>
      <vt:variant>
        <vt:i4>0</vt:i4>
      </vt:variant>
      <vt:variant>
        <vt:i4>5</vt:i4>
      </vt:variant>
      <vt:variant>
        <vt:lpwstr/>
      </vt:variant>
      <vt:variant>
        <vt:lpwstr>_Toc119068060</vt:lpwstr>
      </vt:variant>
      <vt:variant>
        <vt:i4>1769534</vt:i4>
      </vt:variant>
      <vt:variant>
        <vt:i4>8</vt:i4>
      </vt:variant>
      <vt:variant>
        <vt:i4>0</vt:i4>
      </vt:variant>
      <vt:variant>
        <vt:i4>5</vt:i4>
      </vt:variant>
      <vt:variant>
        <vt:lpwstr/>
      </vt:variant>
      <vt:variant>
        <vt:lpwstr>_Toc119068059</vt:lpwstr>
      </vt:variant>
      <vt:variant>
        <vt:i4>2556013</vt:i4>
      </vt:variant>
      <vt:variant>
        <vt:i4>3</vt:i4>
      </vt:variant>
      <vt:variant>
        <vt:i4>0</vt:i4>
      </vt:variant>
      <vt:variant>
        <vt:i4>5</vt:i4>
      </vt:variant>
      <vt:variant>
        <vt:lpwstr>http://contactscotland-bsl.org/</vt:lpwstr>
      </vt:variant>
      <vt:variant>
        <vt:lpwstr/>
      </vt:variant>
      <vt:variant>
        <vt:i4>3539032</vt:i4>
      </vt:variant>
      <vt:variant>
        <vt:i4>0</vt:i4>
      </vt:variant>
      <vt:variant>
        <vt:i4>0</vt:i4>
      </vt:variant>
      <vt:variant>
        <vt:i4>5</vt:i4>
      </vt:variant>
      <vt:variant>
        <vt:lpwstr>mailto:equalities@sepa.org.uk</vt:lpwstr>
      </vt:variant>
      <vt:variant>
        <vt:lpwstr/>
      </vt:variant>
      <vt:variant>
        <vt:i4>8257573</vt:i4>
      </vt:variant>
      <vt:variant>
        <vt:i4>6</vt:i4>
      </vt:variant>
      <vt:variant>
        <vt:i4>0</vt:i4>
      </vt:variant>
      <vt:variant>
        <vt:i4>5</vt:i4>
      </vt:variant>
      <vt:variant>
        <vt:lpwstr>https://rmets.onlinelibrary.wiley.com/doi/10.1002/JOC.7787</vt:lpwstr>
      </vt:variant>
      <vt:variant>
        <vt:lpwstr/>
      </vt:variant>
      <vt:variant>
        <vt:i4>1900566</vt:i4>
      </vt:variant>
      <vt:variant>
        <vt:i4>3</vt:i4>
      </vt:variant>
      <vt:variant>
        <vt:i4>0</vt:i4>
      </vt:variant>
      <vt:variant>
        <vt:i4>5</vt:i4>
      </vt:variant>
      <vt:variant>
        <vt:lpwstr>https://media.sepa.org.uk/media-releases/2021/sepa-engages-innovative-modelling-techniques-to-help-scotland-better-prepare-for-future-increased-flooding.aspx</vt:lpwstr>
      </vt:variant>
      <vt:variant>
        <vt:lpwstr/>
      </vt:variant>
      <vt:variant>
        <vt:i4>7077938</vt:i4>
      </vt:variant>
      <vt:variant>
        <vt:i4>0</vt:i4>
      </vt:variant>
      <vt:variant>
        <vt:i4>0</vt:i4>
      </vt:variant>
      <vt:variant>
        <vt:i4>5</vt:i4>
      </vt:variant>
      <vt:variant>
        <vt:lpwstr>https://www.sepa.org.uk/about-us/how-we-work/our-board/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dc:title>
  <dc:subject/>
  <dc:creator>Philip.Graves</dc:creator>
  <cp:keywords/>
  <dc:description/>
  <cp:lastModifiedBy>Howatson, Rachel</cp:lastModifiedBy>
  <cp:revision>2</cp:revision>
  <cp:lastPrinted>2022-11-18T15:55:00Z</cp:lastPrinted>
  <dcterms:created xsi:type="dcterms:W3CDTF">2026-07-24T11:23:00Z</dcterms:created>
  <dcterms:modified xsi:type="dcterms:W3CDTF">2026-07-24T11:23:00Z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2022-11-30T12:28:58Z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0d4b75ec-a2c7-41e5-8fb3-a0c0a3b0d0ea</vt:lpwstr>
  </property>
  <property fmtid="{D5CDD505-2E9C-101B-9397-08002B2CF9AE}" pid="8" name="MSIP_Label_ea4fd52f-9814-4cae-aa53-0ea7b16cd381_ContentBits">
    <vt:lpwstr>3</vt:lpwstr>
  </property>
  <property fmtid="{D5CDD505-2E9C-101B-9397-08002B2CF9AE}" pid="9" name="ContentTypeId">
    <vt:lpwstr>0x010100BCE5B63E53986445AFAE34022A166A94</vt:lpwstr>
  </property>
</Properties>
</file>