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DF2C0" w14:textId="587CEEB9" w:rsidR="007C5E0E" w:rsidRDefault="006F7EBC" w:rsidP="00625167">
      <w:pPr>
        <w:pStyle w:val="BodyText1"/>
        <w:rPr>
          <w:rFonts w:eastAsia="Times New Roman"/>
        </w:rPr>
      </w:pPr>
      <w:bookmarkStart w:id="0" w:name="_Hlk135311663"/>
      <w:r>
        <w:rPr>
          <w:noProof/>
        </w:rPr>
        <w:drawing>
          <wp:anchor distT="0" distB="0" distL="114300" distR="114300" simplePos="0" relativeHeight="251662337" behindDoc="1" locked="0" layoutInCell="1" allowOverlap="1" wp14:anchorId="2F890B4D" wp14:editId="4BDF1509">
            <wp:simplePos x="0" y="0"/>
            <wp:positionH relativeFrom="page">
              <wp:align>right</wp:align>
            </wp:positionH>
            <wp:positionV relativeFrom="paragraph">
              <wp:posOffset>-678815</wp:posOffset>
            </wp:positionV>
            <wp:extent cx="7559645" cy="10881995"/>
            <wp:effectExtent l="0" t="0" r="3810" b="0"/>
            <wp:wrapNone/>
            <wp:docPr id="1196725000" name="Picture 11967250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81995"/>
                    </a:xfrm>
                    <a:prstGeom prst="rect">
                      <a:avLst/>
                    </a:prstGeom>
                  </pic:spPr>
                </pic:pic>
              </a:graphicData>
            </a:graphic>
            <wp14:sizeRelH relativeFrom="page">
              <wp14:pctWidth>0</wp14:pctWidth>
            </wp14:sizeRelH>
            <wp14:sizeRelV relativeFrom="page">
              <wp14:pctHeight>0</wp14:pctHeight>
            </wp14:sizeRelV>
          </wp:anchor>
        </w:drawing>
      </w:r>
    </w:p>
    <w:p w14:paraId="79CE3A92" w14:textId="2AFB8611" w:rsidR="007C5E0E" w:rsidRDefault="006F7EBC" w:rsidP="00625167">
      <w:pPr>
        <w:pStyle w:val="BodyText1"/>
        <w:rPr>
          <w:rFonts w:eastAsia="Times New Roman"/>
        </w:rPr>
      </w:pPr>
      <w:r>
        <w:rPr>
          <w:noProof/>
        </w:rPr>
        <w:drawing>
          <wp:inline distT="0" distB="0" distL="0" distR="0" wp14:anchorId="0E5314C4" wp14:editId="24506DD5">
            <wp:extent cx="3194973" cy="803275"/>
            <wp:effectExtent l="0" t="0" r="5715" b="0"/>
            <wp:docPr id="1996581281" name="Picture 19965812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4E77FCC0" w14:textId="7CD79252" w:rsidR="007C5E0E" w:rsidRDefault="007C5E0E" w:rsidP="00625167">
      <w:pPr>
        <w:pStyle w:val="BodyText1"/>
        <w:rPr>
          <w:rFonts w:eastAsia="Times New Roman"/>
        </w:rPr>
      </w:pPr>
    </w:p>
    <w:p w14:paraId="5B6519CE" w14:textId="0FE3CD72" w:rsidR="007C5E0E" w:rsidRDefault="007C5E0E" w:rsidP="00625167">
      <w:pPr>
        <w:pStyle w:val="BodyText1"/>
        <w:rPr>
          <w:rFonts w:eastAsia="Times New Roman"/>
        </w:rPr>
      </w:pPr>
    </w:p>
    <w:bookmarkEnd w:id="0"/>
    <w:p w14:paraId="5AE04254" w14:textId="77777777" w:rsidR="006F7EBC" w:rsidRDefault="006F7EBC" w:rsidP="006F7EBC">
      <w:pPr>
        <w:rPr>
          <w:b/>
          <w:bCs/>
          <w:color w:val="FFFFFF" w:themeColor="background1"/>
          <w:sz w:val="84"/>
          <w:szCs w:val="84"/>
        </w:rPr>
      </w:pPr>
      <w:r>
        <w:rPr>
          <w:noProof/>
        </w:rPr>
        <mc:AlternateContent>
          <mc:Choice Requires="wps">
            <w:drawing>
              <wp:anchor distT="0" distB="0" distL="114300" distR="114300" simplePos="0" relativeHeight="251665409" behindDoc="0" locked="1" layoutInCell="1" allowOverlap="1" wp14:anchorId="63B48BFF" wp14:editId="206B9240">
                <wp:simplePos x="0" y="0"/>
                <wp:positionH relativeFrom="margin">
                  <wp:align>left</wp:align>
                </wp:positionH>
                <wp:positionV relativeFrom="paragraph">
                  <wp:posOffset>7433310</wp:posOffset>
                </wp:positionV>
                <wp:extent cx="1800225" cy="666750"/>
                <wp:effectExtent l="0" t="0" r="9525" b="0"/>
                <wp:wrapNone/>
                <wp:docPr id="1650468248" name="Text Box 16504682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00225" cy="666750"/>
                        </a:xfrm>
                        <a:prstGeom prst="rect">
                          <a:avLst/>
                        </a:prstGeom>
                        <a:noFill/>
                        <a:ln w="6350">
                          <a:noFill/>
                        </a:ln>
                      </wps:spPr>
                      <wps:txbx>
                        <w:txbxContent>
                          <w:p w14:paraId="30D19A9D" w14:textId="77777777" w:rsidR="006F7EBC" w:rsidRPr="00507E2D" w:rsidRDefault="006F7EBC" w:rsidP="006F7EBC">
                            <w:pPr>
                              <w:rPr>
                                <w:color w:val="FFFFFF" w:themeColor="background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B48BFF" id="_x0000_t202" coordsize="21600,21600" o:spt="202" path="m,l,21600r21600,l21600,xe">
                <v:stroke joinstyle="miter"/>
                <v:path gradientshapeok="t" o:connecttype="rect"/>
              </v:shapetype>
              <v:shape id="Text Box 1650468248" o:spid="_x0000_s1026" type="#_x0000_t202" alt="&quot;&quot;" style="position:absolute;margin-left:0;margin-top:585.3pt;width:141.75pt;height:52.5pt;z-index:25166540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" filled="f" stroked="f" strokeweight=".5pt">
                <v:textbox inset="0,0,0,0">
                  <w:txbxContent>
                    <w:p w14:paraId="30D19A9D" w14:textId="77777777" w:rsidR="006F7EBC" w:rsidRPr="00507E2D" w:rsidRDefault="006F7EBC" w:rsidP="006F7EBC">
                      <w:pPr>
                        <w:rPr>
                          <w:color w:val="FFFFFF" w:themeColor="background1"/>
                        </w:rPr>
                      </w:pPr>
                    </w:p>
                  </w:txbxContent>
                </v:textbox>
                <w10:wrap anchorx="margin"/>
                <w10:anchorlock/>
              </v:shape>
            </w:pict>
          </mc:Fallback>
        </mc:AlternateContent>
      </w:r>
      <w:r>
        <w:rPr>
          <w:b/>
          <w:bCs/>
          <w:color w:val="FFFFFF" w:themeColor="background1"/>
          <w:sz w:val="84"/>
          <w:szCs w:val="84"/>
        </w:rPr>
        <w:t>SEPA Guidance:</w:t>
      </w:r>
    </w:p>
    <w:p w14:paraId="685D7092" w14:textId="18FFE1D5" w:rsidR="006F7EBC" w:rsidRPr="00CF7EFB" w:rsidRDefault="006F7EBC" w:rsidP="006F7EBC">
      <w:pPr>
        <w:rPr>
          <w:b/>
          <w:bCs/>
          <w:color w:val="FFFFFF" w:themeColor="background1"/>
          <w:sz w:val="84"/>
          <w:szCs w:val="84"/>
        </w:rPr>
      </w:pPr>
      <w:r>
        <w:rPr>
          <w:noProof/>
        </w:rPr>
        <mc:AlternateContent>
          <mc:Choice Requires="wps">
            <w:drawing>
              <wp:anchor distT="0" distB="0" distL="114300" distR="114300" simplePos="0" relativeHeight="251664385" behindDoc="0" locked="1" layoutInCell="1" allowOverlap="1" wp14:anchorId="59D66835" wp14:editId="1168939F">
                <wp:simplePos x="0" y="0"/>
                <wp:positionH relativeFrom="column">
                  <wp:posOffset>295910</wp:posOffset>
                </wp:positionH>
                <wp:positionV relativeFrom="paragraph">
                  <wp:posOffset>7852410</wp:posOffset>
                </wp:positionV>
                <wp:extent cx="4308475" cy="247650"/>
                <wp:effectExtent l="0" t="0" r="0" b="0"/>
                <wp:wrapNone/>
                <wp:docPr id="975934561" name="Text Box 9759345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247650"/>
                        </a:xfrm>
                        <a:prstGeom prst="rect">
                          <a:avLst/>
                        </a:prstGeom>
                        <a:noFill/>
                        <a:ln w="6350">
                          <a:noFill/>
                        </a:ln>
                      </wps:spPr>
                      <wps:txbx>
                        <w:txbxContent>
                          <w:p w14:paraId="742537BF" w14:textId="77777777" w:rsidR="006F7EBC" w:rsidRDefault="006F7EBC" w:rsidP="006F7EBC">
                            <w:pPr>
                              <w:rPr>
                                <w:color w:val="FFFFFF" w:themeColor="background1"/>
                              </w:rPr>
                            </w:pPr>
                            <w:r w:rsidRPr="009A240D">
                              <w:rPr>
                                <w:color w:val="FFFFFF" w:themeColor="background1"/>
                              </w:rPr>
                              <w:t>Re</w:t>
                            </w:r>
                            <w:r w:rsidRPr="007C5E0E">
                              <w:rPr>
                                <w:color w:val="FFFFFF" w:themeColor="background1"/>
                              </w:rPr>
                              <w:t xml:space="preserve"> </w:t>
                            </w:r>
                            <w:r>
                              <w:rPr>
                                <w:color w:val="FFFFFF" w:themeColor="background1"/>
                              </w:rPr>
                              <w:t>Version 2:0: August 2025</w:t>
                            </w:r>
                          </w:p>
                          <w:p w14:paraId="52D89BDD" w14:textId="77777777" w:rsidR="006F7EBC" w:rsidRPr="009A240D" w:rsidRDefault="006F7EBC" w:rsidP="006F7EBC">
                            <w:pPr>
                              <w:pStyle w:val="BodyText1"/>
                              <w:rPr>
                                <w:color w:val="FFFFFF" w:themeColor="background1"/>
                              </w:rPr>
                            </w:pPr>
                            <w:r w:rsidRPr="009A240D">
                              <w:rPr>
                                <w:color w:val="FFFFFF" w:themeColor="background1"/>
                              </w:rPr>
                              <w:t>port date here (month, year)&gt;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66835" id="Text Box 975934561" o:spid="_x0000_s1027" type="#_x0000_t202" alt="&quot;&quot;" style="position:absolute;margin-left:23.3pt;margin-top:618.3pt;width:339.25pt;height:19.5pt;z-index:251664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" filled="f" stroked="f" strokeweight=".5pt">
                <v:textbox inset="0,0,0,0">
                  <w:txbxContent>
                    <w:p w14:paraId="742537BF" w14:textId="77777777" w:rsidR="006F7EBC" w:rsidRDefault="006F7EBC" w:rsidP="006F7EBC">
                      <w:pPr>
                        <w:rPr>
                          <w:color w:val="FFFFFF" w:themeColor="background1"/>
                        </w:rPr>
                      </w:pPr>
                      <w:r w:rsidRPr="009A240D">
                        <w:rPr>
                          <w:color w:val="FFFFFF" w:themeColor="background1"/>
                        </w:rPr>
                        <w:t>Re</w:t>
                      </w:r>
                      <w:r w:rsidRPr="007C5E0E">
                        <w:rPr>
                          <w:color w:val="FFFFFF" w:themeColor="background1"/>
                        </w:rPr>
                        <w:t xml:space="preserve"> </w:t>
                      </w:r>
                      <w:r>
                        <w:rPr>
                          <w:color w:val="FFFFFF" w:themeColor="background1"/>
                        </w:rPr>
                        <w:t>Version 2:0: August 2025</w:t>
                      </w:r>
                    </w:p>
                    <w:p w14:paraId="52D89BDD" w14:textId="77777777" w:rsidR="006F7EBC" w:rsidRPr="009A240D" w:rsidRDefault="006F7EBC" w:rsidP="006F7EBC">
                      <w:pPr>
                        <w:pStyle w:val="BodyText1"/>
                        <w:rPr>
                          <w:color w:val="FFFFFF" w:themeColor="background1"/>
                        </w:rPr>
                      </w:pPr>
                      <w:r w:rsidRPr="009A240D">
                        <w:rPr>
                          <w:color w:val="FFFFFF" w:themeColor="background1"/>
                        </w:rPr>
                        <w:t>port date here (month, year)&gt;</w:t>
                      </w:r>
                    </w:p>
                  </w:txbxContent>
                </v:textbox>
                <w10:anchorlock/>
              </v:shape>
            </w:pict>
          </mc:Fallback>
        </mc:AlternateContent>
      </w:r>
      <w:r>
        <w:rPr>
          <w:b/>
          <w:bCs/>
          <w:color w:val="FFFFFF" w:themeColor="background1"/>
          <w:sz w:val="84"/>
          <w:szCs w:val="84"/>
        </w:rPr>
        <w:t xml:space="preserve">The disposal of </w:t>
      </w:r>
      <w:r w:rsidR="00D00ACB">
        <w:rPr>
          <w:b/>
          <w:bCs/>
          <w:color w:val="FFFFFF" w:themeColor="background1"/>
          <w:sz w:val="84"/>
          <w:szCs w:val="84"/>
        </w:rPr>
        <w:t>stable, non-reactive hazardous</w:t>
      </w:r>
      <w:r>
        <w:rPr>
          <w:b/>
          <w:bCs/>
          <w:color w:val="FFFFFF" w:themeColor="background1"/>
          <w:sz w:val="84"/>
          <w:szCs w:val="84"/>
        </w:rPr>
        <w:t xml:space="preserve"> wastes in non-hazardous waste landfills </w:t>
      </w:r>
    </w:p>
    <w:p w14:paraId="25785174" w14:textId="3CB4C0E1" w:rsidR="006F7EBC" w:rsidRDefault="006F7EBC" w:rsidP="00C114E4">
      <w:pPr>
        <w:jc w:val="both"/>
        <w:rPr>
          <w:rFonts w:ascii="Arial" w:hAnsi="Arial" w:cs="Arial"/>
          <w:b/>
          <w:bCs/>
          <w:sz w:val="32"/>
          <w:szCs w:val="32"/>
        </w:rPr>
      </w:pPr>
    </w:p>
    <w:p w14:paraId="1CEFFC7E" w14:textId="77777777" w:rsidR="006F7EBC" w:rsidRDefault="006F7EBC" w:rsidP="00C114E4">
      <w:pPr>
        <w:jc w:val="both"/>
        <w:rPr>
          <w:rFonts w:ascii="Arial" w:hAnsi="Arial" w:cs="Arial"/>
          <w:b/>
          <w:bCs/>
          <w:sz w:val="32"/>
          <w:szCs w:val="32"/>
        </w:rPr>
      </w:pPr>
    </w:p>
    <w:p w14:paraId="10937580" w14:textId="77777777" w:rsidR="006F7EBC" w:rsidRDefault="006F7EBC" w:rsidP="00C114E4">
      <w:pPr>
        <w:jc w:val="both"/>
        <w:rPr>
          <w:rFonts w:ascii="Arial" w:hAnsi="Arial" w:cs="Arial"/>
          <w:b/>
          <w:bCs/>
          <w:sz w:val="32"/>
          <w:szCs w:val="32"/>
        </w:rPr>
      </w:pPr>
    </w:p>
    <w:p w14:paraId="5F51AB9A" w14:textId="77777777" w:rsidR="006F7EBC" w:rsidRDefault="006F7EBC" w:rsidP="00C114E4">
      <w:pPr>
        <w:jc w:val="both"/>
        <w:rPr>
          <w:rFonts w:ascii="Arial" w:hAnsi="Arial" w:cs="Arial"/>
          <w:b/>
          <w:bCs/>
          <w:sz w:val="32"/>
          <w:szCs w:val="32"/>
        </w:rPr>
      </w:pPr>
    </w:p>
    <w:p w14:paraId="039EEE60" w14:textId="76F4B0A2" w:rsidR="006F7EBC" w:rsidRDefault="006F7EBC" w:rsidP="00C114E4">
      <w:pPr>
        <w:jc w:val="both"/>
        <w:rPr>
          <w:rFonts w:ascii="Arial" w:hAnsi="Arial" w:cs="Arial"/>
          <w:b/>
          <w:bCs/>
          <w:sz w:val="32"/>
          <w:szCs w:val="32"/>
        </w:rPr>
      </w:pPr>
    </w:p>
    <w:p w14:paraId="3AEA70E4" w14:textId="436B920E" w:rsidR="006F7EBC" w:rsidRDefault="006F7EBC" w:rsidP="00C114E4">
      <w:pPr>
        <w:jc w:val="both"/>
        <w:rPr>
          <w:rFonts w:ascii="Arial" w:hAnsi="Arial" w:cs="Arial"/>
          <w:b/>
          <w:bCs/>
          <w:sz w:val="32"/>
          <w:szCs w:val="32"/>
        </w:rPr>
      </w:pPr>
      <w:r>
        <w:rPr>
          <w:rFonts w:ascii="Arial" w:hAnsi="Arial" w:cs="Arial"/>
          <w:b/>
          <w:bCs/>
          <w:noProof/>
          <w:sz w:val="32"/>
          <w:szCs w:val="32"/>
        </w:rPr>
        <w:drawing>
          <wp:inline distT="0" distB="0" distL="0" distR="0" wp14:anchorId="10CEFA02" wp14:editId="6F59C6D0">
            <wp:extent cx="1809750" cy="666750"/>
            <wp:effectExtent l="0" t="0" r="0" b="0"/>
            <wp:docPr id="2075461387"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461387" name="Picture 1" descr="A black background with white tex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0" cy="666750"/>
                    </a:xfrm>
                    <a:prstGeom prst="rect">
                      <a:avLst/>
                    </a:prstGeom>
                    <a:noFill/>
                  </pic:spPr>
                </pic:pic>
              </a:graphicData>
            </a:graphic>
          </wp:inline>
        </w:drawing>
      </w:r>
    </w:p>
    <w:p w14:paraId="66D9B5AF" w14:textId="32816BC6" w:rsidR="00C114E4" w:rsidRPr="00656A80" w:rsidRDefault="00C114E4" w:rsidP="00656A80">
      <w:pPr>
        <w:rPr>
          <w:rFonts w:ascii="Arial" w:hAnsi="Arial" w:cs="Arial"/>
          <w:sz w:val="20"/>
          <w:szCs w:val="20"/>
        </w:rPr>
      </w:pPr>
      <w:r w:rsidRPr="00656A80">
        <w:rPr>
          <w:rFonts w:ascii="Arial" w:hAnsi="Arial" w:cs="Arial"/>
          <w:b/>
          <w:bCs/>
        </w:rPr>
        <w:lastRenderedPageBreak/>
        <w:t>This guidance has been updated to meet accessibility standards and to replace certain references to legislation with references to the Environmental Authorisations (Scotland) Regulations 2018.</w:t>
      </w:r>
      <w:r w:rsidR="006B2909" w:rsidRPr="00656A80">
        <w:rPr>
          <w:rFonts w:ascii="Arial" w:hAnsi="Arial" w:cs="Arial"/>
          <w:b/>
          <w:bCs/>
        </w:rPr>
        <w:t xml:space="preserve"> </w:t>
      </w:r>
      <w:r w:rsidRPr="00656A80">
        <w:rPr>
          <w:rFonts w:ascii="Arial" w:hAnsi="Arial" w:cs="Arial"/>
          <w:b/>
          <w:bCs/>
        </w:rPr>
        <w:t>It has not been reviewed beyond this.</w:t>
      </w:r>
      <w:r w:rsidR="006B2909" w:rsidRPr="00656A80">
        <w:rPr>
          <w:rFonts w:ascii="Arial" w:hAnsi="Arial" w:cs="Arial"/>
          <w:b/>
          <w:bCs/>
        </w:rPr>
        <w:t xml:space="preserve"> </w:t>
      </w:r>
      <w:r w:rsidRPr="00656A80">
        <w:rPr>
          <w:rFonts w:ascii="Arial" w:hAnsi="Arial" w:cs="Arial"/>
          <w:b/>
          <w:bCs/>
        </w:rPr>
        <w:t>We are aware that sections of this guidance may need to be updated, and this work will be completed in due course.</w:t>
      </w:r>
    </w:p>
    <w:p w14:paraId="5E6F620A" w14:textId="77777777" w:rsidR="0000543D" w:rsidRDefault="0000543D" w:rsidP="00755449">
      <w:pPr>
        <w:ind w:left="-5"/>
      </w:pPr>
    </w:p>
    <w:p w14:paraId="4F1616CE" w14:textId="77777777" w:rsidR="006A5F5E" w:rsidRDefault="006A5F5E" w:rsidP="00755449">
      <w:pPr>
        <w:ind w:left="-5"/>
      </w:pPr>
    </w:p>
    <w:p w14:paraId="203C1279" w14:textId="77777777" w:rsidR="00EF2A1C" w:rsidRDefault="006A5F5E" w:rsidP="006A5F5E">
      <w:pPr>
        <w:pStyle w:val="Heading1"/>
        <w:spacing w:after="120"/>
        <w:rPr>
          <w:noProof/>
        </w:rPr>
      </w:pPr>
      <w:bookmarkStart w:id="1" w:name="_Toc195080864"/>
      <w:bookmarkStart w:id="2" w:name="_Toc195081808"/>
      <w:bookmarkStart w:id="3" w:name="_Toc195082816"/>
      <w:bookmarkStart w:id="4" w:name="_Toc195085497"/>
      <w:bookmarkStart w:id="5" w:name="_Toc195090827"/>
      <w:bookmarkStart w:id="6" w:name="_Toc195511456"/>
      <w:bookmarkStart w:id="7" w:name="_Toc195511756"/>
      <w:bookmarkStart w:id="8" w:name="_Toc195528951"/>
      <w:bookmarkStart w:id="9" w:name="_Toc195530037"/>
      <w:r>
        <w:t>Contents</w:t>
      </w:r>
      <w:bookmarkEnd w:id="1"/>
      <w:bookmarkEnd w:id="2"/>
      <w:bookmarkEnd w:id="3"/>
      <w:bookmarkEnd w:id="4"/>
      <w:bookmarkEnd w:id="5"/>
      <w:bookmarkEnd w:id="6"/>
      <w:bookmarkEnd w:id="7"/>
      <w:bookmarkEnd w:id="8"/>
      <w:bookmarkEnd w:id="9"/>
      <w:r w:rsidRPr="00085D68">
        <w:rPr>
          <w:rFonts w:ascii="Arial" w:eastAsia="Arial" w:hAnsi="Arial" w:cs="Arial"/>
          <w:b w:val="0"/>
          <w:color w:val="000000"/>
          <w:kern w:val="2"/>
          <w:sz w:val="24"/>
          <w:szCs w:val="24"/>
          <w:lang w:eastAsia="en-GB"/>
          <w14:ligatures w14:val="standardContextual"/>
        </w:rPr>
        <w:fldChar w:fldCharType="begin"/>
      </w:r>
      <w:r w:rsidRPr="00085D68">
        <w:rPr>
          <w:sz w:val="24"/>
          <w:szCs w:val="24"/>
        </w:rPr>
        <w:instrText xml:space="preserve"> TOC \o "1-3" \h \z \u </w:instrText>
      </w:r>
      <w:r w:rsidRPr="00085D68">
        <w:rPr>
          <w:rFonts w:ascii="Arial" w:eastAsia="Arial" w:hAnsi="Arial" w:cs="Arial"/>
          <w:b w:val="0"/>
          <w:color w:val="000000"/>
          <w:kern w:val="2"/>
          <w:sz w:val="24"/>
          <w:szCs w:val="24"/>
          <w:lang w:eastAsia="en-GB"/>
          <w14:ligatures w14:val="standardContextual"/>
        </w:rPr>
        <w:fldChar w:fldCharType="separate"/>
      </w:r>
    </w:p>
    <w:p w14:paraId="3B9D7E14" w14:textId="770B35B2" w:rsidR="00EF2A1C" w:rsidRDefault="00EF2A1C">
      <w:pPr>
        <w:pStyle w:val="TOC1"/>
        <w:tabs>
          <w:tab w:val="right" w:leader="dot" w:pos="10212"/>
        </w:tabs>
        <w:rPr>
          <w:rFonts w:asciiTheme="minorHAnsi" w:eastAsiaTheme="minorEastAsia" w:hAnsiTheme="minorHAnsi" w:cstheme="minorBidi"/>
          <w:noProof/>
          <w:color w:val="auto"/>
          <w:sz w:val="24"/>
        </w:rPr>
      </w:pPr>
    </w:p>
    <w:p w14:paraId="23FAA21B" w14:textId="59E98EDA" w:rsidR="00EF2A1C" w:rsidRPr="00EF2A1C" w:rsidRDefault="00EF2A1C" w:rsidP="00EF2A1C">
      <w:pPr>
        <w:pStyle w:val="TOC1"/>
        <w:tabs>
          <w:tab w:val="left" w:pos="720"/>
          <w:tab w:val="right" w:leader="dot" w:pos="10212"/>
        </w:tabs>
        <w:spacing w:after="240" w:line="360" w:lineRule="auto"/>
        <w:rPr>
          <w:rFonts w:asciiTheme="minorHAnsi" w:eastAsiaTheme="minorEastAsia" w:hAnsiTheme="minorHAnsi" w:cstheme="minorBidi"/>
          <w:noProof/>
          <w:color w:val="auto"/>
          <w:sz w:val="24"/>
        </w:rPr>
      </w:pPr>
      <w:hyperlink w:anchor="_Toc195530038" w:history="1">
        <w:r w:rsidRPr="00EF2A1C">
          <w:rPr>
            <w:rStyle w:val="Hyperlink"/>
            <w:noProof/>
            <w:sz w:val="24"/>
          </w:rPr>
          <w:t xml:space="preserve">1.0 </w:t>
        </w:r>
        <w:r w:rsidRPr="00EF2A1C">
          <w:rPr>
            <w:rFonts w:asciiTheme="minorHAnsi" w:eastAsiaTheme="minorEastAsia" w:hAnsiTheme="minorHAnsi" w:cstheme="minorBidi"/>
            <w:noProof/>
            <w:color w:val="auto"/>
            <w:sz w:val="24"/>
          </w:rPr>
          <w:tab/>
        </w:r>
        <w:r w:rsidRPr="00EF2A1C">
          <w:rPr>
            <w:rStyle w:val="Hyperlink"/>
            <w:noProof/>
            <w:sz w:val="24"/>
          </w:rPr>
          <w:t>Background</w:t>
        </w:r>
        <w:r w:rsidRPr="00EF2A1C">
          <w:rPr>
            <w:noProof/>
            <w:webHidden/>
            <w:sz w:val="24"/>
          </w:rPr>
          <w:tab/>
        </w:r>
        <w:r w:rsidRPr="00EF2A1C">
          <w:rPr>
            <w:noProof/>
            <w:webHidden/>
            <w:sz w:val="24"/>
          </w:rPr>
          <w:fldChar w:fldCharType="begin"/>
        </w:r>
        <w:r w:rsidRPr="00EF2A1C">
          <w:rPr>
            <w:noProof/>
            <w:webHidden/>
            <w:sz w:val="24"/>
          </w:rPr>
          <w:instrText xml:space="preserve"> PAGEREF _Toc195530038 \h </w:instrText>
        </w:r>
        <w:r w:rsidRPr="00EF2A1C">
          <w:rPr>
            <w:noProof/>
            <w:webHidden/>
            <w:sz w:val="24"/>
          </w:rPr>
        </w:r>
        <w:r w:rsidRPr="00EF2A1C">
          <w:rPr>
            <w:noProof/>
            <w:webHidden/>
            <w:sz w:val="24"/>
          </w:rPr>
          <w:fldChar w:fldCharType="separate"/>
        </w:r>
        <w:r>
          <w:rPr>
            <w:noProof/>
            <w:webHidden/>
            <w:sz w:val="24"/>
          </w:rPr>
          <w:t>2</w:t>
        </w:r>
        <w:r w:rsidRPr="00EF2A1C">
          <w:rPr>
            <w:noProof/>
            <w:webHidden/>
            <w:sz w:val="24"/>
          </w:rPr>
          <w:fldChar w:fldCharType="end"/>
        </w:r>
      </w:hyperlink>
    </w:p>
    <w:p w14:paraId="61299B4E" w14:textId="35E7CA4B" w:rsidR="00EF2A1C" w:rsidRPr="00EF2A1C" w:rsidRDefault="00EF2A1C" w:rsidP="00EF2A1C">
      <w:pPr>
        <w:pStyle w:val="TOC1"/>
        <w:tabs>
          <w:tab w:val="left" w:pos="720"/>
          <w:tab w:val="right" w:leader="dot" w:pos="10212"/>
        </w:tabs>
        <w:spacing w:after="240" w:line="360" w:lineRule="auto"/>
        <w:rPr>
          <w:rFonts w:asciiTheme="minorHAnsi" w:eastAsiaTheme="minorEastAsia" w:hAnsiTheme="minorHAnsi" w:cstheme="minorBidi"/>
          <w:noProof/>
          <w:color w:val="auto"/>
          <w:sz w:val="24"/>
        </w:rPr>
      </w:pPr>
      <w:hyperlink w:anchor="_Toc195530039" w:history="1">
        <w:r w:rsidRPr="00EF2A1C">
          <w:rPr>
            <w:rStyle w:val="Hyperlink"/>
            <w:noProof/>
            <w:sz w:val="24"/>
          </w:rPr>
          <w:t xml:space="preserve">2.0 </w:t>
        </w:r>
        <w:r w:rsidRPr="00EF2A1C">
          <w:rPr>
            <w:rFonts w:asciiTheme="minorHAnsi" w:eastAsiaTheme="minorEastAsia" w:hAnsiTheme="minorHAnsi" w:cstheme="minorBidi"/>
            <w:noProof/>
            <w:color w:val="auto"/>
            <w:sz w:val="24"/>
          </w:rPr>
          <w:tab/>
        </w:r>
        <w:r w:rsidRPr="00EF2A1C">
          <w:rPr>
            <w:rStyle w:val="Hyperlink"/>
            <w:noProof/>
            <w:sz w:val="24"/>
          </w:rPr>
          <w:t>Stable, Non-Reactive Hazardous Wastes</w:t>
        </w:r>
        <w:r w:rsidRPr="00EF2A1C">
          <w:rPr>
            <w:noProof/>
            <w:webHidden/>
            <w:sz w:val="24"/>
          </w:rPr>
          <w:tab/>
        </w:r>
        <w:r w:rsidRPr="00EF2A1C">
          <w:rPr>
            <w:noProof/>
            <w:webHidden/>
            <w:sz w:val="24"/>
          </w:rPr>
          <w:fldChar w:fldCharType="begin"/>
        </w:r>
        <w:r w:rsidRPr="00EF2A1C">
          <w:rPr>
            <w:noProof/>
            <w:webHidden/>
            <w:sz w:val="24"/>
          </w:rPr>
          <w:instrText xml:space="preserve"> PAGEREF _Toc195530039 \h </w:instrText>
        </w:r>
        <w:r w:rsidRPr="00EF2A1C">
          <w:rPr>
            <w:noProof/>
            <w:webHidden/>
            <w:sz w:val="24"/>
          </w:rPr>
        </w:r>
        <w:r w:rsidRPr="00EF2A1C">
          <w:rPr>
            <w:noProof/>
            <w:webHidden/>
            <w:sz w:val="24"/>
          </w:rPr>
          <w:fldChar w:fldCharType="separate"/>
        </w:r>
        <w:r>
          <w:rPr>
            <w:noProof/>
            <w:webHidden/>
            <w:sz w:val="24"/>
          </w:rPr>
          <w:t>3</w:t>
        </w:r>
        <w:r w:rsidRPr="00EF2A1C">
          <w:rPr>
            <w:noProof/>
            <w:webHidden/>
            <w:sz w:val="24"/>
          </w:rPr>
          <w:fldChar w:fldCharType="end"/>
        </w:r>
      </w:hyperlink>
    </w:p>
    <w:p w14:paraId="1437F3B4" w14:textId="2F4E932F" w:rsidR="00EF2A1C" w:rsidRPr="00EF2A1C" w:rsidRDefault="00EF2A1C" w:rsidP="00EF2A1C">
      <w:pPr>
        <w:pStyle w:val="TOC2"/>
        <w:tabs>
          <w:tab w:val="left" w:pos="960"/>
          <w:tab w:val="right" w:leader="dot" w:pos="10212"/>
        </w:tabs>
        <w:spacing w:after="240"/>
        <w:rPr>
          <w:noProof/>
          <w:kern w:val="2"/>
          <w:lang w:eastAsia="en-GB"/>
          <w14:ligatures w14:val="standardContextual"/>
        </w:rPr>
      </w:pPr>
      <w:hyperlink w:anchor="_Toc195530040" w:history="1">
        <w:r w:rsidRPr="00EF2A1C">
          <w:rPr>
            <w:rStyle w:val="Hyperlink"/>
            <w:noProof/>
          </w:rPr>
          <w:t xml:space="preserve">2.1 </w:t>
        </w:r>
        <w:r w:rsidRPr="00EF2A1C">
          <w:rPr>
            <w:noProof/>
            <w:kern w:val="2"/>
            <w:lang w:eastAsia="en-GB"/>
            <w14:ligatures w14:val="standardContextual"/>
          </w:rPr>
          <w:tab/>
        </w:r>
        <w:r w:rsidRPr="00EF2A1C">
          <w:rPr>
            <w:rStyle w:val="Hyperlink"/>
            <w:noProof/>
          </w:rPr>
          <w:t>Separate Cell Requirements</w:t>
        </w:r>
        <w:r w:rsidRPr="00EF2A1C">
          <w:rPr>
            <w:noProof/>
            <w:webHidden/>
          </w:rPr>
          <w:tab/>
        </w:r>
        <w:r w:rsidRPr="00EF2A1C">
          <w:rPr>
            <w:noProof/>
            <w:webHidden/>
          </w:rPr>
          <w:fldChar w:fldCharType="begin"/>
        </w:r>
        <w:r w:rsidRPr="00EF2A1C">
          <w:rPr>
            <w:noProof/>
            <w:webHidden/>
          </w:rPr>
          <w:instrText xml:space="preserve"> PAGEREF _Toc195530040 \h </w:instrText>
        </w:r>
        <w:r w:rsidRPr="00EF2A1C">
          <w:rPr>
            <w:noProof/>
            <w:webHidden/>
          </w:rPr>
        </w:r>
        <w:r w:rsidRPr="00EF2A1C">
          <w:rPr>
            <w:noProof/>
            <w:webHidden/>
          </w:rPr>
          <w:fldChar w:fldCharType="separate"/>
        </w:r>
        <w:r>
          <w:rPr>
            <w:noProof/>
            <w:webHidden/>
          </w:rPr>
          <w:t>3</w:t>
        </w:r>
        <w:r w:rsidRPr="00EF2A1C">
          <w:rPr>
            <w:noProof/>
            <w:webHidden/>
          </w:rPr>
          <w:fldChar w:fldCharType="end"/>
        </w:r>
      </w:hyperlink>
    </w:p>
    <w:p w14:paraId="418CF73D" w14:textId="36218838" w:rsidR="00EF2A1C" w:rsidRPr="00EF2A1C" w:rsidRDefault="00EF2A1C" w:rsidP="00EF2A1C">
      <w:pPr>
        <w:pStyle w:val="TOC2"/>
        <w:tabs>
          <w:tab w:val="left" w:pos="960"/>
          <w:tab w:val="right" w:leader="dot" w:pos="10212"/>
        </w:tabs>
        <w:spacing w:after="240"/>
        <w:rPr>
          <w:noProof/>
          <w:kern w:val="2"/>
          <w:lang w:eastAsia="en-GB"/>
          <w14:ligatures w14:val="standardContextual"/>
        </w:rPr>
      </w:pPr>
      <w:hyperlink w:anchor="_Toc195530041" w:history="1">
        <w:r w:rsidRPr="00EF2A1C">
          <w:rPr>
            <w:rStyle w:val="Hyperlink"/>
            <w:noProof/>
          </w:rPr>
          <w:t xml:space="preserve">2.2 </w:t>
        </w:r>
        <w:r w:rsidRPr="00EF2A1C">
          <w:rPr>
            <w:noProof/>
            <w:kern w:val="2"/>
            <w:lang w:eastAsia="en-GB"/>
            <w14:ligatures w14:val="standardContextual"/>
          </w:rPr>
          <w:tab/>
        </w:r>
        <w:r w:rsidRPr="00EF2A1C">
          <w:rPr>
            <w:rStyle w:val="Hyperlink"/>
            <w:noProof/>
          </w:rPr>
          <w:t>Conclusions</w:t>
        </w:r>
        <w:r w:rsidRPr="00EF2A1C">
          <w:rPr>
            <w:noProof/>
            <w:webHidden/>
          </w:rPr>
          <w:tab/>
        </w:r>
        <w:r w:rsidRPr="00EF2A1C">
          <w:rPr>
            <w:noProof/>
            <w:webHidden/>
          </w:rPr>
          <w:fldChar w:fldCharType="begin"/>
        </w:r>
        <w:r w:rsidRPr="00EF2A1C">
          <w:rPr>
            <w:noProof/>
            <w:webHidden/>
          </w:rPr>
          <w:instrText xml:space="preserve"> PAGEREF _Toc195530041 \h </w:instrText>
        </w:r>
        <w:r w:rsidRPr="00EF2A1C">
          <w:rPr>
            <w:noProof/>
            <w:webHidden/>
          </w:rPr>
        </w:r>
        <w:r w:rsidRPr="00EF2A1C">
          <w:rPr>
            <w:noProof/>
            <w:webHidden/>
          </w:rPr>
          <w:fldChar w:fldCharType="separate"/>
        </w:r>
        <w:r>
          <w:rPr>
            <w:noProof/>
            <w:webHidden/>
          </w:rPr>
          <w:t>5</w:t>
        </w:r>
        <w:r w:rsidRPr="00EF2A1C">
          <w:rPr>
            <w:noProof/>
            <w:webHidden/>
          </w:rPr>
          <w:fldChar w:fldCharType="end"/>
        </w:r>
      </w:hyperlink>
    </w:p>
    <w:p w14:paraId="57F5B780" w14:textId="52BB2ABF" w:rsidR="00EF2A1C" w:rsidRPr="00EF2A1C" w:rsidRDefault="00EF2A1C" w:rsidP="00EF2A1C">
      <w:pPr>
        <w:pStyle w:val="TOC1"/>
        <w:tabs>
          <w:tab w:val="right" w:leader="dot" w:pos="10212"/>
        </w:tabs>
        <w:spacing w:after="240" w:line="360" w:lineRule="auto"/>
        <w:rPr>
          <w:rFonts w:asciiTheme="minorHAnsi" w:eastAsiaTheme="minorEastAsia" w:hAnsiTheme="minorHAnsi" w:cstheme="minorBidi"/>
          <w:noProof/>
          <w:color w:val="auto"/>
          <w:sz w:val="24"/>
        </w:rPr>
      </w:pPr>
      <w:hyperlink w:anchor="_Toc195530042" w:history="1">
        <w:r w:rsidRPr="00EF2A1C">
          <w:rPr>
            <w:rStyle w:val="Hyperlink"/>
            <w:noProof/>
            <w:sz w:val="24"/>
          </w:rPr>
          <w:t>Appendix 1</w:t>
        </w:r>
        <w:r w:rsidRPr="00EF2A1C">
          <w:rPr>
            <w:noProof/>
            <w:webHidden/>
            <w:sz w:val="24"/>
          </w:rPr>
          <w:tab/>
        </w:r>
        <w:r w:rsidRPr="00EF2A1C">
          <w:rPr>
            <w:noProof/>
            <w:webHidden/>
            <w:sz w:val="24"/>
          </w:rPr>
          <w:fldChar w:fldCharType="begin"/>
        </w:r>
        <w:r w:rsidRPr="00EF2A1C">
          <w:rPr>
            <w:noProof/>
            <w:webHidden/>
            <w:sz w:val="24"/>
          </w:rPr>
          <w:instrText xml:space="preserve"> PAGEREF _Toc195530042 \h </w:instrText>
        </w:r>
        <w:r w:rsidRPr="00EF2A1C">
          <w:rPr>
            <w:noProof/>
            <w:webHidden/>
            <w:sz w:val="24"/>
          </w:rPr>
        </w:r>
        <w:r w:rsidRPr="00EF2A1C">
          <w:rPr>
            <w:noProof/>
            <w:webHidden/>
            <w:sz w:val="24"/>
          </w:rPr>
          <w:fldChar w:fldCharType="separate"/>
        </w:r>
        <w:r>
          <w:rPr>
            <w:noProof/>
            <w:webHidden/>
            <w:sz w:val="24"/>
          </w:rPr>
          <w:t>6</w:t>
        </w:r>
        <w:r w:rsidRPr="00EF2A1C">
          <w:rPr>
            <w:noProof/>
            <w:webHidden/>
            <w:sz w:val="24"/>
          </w:rPr>
          <w:fldChar w:fldCharType="end"/>
        </w:r>
      </w:hyperlink>
    </w:p>
    <w:p w14:paraId="088D8943" w14:textId="763C014F" w:rsidR="00EF2A1C" w:rsidRDefault="00EF2A1C">
      <w:pPr>
        <w:pStyle w:val="TOC2"/>
        <w:tabs>
          <w:tab w:val="right" w:leader="dot" w:pos="10212"/>
        </w:tabs>
        <w:rPr>
          <w:noProof/>
          <w:kern w:val="2"/>
          <w:lang w:eastAsia="en-GB"/>
          <w14:ligatures w14:val="standardContextual"/>
        </w:rPr>
      </w:pPr>
    </w:p>
    <w:p w14:paraId="2ABE8EAC" w14:textId="3B4AEA21" w:rsidR="006A5F5E" w:rsidRDefault="006A5F5E" w:rsidP="00450F70">
      <w:pPr>
        <w:rPr>
          <w:b/>
          <w:bCs/>
          <w:noProof/>
        </w:rPr>
      </w:pPr>
      <w:r w:rsidRPr="00085D68">
        <w:rPr>
          <w:b/>
          <w:bCs/>
          <w:noProof/>
        </w:rPr>
        <w:fldChar w:fldCharType="end"/>
      </w:r>
    </w:p>
    <w:p w14:paraId="49F3453E" w14:textId="77777777" w:rsidR="006A5F5E" w:rsidRDefault="006A5F5E" w:rsidP="00450F70">
      <w:pPr>
        <w:rPr>
          <w:rFonts w:ascii="Arial" w:hAnsi="Arial" w:cs="Arial"/>
        </w:rPr>
      </w:pPr>
    </w:p>
    <w:p w14:paraId="74519FD9" w14:textId="77777777" w:rsidR="006A5F5E" w:rsidRDefault="006A5F5E" w:rsidP="00450F70">
      <w:pPr>
        <w:rPr>
          <w:rFonts w:ascii="Arial" w:hAnsi="Arial" w:cs="Arial"/>
        </w:rPr>
      </w:pPr>
    </w:p>
    <w:p w14:paraId="7A73E41B" w14:textId="07B63666" w:rsidR="00450F70" w:rsidRPr="006A5F5E" w:rsidRDefault="00450F70" w:rsidP="00450F70">
      <w:pPr>
        <w:rPr>
          <w:rFonts w:ascii="Arial" w:hAnsi="Arial" w:cs="Arial"/>
          <w:sz w:val="32"/>
          <w:szCs w:val="32"/>
        </w:rPr>
      </w:pPr>
      <w:r w:rsidRPr="006A5F5E">
        <w:rPr>
          <w:rFonts w:ascii="Arial" w:hAnsi="Arial" w:cs="Arial"/>
          <w:sz w:val="32"/>
          <w:szCs w:val="32"/>
        </w:rPr>
        <w:t>If you would like this document in an accessible format, such as large print, audio recording or braille, please contact SEPA by emailing </w:t>
      </w:r>
      <w:hyperlink r:id="rId14" w:tgtFrame="_blank" w:history="1">
        <w:r w:rsidRPr="006A5F5E">
          <w:rPr>
            <w:rStyle w:val="Hyperlink"/>
            <w:rFonts w:ascii="Arial" w:hAnsi="Arial" w:cs="Arial"/>
            <w:sz w:val="32"/>
            <w:szCs w:val="32"/>
          </w:rPr>
          <w:t>equalities@sepa.org.uk</w:t>
        </w:r>
      </w:hyperlink>
      <w:r w:rsidRPr="006A5F5E">
        <w:rPr>
          <w:rFonts w:ascii="Arial" w:hAnsi="Arial" w:cs="Arial"/>
          <w:sz w:val="32"/>
          <w:szCs w:val="32"/>
        </w:rPr>
        <w:t> </w:t>
      </w:r>
    </w:p>
    <w:p w14:paraId="064A3C74" w14:textId="77777777" w:rsidR="00C114E4" w:rsidRDefault="00C114E4" w:rsidP="00755449">
      <w:pPr>
        <w:ind w:left="-5"/>
      </w:pPr>
    </w:p>
    <w:p w14:paraId="143FE7AD" w14:textId="77777777" w:rsidR="000A0B1A" w:rsidRDefault="000A0B1A" w:rsidP="00755449">
      <w:pPr>
        <w:ind w:left="-5"/>
      </w:pPr>
    </w:p>
    <w:p w14:paraId="2050E40F" w14:textId="77777777" w:rsidR="000A0B1A" w:rsidRDefault="000A0B1A" w:rsidP="00755449">
      <w:pPr>
        <w:ind w:left="-5"/>
      </w:pPr>
    </w:p>
    <w:p w14:paraId="071C26DD" w14:textId="77777777" w:rsidR="000A0B1A" w:rsidRDefault="000A0B1A" w:rsidP="00755449">
      <w:pPr>
        <w:ind w:left="-5"/>
      </w:pPr>
    </w:p>
    <w:p w14:paraId="3A8C2543" w14:textId="77777777" w:rsidR="00187BDE" w:rsidRPr="00EF2A1C" w:rsidRDefault="00187BDE" w:rsidP="00EF2A1C">
      <w:pPr>
        <w:pStyle w:val="Heading1"/>
      </w:pPr>
      <w:bookmarkStart w:id="10" w:name="_Toc195530038"/>
      <w:r w:rsidRPr="00EF2A1C">
        <w:t xml:space="preserve">1.0 </w:t>
      </w:r>
      <w:r w:rsidRPr="00EF2A1C">
        <w:tab/>
        <w:t>Background</w:t>
      </w:r>
      <w:bookmarkEnd w:id="10"/>
      <w:r w:rsidRPr="00EF2A1C">
        <w:t xml:space="preserve"> </w:t>
      </w:r>
    </w:p>
    <w:p w14:paraId="6AE575C1" w14:textId="77777777" w:rsidR="00450F70" w:rsidRDefault="00450F70" w:rsidP="00755449">
      <w:pPr>
        <w:ind w:left="-5"/>
      </w:pPr>
    </w:p>
    <w:p w14:paraId="212CD432" w14:textId="4A892AF7" w:rsidR="00BD6891" w:rsidRDefault="00BD6891" w:rsidP="006A5F5E">
      <w:pPr>
        <w:spacing w:after="240"/>
        <w:ind w:left="-5"/>
      </w:pPr>
      <w:r>
        <w:lastRenderedPageBreak/>
        <w:t xml:space="preserve">The Landfill (Scotland) Regulations 2003, (Landfill Regulations), set out those wastes which may be accepted in the different classes of landfill. Landfills will be classified as </w:t>
      </w:r>
      <w:r>
        <w:rPr>
          <w:b/>
        </w:rPr>
        <w:t>Hazardous</w:t>
      </w:r>
      <w:r>
        <w:t xml:space="preserve">, </w:t>
      </w:r>
      <w:r>
        <w:rPr>
          <w:b/>
        </w:rPr>
        <w:t>Non-hazardous</w:t>
      </w:r>
      <w:r>
        <w:t xml:space="preserve"> or </w:t>
      </w:r>
      <w:r>
        <w:rPr>
          <w:b/>
        </w:rPr>
        <w:t>Inert.</w:t>
      </w:r>
      <w:r w:rsidR="006B2909">
        <w:rPr>
          <w:b/>
        </w:rPr>
        <w:t xml:space="preserve"> </w:t>
      </w:r>
      <w:r>
        <w:t xml:space="preserve">Regulation 12 (3) and (4), set out below, details the wastes that may be accepted in a landfill for non-hazardous waste: </w:t>
      </w:r>
    </w:p>
    <w:p w14:paraId="2FF26D2D" w14:textId="00CDCC38" w:rsidR="00BD6891" w:rsidRDefault="00BD6891" w:rsidP="006A5F5E">
      <w:pPr>
        <w:spacing w:after="240"/>
      </w:pPr>
      <w:r>
        <w:t xml:space="preserve"> 12. (3) The operator of a landfill for non-hazardous waste shall ensure the landfill is only used for landfilling –</w:t>
      </w:r>
      <w:r w:rsidR="006B2909">
        <w:t xml:space="preserve"> </w:t>
      </w:r>
    </w:p>
    <w:p w14:paraId="47E4260A" w14:textId="5699662C" w:rsidR="00BD6891" w:rsidRDefault="00BD6891" w:rsidP="006A5F5E">
      <w:pPr>
        <w:numPr>
          <w:ilvl w:val="0"/>
          <w:numId w:val="14"/>
        </w:numPr>
        <w:spacing w:after="240"/>
        <w:ind w:left="1560" w:hanging="310"/>
        <w:jc w:val="both"/>
      </w:pPr>
      <w:r>
        <w:t xml:space="preserve">municipal </w:t>
      </w:r>
      <w:proofErr w:type="gramStart"/>
      <w:r>
        <w:t>waste;</w:t>
      </w:r>
      <w:proofErr w:type="gramEnd"/>
      <w:r w:rsidR="006B2909">
        <w:t xml:space="preserve"> </w:t>
      </w:r>
    </w:p>
    <w:p w14:paraId="4B7C23FD" w14:textId="2C379989" w:rsidR="00BD6891" w:rsidRDefault="00BD6891" w:rsidP="006A5F5E">
      <w:pPr>
        <w:numPr>
          <w:ilvl w:val="0"/>
          <w:numId w:val="14"/>
        </w:numPr>
        <w:spacing w:after="240"/>
        <w:ind w:left="1560" w:hanging="310"/>
        <w:jc w:val="both"/>
      </w:pPr>
      <w:r>
        <w:t>non-hazardous waste of any other origin which fulfils the waste acceptance criteria in paragraphs 1 and 3(b) of Schedule 2; and</w:t>
      </w:r>
      <w:r w:rsidR="006B2909">
        <w:t xml:space="preserve"> </w:t>
      </w:r>
    </w:p>
    <w:p w14:paraId="0AFDBEE5" w14:textId="505B88FD" w:rsidR="00BD6891" w:rsidRDefault="00BD6891" w:rsidP="006A5F5E">
      <w:pPr>
        <w:numPr>
          <w:ilvl w:val="0"/>
          <w:numId w:val="14"/>
        </w:numPr>
        <w:spacing w:after="240"/>
        <w:ind w:left="1560" w:hanging="310"/>
        <w:jc w:val="both"/>
      </w:pPr>
      <w:r>
        <w:t>stable, non-reactive hazardous waste (such as that which is solidified with leaching behaviour equivalent to that of non-hazardous waste referred to in sub-paragraph (b) and which fulfils the waste acceptance criteria in paragraphs 1 and 3(a) of Schedule 2.</w:t>
      </w:r>
      <w:r w:rsidR="006B2909">
        <w:t xml:space="preserve"> </w:t>
      </w:r>
    </w:p>
    <w:p w14:paraId="439103C6" w14:textId="77777777" w:rsidR="00BD6891" w:rsidRDefault="00BD6891" w:rsidP="006A5F5E">
      <w:pPr>
        <w:spacing w:after="240"/>
        <w:ind w:left="142" w:right="702"/>
      </w:pPr>
      <w:r>
        <w:t xml:space="preserve">(4) Where hazardous waste of the type described in paragraph (3)(c) is disposed of at a landfill for non-hazardous waste, the operator shall ensure it is not deposited in cells used or intended to be used for the disposal of biodegradable non-hazardous waste. </w:t>
      </w:r>
    </w:p>
    <w:p w14:paraId="060BE3FD" w14:textId="77777777" w:rsidR="0018453B" w:rsidRDefault="0018453B" w:rsidP="0018453B">
      <w:pPr>
        <w:ind w:left="-5"/>
      </w:pPr>
      <w:r>
        <w:t xml:space="preserve">This document provides guidance on – </w:t>
      </w:r>
    </w:p>
    <w:p w14:paraId="11361151" w14:textId="77777777" w:rsidR="0018453B" w:rsidRDefault="0018453B" w:rsidP="0018453B">
      <w:pPr>
        <w:spacing w:line="259" w:lineRule="auto"/>
      </w:pPr>
      <w:r>
        <w:t xml:space="preserve"> </w:t>
      </w:r>
    </w:p>
    <w:p w14:paraId="624310F0" w14:textId="5BAA465E" w:rsidR="0018453B" w:rsidRDefault="0018453B" w:rsidP="0018453B">
      <w:pPr>
        <w:pStyle w:val="ListParagraph"/>
        <w:numPr>
          <w:ilvl w:val="0"/>
          <w:numId w:val="27"/>
        </w:numPr>
        <w:tabs>
          <w:tab w:val="center" w:pos="3715"/>
        </w:tabs>
        <w:ind w:left="1075"/>
      </w:pPr>
      <w:r>
        <w:t xml:space="preserve">The types of waste that can be accepted in the separate cells and, </w:t>
      </w:r>
    </w:p>
    <w:p w14:paraId="41EDB016" w14:textId="1B83CB85" w:rsidR="0018453B" w:rsidRDefault="0018453B" w:rsidP="0018453B">
      <w:pPr>
        <w:spacing w:line="259" w:lineRule="auto"/>
        <w:ind w:left="730" w:firstLine="70"/>
      </w:pPr>
    </w:p>
    <w:p w14:paraId="56892138" w14:textId="5FFC14BB" w:rsidR="0018453B" w:rsidRDefault="0018453B" w:rsidP="0018453B">
      <w:pPr>
        <w:pStyle w:val="ListParagraph"/>
        <w:numPr>
          <w:ilvl w:val="0"/>
          <w:numId w:val="27"/>
        </w:numPr>
        <w:ind w:left="1075"/>
      </w:pPr>
      <w:r>
        <w:t xml:space="preserve">The principles and degrees of separation required between cells accepting stable, non-hazardous wastes and biodegradable wastes. </w:t>
      </w:r>
    </w:p>
    <w:p w14:paraId="632A797D" w14:textId="77777777" w:rsidR="00E946F9" w:rsidRDefault="00E946F9" w:rsidP="00E946F9">
      <w:pPr>
        <w:ind w:left="142"/>
      </w:pPr>
    </w:p>
    <w:p w14:paraId="24EB4475" w14:textId="77777777" w:rsidR="00E946F9" w:rsidRDefault="00E946F9" w:rsidP="00E946F9">
      <w:pPr>
        <w:ind w:left="142"/>
      </w:pPr>
    </w:p>
    <w:p w14:paraId="5F6898FD" w14:textId="77777777" w:rsidR="00E946F9" w:rsidRDefault="00E946F9" w:rsidP="00E946F9">
      <w:pPr>
        <w:ind w:left="142"/>
      </w:pPr>
    </w:p>
    <w:p w14:paraId="0F28C352" w14:textId="77777777" w:rsidR="00E946F9" w:rsidRDefault="00E946F9" w:rsidP="00E946F9">
      <w:pPr>
        <w:ind w:left="142"/>
      </w:pPr>
    </w:p>
    <w:p w14:paraId="505DF48A" w14:textId="0967CCB5" w:rsidR="00475FDE" w:rsidRPr="00F236BF" w:rsidRDefault="00E946F9" w:rsidP="00EF2A1C">
      <w:pPr>
        <w:pStyle w:val="Heading1"/>
      </w:pPr>
      <w:r w:rsidRPr="00E946F9">
        <w:t xml:space="preserve"> </w:t>
      </w:r>
      <w:bookmarkStart w:id="11" w:name="_Toc195530039"/>
      <w:r w:rsidR="00475FDE" w:rsidRPr="00F236BF">
        <w:t xml:space="preserve">2.0 </w:t>
      </w:r>
      <w:r w:rsidR="00475FDE" w:rsidRPr="00F236BF">
        <w:tab/>
      </w:r>
      <w:r w:rsidR="00B56C15" w:rsidRPr="00B56C15">
        <w:t>Stable, Non-Reactive Hazardous Wastes</w:t>
      </w:r>
      <w:bookmarkEnd w:id="11"/>
    </w:p>
    <w:p w14:paraId="3F7B2288" w14:textId="77777777" w:rsidR="00475FDE" w:rsidRDefault="00475FDE" w:rsidP="006150F4">
      <w:r>
        <w:rPr>
          <w:b/>
        </w:rPr>
        <w:t xml:space="preserve"> </w:t>
      </w:r>
    </w:p>
    <w:p w14:paraId="772F6F5B" w14:textId="77777777" w:rsidR="00A125BE" w:rsidRDefault="00A125BE" w:rsidP="00A125BE">
      <w:r>
        <w:lastRenderedPageBreak/>
        <w:t xml:space="preserve">Stable, non-reactive hazardous wastes could potentially include a range of monolithic solidified wastes (wastes in large blocky forms such as those that have been mixed with cement or PFA) or granular solid wastes produced by a variety of treatment plants (such as filter cakes and treated fly ash), however, blanket classification of such waste types and the processes through which they have been treated is not possible and each waste stream will require to be individually assessed and a risk assessment conducted in light of the assessment and the intended landfill destination. </w:t>
      </w:r>
    </w:p>
    <w:p w14:paraId="71CFE686" w14:textId="77777777" w:rsidR="00A125BE" w:rsidRDefault="00A125BE" w:rsidP="00A125BE">
      <w:r>
        <w:t xml:space="preserve"> </w:t>
      </w:r>
    </w:p>
    <w:p w14:paraId="14254E66" w14:textId="77777777" w:rsidR="00A125BE" w:rsidRDefault="00A125BE" w:rsidP="00A125BE">
      <w:r>
        <w:t xml:space="preserve">The criteria detailed in Appendix 1 of this paper will be used as the reference upon which determinations may be made and conclusions reached on determining whether wastes are stable and non-reactive hazardous wastes and whether they may be accepted at non-hazardous landfills.   In the Annex to the Decision, limit values are laid down for hazardous and non-hazardous waste, which is landfilled in the same cell with stable, non-reactive hazardous waste. See Appendix 1 at the end of this document. </w:t>
      </w:r>
    </w:p>
    <w:p w14:paraId="5A0218C6" w14:textId="546A7C09" w:rsidR="00DA4CF8" w:rsidRDefault="00DA4CF8" w:rsidP="00A125BE">
      <w:r>
        <w:t xml:space="preserve"> </w:t>
      </w:r>
    </w:p>
    <w:p w14:paraId="1D7D47E3" w14:textId="1548A016" w:rsidR="00DA4CF8" w:rsidRPr="009C6C7D" w:rsidRDefault="00DA4CF8" w:rsidP="00A35EAC">
      <w:pPr>
        <w:pStyle w:val="Heading2"/>
      </w:pPr>
      <w:bookmarkStart w:id="12" w:name="_Toc195530040"/>
      <w:r w:rsidRPr="009C6C7D">
        <w:t xml:space="preserve">2.1 </w:t>
      </w:r>
      <w:r w:rsidRPr="009C6C7D">
        <w:tab/>
      </w:r>
      <w:r w:rsidR="00042CCE" w:rsidRPr="00042CCE">
        <w:t>Separate Cell Requirements</w:t>
      </w:r>
      <w:bookmarkEnd w:id="12"/>
      <w:r w:rsidRPr="009C6C7D">
        <w:t xml:space="preserve"> </w:t>
      </w:r>
    </w:p>
    <w:p w14:paraId="6A3B8EC7" w14:textId="77777777" w:rsidR="00DA4CF8" w:rsidRDefault="00DA4CF8" w:rsidP="006150F4">
      <w:r>
        <w:rPr>
          <w:b/>
        </w:rPr>
        <w:t xml:space="preserve"> </w:t>
      </w:r>
    </w:p>
    <w:p w14:paraId="00A9037A" w14:textId="77777777" w:rsidR="00AC3B68" w:rsidRDefault="00AC3B68" w:rsidP="00AC3B68">
      <w:r>
        <w:t xml:space="preserve">Regulation 12 (4) of the Landfill (Scotland) Regulations 2003 states: </w:t>
      </w:r>
    </w:p>
    <w:p w14:paraId="6EF716EA" w14:textId="77777777" w:rsidR="00AC3B68" w:rsidRDefault="00AC3B68" w:rsidP="00AC3B68">
      <w:r>
        <w:t xml:space="preserve"> </w:t>
      </w:r>
    </w:p>
    <w:p w14:paraId="183706AC" w14:textId="77777777" w:rsidR="00AC3B68" w:rsidRDefault="00AC3B68" w:rsidP="00AC3B68">
      <w:proofErr w:type="gramStart"/>
      <w:r>
        <w:t>“ (</w:t>
      </w:r>
      <w:proofErr w:type="gramEnd"/>
      <w:r>
        <w:t xml:space="preserve">4) Where hazardous waste of the type described in paragraph (3)(c) is disposed of at a landfill for non-hazardous waste, the operator shall ensure it is not deposited in cells used or intended to be used for the disposal of biodegradable non-hazardous waste.” </w:t>
      </w:r>
    </w:p>
    <w:p w14:paraId="2BC9D874" w14:textId="77777777" w:rsidR="00AC3B68" w:rsidRDefault="00AC3B68" w:rsidP="00AC3B68"/>
    <w:p w14:paraId="002A52A0" w14:textId="78A98C71" w:rsidR="00AC3B68" w:rsidRDefault="00AC3B68" w:rsidP="00AC3B68">
      <w:r>
        <w:t>The design and operation of the landfill and the means of cell separation should account for these principles for the long-term and should meet the requirements of the Landfill and Groundwater Directives.</w:t>
      </w:r>
    </w:p>
    <w:p w14:paraId="5BEF15BC" w14:textId="77777777" w:rsidR="00AC3B68" w:rsidRDefault="00AC3B68" w:rsidP="00AC3B68"/>
    <w:p w14:paraId="5933D31D" w14:textId="77777777" w:rsidR="00AC3B68" w:rsidRDefault="00AC3B68" w:rsidP="00AC3B68">
      <w:r>
        <w:t xml:space="preserve">SEPA considers that separation of cells should be achieved by construction of dedicated separating structures. </w:t>
      </w:r>
    </w:p>
    <w:p w14:paraId="4CF6C0B1" w14:textId="77777777" w:rsidR="00AC3B68" w:rsidRDefault="00AC3B68" w:rsidP="00AC3B68">
      <w:r>
        <w:t xml:space="preserve">SEPA considers there should be no interaction between the wastes in the separate cells and their respective management systems according to the following principles: </w:t>
      </w:r>
    </w:p>
    <w:p w14:paraId="314B1D98" w14:textId="77777777" w:rsidR="00AC3B68" w:rsidRDefault="00AC3B68" w:rsidP="00AC3B68">
      <w:r>
        <w:t xml:space="preserve"> </w:t>
      </w:r>
    </w:p>
    <w:p w14:paraId="29BB1B26" w14:textId="41C2CB3E" w:rsidR="00AC3B68" w:rsidRDefault="00AC3B68" w:rsidP="00AC3B68">
      <w:pPr>
        <w:pStyle w:val="ListParagraph"/>
        <w:numPr>
          <w:ilvl w:val="0"/>
          <w:numId w:val="29"/>
        </w:numPr>
      </w:pPr>
      <w:r>
        <w:lastRenderedPageBreak/>
        <w:t xml:space="preserve">No direct physical contact between stable, non-reactive hazardous wastes and biodegradable non-hazardous waste. </w:t>
      </w:r>
    </w:p>
    <w:p w14:paraId="0A0D4CDC" w14:textId="77777777" w:rsidR="00AC3B68" w:rsidRDefault="00AC3B68" w:rsidP="00AC3B68">
      <w:r>
        <w:t xml:space="preserve"> </w:t>
      </w:r>
    </w:p>
    <w:p w14:paraId="3B4A5569" w14:textId="736B3476" w:rsidR="00AC3B68" w:rsidRDefault="00AC3B68" w:rsidP="00AC3B68">
      <w:pPr>
        <w:pStyle w:val="ListParagraph"/>
        <w:numPr>
          <w:ilvl w:val="0"/>
          <w:numId w:val="28"/>
        </w:numPr>
      </w:pPr>
      <w:r>
        <w:t xml:space="preserve">There should be no contact between waste products within the landfill cells (including leachate or gas). </w:t>
      </w:r>
    </w:p>
    <w:p w14:paraId="2DBB6D8B" w14:textId="02195BA2" w:rsidR="00AC3B68" w:rsidRDefault="00AC3B68" w:rsidP="00AC3B68">
      <w:pPr>
        <w:ind w:firstLine="70"/>
      </w:pPr>
    </w:p>
    <w:p w14:paraId="0A664384" w14:textId="6EBB4DF4" w:rsidR="00AC3B68" w:rsidRDefault="00AC3B68" w:rsidP="00AC3B68">
      <w:pPr>
        <w:pStyle w:val="ListParagraph"/>
        <w:numPr>
          <w:ilvl w:val="0"/>
          <w:numId w:val="28"/>
        </w:numPr>
      </w:pPr>
      <w:r>
        <w:t>Separate leachate collection and extraction systems (but not necessarily separate treatment and discharge systems).</w:t>
      </w:r>
    </w:p>
    <w:p w14:paraId="1038E683" w14:textId="489837E2" w:rsidR="00AC3B68" w:rsidRDefault="00AC3B68" w:rsidP="00AC3B68">
      <w:pPr>
        <w:ind w:firstLine="70"/>
      </w:pPr>
    </w:p>
    <w:p w14:paraId="71EFF4F9" w14:textId="4C9077C6" w:rsidR="00AC3B68" w:rsidRDefault="00AC3B68" w:rsidP="00AC3B68">
      <w:pPr>
        <w:pStyle w:val="ListParagraph"/>
        <w:numPr>
          <w:ilvl w:val="0"/>
          <w:numId w:val="28"/>
        </w:numPr>
      </w:pPr>
      <w:r>
        <w:t xml:space="preserve">Where landfill gas collection and extraction systems are </w:t>
      </w:r>
      <w:proofErr w:type="gramStart"/>
      <w:r>
        <w:t>required</w:t>
      </w:r>
      <w:proofErr w:type="gramEnd"/>
      <w:r>
        <w:t xml:space="preserve"> they should be separate (but not necessarily separate utilization or flaring).</w:t>
      </w:r>
    </w:p>
    <w:p w14:paraId="1D95D5F1" w14:textId="49BDFA40" w:rsidR="00AC3B68" w:rsidRDefault="00AC3B68" w:rsidP="00AC3B68">
      <w:pPr>
        <w:ind w:firstLine="70"/>
      </w:pPr>
    </w:p>
    <w:p w14:paraId="183D3E2B" w14:textId="50150198" w:rsidR="00AC3B68" w:rsidRDefault="00AC3B68" w:rsidP="00AC3B68">
      <w:pPr>
        <w:pStyle w:val="ListParagraph"/>
        <w:numPr>
          <w:ilvl w:val="0"/>
          <w:numId w:val="28"/>
        </w:numPr>
      </w:pPr>
      <w:r>
        <w:t xml:space="preserve">Operation of cells for stable, non-reactive hazardous wastes must not compromise the continuing management of cells for biodegradable non-hazardous wastes. </w:t>
      </w:r>
    </w:p>
    <w:p w14:paraId="0086B345" w14:textId="77777777" w:rsidR="00AC3B68" w:rsidRDefault="00AC3B68" w:rsidP="00AC3B68">
      <w:r>
        <w:t xml:space="preserve"> </w:t>
      </w:r>
    </w:p>
    <w:p w14:paraId="58F08C8A" w14:textId="4B57F31B" w:rsidR="00AC3B68" w:rsidRDefault="00AC3B68" w:rsidP="00AC3B68"/>
    <w:p w14:paraId="71F4D2DD" w14:textId="77777777" w:rsidR="00EF2A1C" w:rsidRDefault="00EF2A1C" w:rsidP="00AC3B68"/>
    <w:p w14:paraId="38FC1C24" w14:textId="77777777" w:rsidR="00EF2A1C" w:rsidRDefault="00EF2A1C" w:rsidP="00AC3B68"/>
    <w:p w14:paraId="76F38704" w14:textId="77777777" w:rsidR="00EF2A1C" w:rsidRDefault="00EF2A1C" w:rsidP="00AC3B68"/>
    <w:p w14:paraId="1868D063" w14:textId="77777777" w:rsidR="00EF2A1C" w:rsidRDefault="00EF2A1C" w:rsidP="00AC3B68"/>
    <w:p w14:paraId="5BB97343" w14:textId="77777777" w:rsidR="00EF2A1C" w:rsidRDefault="00EF2A1C" w:rsidP="00AC3B68"/>
    <w:p w14:paraId="11B90CC9" w14:textId="77777777" w:rsidR="00EF2A1C" w:rsidRDefault="00EF2A1C" w:rsidP="00AC3B68"/>
    <w:p w14:paraId="1DC1471A" w14:textId="77777777" w:rsidR="00EF2A1C" w:rsidRDefault="00EF2A1C" w:rsidP="00AC3B68"/>
    <w:p w14:paraId="76C230D7" w14:textId="77777777" w:rsidR="00EF2A1C" w:rsidRDefault="00EF2A1C" w:rsidP="00AC3B68"/>
    <w:p w14:paraId="6A3D35D9" w14:textId="77777777" w:rsidR="00EF2A1C" w:rsidRDefault="00EF2A1C" w:rsidP="00AC3B68"/>
    <w:p w14:paraId="68A828E2" w14:textId="77777777" w:rsidR="00EF2A1C" w:rsidRDefault="00EF2A1C" w:rsidP="00AC3B68"/>
    <w:p w14:paraId="63BE187A" w14:textId="77777777" w:rsidR="00EF2A1C" w:rsidRDefault="00EF2A1C" w:rsidP="00AC3B68"/>
    <w:p w14:paraId="1F4C7D3A" w14:textId="77777777" w:rsidR="00AC3B68" w:rsidRDefault="00AC3B68" w:rsidP="00AC3B68">
      <w:pPr>
        <w:pStyle w:val="Heading2"/>
      </w:pPr>
      <w:bookmarkStart w:id="13" w:name="_Toc195530041"/>
      <w:r>
        <w:t xml:space="preserve">2.2 </w:t>
      </w:r>
      <w:r>
        <w:tab/>
        <w:t>Conclusions</w:t>
      </w:r>
      <w:bookmarkEnd w:id="13"/>
      <w:r>
        <w:t xml:space="preserve"> </w:t>
      </w:r>
    </w:p>
    <w:p w14:paraId="546CCD8C" w14:textId="77777777" w:rsidR="00AC3B68" w:rsidRDefault="00AC3B68" w:rsidP="00AC3B68">
      <w:r>
        <w:t xml:space="preserve"> </w:t>
      </w:r>
    </w:p>
    <w:p w14:paraId="6D164587" w14:textId="77777777" w:rsidR="00AC3B68" w:rsidRDefault="00AC3B68" w:rsidP="00AC3B68">
      <w:r>
        <w:lastRenderedPageBreak/>
        <w:t xml:space="preserve">All proposals by operators to operate a landfill under the classification of non-hazardous while intending to be able to simultaneously, within a separate cell, accept stable non-reactive hazardous waste will require close scrutiny. </w:t>
      </w:r>
    </w:p>
    <w:p w14:paraId="0A764BCD" w14:textId="77777777" w:rsidR="00AC3B68" w:rsidRDefault="00AC3B68" w:rsidP="00AC3B68">
      <w:r>
        <w:t xml:space="preserve"> </w:t>
      </w:r>
    </w:p>
    <w:p w14:paraId="77469F68" w14:textId="50D9CDCE" w:rsidR="00AC3B68" w:rsidRDefault="00AC3B68" w:rsidP="00AC3B68">
      <w:r>
        <w:t xml:space="preserve">The proposed waste types and the choice of engineered separation will require to be justified on a site-specific basis.  The design and specification requirements may be different for the differing waste types and should be determined based on a site and waste specific risk assessment. </w:t>
      </w:r>
    </w:p>
    <w:p w14:paraId="6B5E51DD" w14:textId="77777777" w:rsidR="00AC3B68" w:rsidRDefault="00AC3B68" w:rsidP="00AC3B68">
      <w:r>
        <w:t xml:space="preserve"> </w:t>
      </w:r>
    </w:p>
    <w:p w14:paraId="1C777982" w14:textId="77777777" w:rsidR="00AC3B68" w:rsidRDefault="00AC3B68" w:rsidP="00AC3B68">
      <w:r>
        <w:t xml:space="preserve">For sites proposing to take, </w:t>
      </w:r>
      <w:proofErr w:type="gramStart"/>
      <w:r>
        <w:t>as yet</w:t>
      </w:r>
      <w:proofErr w:type="gramEnd"/>
      <w:r>
        <w:t xml:space="preserve"> unknown, stable non-reactive hazardous wastes into the separate cell, leachability concerns are such that an engineered solution must be sought, detailed in application to SEPA and involving a lining element in conjunction with leachate collection.  </w:t>
      </w:r>
    </w:p>
    <w:p w14:paraId="48F70941" w14:textId="402BDB01" w:rsidR="00DA4CF8" w:rsidRDefault="00DA4CF8" w:rsidP="006150F4"/>
    <w:p w14:paraId="4AE28766" w14:textId="77777777" w:rsidR="001964BC" w:rsidRDefault="001964BC" w:rsidP="006150F4"/>
    <w:p w14:paraId="619ED705" w14:textId="77777777" w:rsidR="001964BC" w:rsidRDefault="001964BC" w:rsidP="006150F4"/>
    <w:p w14:paraId="4A633E7E" w14:textId="77777777" w:rsidR="001964BC" w:rsidRDefault="001964BC" w:rsidP="006150F4"/>
    <w:p w14:paraId="73B28EBF" w14:textId="77777777" w:rsidR="002D7DE9" w:rsidRDefault="002D7DE9" w:rsidP="006150F4"/>
    <w:p w14:paraId="2A10B4D1" w14:textId="77777777" w:rsidR="001720FE" w:rsidRDefault="001720FE" w:rsidP="002C1BEE">
      <w:pPr>
        <w:ind w:left="-5"/>
        <w:rPr>
          <w:rFonts w:ascii="Times New Roman" w:eastAsia="Times New Roman" w:hAnsi="Times New Roman" w:cs="Times New Roman"/>
        </w:rPr>
      </w:pPr>
    </w:p>
    <w:p w14:paraId="0545A6DD" w14:textId="77777777" w:rsidR="00AC3B68" w:rsidRDefault="00AC3B68" w:rsidP="002C1BEE">
      <w:pPr>
        <w:ind w:left="-5"/>
        <w:rPr>
          <w:rFonts w:ascii="Times New Roman" w:eastAsia="Times New Roman" w:hAnsi="Times New Roman" w:cs="Times New Roman"/>
        </w:rPr>
      </w:pPr>
    </w:p>
    <w:p w14:paraId="6651D337" w14:textId="77777777" w:rsidR="00AC3B68" w:rsidRDefault="00AC3B68" w:rsidP="002C1BEE">
      <w:pPr>
        <w:ind w:left="-5"/>
        <w:rPr>
          <w:rFonts w:ascii="Times New Roman" w:eastAsia="Times New Roman" w:hAnsi="Times New Roman" w:cs="Times New Roman"/>
        </w:rPr>
      </w:pPr>
    </w:p>
    <w:p w14:paraId="43AC1D44" w14:textId="77777777" w:rsidR="00AC3B68" w:rsidRDefault="00AC3B68" w:rsidP="002C1BEE">
      <w:pPr>
        <w:ind w:left="-5"/>
        <w:rPr>
          <w:rFonts w:ascii="Times New Roman" w:eastAsia="Times New Roman" w:hAnsi="Times New Roman" w:cs="Times New Roman"/>
        </w:rPr>
      </w:pPr>
    </w:p>
    <w:p w14:paraId="33DB94EE" w14:textId="77777777" w:rsidR="00AC3B68" w:rsidRDefault="00AC3B68" w:rsidP="002C1BEE">
      <w:pPr>
        <w:ind w:left="-5"/>
        <w:rPr>
          <w:rFonts w:ascii="Times New Roman" w:eastAsia="Times New Roman" w:hAnsi="Times New Roman" w:cs="Times New Roman"/>
        </w:rPr>
      </w:pPr>
    </w:p>
    <w:p w14:paraId="6BB9E926" w14:textId="77777777" w:rsidR="00AC3B68" w:rsidRDefault="00AC3B68" w:rsidP="002C1BEE">
      <w:pPr>
        <w:ind w:left="-5"/>
        <w:rPr>
          <w:rFonts w:ascii="Times New Roman" w:eastAsia="Times New Roman" w:hAnsi="Times New Roman" w:cs="Times New Roman"/>
        </w:rPr>
      </w:pPr>
    </w:p>
    <w:p w14:paraId="5F4FF260" w14:textId="77777777" w:rsidR="00AC3B68" w:rsidRDefault="00AC3B68" w:rsidP="002C1BEE">
      <w:pPr>
        <w:ind w:left="-5"/>
        <w:rPr>
          <w:rFonts w:ascii="Times New Roman" w:eastAsia="Times New Roman" w:hAnsi="Times New Roman" w:cs="Times New Roman"/>
        </w:rPr>
      </w:pPr>
    </w:p>
    <w:p w14:paraId="6AE50F4F" w14:textId="77777777" w:rsidR="00AC3B68" w:rsidRDefault="00AC3B68" w:rsidP="002C1BEE">
      <w:pPr>
        <w:ind w:left="-5"/>
        <w:rPr>
          <w:rFonts w:ascii="Times New Roman" w:eastAsia="Times New Roman" w:hAnsi="Times New Roman" w:cs="Times New Roman"/>
        </w:rPr>
      </w:pPr>
    </w:p>
    <w:p w14:paraId="5E15D264" w14:textId="77777777" w:rsidR="00AC3B68" w:rsidRDefault="00AC3B68" w:rsidP="002C1BEE">
      <w:pPr>
        <w:ind w:left="-5"/>
        <w:rPr>
          <w:rFonts w:ascii="Times New Roman" w:eastAsia="Times New Roman" w:hAnsi="Times New Roman" w:cs="Times New Roman"/>
        </w:rPr>
      </w:pPr>
    </w:p>
    <w:p w14:paraId="4011586E" w14:textId="77777777" w:rsidR="00AC3B68" w:rsidRDefault="00AC3B68" w:rsidP="002C1BEE">
      <w:pPr>
        <w:ind w:left="-5"/>
        <w:rPr>
          <w:rFonts w:ascii="Times New Roman" w:eastAsia="Times New Roman" w:hAnsi="Times New Roman" w:cs="Times New Roman"/>
        </w:rPr>
      </w:pPr>
    </w:p>
    <w:p w14:paraId="12D3C57A" w14:textId="77777777" w:rsidR="00AC3B68" w:rsidRDefault="00AC3B68" w:rsidP="002C1BEE">
      <w:pPr>
        <w:ind w:left="-5"/>
        <w:rPr>
          <w:rFonts w:ascii="Times New Roman" w:eastAsia="Times New Roman" w:hAnsi="Times New Roman" w:cs="Times New Roman"/>
        </w:rPr>
      </w:pPr>
    </w:p>
    <w:p w14:paraId="29F244F5" w14:textId="77777777" w:rsidR="00AC3B68" w:rsidRDefault="00AC3B68" w:rsidP="002C1BEE">
      <w:pPr>
        <w:ind w:left="-5"/>
        <w:rPr>
          <w:rFonts w:ascii="Times New Roman" w:eastAsia="Times New Roman" w:hAnsi="Times New Roman" w:cs="Times New Roman"/>
        </w:rPr>
      </w:pPr>
    </w:p>
    <w:p w14:paraId="5ADDD379" w14:textId="77777777" w:rsidR="00AC3B68" w:rsidRDefault="00AC3B68" w:rsidP="002C1BEE">
      <w:pPr>
        <w:ind w:left="-5"/>
        <w:rPr>
          <w:rFonts w:ascii="Times New Roman" w:eastAsia="Times New Roman" w:hAnsi="Times New Roman" w:cs="Times New Roman"/>
        </w:rPr>
      </w:pPr>
    </w:p>
    <w:p w14:paraId="6C10415E" w14:textId="77777777" w:rsidR="00F87F98" w:rsidRPr="00F87F98" w:rsidRDefault="00F87F98" w:rsidP="00F87F98">
      <w:pPr>
        <w:pStyle w:val="Heading1"/>
      </w:pPr>
      <w:bookmarkStart w:id="14" w:name="_Toc195530042"/>
      <w:r w:rsidRPr="00F87F98">
        <w:lastRenderedPageBreak/>
        <w:t>Appendix 1</w:t>
      </w:r>
      <w:bookmarkEnd w:id="14"/>
      <w:r w:rsidRPr="00F87F98">
        <w:t xml:space="preserve"> </w:t>
      </w:r>
    </w:p>
    <w:p w14:paraId="4D81D5B6" w14:textId="77777777" w:rsidR="001720FE" w:rsidRDefault="001720FE" w:rsidP="002C1BEE">
      <w:pPr>
        <w:ind w:left="-5"/>
        <w:rPr>
          <w:rFonts w:ascii="Times New Roman" w:eastAsia="Times New Roman" w:hAnsi="Times New Roman" w:cs="Times New Roman"/>
        </w:rPr>
      </w:pPr>
    </w:p>
    <w:p w14:paraId="5A8651A4" w14:textId="77777777" w:rsidR="00D40B3A" w:rsidRPr="00D40B3A" w:rsidRDefault="00D40B3A" w:rsidP="00D40B3A">
      <w:pPr>
        <w:ind w:left="-5"/>
        <w:rPr>
          <w:rFonts w:ascii="Arial" w:eastAsia="Times New Roman" w:hAnsi="Arial" w:cs="Arial"/>
        </w:rPr>
      </w:pPr>
      <w:r w:rsidRPr="00D40B3A">
        <w:rPr>
          <w:rFonts w:ascii="Arial" w:eastAsia="Times New Roman" w:hAnsi="Arial" w:cs="Arial"/>
        </w:rPr>
        <w:t xml:space="preserve">Criteria for hazardous waste acceptable at landfills for non-hazardous waste pursuant to Article 6(c)(iii): </w:t>
      </w:r>
    </w:p>
    <w:p w14:paraId="6DF6DB3D" w14:textId="77777777" w:rsidR="00D40B3A" w:rsidRPr="00D40B3A" w:rsidRDefault="00D40B3A" w:rsidP="00D40B3A">
      <w:pPr>
        <w:ind w:left="-5"/>
        <w:rPr>
          <w:rFonts w:ascii="Arial" w:eastAsia="Times New Roman" w:hAnsi="Arial" w:cs="Arial"/>
        </w:rPr>
      </w:pPr>
      <w:r w:rsidRPr="00D40B3A">
        <w:rPr>
          <w:rFonts w:ascii="Arial" w:eastAsia="Times New Roman" w:hAnsi="Arial" w:cs="Arial"/>
        </w:rPr>
        <w:t xml:space="preserve"> </w:t>
      </w:r>
    </w:p>
    <w:p w14:paraId="3245AB1F" w14:textId="77777777" w:rsidR="00D40B3A" w:rsidRPr="00D40B3A" w:rsidRDefault="00D40B3A" w:rsidP="00D40B3A">
      <w:pPr>
        <w:ind w:left="-5"/>
        <w:rPr>
          <w:rFonts w:ascii="Arial" w:eastAsia="Times New Roman" w:hAnsi="Arial" w:cs="Arial"/>
        </w:rPr>
      </w:pPr>
      <w:r w:rsidRPr="00D40B3A">
        <w:rPr>
          <w:rFonts w:ascii="Arial" w:eastAsia="Times New Roman" w:hAnsi="Arial" w:cs="Arial"/>
        </w:rPr>
        <w:t xml:space="preserve">Stable, non-reactive means that the leaching behaviour of the waste will not change adversely in the long-term, under landfill design conditions or foreseeable accidents: </w:t>
      </w:r>
    </w:p>
    <w:p w14:paraId="35C296C2" w14:textId="77777777" w:rsidR="00D40B3A" w:rsidRPr="00D40B3A" w:rsidRDefault="00D40B3A" w:rsidP="00D40B3A">
      <w:pPr>
        <w:ind w:left="-5"/>
        <w:rPr>
          <w:rFonts w:ascii="Arial" w:eastAsia="Times New Roman" w:hAnsi="Arial" w:cs="Arial"/>
        </w:rPr>
      </w:pPr>
      <w:r w:rsidRPr="00D40B3A">
        <w:rPr>
          <w:rFonts w:ascii="Arial" w:eastAsia="Times New Roman" w:hAnsi="Arial" w:cs="Arial"/>
        </w:rPr>
        <w:t xml:space="preserve"> </w:t>
      </w:r>
    </w:p>
    <w:p w14:paraId="051E69CC" w14:textId="1B3F42F3" w:rsidR="00D40B3A" w:rsidRPr="00D40B3A" w:rsidRDefault="00D40B3A" w:rsidP="00D40B3A">
      <w:pPr>
        <w:pStyle w:val="ListParagraph"/>
        <w:numPr>
          <w:ilvl w:val="1"/>
          <w:numId w:val="29"/>
        </w:numPr>
        <w:rPr>
          <w:rFonts w:ascii="Arial" w:eastAsia="Times New Roman" w:hAnsi="Arial" w:cs="Arial"/>
        </w:rPr>
      </w:pPr>
      <w:r>
        <w:rPr>
          <w:rFonts w:ascii="Arial" w:eastAsia="Times New Roman" w:hAnsi="Arial" w:cs="Arial"/>
        </w:rPr>
        <w:t>I</w:t>
      </w:r>
      <w:r w:rsidRPr="00D40B3A">
        <w:rPr>
          <w:rFonts w:ascii="Arial" w:eastAsia="Times New Roman" w:hAnsi="Arial" w:cs="Arial"/>
        </w:rPr>
        <w:t>n the waste alone (for example, by biodegradation)</w:t>
      </w:r>
      <w:r>
        <w:rPr>
          <w:rFonts w:ascii="Arial" w:eastAsia="Times New Roman" w:hAnsi="Arial" w:cs="Arial"/>
        </w:rPr>
        <w:t>.</w:t>
      </w:r>
    </w:p>
    <w:p w14:paraId="7ACD5800" w14:textId="4915A40C" w:rsidR="00D40B3A" w:rsidRPr="00D40B3A" w:rsidRDefault="00D40B3A" w:rsidP="00D40B3A">
      <w:pPr>
        <w:ind w:left="-5" w:firstLine="70"/>
        <w:rPr>
          <w:rFonts w:ascii="Arial" w:eastAsia="Times New Roman" w:hAnsi="Arial" w:cs="Arial"/>
        </w:rPr>
      </w:pPr>
    </w:p>
    <w:p w14:paraId="32B5EE3D" w14:textId="20FF6D84" w:rsidR="00D40B3A" w:rsidRPr="00D40B3A" w:rsidRDefault="00D40B3A" w:rsidP="00D40B3A">
      <w:pPr>
        <w:pStyle w:val="ListParagraph"/>
        <w:numPr>
          <w:ilvl w:val="1"/>
          <w:numId w:val="29"/>
        </w:numPr>
        <w:rPr>
          <w:rFonts w:ascii="Arial" w:eastAsia="Times New Roman" w:hAnsi="Arial" w:cs="Arial"/>
        </w:rPr>
      </w:pPr>
      <w:r>
        <w:rPr>
          <w:rFonts w:ascii="Arial" w:eastAsia="Times New Roman" w:hAnsi="Arial" w:cs="Arial"/>
        </w:rPr>
        <w:t>U</w:t>
      </w:r>
      <w:r w:rsidRPr="00D40B3A">
        <w:rPr>
          <w:rFonts w:ascii="Arial" w:eastAsia="Times New Roman" w:hAnsi="Arial" w:cs="Arial"/>
        </w:rPr>
        <w:t>nder the impact of long-term ambient conditions (for example, water, air, temperature, mechanical constraints)</w:t>
      </w:r>
      <w:r>
        <w:rPr>
          <w:rFonts w:ascii="Arial" w:eastAsia="Times New Roman" w:hAnsi="Arial" w:cs="Arial"/>
        </w:rPr>
        <w:t>.</w:t>
      </w:r>
    </w:p>
    <w:p w14:paraId="088165EB" w14:textId="36F9D2DE" w:rsidR="00D40B3A" w:rsidRPr="00D40B3A" w:rsidRDefault="00D40B3A" w:rsidP="00D40B3A">
      <w:pPr>
        <w:ind w:left="-5" w:firstLine="70"/>
        <w:rPr>
          <w:rFonts w:ascii="Arial" w:eastAsia="Times New Roman" w:hAnsi="Arial" w:cs="Arial"/>
        </w:rPr>
      </w:pPr>
    </w:p>
    <w:p w14:paraId="672F8DFC" w14:textId="3C91935D" w:rsidR="00D40B3A" w:rsidRPr="00D40B3A" w:rsidRDefault="00D40B3A" w:rsidP="00D40B3A">
      <w:pPr>
        <w:pStyle w:val="ListParagraph"/>
        <w:numPr>
          <w:ilvl w:val="1"/>
          <w:numId w:val="29"/>
        </w:numPr>
        <w:rPr>
          <w:rFonts w:ascii="Arial" w:eastAsia="Times New Roman" w:hAnsi="Arial" w:cs="Arial"/>
        </w:rPr>
      </w:pPr>
      <w:r>
        <w:rPr>
          <w:rFonts w:ascii="Arial" w:eastAsia="Times New Roman" w:hAnsi="Arial" w:cs="Arial"/>
        </w:rPr>
        <w:t>B</w:t>
      </w:r>
      <w:r w:rsidRPr="00D40B3A">
        <w:rPr>
          <w:rFonts w:ascii="Arial" w:eastAsia="Times New Roman" w:hAnsi="Arial" w:cs="Arial"/>
        </w:rPr>
        <w:t xml:space="preserve">y the impact of other wastes (including waste products such as leachate and gas). </w:t>
      </w:r>
    </w:p>
    <w:p w14:paraId="2666DD6E" w14:textId="77777777" w:rsidR="00D40B3A" w:rsidRPr="00D40B3A" w:rsidRDefault="00D40B3A" w:rsidP="00D40B3A">
      <w:pPr>
        <w:ind w:left="-5"/>
        <w:rPr>
          <w:rFonts w:ascii="Arial" w:eastAsia="Times New Roman" w:hAnsi="Arial" w:cs="Arial"/>
        </w:rPr>
      </w:pPr>
      <w:r w:rsidRPr="00D40B3A">
        <w:rPr>
          <w:rFonts w:ascii="Arial" w:eastAsia="Times New Roman" w:hAnsi="Arial" w:cs="Arial"/>
        </w:rPr>
        <w:t xml:space="preserve"> </w:t>
      </w:r>
    </w:p>
    <w:p w14:paraId="5349997B" w14:textId="2F58EE96" w:rsidR="00D40B3A" w:rsidRPr="00D40B3A" w:rsidRDefault="00D40B3A" w:rsidP="00D40B3A">
      <w:pPr>
        <w:ind w:left="-5"/>
        <w:rPr>
          <w:rFonts w:ascii="Arial" w:eastAsia="Times New Roman" w:hAnsi="Arial" w:cs="Arial"/>
        </w:rPr>
      </w:pPr>
      <w:r w:rsidRPr="00D40B3A">
        <w:rPr>
          <w:rFonts w:ascii="Arial" w:eastAsia="Times New Roman" w:hAnsi="Arial" w:cs="Arial"/>
        </w:rPr>
        <w:t xml:space="preserve">The full waste acceptance criteria for stable non-reactive hazardous wastes set out leaching and other limit values that will render these wastes acceptable for disposal at landfills for non-hazardous waste. Tables 1 and 2 </w:t>
      </w:r>
      <w:r w:rsidR="000626BF">
        <w:rPr>
          <w:rFonts w:ascii="Arial" w:eastAsia="Times New Roman" w:hAnsi="Arial" w:cs="Arial"/>
        </w:rPr>
        <w:t>following</w:t>
      </w:r>
      <w:r w:rsidRPr="00D40B3A">
        <w:rPr>
          <w:rFonts w:ascii="Arial" w:eastAsia="Times New Roman" w:hAnsi="Arial" w:cs="Arial"/>
        </w:rPr>
        <w:t xml:space="preserve">, set the limit values applicable to granular stable, non-reactive hazardous waste and to the granular non-hazardous wastes disposed with them. They are taken from Council Decision 2003/33/EC. The values in Table 1apply to a liquid to solid ratio of 10 litres/kilogram using the 2 stage CEN leaching test EN 12457/3. Granular wastes include all wastes that are not monolithic.  </w:t>
      </w:r>
    </w:p>
    <w:p w14:paraId="4991D954" w14:textId="77777777" w:rsidR="00D40B3A" w:rsidRDefault="00D40B3A" w:rsidP="00D40B3A">
      <w:pPr>
        <w:ind w:left="-5"/>
        <w:rPr>
          <w:rFonts w:ascii="Arial" w:eastAsia="Times New Roman" w:hAnsi="Arial" w:cs="Arial"/>
        </w:rPr>
      </w:pPr>
      <w:r w:rsidRPr="00D40B3A">
        <w:rPr>
          <w:rFonts w:ascii="Arial" w:eastAsia="Times New Roman" w:hAnsi="Arial" w:cs="Arial"/>
        </w:rPr>
        <w:t xml:space="preserve"> </w:t>
      </w:r>
    </w:p>
    <w:p w14:paraId="1AE1BCB6" w14:textId="77777777" w:rsidR="000626BF" w:rsidRDefault="000626BF" w:rsidP="00D40B3A">
      <w:pPr>
        <w:ind w:left="-5"/>
        <w:rPr>
          <w:rFonts w:ascii="Arial" w:eastAsia="Times New Roman" w:hAnsi="Arial" w:cs="Arial"/>
        </w:rPr>
      </w:pPr>
    </w:p>
    <w:p w14:paraId="6F263B33" w14:textId="77777777" w:rsidR="000626BF" w:rsidRDefault="000626BF" w:rsidP="00D40B3A">
      <w:pPr>
        <w:ind w:left="-5"/>
        <w:rPr>
          <w:rFonts w:ascii="Arial" w:eastAsia="Times New Roman" w:hAnsi="Arial" w:cs="Arial"/>
        </w:rPr>
      </w:pPr>
    </w:p>
    <w:p w14:paraId="05B91CEE" w14:textId="77777777" w:rsidR="000626BF" w:rsidRDefault="000626BF" w:rsidP="00D40B3A">
      <w:pPr>
        <w:ind w:left="-5"/>
        <w:rPr>
          <w:rFonts w:ascii="Arial" w:eastAsia="Times New Roman" w:hAnsi="Arial" w:cs="Arial"/>
        </w:rPr>
      </w:pPr>
    </w:p>
    <w:p w14:paraId="333AC8E4" w14:textId="77777777" w:rsidR="000626BF" w:rsidRDefault="000626BF" w:rsidP="00D40B3A">
      <w:pPr>
        <w:ind w:left="-5"/>
        <w:rPr>
          <w:rFonts w:ascii="Arial" w:eastAsia="Times New Roman" w:hAnsi="Arial" w:cs="Arial"/>
        </w:rPr>
      </w:pPr>
    </w:p>
    <w:p w14:paraId="4968F2E9" w14:textId="77777777" w:rsidR="000626BF" w:rsidRDefault="000626BF" w:rsidP="00D40B3A">
      <w:pPr>
        <w:ind w:left="-5"/>
        <w:rPr>
          <w:rFonts w:ascii="Arial" w:eastAsia="Times New Roman" w:hAnsi="Arial" w:cs="Arial"/>
        </w:rPr>
      </w:pPr>
    </w:p>
    <w:p w14:paraId="3D99289E" w14:textId="77777777" w:rsidR="000626BF" w:rsidRPr="00D40B3A" w:rsidRDefault="000626BF" w:rsidP="00D40B3A">
      <w:pPr>
        <w:ind w:left="-5"/>
        <w:rPr>
          <w:rFonts w:ascii="Arial" w:eastAsia="Times New Roman" w:hAnsi="Arial" w:cs="Arial"/>
        </w:rPr>
      </w:pPr>
    </w:p>
    <w:p w14:paraId="0D7349F9" w14:textId="7B4B3697" w:rsidR="001720FE" w:rsidRPr="000626BF" w:rsidRDefault="00D40B3A" w:rsidP="00D40B3A">
      <w:pPr>
        <w:ind w:left="-5"/>
        <w:rPr>
          <w:rFonts w:ascii="Arial" w:eastAsia="Times New Roman" w:hAnsi="Arial" w:cs="Arial"/>
          <w:b/>
          <w:bCs/>
        </w:rPr>
      </w:pPr>
      <w:r w:rsidRPr="000626BF">
        <w:rPr>
          <w:rFonts w:ascii="Arial" w:eastAsia="Times New Roman" w:hAnsi="Arial" w:cs="Arial"/>
          <w:b/>
          <w:bCs/>
        </w:rPr>
        <w:lastRenderedPageBreak/>
        <w:t>Table 1: Leaching Limit Values for Granular, Stable, Non-reactive Hazardous Wastes (may be subject to change)</w:t>
      </w:r>
    </w:p>
    <w:p w14:paraId="0414E0F4" w14:textId="77777777" w:rsidR="001720FE" w:rsidRDefault="001720FE" w:rsidP="002C1BEE">
      <w:pPr>
        <w:ind w:left="-5"/>
        <w:rPr>
          <w:rFonts w:ascii="Times New Roman" w:eastAsia="Times New Roman" w:hAnsi="Times New Roman" w:cs="Times New Roman"/>
        </w:rPr>
      </w:pPr>
    </w:p>
    <w:tbl>
      <w:tblPr>
        <w:tblStyle w:val="TableGrid"/>
        <w:tblW w:w="8080" w:type="dxa"/>
        <w:tblInd w:w="-5" w:type="dxa"/>
        <w:tblCellMar>
          <w:top w:w="10" w:type="dxa"/>
          <w:right w:w="43" w:type="dxa"/>
        </w:tblCellMar>
        <w:tblLook w:val="04A0" w:firstRow="1" w:lastRow="0" w:firstColumn="1" w:lastColumn="0" w:noHBand="0" w:noVBand="1"/>
        <w:tblDescription w:val="List of common leaching components of granular, stable, non-reactive hazardous wastes and their eaching limits in litres per kilogram or miligrams per kilogram"/>
      </w:tblPr>
      <w:tblGrid>
        <w:gridCol w:w="2377"/>
        <w:gridCol w:w="1084"/>
        <w:gridCol w:w="4619"/>
      </w:tblGrid>
      <w:tr w:rsidR="000626BF" w14:paraId="0B59EA31" w14:textId="77777777" w:rsidTr="000626BF">
        <w:trPr>
          <w:trHeight w:val="485"/>
        </w:trPr>
        <w:tc>
          <w:tcPr>
            <w:tcW w:w="3461" w:type="dxa"/>
            <w:gridSpan w:val="2"/>
            <w:tcBorders>
              <w:top w:val="single" w:sz="4" w:space="0" w:color="000000"/>
              <w:left w:val="single" w:sz="4" w:space="0" w:color="000000"/>
              <w:bottom w:val="single" w:sz="3" w:space="0" w:color="000000"/>
              <w:right w:val="single" w:sz="3" w:space="0" w:color="000000"/>
            </w:tcBorders>
          </w:tcPr>
          <w:p w14:paraId="4FF5E80C" w14:textId="77777777" w:rsidR="000626BF" w:rsidRDefault="000626BF" w:rsidP="002F5AFF">
            <w:pPr>
              <w:spacing w:line="259" w:lineRule="auto"/>
              <w:ind w:left="102"/>
            </w:pPr>
            <w:r>
              <w:t>COMPONENTS</w:t>
            </w:r>
          </w:p>
        </w:tc>
        <w:tc>
          <w:tcPr>
            <w:tcW w:w="4619" w:type="dxa"/>
            <w:tcBorders>
              <w:top w:val="single" w:sz="4" w:space="0" w:color="000000"/>
              <w:left w:val="single" w:sz="3" w:space="0" w:color="000000"/>
              <w:bottom w:val="single" w:sz="3" w:space="0" w:color="000000"/>
              <w:right w:val="single" w:sz="3" w:space="0" w:color="000000"/>
            </w:tcBorders>
          </w:tcPr>
          <w:p w14:paraId="27D401E8" w14:textId="77777777" w:rsidR="000626BF" w:rsidRDefault="000626BF" w:rsidP="002F5AFF">
            <w:pPr>
              <w:spacing w:line="259" w:lineRule="auto"/>
              <w:ind w:left="101" w:right="406"/>
            </w:pPr>
            <w:r>
              <w:t>LIQUID/SOLID = 10 l/kg mg/kg DRY SUBSTANCE</w:t>
            </w:r>
            <w:r>
              <w:rPr>
                <w:b/>
              </w:rPr>
              <w:t xml:space="preserve"> </w:t>
            </w:r>
          </w:p>
        </w:tc>
      </w:tr>
      <w:tr w:rsidR="000626BF" w14:paraId="1A35AA9E" w14:textId="77777777" w:rsidTr="000626BF">
        <w:trPr>
          <w:trHeight w:val="247"/>
        </w:trPr>
        <w:tc>
          <w:tcPr>
            <w:tcW w:w="2377" w:type="dxa"/>
            <w:tcBorders>
              <w:top w:val="single" w:sz="3" w:space="0" w:color="000000"/>
              <w:left w:val="single" w:sz="4" w:space="0" w:color="000000"/>
              <w:bottom w:val="single" w:sz="3" w:space="0" w:color="000000"/>
              <w:right w:val="nil"/>
            </w:tcBorders>
          </w:tcPr>
          <w:p w14:paraId="137A032A" w14:textId="77777777" w:rsidR="000626BF" w:rsidRDefault="000626BF" w:rsidP="002F5AFF">
            <w:pPr>
              <w:spacing w:line="259" w:lineRule="auto"/>
              <w:ind w:left="102"/>
            </w:pPr>
            <w:r>
              <w:t>As</w:t>
            </w:r>
            <w:r>
              <w:rPr>
                <w:b/>
              </w:rPr>
              <w:t xml:space="preserve"> </w:t>
            </w:r>
          </w:p>
        </w:tc>
        <w:tc>
          <w:tcPr>
            <w:tcW w:w="1084" w:type="dxa"/>
            <w:tcBorders>
              <w:top w:val="single" w:sz="3" w:space="0" w:color="000000"/>
              <w:left w:val="nil"/>
              <w:bottom w:val="single" w:sz="3" w:space="0" w:color="000000"/>
              <w:right w:val="single" w:sz="3" w:space="0" w:color="000000"/>
            </w:tcBorders>
          </w:tcPr>
          <w:p w14:paraId="4AD81FEC" w14:textId="77777777" w:rsidR="000626BF" w:rsidRDefault="000626BF" w:rsidP="002F5AFF">
            <w:pPr>
              <w:spacing w:after="160" w:line="259" w:lineRule="auto"/>
            </w:pPr>
          </w:p>
        </w:tc>
        <w:tc>
          <w:tcPr>
            <w:tcW w:w="4619" w:type="dxa"/>
            <w:tcBorders>
              <w:top w:val="single" w:sz="3" w:space="0" w:color="000000"/>
              <w:left w:val="single" w:sz="3" w:space="0" w:color="000000"/>
              <w:bottom w:val="single" w:sz="3" w:space="0" w:color="000000"/>
              <w:right w:val="single" w:sz="3" w:space="0" w:color="000000"/>
            </w:tcBorders>
          </w:tcPr>
          <w:p w14:paraId="604D8D61" w14:textId="77777777" w:rsidR="000626BF" w:rsidRDefault="000626BF" w:rsidP="002F5AFF">
            <w:pPr>
              <w:spacing w:line="259" w:lineRule="auto"/>
              <w:ind w:left="101"/>
            </w:pPr>
            <w:r>
              <w:t>2</w:t>
            </w:r>
            <w:r>
              <w:rPr>
                <w:b/>
              </w:rPr>
              <w:t xml:space="preserve"> </w:t>
            </w:r>
          </w:p>
        </w:tc>
      </w:tr>
      <w:tr w:rsidR="000626BF" w14:paraId="0A47FC9D" w14:textId="77777777" w:rsidTr="000626BF">
        <w:trPr>
          <w:trHeight w:val="247"/>
        </w:trPr>
        <w:tc>
          <w:tcPr>
            <w:tcW w:w="2377" w:type="dxa"/>
            <w:tcBorders>
              <w:top w:val="single" w:sz="3" w:space="0" w:color="000000"/>
              <w:left w:val="single" w:sz="4" w:space="0" w:color="000000"/>
              <w:bottom w:val="single" w:sz="3" w:space="0" w:color="000000"/>
              <w:right w:val="nil"/>
            </w:tcBorders>
          </w:tcPr>
          <w:p w14:paraId="17DF23DA" w14:textId="77777777" w:rsidR="000626BF" w:rsidRDefault="000626BF" w:rsidP="002F5AFF">
            <w:pPr>
              <w:spacing w:line="259" w:lineRule="auto"/>
              <w:ind w:left="102"/>
            </w:pPr>
            <w:r>
              <w:t>Ba</w:t>
            </w:r>
            <w:r>
              <w:rPr>
                <w:b/>
              </w:rPr>
              <w:t xml:space="preserve"> </w:t>
            </w:r>
          </w:p>
        </w:tc>
        <w:tc>
          <w:tcPr>
            <w:tcW w:w="1084" w:type="dxa"/>
            <w:tcBorders>
              <w:top w:val="single" w:sz="3" w:space="0" w:color="000000"/>
              <w:left w:val="nil"/>
              <w:bottom w:val="single" w:sz="3" w:space="0" w:color="000000"/>
              <w:right w:val="single" w:sz="3" w:space="0" w:color="000000"/>
            </w:tcBorders>
          </w:tcPr>
          <w:p w14:paraId="666F1B5D" w14:textId="77777777" w:rsidR="000626BF" w:rsidRDefault="000626BF" w:rsidP="002F5AFF">
            <w:pPr>
              <w:spacing w:after="160" w:line="259" w:lineRule="auto"/>
            </w:pPr>
          </w:p>
        </w:tc>
        <w:tc>
          <w:tcPr>
            <w:tcW w:w="4619" w:type="dxa"/>
            <w:tcBorders>
              <w:top w:val="single" w:sz="3" w:space="0" w:color="000000"/>
              <w:left w:val="single" w:sz="3" w:space="0" w:color="000000"/>
              <w:bottom w:val="single" w:sz="3" w:space="0" w:color="000000"/>
              <w:right w:val="single" w:sz="3" w:space="0" w:color="000000"/>
            </w:tcBorders>
          </w:tcPr>
          <w:p w14:paraId="4F79AF54" w14:textId="77777777" w:rsidR="000626BF" w:rsidRDefault="000626BF" w:rsidP="002F5AFF">
            <w:pPr>
              <w:spacing w:line="259" w:lineRule="auto"/>
              <w:ind w:left="101"/>
            </w:pPr>
            <w:r>
              <w:t>100</w:t>
            </w:r>
            <w:r>
              <w:rPr>
                <w:b/>
              </w:rPr>
              <w:t xml:space="preserve"> </w:t>
            </w:r>
          </w:p>
        </w:tc>
      </w:tr>
      <w:tr w:rsidR="000626BF" w14:paraId="4ACCF1C8" w14:textId="77777777" w:rsidTr="000626BF">
        <w:trPr>
          <w:trHeight w:val="247"/>
        </w:trPr>
        <w:tc>
          <w:tcPr>
            <w:tcW w:w="2377" w:type="dxa"/>
            <w:tcBorders>
              <w:top w:val="single" w:sz="3" w:space="0" w:color="000000"/>
              <w:left w:val="single" w:sz="4" w:space="0" w:color="000000"/>
              <w:bottom w:val="single" w:sz="3" w:space="0" w:color="000000"/>
              <w:right w:val="nil"/>
            </w:tcBorders>
          </w:tcPr>
          <w:p w14:paraId="06B2D760" w14:textId="77777777" w:rsidR="000626BF" w:rsidRDefault="000626BF" w:rsidP="002F5AFF">
            <w:pPr>
              <w:spacing w:line="259" w:lineRule="auto"/>
              <w:ind w:left="102"/>
            </w:pPr>
            <w:r>
              <w:t>Cd</w:t>
            </w:r>
            <w:r>
              <w:rPr>
                <w:b/>
              </w:rPr>
              <w:t xml:space="preserve"> </w:t>
            </w:r>
          </w:p>
        </w:tc>
        <w:tc>
          <w:tcPr>
            <w:tcW w:w="1084" w:type="dxa"/>
            <w:tcBorders>
              <w:top w:val="single" w:sz="3" w:space="0" w:color="000000"/>
              <w:left w:val="nil"/>
              <w:bottom w:val="single" w:sz="3" w:space="0" w:color="000000"/>
              <w:right w:val="single" w:sz="3" w:space="0" w:color="000000"/>
            </w:tcBorders>
          </w:tcPr>
          <w:p w14:paraId="15FD242B" w14:textId="77777777" w:rsidR="000626BF" w:rsidRDefault="000626BF" w:rsidP="002F5AFF">
            <w:pPr>
              <w:spacing w:after="160" w:line="259" w:lineRule="auto"/>
            </w:pPr>
          </w:p>
        </w:tc>
        <w:tc>
          <w:tcPr>
            <w:tcW w:w="4619" w:type="dxa"/>
            <w:tcBorders>
              <w:top w:val="single" w:sz="3" w:space="0" w:color="000000"/>
              <w:left w:val="single" w:sz="3" w:space="0" w:color="000000"/>
              <w:bottom w:val="single" w:sz="3" w:space="0" w:color="000000"/>
              <w:right w:val="single" w:sz="3" w:space="0" w:color="000000"/>
            </w:tcBorders>
          </w:tcPr>
          <w:p w14:paraId="2B613221" w14:textId="77777777" w:rsidR="000626BF" w:rsidRDefault="000626BF" w:rsidP="002F5AFF">
            <w:pPr>
              <w:spacing w:line="259" w:lineRule="auto"/>
              <w:ind w:left="101"/>
            </w:pPr>
            <w:r>
              <w:t>1.0</w:t>
            </w:r>
            <w:r>
              <w:rPr>
                <w:b/>
              </w:rPr>
              <w:t xml:space="preserve"> </w:t>
            </w:r>
          </w:p>
        </w:tc>
      </w:tr>
      <w:tr w:rsidR="000626BF" w14:paraId="4723DEDA" w14:textId="77777777" w:rsidTr="000626BF">
        <w:trPr>
          <w:trHeight w:val="248"/>
        </w:trPr>
        <w:tc>
          <w:tcPr>
            <w:tcW w:w="2377" w:type="dxa"/>
            <w:tcBorders>
              <w:top w:val="single" w:sz="3" w:space="0" w:color="000000"/>
              <w:left w:val="single" w:sz="4" w:space="0" w:color="000000"/>
              <w:bottom w:val="single" w:sz="3" w:space="0" w:color="000000"/>
              <w:right w:val="nil"/>
            </w:tcBorders>
          </w:tcPr>
          <w:p w14:paraId="33645EAC" w14:textId="77777777" w:rsidR="000626BF" w:rsidRDefault="000626BF" w:rsidP="002F5AFF">
            <w:pPr>
              <w:spacing w:line="259" w:lineRule="auto"/>
              <w:ind w:left="102"/>
            </w:pPr>
            <w:r>
              <w:t>Cr (total)</w:t>
            </w:r>
            <w:r>
              <w:rPr>
                <w:b/>
              </w:rPr>
              <w:t xml:space="preserve"> </w:t>
            </w:r>
          </w:p>
        </w:tc>
        <w:tc>
          <w:tcPr>
            <w:tcW w:w="1084" w:type="dxa"/>
            <w:tcBorders>
              <w:top w:val="single" w:sz="3" w:space="0" w:color="000000"/>
              <w:left w:val="nil"/>
              <w:bottom w:val="single" w:sz="3" w:space="0" w:color="000000"/>
              <w:right w:val="single" w:sz="3" w:space="0" w:color="000000"/>
            </w:tcBorders>
          </w:tcPr>
          <w:p w14:paraId="2C90BE3C" w14:textId="77777777" w:rsidR="000626BF" w:rsidRDefault="000626BF" w:rsidP="002F5AFF">
            <w:pPr>
              <w:spacing w:after="160" w:line="259" w:lineRule="auto"/>
            </w:pPr>
          </w:p>
        </w:tc>
        <w:tc>
          <w:tcPr>
            <w:tcW w:w="4619" w:type="dxa"/>
            <w:tcBorders>
              <w:top w:val="single" w:sz="3" w:space="0" w:color="000000"/>
              <w:left w:val="single" w:sz="3" w:space="0" w:color="000000"/>
              <w:bottom w:val="single" w:sz="3" w:space="0" w:color="000000"/>
              <w:right w:val="single" w:sz="3" w:space="0" w:color="000000"/>
            </w:tcBorders>
          </w:tcPr>
          <w:p w14:paraId="47DEBDCB" w14:textId="77777777" w:rsidR="000626BF" w:rsidRDefault="000626BF" w:rsidP="002F5AFF">
            <w:pPr>
              <w:spacing w:line="259" w:lineRule="auto"/>
              <w:ind w:left="101"/>
            </w:pPr>
            <w:r>
              <w:t>10</w:t>
            </w:r>
            <w:r>
              <w:rPr>
                <w:b/>
              </w:rPr>
              <w:t xml:space="preserve"> </w:t>
            </w:r>
          </w:p>
        </w:tc>
      </w:tr>
      <w:tr w:rsidR="000626BF" w14:paraId="6777C5AB" w14:textId="77777777" w:rsidTr="000626BF">
        <w:trPr>
          <w:trHeight w:val="248"/>
        </w:trPr>
        <w:tc>
          <w:tcPr>
            <w:tcW w:w="2377" w:type="dxa"/>
            <w:tcBorders>
              <w:top w:val="single" w:sz="3" w:space="0" w:color="000000"/>
              <w:left w:val="single" w:sz="4" w:space="0" w:color="000000"/>
              <w:bottom w:val="single" w:sz="4" w:space="0" w:color="000000"/>
              <w:right w:val="nil"/>
            </w:tcBorders>
          </w:tcPr>
          <w:p w14:paraId="46291D53" w14:textId="77777777" w:rsidR="000626BF" w:rsidRDefault="000626BF" w:rsidP="002F5AFF">
            <w:pPr>
              <w:spacing w:line="259" w:lineRule="auto"/>
              <w:ind w:left="102"/>
            </w:pPr>
            <w:r>
              <w:t>Cu</w:t>
            </w:r>
            <w:r>
              <w:rPr>
                <w:b/>
              </w:rPr>
              <w:t xml:space="preserve"> </w:t>
            </w:r>
          </w:p>
        </w:tc>
        <w:tc>
          <w:tcPr>
            <w:tcW w:w="1084" w:type="dxa"/>
            <w:tcBorders>
              <w:top w:val="single" w:sz="3" w:space="0" w:color="000000"/>
              <w:left w:val="nil"/>
              <w:bottom w:val="single" w:sz="4" w:space="0" w:color="000000"/>
              <w:right w:val="single" w:sz="3" w:space="0" w:color="000000"/>
            </w:tcBorders>
          </w:tcPr>
          <w:p w14:paraId="3256C19C" w14:textId="77777777" w:rsidR="000626BF" w:rsidRDefault="000626BF" w:rsidP="002F5AFF">
            <w:pPr>
              <w:spacing w:after="160" w:line="259" w:lineRule="auto"/>
            </w:pPr>
          </w:p>
        </w:tc>
        <w:tc>
          <w:tcPr>
            <w:tcW w:w="4619" w:type="dxa"/>
            <w:tcBorders>
              <w:top w:val="single" w:sz="3" w:space="0" w:color="000000"/>
              <w:left w:val="single" w:sz="3" w:space="0" w:color="000000"/>
              <w:bottom w:val="single" w:sz="4" w:space="0" w:color="000000"/>
              <w:right w:val="single" w:sz="3" w:space="0" w:color="000000"/>
            </w:tcBorders>
          </w:tcPr>
          <w:p w14:paraId="454E49F3" w14:textId="77777777" w:rsidR="000626BF" w:rsidRDefault="000626BF" w:rsidP="002F5AFF">
            <w:pPr>
              <w:spacing w:line="259" w:lineRule="auto"/>
              <w:ind w:left="101"/>
            </w:pPr>
            <w:r>
              <w:t>50</w:t>
            </w:r>
            <w:r>
              <w:rPr>
                <w:b/>
              </w:rPr>
              <w:t xml:space="preserve"> </w:t>
            </w:r>
          </w:p>
        </w:tc>
      </w:tr>
      <w:tr w:rsidR="000626BF" w14:paraId="1CE6BF17" w14:textId="77777777" w:rsidTr="000626BF">
        <w:trPr>
          <w:trHeight w:val="247"/>
        </w:trPr>
        <w:tc>
          <w:tcPr>
            <w:tcW w:w="2377" w:type="dxa"/>
            <w:tcBorders>
              <w:top w:val="single" w:sz="4" w:space="0" w:color="000000"/>
              <w:left w:val="single" w:sz="4" w:space="0" w:color="000000"/>
              <w:bottom w:val="single" w:sz="4" w:space="0" w:color="000000"/>
              <w:right w:val="nil"/>
            </w:tcBorders>
          </w:tcPr>
          <w:p w14:paraId="78E71B84" w14:textId="77777777" w:rsidR="000626BF" w:rsidRDefault="000626BF" w:rsidP="002F5AFF">
            <w:pPr>
              <w:spacing w:line="259" w:lineRule="auto"/>
              <w:ind w:left="102"/>
            </w:pPr>
            <w:r>
              <w:t>Hg</w:t>
            </w:r>
            <w:r>
              <w:rPr>
                <w:b/>
              </w:rPr>
              <w:t xml:space="preserve"> </w:t>
            </w:r>
          </w:p>
        </w:tc>
        <w:tc>
          <w:tcPr>
            <w:tcW w:w="1084" w:type="dxa"/>
            <w:tcBorders>
              <w:top w:val="single" w:sz="4" w:space="0" w:color="000000"/>
              <w:left w:val="nil"/>
              <w:bottom w:val="single" w:sz="4" w:space="0" w:color="000000"/>
              <w:right w:val="single" w:sz="3" w:space="0" w:color="000000"/>
            </w:tcBorders>
          </w:tcPr>
          <w:p w14:paraId="55179475" w14:textId="77777777" w:rsidR="000626BF" w:rsidRDefault="000626BF" w:rsidP="002F5AFF">
            <w:pPr>
              <w:spacing w:after="160" w:line="259" w:lineRule="auto"/>
            </w:pPr>
          </w:p>
        </w:tc>
        <w:tc>
          <w:tcPr>
            <w:tcW w:w="4619" w:type="dxa"/>
            <w:tcBorders>
              <w:top w:val="single" w:sz="4" w:space="0" w:color="000000"/>
              <w:left w:val="single" w:sz="3" w:space="0" w:color="000000"/>
              <w:bottom w:val="single" w:sz="4" w:space="0" w:color="000000"/>
              <w:right w:val="single" w:sz="3" w:space="0" w:color="000000"/>
            </w:tcBorders>
          </w:tcPr>
          <w:p w14:paraId="04A72FF0" w14:textId="77777777" w:rsidR="000626BF" w:rsidRDefault="000626BF" w:rsidP="002F5AFF">
            <w:pPr>
              <w:spacing w:line="259" w:lineRule="auto"/>
              <w:ind w:left="101"/>
            </w:pPr>
            <w:r>
              <w:t>0.2</w:t>
            </w:r>
            <w:r>
              <w:rPr>
                <w:b/>
              </w:rPr>
              <w:t xml:space="preserve"> </w:t>
            </w:r>
          </w:p>
        </w:tc>
      </w:tr>
      <w:tr w:rsidR="000626BF" w14:paraId="07348880" w14:textId="77777777" w:rsidTr="000626BF">
        <w:trPr>
          <w:trHeight w:val="247"/>
        </w:trPr>
        <w:tc>
          <w:tcPr>
            <w:tcW w:w="2377" w:type="dxa"/>
            <w:tcBorders>
              <w:top w:val="single" w:sz="4" w:space="0" w:color="000000"/>
              <w:left w:val="single" w:sz="4" w:space="0" w:color="000000"/>
              <w:bottom w:val="single" w:sz="4" w:space="0" w:color="000000"/>
              <w:right w:val="nil"/>
            </w:tcBorders>
          </w:tcPr>
          <w:p w14:paraId="5B3D91F9" w14:textId="77777777" w:rsidR="000626BF" w:rsidRDefault="000626BF" w:rsidP="002F5AFF">
            <w:pPr>
              <w:spacing w:line="259" w:lineRule="auto"/>
              <w:ind w:left="102"/>
            </w:pPr>
            <w:r>
              <w:t>Mo</w:t>
            </w:r>
            <w:r>
              <w:rPr>
                <w:b/>
              </w:rPr>
              <w:t xml:space="preserve"> </w:t>
            </w:r>
          </w:p>
        </w:tc>
        <w:tc>
          <w:tcPr>
            <w:tcW w:w="1084" w:type="dxa"/>
            <w:tcBorders>
              <w:top w:val="single" w:sz="4" w:space="0" w:color="000000"/>
              <w:left w:val="nil"/>
              <w:bottom w:val="single" w:sz="4" w:space="0" w:color="000000"/>
              <w:right w:val="single" w:sz="3" w:space="0" w:color="000000"/>
            </w:tcBorders>
          </w:tcPr>
          <w:p w14:paraId="6415D545" w14:textId="77777777" w:rsidR="000626BF" w:rsidRDefault="000626BF" w:rsidP="002F5AFF">
            <w:pPr>
              <w:spacing w:after="160" w:line="259" w:lineRule="auto"/>
            </w:pPr>
          </w:p>
        </w:tc>
        <w:tc>
          <w:tcPr>
            <w:tcW w:w="4619" w:type="dxa"/>
            <w:tcBorders>
              <w:top w:val="single" w:sz="4" w:space="0" w:color="000000"/>
              <w:left w:val="single" w:sz="3" w:space="0" w:color="000000"/>
              <w:bottom w:val="single" w:sz="4" w:space="0" w:color="000000"/>
              <w:right w:val="single" w:sz="3" w:space="0" w:color="000000"/>
            </w:tcBorders>
          </w:tcPr>
          <w:p w14:paraId="34A3B3C6" w14:textId="77777777" w:rsidR="000626BF" w:rsidRDefault="000626BF" w:rsidP="002F5AFF">
            <w:pPr>
              <w:spacing w:line="259" w:lineRule="auto"/>
              <w:ind w:left="101"/>
            </w:pPr>
            <w:r>
              <w:t>10</w:t>
            </w:r>
            <w:r>
              <w:rPr>
                <w:b/>
              </w:rPr>
              <w:t xml:space="preserve"> </w:t>
            </w:r>
          </w:p>
        </w:tc>
      </w:tr>
      <w:tr w:rsidR="000626BF" w14:paraId="202E8A80" w14:textId="77777777" w:rsidTr="000626BF">
        <w:trPr>
          <w:trHeight w:val="247"/>
        </w:trPr>
        <w:tc>
          <w:tcPr>
            <w:tcW w:w="2377" w:type="dxa"/>
            <w:tcBorders>
              <w:top w:val="single" w:sz="4" w:space="0" w:color="000000"/>
              <w:left w:val="single" w:sz="4" w:space="0" w:color="000000"/>
              <w:bottom w:val="single" w:sz="4" w:space="0" w:color="000000"/>
              <w:right w:val="nil"/>
            </w:tcBorders>
          </w:tcPr>
          <w:p w14:paraId="05655A9D" w14:textId="77777777" w:rsidR="000626BF" w:rsidRDefault="000626BF" w:rsidP="002F5AFF">
            <w:pPr>
              <w:spacing w:line="259" w:lineRule="auto"/>
              <w:ind w:left="102"/>
            </w:pPr>
            <w:r>
              <w:t>Ni</w:t>
            </w:r>
            <w:r>
              <w:rPr>
                <w:b/>
              </w:rPr>
              <w:t xml:space="preserve"> </w:t>
            </w:r>
          </w:p>
        </w:tc>
        <w:tc>
          <w:tcPr>
            <w:tcW w:w="1084" w:type="dxa"/>
            <w:tcBorders>
              <w:top w:val="single" w:sz="4" w:space="0" w:color="000000"/>
              <w:left w:val="nil"/>
              <w:bottom w:val="single" w:sz="4" w:space="0" w:color="000000"/>
              <w:right w:val="single" w:sz="3" w:space="0" w:color="000000"/>
            </w:tcBorders>
          </w:tcPr>
          <w:p w14:paraId="1C51F0C9" w14:textId="77777777" w:rsidR="000626BF" w:rsidRDefault="000626BF" w:rsidP="002F5AFF">
            <w:pPr>
              <w:spacing w:after="160" w:line="259" w:lineRule="auto"/>
            </w:pPr>
          </w:p>
        </w:tc>
        <w:tc>
          <w:tcPr>
            <w:tcW w:w="4619" w:type="dxa"/>
            <w:tcBorders>
              <w:top w:val="single" w:sz="4" w:space="0" w:color="000000"/>
              <w:left w:val="single" w:sz="3" w:space="0" w:color="000000"/>
              <w:bottom w:val="single" w:sz="4" w:space="0" w:color="000000"/>
              <w:right w:val="single" w:sz="3" w:space="0" w:color="000000"/>
            </w:tcBorders>
          </w:tcPr>
          <w:p w14:paraId="0E8F07E5" w14:textId="77777777" w:rsidR="000626BF" w:rsidRDefault="000626BF" w:rsidP="002F5AFF">
            <w:pPr>
              <w:spacing w:line="259" w:lineRule="auto"/>
              <w:ind w:left="101"/>
            </w:pPr>
            <w:r>
              <w:t>10</w:t>
            </w:r>
            <w:r>
              <w:rPr>
                <w:b/>
              </w:rPr>
              <w:t xml:space="preserve"> </w:t>
            </w:r>
          </w:p>
        </w:tc>
      </w:tr>
      <w:tr w:rsidR="000626BF" w14:paraId="2BAB59D8" w14:textId="77777777" w:rsidTr="000626BF">
        <w:trPr>
          <w:trHeight w:val="247"/>
        </w:trPr>
        <w:tc>
          <w:tcPr>
            <w:tcW w:w="2377" w:type="dxa"/>
            <w:tcBorders>
              <w:top w:val="single" w:sz="4" w:space="0" w:color="000000"/>
              <w:left w:val="single" w:sz="4" w:space="0" w:color="000000"/>
              <w:bottom w:val="single" w:sz="4" w:space="0" w:color="000000"/>
              <w:right w:val="nil"/>
            </w:tcBorders>
          </w:tcPr>
          <w:p w14:paraId="34840DB8" w14:textId="77777777" w:rsidR="000626BF" w:rsidRDefault="000626BF" w:rsidP="002F5AFF">
            <w:pPr>
              <w:spacing w:line="259" w:lineRule="auto"/>
              <w:ind w:left="102"/>
            </w:pPr>
            <w:r>
              <w:t>Pb</w:t>
            </w:r>
            <w:r>
              <w:rPr>
                <w:b/>
              </w:rPr>
              <w:t xml:space="preserve"> </w:t>
            </w:r>
          </w:p>
        </w:tc>
        <w:tc>
          <w:tcPr>
            <w:tcW w:w="1084" w:type="dxa"/>
            <w:tcBorders>
              <w:top w:val="single" w:sz="4" w:space="0" w:color="000000"/>
              <w:left w:val="nil"/>
              <w:bottom w:val="single" w:sz="4" w:space="0" w:color="000000"/>
              <w:right w:val="single" w:sz="3" w:space="0" w:color="000000"/>
            </w:tcBorders>
          </w:tcPr>
          <w:p w14:paraId="490F0EAE" w14:textId="77777777" w:rsidR="000626BF" w:rsidRDefault="000626BF" w:rsidP="002F5AFF">
            <w:pPr>
              <w:spacing w:after="160" w:line="259" w:lineRule="auto"/>
            </w:pPr>
          </w:p>
        </w:tc>
        <w:tc>
          <w:tcPr>
            <w:tcW w:w="4619" w:type="dxa"/>
            <w:tcBorders>
              <w:top w:val="single" w:sz="4" w:space="0" w:color="000000"/>
              <w:left w:val="single" w:sz="3" w:space="0" w:color="000000"/>
              <w:bottom w:val="single" w:sz="4" w:space="0" w:color="000000"/>
              <w:right w:val="single" w:sz="3" w:space="0" w:color="000000"/>
            </w:tcBorders>
          </w:tcPr>
          <w:p w14:paraId="61B303F3" w14:textId="77777777" w:rsidR="000626BF" w:rsidRDefault="000626BF" w:rsidP="002F5AFF">
            <w:pPr>
              <w:spacing w:line="259" w:lineRule="auto"/>
              <w:ind w:left="101"/>
            </w:pPr>
            <w:r>
              <w:t>10</w:t>
            </w:r>
            <w:r>
              <w:rPr>
                <w:b/>
              </w:rPr>
              <w:t xml:space="preserve"> </w:t>
            </w:r>
          </w:p>
        </w:tc>
      </w:tr>
      <w:tr w:rsidR="000626BF" w14:paraId="0AF476EC" w14:textId="77777777" w:rsidTr="000626BF">
        <w:trPr>
          <w:trHeight w:val="247"/>
        </w:trPr>
        <w:tc>
          <w:tcPr>
            <w:tcW w:w="2377" w:type="dxa"/>
            <w:tcBorders>
              <w:top w:val="single" w:sz="4" w:space="0" w:color="000000"/>
              <w:left w:val="single" w:sz="4" w:space="0" w:color="000000"/>
              <w:bottom w:val="single" w:sz="4" w:space="0" w:color="000000"/>
              <w:right w:val="nil"/>
            </w:tcBorders>
          </w:tcPr>
          <w:p w14:paraId="67A281C4" w14:textId="77777777" w:rsidR="000626BF" w:rsidRDefault="000626BF" w:rsidP="002F5AFF">
            <w:pPr>
              <w:spacing w:line="259" w:lineRule="auto"/>
              <w:ind w:left="102"/>
            </w:pPr>
            <w:r>
              <w:t>Sb</w:t>
            </w:r>
            <w:r>
              <w:rPr>
                <w:b/>
              </w:rPr>
              <w:t xml:space="preserve"> </w:t>
            </w:r>
          </w:p>
        </w:tc>
        <w:tc>
          <w:tcPr>
            <w:tcW w:w="1084" w:type="dxa"/>
            <w:tcBorders>
              <w:top w:val="single" w:sz="4" w:space="0" w:color="000000"/>
              <w:left w:val="nil"/>
              <w:bottom w:val="single" w:sz="4" w:space="0" w:color="000000"/>
              <w:right w:val="single" w:sz="3" w:space="0" w:color="000000"/>
            </w:tcBorders>
          </w:tcPr>
          <w:p w14:paraId="60593549" w14:textId="77777777" w:rsidR="000626BF" w:rsidRDefault="000626BF" w:rsidP="002F5AFF">
            <w:pPr>
              <w:spacing w:after="160" w:line="259" w:lineRule="auto"/>
            </w:pPr>
          </w:p>
        </w:tc>
        <w:tc>
          <w:tcPr>
            <w:tcW w:w="4619" w:type="dxa"/>
            <w:tcBorders>
              <w:top w:val="single" w:sz="4" w:space="0" w:color="000000"/>
              <w:left w:val="single" w:sz="3" w:space="0" w:color="000000"/>
              <w:bottom w:val="single" w:sz="4" w:space="0" w:color="000000"/>
              <w:right w:val="single" w:sz="3" w:space="0" w:color="000000"/>
            </w:tcBorders>
          </w:tcPr>
          <w:p w14:paraId="595E1FBD" w14:textId="77777777" w:rsidR="000626BF" w:rsidRDefault="000626BF" w:rsidP="002F5AFF">
            <w:pPr>
              <w:spacing w:line="259" w:lineRule="auto"/>
              <w:ind w:left="101"/>
            </w:pPr>
            <w:r>
              <w:t>0.7</w:t>
            </w:r>
            <w:r>
              <w:rPr>
                <w:b/>
              </w:rPr>
              <w:t xml:space="preserve"> </w:t>
            </w:r>
          </w:p>
        </w:tc>
      </w:tr>
      <w:tr w:rsidR="000626BF" w14:paraId="2AF31FBB" w14:textId="77777777" w:rsidTr="000626BF">
        <w:trPr>
          <w:trHeight w:val="248"/>
        </w:trPr>
        <w:tc>
          <w:tcPr>
            <w:tcW w:w="2377" w:type="dxa"/>
            <w:tcBorders>
              <w:top w:val="single" w:sz="4" w:space="0" w:color="000000"/>
              <w:left w:val="single" w:sz="4" w:space="0" w:color="000000"/>
              <w:bottom w:val="single" w:sz="4" w:space="0" w:color="000000"/>
              <w:right w:val="nil"/>
            </w:tcBorders>
          </w:tcPr>
          <w:p w14:paraId="5F82E65E" w14:textId="77777777" w:rsidR="000626BF" w:rsidRDefault="000626BF" w:rsidP="002F5AFF">
            <w:pPr>
              <w:spacing w:line="259" w:lineRule="auto"/>
              <w:ind w:left="102"/>
            </w:pPr>
            <w:r>
              <w:t>Se</w:t>
            </w:r>
            <w:r>
              <w:rPr>
                <w:b/>
              </w:rPr>
              <w:t xml:space="preserve"> </w:t>
            </w:r>
          </w:p>
        </w:tc>
        <w:tc>
          <w:tcPr>
            <w:tcW w:w="1084" w:type="dxa"/>
            <w:tcBorders>
              <w:top w:val="single" w:sz="4" w:space="0" w:color="000000"/>
              <w:left w:val="nil"/>
              <w:bottom w:val="single" w:sz="4" w:space="0" w:color="000000"/>
              <w:right w:val="single" w:sz="3" w:space="0" w:color="000000"/>
            </w:tcBorders>
          </w:tcPr>
          <w:p w14:paraId="3BCC8B8D" w14:textId="77777777" w:rsidR="000626BF" w:rsidRDefault="000626BF" w:rsidP="002F5AFF">
            <w:pPr>
              <w:spacing w:after="160" w:line="259" w:lineRule="auto"/>
            </w:pPr>
          </w:p>
        </w:tc>
        <w:tc>
          <w:tcPr>
            <w:tcW w:w="4619" w:type="dxa"/>
            <w:tcBorders>
              <w:top w:val="single" w:sz="4" w:space="0" w:color="000000"/>
              <w:left w:val="single" w:sz="3" w:space="0" w:color="000000"/>
              <w:bottom w:val="single" w:sz="4" w:space="0" w:color="000000"/>
              <w:right w:val="single" w:sz="3" w:space="0" w:color="000000"/>
            </w:tcBorders>
          </w:tcPr>
          <w:p w14:paraId="31126D2D" w14:textId="77777777" w:rsidR="000626BF" w:rsidRDefault="000626BF" w:rsidP="002F5AFF">
            <w:pPr>
              <w:spacing w:line="259" w:lineRule="auto"/>
              <w:ind w:left="101"/>
            </w:pPr>
            <w:r>
              <w:t>0.5</w:t>
            </w:r>
            <w:r>
              <w:rPr>
                <w:b/>
              </w:rPr>
              <w:t xml:space="preserve"> </w:t>
            </w:r>
          </w:p>
        </w:tc>
      </w:tr>
      <w:tr w:rsidR="000626BF" w14:paraId="3F45C1E9" w14:textId="77777777" w:rsidTr="000626BF">
        <w:trPr>
          <w:trHeight w:val="247"/>
        </w:trPr>
        <w:tc>
          <w:tcPr>
            <w:tcW w:w="2377" w:type="dxa"/>
            <w:tcBorders>
              <w:top w:val="single" w:sz="4" w:space="0" w:color="000000"/>
              <w:left w:val="single" w:sz="4" w:space="0" w:color="000000"/>
              <w:bottom w:val="single" w:sz="4" w:space="0" w:color="000000"/>
              <w:right w:val="nil"/>
            </w:tcBorders>
          </w:tcPr>
          <w:p w14:paraId="4C150E3E" w14:textId="77777777" w:rsidR="000626BF" w:rsidRDefault="000626BF" w:rsidP="002F5AFF">
            <w:pPr>
              <w:spacing w:line="259" w:lineRule="auto"/>
              <w:ind w:left="102"/>
            </w:pPr>
            <w:r>
              <w:t>Zn</w:t>
            </w:r>
            <w:r>
              <w:rPr>
                <w:b/>
              </w:rPr>
              <w:t xml:space="preserve"> </w:t>
            </w:r>
          </w:p>
        </w:tc>
        <w:tc>
          <w:tcPr>
            <w:tcW w:w="1084" w:type="dxa"/>
            <w:tcBorders>
              <w:top w:val="single" w:sz="4" w:space="0" w:color="000000"/>
              <w:left w:val="nil"/>
              <w:bottom w:val="single" w:sz="4" w:space="0" w:color="000000"/>
              <w:right w:val="single" w:sz="3" w:space="0" w:color="000000"/>
            </w:tcBorders>
          </w:tcPr>
          <w:p w14:paraId="5ED03B09" w14:textId="77777777" w:rsidR="000626BF" w:rsidRDefault="000626BF" w:rsidP="002F5AFF">
            <w:pPr>
              <w:spacing w:after="160" w:line="259" w:lineRule="auto"/>
            </w:pPr>
          </w:p>
        </w:tc>
        <w:tc>
          <w:tcPr>
            <w:tcW w:w="4619" w:type="dxa"/>
            <w:tcBorders>
              <w:top w:val="single" w:sz="4" w:space="0" w:color="000000"/>
              <w:left w:val="single" w:sz="3" w:space="0" w:color="000000"/>
              <w:bottom w:val="single" w:sz="4" w:space="0" w:color="000000"/>
              <w:right w:val="single" w:sz="3" w:space="0" w:color="000000"/>
            </w:tcBorders>
          </w:tcPr>
          <w:p w14:paraId="7575B24A" w14:textId="77777777" w:rsidR="000626BF" w:rsidRDefault="000626BF" w:rsidP="002F5AFF">
            <w:pPr>
              <w:spacing w:line="259" w:lineRule="auto"/>
              <w:ind w:left="101"/>
            </w:pPr>
            <w:r>
              <w:t>50</w:t>
            </w:r>
            <w:r>
              <w:rPr>
                <w:b/>
              </w:rPr>
              <w:t xml:space="preserve"> </w:t>
            </w:r>
          </w:p>
        </w:tc>
      </w:tr>
      <w:tr w:rsidR="000626BF" w14:paraId="663E6CDD" w14:textId="77777777" w:rsidTr="000626BF">
        <w:trPr>
          <w:trHeight w:val="247"/>
        </w:trPr>
        <w:tc>
          <w:tcPr>
            <w:tcW w:w="2377" w:type="dxa"/>
            <w:tcBorders>
              <w:top w:val="single" w:sz="4" w:space="0" w:color="000000"/>
              <w:left w:val="single" w:sz="4" w:space="0" w:color="000000"/>
              <w:bottom w:val="single" w:sz="4" w:space="0" w:color="000000"/>
              <w:right w:val="nil"/>
            </w:tcBorders>
          </w:tcPr>
          <w:p w14:paraId="722CD963" w14:textId="77777777" w:rsidR="000626BF" w:rsidRDefault="000626BF" w:rsidP="002F5AFF">
            <w:pPr>
              <w:spacing w:line="259" w:lineRule="auto"/>
              <w:ind w:left="102"/>
            </w:pPr>
            <w:r>
              <w:t>Chloride</w:t>
            </w:r>
            <w:r>
              <w:rPr>
                <w:b/>
              </w:rPr>
              <w:t xml:space="preserve"> </w:t>
            </w:r>
          </w:p>
        </w:tc>
        <w:tc>
          <w:tcPr>
            <w:tcW w:w="1084" w:type="dxa"/>
            <w:tcBorders>
              <w:top w:val="single" w:sz="4" w:space="0" w:color="000000"/>
              <w:left w:val="nil"/>
              <w:bottom w:val="single" w:sz="4" w:space="0" w:color="000000"/>
              <w:right w:val="single" w:sz="3" w:space="0" w:color="000000"/>
            </w:tcBorders>
          </w:tcPr>
          <w:p w14:paraId="3D9CB1B0" w14:textId="77777777" w:rsidR="000626BF" w:rsidRDefault="000626BF" w:rsidP="002F5AFF">
            <w:pPr>
              <w:spacing w:after="160" w:line="259" w:lineRule="auto"/>
            </w:pPr>
          </w:p>
        </w:tc>
        <w:tc>
          <w:tcPr>
            <w:tcW w:w="4619" w:type="dxa"/>
            <w:tcBorders>
              <w:top w:val="single" w:sz="4" w:space="0" w:color="000000"/>
              <w:left w:val="single" w:sz="3" w:space="0" w:color="000000"/>
              <w:bottom w:val="single" w:sz="4" w:space="0" w:color="000000"/>
              <w:right w:val="single" w:sz="3" w:space="0" w:color="000000"/>
            </w:tcBorders>
          </w:tcPr>
          <w:p w14:paraId="3F597731" w14:textId="77777777" w:rsidR="000626BF" w:rsidRDefault="000626BF" w:rsidP="002F5AFF">
            <w:pPr>
              <w:spacing w:line="259" w:lineRule="auto"/>
              <w:ind w:left="101"/>
            </w:pPr>
            <w:r>
              <w:t>15,000</w:t>
            </w:r>
            <w:r>
              <w:rPr>
                <w:b/>
              </w:rPr>
              <w:t xml:space="preserve"> </w:t>
            </w:r>
          </w:p>
        </w:tc>
      </w:tr>
      <w:tr w:rsidR="000626BF" w14:paraId="116382B3" w14:textId="77777777" w:rsidTr="000626BF">
        <w:trPr>
          <w:trHeight w:val="247"/>
        </w:trPr>
        <w:tc>
          <w:tcPr>
            <w:tcW w:w="2377" w:type="dxa"/>
            <w:tcBorders>
              <w:top w:val="single" w:sz="4" w:space="0" w:color="000000"/>
              <w:left w:val="single" w:sz="4" w:space="0" w:color="000000"/>
              <w:bottom w:val="single" w:sz="4" w:space="0" w:color="000000"/>
              <w:right w:val="nil"/>
            </w:tcBorders>
          </w:tcPr>
          <w:p w14:paraId="03E340DE" w14:textId="77777777" w:rsidR="000626BF" w:rsidRDefault="000626BF" w:rsidP="002F5AFF">
            <w:pPr>
              <w:spacing w:line="259" w:lineRule="auto"/>
              <w:ind w:left="102"/>
            </w:pPr>
            <w:r>
              <w:t>Fluoride</w:t>
            </w:r>
            <w:r>
              <w:rPr>
                <w:b/>
              </w:rPr>
              <w:t xml:space="preserve"> </w:t>
            </w:r>
          </w:p>
        </w:tc>
        <w:tc>
          <w:tcPr>
            <w:tcW w:w="1084" w:type="dxa"/>
            <w:tcBorders>
              <w:top w:val="single" w:sz="4" w:space="0" w:color="000000"/>
              <w:left w:val="nil"/>
              <w:bottom w:val="single" w:sz="4" w:space="0" w:color="000000"/>
              <w:right w:val="single" w:sz="3" w:space="0" w:color="000000"/>
            </w:tcBorders>
          </w:tcPr>
          <w:p w14:paraId="403C2B50" w14:textId="77777777" w:rsidR="000626BF" w:rsidRDefault="000626BF" w:rsidP="002F5AFF">
            <w:pPr>
              <w:spacing w:after="160" w:line="259" w:lineRule="auto"/>
            </w:pPr>
          </w:p>
        </w:tc>
        <w:tc>
          <w:tcPr>
            <w:tcW w:w="4619" w:type="dxa"/>
            <w:tcBorders>
              <w:top w:val="single" w:sz="4" w:space="0" w:color="000000"/>
              <w:left w:val="single" w:sz="3" w:space="0" w:color="000000"/>
              <w:bottom w:val="single" w:sz="4" w:space="0" w:color="000000"/>
              <w:right w:val="single" w:sz="3" w:space="0" w:color="000000"/>
            </w:tcBorders>
          </w:tcPr>
          <w:p w14:paraId="5F566B69" w14:textId="77777777" w:rsidR="000626BF" w:rsidRDefault="000626BF" w:rsidP="002F5AFF">
            <w:pPr>
              <w:spacing w:line="259" w:lineRule="auto"/>
              <w:ind w:left="101"/>
            </w:pPr>
            <w:r>
              <w:t>150</w:t>
            </w:r>
            <w:r>
              <w:rPr>
                <w:b/>
              </w:rPr>
              <w:t xml:space="preserve"> </w:t>
            </w:r>
          </w:p>
        </w:tc>
      </w:tr>
      <w:tr w:rsidR="000626BF" w14:paraId="51122908" w14:textId="77777777" w:rsidTr="000626BF">
        <w:trPr>
          <w:trHeight w:val="247"/>
        </w:trPr>
        <w:tc>
          <w:tcPr>
            <w:tcW w:w="2377" w:type="dxa"/>
            <w:tcBorders>
              <w:top w:val="single" w:sz="4" w:space="0" w:color="000000"/>
              <w:left w:val="single" w:sz="4" w:space="0" w:color="000000"/>
              <w:bottom w:val="single" w:sz="4" w:space="0" w:color="000000"/>
              <w:right w:val="nil"/>
            </w:tcBorders>
          </w:tcPr>
          <w:p w14:paraId="3199C18E" w14:textId="77777777" w:rsidR="000626BF" w:rsidRDefault="000626BF" w:rsidP="002F5AFF">
            <w:pPr>
              <w:spacing w:line="259" w:lineRule="auto"/>
              <w:ind w:left="102"/>
            </w:pPr>
            <w:r>
              <w:t>Sulphate</w:t>
            </w:r>
            <w:r>
              <w:rPr>
                <w:b/>
              </w:rPr>
              <w:t xml:space="preserve"> </w:t>
            </w:r>
          </w:p>
        </w:tc>
        <w:tc>
          <w:tcPr>
            <w:tcW w:w="1084" w:type="dxa"/>
            <w:tcBorders>
              <w:top w:val="single" w:sz="4" w:space="0" w:color="000000"/>
              <w:left w:val="nil"/>
              <w:bottom w:val="single" w:sz="4" w:space="0" w:color="000000"/>
              <w:right w:val="single" w:sz="3" w:space="0" w:color="000000"/>
            </w:tcBorders>
          </w:tcPr>
          <w:p w14:paraId="72A324B9" w14:textId="77777777" w:rsidR="000626BF" w:rsidRDefault="000626BF" w:rsidP="002F5AFF">
            <w:pPr>
              <w:spacing w:after="160" w:line="259" w:lineRule="auto"/>
            </w:pPr>
          </w:p>
        </w:tc>
        <w:tc>
          <w:tcPr>
            <w:tcW w:w="4619" w:type="dxa"/>
            <w:tcBorders>
              <w:top w:val="single" w:sz="4" w:space="0" w:color="000000"/>
              <w:left w:val="single" w:sz="3" w:space="0" w:color="000000"/>
              <w:bottom w:val="single" w:sz="4" w:space="0" w:color="000000"/>
              <w:right w:val="single" w:sz="3" w:space="0" w:color="000000"/>
            </w:tcBorders>
          </w:tcPr>
          <w:p w14:paraId="77C4B9A0" w14:textId="77777777" w:rsidR="000626BF" w:rsidRDefault="000626BF" w:rsidP="002F5AFF">
            <w:pPr>
              <w:spacing w:line="259" w:lineRule="auto"/>
              <w:ind w:left="101"/>
            </w:pPr>
            <w:r>
              <w:t>20,000</w:t>
            </w:r>
            <w:r>
              <w:rPr>
                <w:b/>
              </w:rPr>
              <w:t xml:space="preserve"> </w:t>
            </w:r>
          </w:p>
        </w:tc>
      </w:tr>
      <w:tr w:rsidR="000626BF" w14:paraId="0A1E5900" w14:textId="77777777" w:rsidTr="000626BF">
        <w:trPr>
          <w:trHeight w:val="485"/>
        </w:trPr>
        <w:tc>
          <w:tcPr>
            <w:tcW w:w="2377" w:type="dxa"/>
            <w:tcBorders>
              <w:top w:val="single" w:sz="4" w:space="0" w:color="000000"/>
              <w:left w:val="single" w:sz="4" w:space="0" w:color="000000"/>
              <w:bottom w:val="single" w:sz="3" w:space="0" w:color="000000"/>
              <w:right w:val="nil"/>
            </w:tcBorders>
          </w:tcPr>
          <w:p w14:paraId="40BD0620" w14:textId="77777777" w:rsidR="000626BF" w:rsidRDefault="000626BF" w:rsidP="002F5AFF">
            <w:pPr>
              <w:spacing w:line="259" w:lineRule="auto"/>
              <w:ind w:left="102"/>
            </w:pPr>
            <w:r>
              <w:t>Dissolved Carbon*</w:t>
            </w:r>
            <w:r>
              <w:rPr>
                <w:b/>
              </w:rPr>
              <w:t xml:space="preserve"> </w:t>
            </w:r>
          </w:p>
        </w:tc>
        <w:tc>
          <w:tcPr>
            <w:tcW w:w="1084" w:type="dxa"/>
            <w:tcBorders>
              <w:top w:val="single" w:sz="4" w:space="0" w:color="000000"/>
              <w:left w:val="nil"/>
              <w:bottom w:val="single" w:sz="3" w:space="0" w:color="000000"/>
              <w:right w:val="single" w:sz="3" w:space="0" w:color="000000"/>
            </w:tcBorders>
          </w:tcPr>
          <w:p w14:paraId="2EA0DAE2" w14:textId="77777777" w:rsidR="000626BF" w:rsidRDefault="000626BF" w:rsidP="002F5AFF">
            <w:pPr>
              <w:spacing w:line="259" w:lineRule="auto"/>
              <w:ind w:left="174"/>
            </w:pPr>
            <w:r>
              <w:t xml:space="preserve">Organic </w:t>
            </w:r>
          </w:p>
        </w:tc>
        <w:tc>
          <w:tcPr>
            <w:tcW w:w="4619" w:type="dxa"/>
            <w:tcBorders>
              <w:top w:val="single" w:sz="4" w:space="0" w:color="000000"/>
              <w:left w:val="single" w:sz="3" w:space="0" w:color="000000"/>
              <w:bottom w:val="single" w:sz="3" w:space="0" w:color="000000"/>
              <w:right w:val="single" w:sz="3" w:space="0" w:color="000000"/>
            </w:tcBorders>
          </w:tcPr>
          <w:p w14:paraId="6BF9E119" w14:textId="77777777" w:rsidR="000626BF" w:rsidRDefault="000626BF" w:rsidP="002F5AFF">
            <w:pPr>
              <w:spacing w:line="259" w:lineRule="auto"/>
              <w:ind w:left="101"/>
            </w:pPr>
            <w:r>
              <w:t xml:space="preserve">800 </w:t>
            </w:r>
          </w:p>
          <w:p w14:paraId="6C3D637B" w14:textId="77777777" w:rsidR="000626BF" w:rsidRDefault="000626BF" w:rsidP="002F5AFF">
            <w:pPr>
              <w:spacing w:line="259" w:lineRule="auto"/>
              <w:ind w:left="101"/>
            </w:pPr>
            <w:r>
              <w:rPr>
                <w:b/>
              </w:rPr>
              <w:t xml:space="preserve"> </w:t>
            </w:r>
          </w:p>
        </w:tc>
      </w:tr>
      <w:tr w:rsidR="000626BF" w14:paraId="44F793C1" w14:textId="77777777" w:rsidTr="000626BF">
        <w:trPr>
          <w:trHeight w:val="485"/>
        </w:trPr>
        <w:tc>
          <w:tcPr>
            <w:tcW w:w="2377" w:type="dxa"/>
            <w:tcBorders>
              <w:top w:val="single" w:sz="3" w:space="0" w:color="000000"/>
              <w:left w:val="single" w:sz="4" w:space="0" w:color="000000"/>
              <w:bottom w:val="single" w:sz="4" w:space="0" w:color="000000"/>
              <w:right w:val="nil"/>
            </w:tcBorders>
          </w:tcPr>
          <w:p w14:paraId="49491D75" w14:textId="77777777" w:rsidR="000626BF" w:rsidRDefault="000626BF" w:rsidP="002F5AFF">
            <w:pPr>
              <w:spacing w:line="259" w:lineRule="auto"/>
              <w:ind w:left="102"/>
            </w:pPr>
            <w:r>
              <w:t xml:space="preserve">Total </w:t>
            </w:r>
          </w:p>
          <w:p w14:paraId="14FBDDC9" w14:textId="77777777" w:rsidR="000626BF" w:rsidRDefault="000626BF" w:rsidP="002F5AFF">
            <w:pPr>
              <w:spacing w:line="259" w:lineRule="auto"/>
              <w:ind w:left="102"/>
            </w:pPr>
            <w:r>
              <w:t>Solids**</w:t>
            </w:r>
            <w:r>
              <w:rPr>
                <w:b/>
              </w:rPr>
              <w:t xml:space="preserve"> </w:t>
            </w:r>
          </w:p>
        </w:tc>
        <w:tc>
          <w:tcPr>
            <w:tcW w:w="1084" w:type="dxa"/>
            <w:tcBorders>
              <w:top w:val="single" w:sz="3" w:space="0" w:color="000000"/>
              <w:left w:val="nil"/>
              <w:bottom w:val="single" w:sz="4" w:space="0" w:color="000000"/>
              <w:right w:val="single" w:sz="3" w:space="0" w:color="000000"/>
            </w:tcBorders>
          </w:tcPr>
          <w:p w14:paraId="1D78180D" w14:textId="77777777" w:rsidR="000626BF" w:rsidRDefault="000626BF" w:rsidP="002F5AFF">
            <w:pPr>
              <w:spacing w:line="259" w:lineRule="auto"/>
            </w:pPr>
            <w:r>
              <w:t xml:space="preserve">Dissolved </w:t>
            </w:r>
          </w:p>
        </w:tc>
        <w:tc>
          <w:tcPr>
            <w:tcW w:w="4619" w:type="dxa"/>
            <w:tcBorders>
              <w:top w:val="single" w:sz="3" w:space="0" w:color="000000"/>
              <w:left w:val="single" w:sz="3" w:space="0" w:color="000000"/>
              <w:bottom w:val="single" w:sz="4" w:space="0" w:color="000000"/>
              <w:right w:val="single" w:sz="3" w:space="0" w:color="000000"/>
            </w:tcBorders>
          </w:tcPr>
          <w:p w14:paraId="233F6EC2" w14:textId="77777777" w:rsidR="000626BF" w:rsidRDefault="000626BF" w:rsidP="002F5AFF">
            <w:pPr>
              <w:spacing w:line="259" w:lineRule="auto"/>
              <w:ind w:left="101"/>
            </w:pPr>
            <w:r>
              <w:t xml:space="preserve">60,000 </w:t>
            </w:r>
          </w:p>
          <w:p w14:paraId="5388DF9E" w14:textId="77777777" w:rsidR="000626BF" w:rsidRDefault="000626BF" w:rsidP="002F5AFF">
            <w:pPr>
              <w:spacing w:line="259" w:lineRule="auto"/>
              <w:ind w:left="101"/>
            </w:pPr>
            <w:r>
              <w:rPr>
                <w:b/>
              </w:rPr>
              <w:t xml:space="preserve"> </w:t>
            </w:r>
          </w:p>
        </w:tc>
      </w:tr>
    </w:tbl>
    <w:p w14:paraId="07911E92" w14:textId="77777777" w:rsidR="001720FE" w:rsidRDefault="001720FE" w:rsidP="002C1BEE">
      <w:pPr>
        <w:ind w:left="-5"/>
        <w:rPr>
          <w:rFonts w:ascii="Times New Roman" w:eastAsia="Times New Roman" w:hAnsi="Times New Roman" w:cs="Times New Roman"/>
        </w:rPr>
      </w:pPr>
    </w:p>
    <w:p w14:paraId="02430CF4" w14:textId="77777777" w:rsidR="00024826" w:rsidRPr="00024826" w:rsidRDefault="00024826" w:rsidP="00024826">
      <w:pPr>
        <w:ind w:left="-5"/>
        <w:rPr>
          <w:rFonts w:ascii="Arial" w:eastAsia="Times New Roman" w:hAnsi="Arial" w:cs="Arial"/>
        </w:rPr>
      </w:pPr>
      <w:r w:rsidRPr="00024826">
        <w:rPr>
          <w:rFonts w:ascii="Arial" w:eastAsia="Times New Roman" w:hAnsi="Arial" w:cs="Arial"/>
        </w:rPr>
        <w:t>* If the waste does not meet these values for dissolved organic carbon (DOC) at its own pH, it may be tested at L/S = 10 l/kg and pH of 7.5 to 8.0. If the result of this determination does not exceed 800 mg/</w:t>
      </w:r>
      <w:proofErr w:type="gramStart"/>
      <w:r w:rsidRPr="00024826">
        <w:rPr>
          <w:rFonts w:ascii="Arial" w:eastAsia="Times New Roman" w:hAnsi="Arial" w:cs="Arial"/>
        </w:rPr>
        <w:t>kg ,</w:t>
      </w:r>
      <w:proofErr w:type="gramEnd"/>
      <w:r w:rsidRPr="00024826">
        <w:rPr>
          <w:rFonts w:ascii="Arial" w:eastAsia="Times New Roman" w:hAnsi="Arial" w:cs="Arial"/>
        </w:rPr>
        <w:t xml:space="preserve"> the waste may be considered as complying with the acceptance criteria for DOC. </w:t>
      </w:r>
    </w:p>
    <w:p w14:paraId="0C93065C" w14:textId="5FC7990E" w:rsidR="001720FE" w:rsidRPr="00024826" w:rsidRDefault="00024826" w:rsidP="00024826">
      <w:pPr>
        <w:ind w:left="-5"/>
        <w:rPr>
          <w:rFonts w:ascii="Arial" w:eastAsia="Times New Roman" w:hAnsi="Arial" w:cs="Arial"/>
        </w:rPr>
      </w:pPr>
      <w:r w:rsidRPr="00024826">
        <w:rPr>
          <w:rFonts w:ascii="Arial" w:eastAsia="Times New Roman" w:hAnsi="Arial" w:cs="Arial"/>
        </w:rPr>
        <w:t xml:space="preserve"> ** The values for total dissolved solids can be used as an alternative criterion to the individual values for chloride and sulphate.</w:t>
      </w:r>
    </w:p>
    <w:p w14:paraId="4A3EA6C2" w14:textId="35F6CA24" w:rsidR="001720FE" w:rsidRPr="002A1BCF" w:rsidRDefault="002A1BCF" w:rsidP="002C1BEE">
      <w:pPr>
        <w:ind w:left="-5"/>
        <w:rPr>
          <w:rFonts w:ascii="Arial" w:eastAsia="Times New Roman" w:hAnsi="Arial" w:cs="Arial"/>
          <w:b/>
          <w:bCs/>
        </w:rPr>
      </w:pPr>
      <w:r w:rsidRPr="002A1BCF">
        <w:rPr>
          <w:rFonts w:ascii="Arial" w:eastAsia="Times New Roman" w:hAnsi="Arial" w:cs="Arial"/>
          <w:b/>
          <w:bCs/>
        </w:rPr>
        <w:lastRenderedPageBreak/>
        <w:t>Table 2: Other Criteria for Granular, Stable, Non-reactive Hazardous Wastes</w:t>
      </w:r>
    </w:p>
    <w:p w14:paraId="6B78853C" w14:textId="77777777" w:rsidR="002A1BCF" w:rsidRDefault="002A1BCF" w:rsidP="002C1BEE">
      <w:pPr>
        <w:ind w:left="-5"/>
        <w:rPr>
          <w:rFonts w:ascii="Times New Roman" w:eastAsia="Times New Roman" w:hAnsi="Times New Roman" w:cs="Times New Roman"/>
        </w:rPr>
      </w:pPr>
    </w:p>
    <w:tbl>
      <w:tblPr>
        <w:tblStyle w:val="TableGrid"/>
        <w:tblW w:w="4688" w:type="dxa"/>
        <w:tblInd w:w="1016" w:type="dxa"/>
        <w:tblCellMar>
          <w:top w:w="10" w:type="dxa"/>
          <w:left w:w="101" w:type="dxa"/>
          <w:right w:w="102" w:type="dxa"/>
        </w:tblCellMar>
        <w:tblLook w:val="04A0" w:firstRow="1" w:lastRow="0" w:firstColumn="1" w:lastColumn="0" w:noHBand="0" w:noVBand="1"/>
        <w:tblDescription w:val="Additional criteria for granular stable non-reactive hazardous wastes including total organic carbon, pH, acid neutralisation capacity and physical stability. "/>
      </w:tblPr>
      <w:tblGrid>
        <w:gridCol w:w="2792"/>
        <w:gridCol w:w="1896"/>
      </w:tblGrid>
      <w:tr w:rsidR="00AB1470" w14:paraId="741E4418" w14:textId="77777777" w:rsidTr="002F5AFF">
        <w:trPr>
          <w:trHeight w:val="485"/>
        </w:trPr>
        <w:tc>
          <w:tcPr>
            <w:tcW w:w="2792" w:type="dxa"/>
            <w:tcBorders>
              <w:top w:val="single" w:sz="3" w:space="0" w:color="000000"/>
              <w:left w:val="single" w:sz="4" w:space="0" w:color="000000"/>
              <w:bottom w:val="single" w:sz="4" w:space="0" w:color="000000"/>
              <w:right w:val="single" w:sz="3" w:space="0" w:color="000000"/>
            </w:tcBorders>
          </w:tcPr>
          <w:p w14:paraId="0127EC08" w14:textId="77777777" w:rsidR="00AB1470" w:rsidRDefault="00AB1470" w:rsidP="002F5AFF">
            <w:pPr>
              <w:spacing w:line="259" w:lineRule="auto"/>
              <w:ind w:left="1"/>
            </w:pPr>
            <w:r>
              <w:rPr>
                <w:b/>
              </w:rPr>
              <w:t>A</w:t>
            </w:r>
          </w:p>
        </w:tc>
        <w:tc>
          <w:tcPr>
            <w:tcW w:w="1896" w:type="dxa"/>
            <w:tcBorders>
              <w:top w:val="single" w:sz="3" w:space="0" w:color="000000"/>
              <w:left w:val="single" w:sz="3" w:space="0" w:color="000000"/>
              <w:bottom w:val="single" w:sz="4" w:space="0" w:color="000000"/>
              <w:right w:val="single" w:sz="3" w:space="0" w:color="000000"/>
            </w:tcBorders>
          </w:tcPr>
          <w:p w14:paraId="73969438" w14:textId="77777777" w:rsidR="00AB1470" w:rsidRDefault="00AB1470" w:rsidP="002F5AFF">
            <w:pPr>
              <w:spacing w:line="259" w:lineRule="auto"/>
            </w:pPr>
            <w:r>
              <w:rPr>
                <w:b/>
              </w:rPr>
              <w:t xml:space="preserve">VALUE </w:t>
            </w:r>
          </w:p>
          <w:p w14:paraId="72C113B7" w14:textId="77777777" w:rsidR="00AB1470" w:rsidRDefault="00AB1470" w:rsidP="002F5AFF">
            <w:pPr>
              <w:spacing w:line="259" w:lineRule="auto"/>
            </w:pPr>
            <w:r>
              <w:rPr>
                <w:b/>
              </w:rPr>
              <w:t xml:space="preserve"> </w:t>
            </w:r>
          </w:p>
        </w:tc>
      </w:tr>
      <w:tr w:rsidR="00AB1470" w14:paraId="6505C6E9" w14:textId="77777777" w:rsidTr="002F5AFF">
        <w:trPr>
          <w:trHeight w:val="485"/>
        </w:trPr>
        <w:tc>
          <w:tcPr>
            <w:tcW w:w="2792" w:type="dxa"/>
            <w:tcBorders>
              <w:top w:val="single" w:sz="4" w:space="0" w:color="000000"/>
              <w:left w:val="single" w:sz="4" w:space="0" w:color="000000"/>
              <w:bottom w:val="single" w:sz="3" w:space="0" w:color="000000"/>
              <w:right w:val="single" w:sz="3" w:space="0" w:color="000000"/>
            </w:tcBorders>
          </w:tcPr>
          <w:p w14:paraId="48274D38" w14:textId="77777777" w:rsidR="00AB1470" w:rsidRDefault="00AB1470" w:rsidP="002F5AFF">
            <w:pPr>
              <w:spacing w:line="259" w:lineRule="auto"/>
              <w:ind w:left="1"/>
            </w:pPr>
            <w:r>
              <w:t>Total Organic Carbon</w:t>
            </w:r>
            <w:r>
              <w:rPr>
                <w:b/>
              </w:rPr>
              <w:t xml:space="preserve"> </w:t>
            </w:r>
          </w:p>
        </w:tc>
        <w:tc>
          <w:tcPr>
            <w:tcW w:w="1896" w:type="dxa"/>
            <w:tcBorders>
              <w:top w:val="single" w:sz="4" w:space="0" w:color="000000"/>
              <w:left w:val="single" w:sz="3" w:space="0" w:color="000000"/>
              <w:bottom w:val="single" w:sz="3" w:space="0" w:color="000000"/>
              <w:right w:val="single" w:sz="3" w:space="0" w:color="000000"/>
            </w:tcBorders>
          </w:tcPr>
          <w:p w14:paraId="26CA4AF7" w14:textId="77777777" w:rsidR="00AB1470" w:rsidRDefault="00AB1470" w:rsidP="002F5AFF">
            <w:pPr>
              <w:spacing w:line="259" w:lineRule="auto"/>
            </w:pPr>
            <w:r>
              <w:t xml:space="preserve">5%* </w:t>
            </w:r>
          </w:p>
          <w:p w14:paraId="39AAB59B" w14:textId="77777777" w:rsidR="00AB1470" w:rsidRDefault="00AB1470" w:rsidP="002F5AFF">
            <w:pPr>
              <w:spacing w:line="259" w:lineRule="auto"/>
            </w:pPr>
            <w:r>
              <w:rPr>
                <w:b/>
              </w:rPr>
              <w:t xml:space="preserve"> </w:t>
            </w:r>
          </w:p>
        </w:tc>
      </w:tr>
      <w:tr w:rsidR="00AB1470" w14:paraId="4F39C49D" w14:textId="77777777" w:rsidTr="002F5AFF">
        <w:trPr>
          <w:trHeight w:val="485"/>
        </w:trPr>
        <w:tc>
          <w:tcPr>
            <w:tcW w:w="2792" w:type="dxa"/>
            <w:tcBorders>
              <w:top w:val="single" w:sz="3" w:space="0" w:color="000000"/>
              <w:left w:val="single" w:sz="4" w:space="0" w:color="000000"/>
              <w:bottom w:val="single" w:sz="4" w:space="0" w:color="000000"/>
              <w:right w:val="single" w:sz="3" w:space="0" w:color="000000"/>
            </w:tcBorders>
          </w:tcPr>
          <w:p w14:paraId="29ACBD0D" w14:textId="77777777" w:rsidR="00AB1470" w:rsidRDefault="00AB1470" w:rsidP="002F5AFF">
            <w:pPr>
              <w:spacing w:line="259" w:lineRule="auto"/>
              <w:ind w:left="1"/>
            </w:pPr>
            <w:r>
              <w:t>PH</w:t>
            </w:r>
            <w:r>
              <w:rPr>
                <w:b/>
              </w:rPr>
              <w:t xml:space="preserve"> </w:t>
            </w:r>
          </w:p>
        </w:tc>
        <w:tc>
          <w:tcPr>
            <w:tcW w:w="1896" w:type="dxa"/>
            <w:tcBorders>
              <w:top w:val="single" w:sz="3" w:space="0" w:color="000000"/>
              <w:left w:val="single" w:sz="3" w:space="0" w:color="000000"/>
              <w:bottom w:val="single" w:sz="4" w:space="0" w:color="000000"/>
              <w:right w:val="single" w:sz="3" w:space="0" w:color="000000"/>
            </w:tcBorders>
          </w:tcPr>
          <w:p w14:paraId="62DD5E7B" w14:textId="77777777" w:rsidR="00AB1470" w:rsidRDefault="00AB1470" w:rsidP="002F5AFF">
            <w:pPr>
              <w:spacing w:line="259" w:lineRule="auto"/>
            </w:pPr>
            <w:r>
              <w:t xml:space="preserve">Minimum 6 </w:t>
            </w:r>
          </w:p>
          <w:p w14:paraId="617E8ED1" w14:textId="77777777" w:rsidR="00AB1470" w:rsidRDefault="00AB1470" w:rsidP="002F5AFF">
            <w:pPr>
              <w:spacing w:line="259" w:lineRule="auto"/>
            </w:pPr>
            <w:r>
              <w:rPr>
                <w:b/>
              </w:rPr>
              <w:t xml:space="preserve"> </w:t>
            </w:r>
          </w:p>
        </w:tc>
      </w:tr>
      <w:tr w:rsidR="00AB1470" w14:paraId="638F0C35" w14:textId="77777777" w:rsidTr="002F5AFF">
        <w:trPr>
          <w:trHeight w:val="247"/>
        </w:trPr>
        <w:tc>
          <w:tcPr>
            <w:tcW w:w="2792" w:type="dxa"/>
            <w:tcBorders>
              <w:top w:val="single" w:sz="4" w:space="0" w:color="000000"/>
              <w:left w:val="single" w:sz="4" w:space="0" w:color="000000"/>
              <w:bottom w:val="single" w:sz="4" w:space="0" w:color="000000"/>
              <w:right w:val="single" w:sz="3" w:space="0" w:color="000000"/>
            </w:tcBorders>
          </w:tcPr>
          <w:p w14:paraId="763888F5" w14:textId="77777777" w:rsidR="00AB1470" w:rsidRDefault="00AB1470" w:rsidP="002F5AFF">
            <w:pPr>
              <w:spacing w:line="259" w:lineRule="auto"/>
              <w:ind w:left="1"/>
            </w:pPr>
            <w:r>
              <w:t>Acid Neutralisation Capacity</w:t>
            </w:r>
          </w:p>
        </w:tc>
        <w:tc>
          <w:tcPr>
            <w:tcW w:w="1896" w:type="dxa"/>
            <w:tcBorders>
              <w:top w:val="single" w:sz="4" w:space="0" w:color="000000"/>
              <w:left w:val="single" w:sz="3" w:space="0" w:color="000000"/>
              <w:bottom w:val="single" w:sz="4" w:space="0" w:color="000000"/>
              <w:right w:val="single" w:sz="3" w:space="0" w:color="000000"/>
            </w:tcBorders>
          </w:tcPr>
          <w:p w14:paraId="71EB1B9B" w14:textId="77777777" w:rsidR="00AB1470" w:rsidRDefault="00AB1470" w:rsidP="002F5AFF">
            <w:pPr>
              <w:spacing w:line="259" w:lineRule="auto"/>
            </w:pPr>
            <w:r>
              <w:t>Must be evaluated</w:t>
            </w:r>
          </w:p>
        </w:tc>
      </w:tr>
      <w:tr w:rsidR="00AB1470" w14:paraId="20B97824" w14:textId="77777777" w:rsidTr="002F5AFF">
        <w:trPr>
          <w:trHeight w:val="485"/>
        </w:trPr>
        <w:tc>
          <w:tcPr>
            <w:tcW w:w="2792" w:type="dxa"/>
            <w:tcBorders>
              <w:top w:val="single" w:sz="4" w:space="0" w:color="000000"/>
              <w:left w:val="single" w:sz="4" w:space="0" w:color="000000"/>
              <w:bottom w:val="single" w:sz="3" w:space="0" w:color="000000"/>
              <w:right w:val="single" w:sz="3" w:space="0" w:color="000000"/>
            </w:tcBorders>
          </w:tcPr>
          <w:p w14:paraId="01D433AF" w14:textId="77777777" w:rsidR="00AB1470" w:rsidRDefault="00AB1470" w:rsidP="002F5AFF">
            <w:pPr>
              <w:spacing w:line="259" w:lineRule="auto"/>
              <w:ind w:left="1"/>
            </w:pPr>
            <w:r>
              <w:t xml:space="preserve">Physical stability </w:t>
            </w:r>
          </w:p>
        </w:tc>
        <w:tc>
          <w:tcPr>
            <w:tcW w:w="1896" w:type="dxa"/>
            <w:tcBorders>
              <w:top w:val="single" w:sz="4" w:space="0" w:color="000000"/>
              <w:left w:val="single" w:sz="3" w:space="0" w:color="000000"/>
              <w:bottom w:val="single" w:sz="3" w:space="0" w:color="000000"/>
              <w:right w:val="single" w:sz="3" w:space="0" w:color="000000"/>
            </w:tcBorders>
          </w:tcPr>
          <w:p w14:paraId="44CF7FAA" w14:textId="77777777" w:rsidR="00AB1470" w:rsidRDefault="00AB1470" w:rsidP="002F5AFF">
            <w:pPr>
              <w:spacing w:line="259" w:lineRule="auto"/>
            </w:pPr>
            <w:r>
              <w:t xml:space="preserve">** </w:t>
            </w:r>
          </w:p>
          <w:p w14:paraId="67617459" w14:textId="77777777" w:rsidR="00AB1470" w:rsidRDefault="00AB1470" w:rsidP="002F5AFF">
            <w:pPr>
              <w:spacing w:line="259" w:lineRule="auto"/>
            </w:pPr>
            <w:r>
              <w:t xml:space="preserve"> </w:t>
            </w:r>
          </w:p>
        </w:tc>
      </w:tr>
    </w:tbl>
    <w:p w14:paraId="4925AC10" w14:textId="77777777" w:rsidR="002A1BCF" w:rsidRDefault="002A1BCF" w:rsidP="002C1BEE">
      <w:pPr>
        <w:ind w:left="-5"/>
        <w:rPr>
          <w:rFonts w:ascii="Times New Roman" w:eastAsia="Times New Roman" w:hAnsi="Times New Roman" w:cs="Times New Roman"/>
        </w:rPr>
      </w:pPr>
    </w:p>
    <w:p w14:paraId="172C5488" w14:textId="77777777" w:rsidR="007F6D6B" w:rsidRDefault="007F6D6B" w:rsidP="007F6D6B">
      <w:pPr>
        <w:ind w:left="-5"/>
      </w:pPr>
      <w:r>
        <w:t xml:space="preserve">* If this value is not achieved, a higher value may be admitted by SEPA, provided that the dissolved organic carbon (DOC) value of 800 mg/kg is achieved at L/S 10 at its own pH or at a pH of 7.5 to 8.0 </w:t>
      </w:r>
    </w:p>
    <w:p w14:paraId="1AB3B655" w14:textId="77777777" w:rsidR="007F6D6B" w:rsidRDefault="007F6D6B" w:rsidP="007F6D6B">
      <w:pPr>
        <w:ind w:left="-5"/>
      </w:pPr>
      <w:r>
        <w:t>** The wastes must have sufficient inherent strength and be placed in such a manner to ensure no threat to the stability or integrity of the landfill or management systems (e.g. separation barriers, structures, etc.)</w:t>
      </w:r>
      <w:r>
        <w:rPr>
          <w:rFonts w:ascii="Times New Roman" w:eastAsia="Times New Roman" w:hAnsi="Times New Roman" w:cs="Times New Roman"/>
        </w:rPr>
        <w:t xml:space="preserve"> </w:t>
      </w:r>
    </w:p>
    <w:p w14:paraId="4FF8CF0F" w14:textId="77777777" w:rsidR="007F6D6B" w:rsidRDefault="007F6D6B" w:rsidP="002C1BEE">
      <w:pPr>
        <w:ind w:left="-5"/>
        <w:rPr>
          <w:rFonts w:ascii="Times New Roman" w:eastAsia="Times New Roman" w:hAnsi="Times New Roman" w:cs="Times New Roman"/>
        </w:rPr>
      </w:pPr>
    </w:p>
    <w:p w14:paraId="2048C44E" w14:textId="77777777" w:rsidR="007F6D6B" w:rsidRDefault="007F6D6B" w:rsidP="002C1BEE">
      <w:pPr>
        <w:ind w:left="-5"/>
        <w:rPr>
          <w:rFonts w:ascii="Times New Roman" w:eastAsia="Times New Roman" w:hAnsi="Times New Roman" w:cs="Times New Roman"/>
        </w:rPr>
      </w:pPr>
    </w:p>
    <w:p w14:paraId="64A8DD85" w14:textId="77777777" w:rsidR="007F6D6B" w:rsidRDefault="007F6D6B" w:rsidP="002C1BEE">
      <w:pPr>
        <w:ind w:left="-5"/>
        <w:rPr>
          <w:rFonts w:ascii="Times New Roman" w:eastAsia="Times New Roman" w:hAnsi="Times New Roman" w:cs="Times New Roman"/>
        </w:rPr>
      </w:pPr>
    </w:p>
    <w:p w14:paraId="6BABEEB7" w14:textId="77777777" w:rsidR="007F6D6B" w:rsidRDefault="007F6D6B" w:rsidP="002C1BEE">
      <w:pPr>
        <w:ind w:left="-5"/>
        <w:rPr>
          <w:rFonts w:ascii="Times New Roman" w:eastAsia="Times New Roman" w:hAnsi="Times New Roman" w:cs="Times New Roman"/>
        </w:rPr>
      </w:pPr>
    </w:p>
    <w:p w14:paraId="0352E82C" w14:textId="77777777" w:rsidR="007F6D6B" w:rsidRDefault="007F6D6B" w:rsidP="002C1BEE">
      <w:pPr>
        <w:ind w:left="-5"/>
        <w:rPr>
          <w:rFonts w:ascii="Times New Roman" w:eastAsia="Times New Roman" w:hAnsi="Times New Roman" w:cs="Times New Roman"/>
        </w:rPr>
      </w:pPr>
    </w:p>
    <w:p w14:paraId="34F3E674" w14:textId="77777777" w:rsidR="007F6D6B" w:rsidRDefault="007F6D6B" w:rsidP="002C1BEE">
      <w:pPr>
        <w:ind w:left="-5"/>
        <w:rPr>
          <w:rFonts w:ascii="Times New Roman" w:eastAsia="Times New Roman" w:hAnsi="Times New Roman" w:cs="Times New Roman"/>
        </w:rPr>
      </w:pPr>
    </w:p>
    <w:p w14:paraId="2BFEE4BE" w14:textId="77777777" w:rsidR="007F6D6B" w:rsidRDefault="007F6D6B" w:rsidP="002C1BEE">
      <w:pPr>
        <w:ind w:left="-5"/>
        <w:rPr>
          <w:rFonts w:ascii="Times New Roman" w:eastAsia="Times New Roman" w:hAnsi="Times New Roman" w:cs="Times New Roman"/>
        </w:rPr>
      </w:pPr>
    </w:p>
    <w:p w14:paraId="6E7BD8DB" w14:textId="77777777" w:rsidR="007F6D6B" w:rsidRDefault="007F6D6B" w:rsidP="002C1BEE">
      <w:pPr>
        <w:ind w:left="-5"/>
        <w:rPr>
          <w:rFonts w:ascii="Times New Roman" w:eastAsia="Times New Roman" w:hAnsi="Times New Roman" w:cs="Times New Roman"/>
        </w:rPr>
      </w:pPr>
    </w:p>
    <w:p w14:paraId="4499F2DA" w14:textId="77777777" w:rsidR="002A1BCF" w:rsidRDefault="002A1BCF" w:rsidP="002C1BEE">
      <w:pPr>
        <w:ind w:left="-5"/>
        <w:rPr>
          <w:rFonts w:ascii="Times New Roman" w:eastAsia="Times New Roman" w:hAnsi="Times New Roman" w:cs="Times New Roman"/>
        </w:rPr>
      </w:pPr>
    </w:p>
    <w:p w14:paraId="4C467BD1" w14:textId="77777777" w:rsidR="002A1BCF" w:rsidRDefault="002A1BCF" w:rsidP="002C1BEE">
      <w:pPr>
        <w:ind w:left="-5"/>
        <w:rPr>
          <w:rFonts w:ascii="Times New Roman" w:eastAsia="Times New Roman" w:hAnsi="Times New Roman" w:cs="Times New Roman"/>
        </w:rPr>
      </w:pPr>
    </w:p>
    <w:p w14:paraId="389B0FF0" w14:textId="77777777" w:rsidR="002A1BCF" w:rsidRDefault="002A1BCF" w:rsidP="002C1BEE">
      <w:pPr>
        <w:ind w:left="-5"/>
        <w:rPr>
          <w:rFonts w:ascii="Times New Roman" w:eastAsia="Times New Roman" w:hAnsi="Times New Roman" w:cs="Times New Roman"/>
        </w:rPr>
      </w:pPr>
    </w:p>
    <w:p w14:paraId="56B2FCF3" w14:textId="77777777" w:rsidR="002A1BCF" w:rsidRDefault="002A1BCF" w:rsidP="002C1BEE">
      <w:pPr>
        <w:ind w:left="-5"/>
        <w:rPr>
          <w:rFonts w:ascii="Times New Roman" w:eastAsia="Times New Roman" w:hAnsi="Times New Roman" w:cs="Times New Roman"/>
        </w:rPr>
      </w:pPr>
    </w:p>
    <w:p w14:paraId="47727C06" w14:textId="77777777" w:rsidR="00656A80" w:rsidRDefault="00656A80" w:rsidP="002C1BEE">
      <w:pPr>
        <w:ind w:left="-5"/>
        <w:rPr>
          <w:rFonts w:ascii="Times New Roman" w:eastAsia="Times New Roman" w:hAnsi="Times New Roman" w:cs="Times New Roman"/>
        </w:rPr>
      </w:pPr>
    </w:p>
    <w:p w14:paraId="061606E9" w14:textId="77777777" w:rsidR="002A1BCF" w:rsidRDefault="002A1BCF" w:rsidP="002C1BEE">
      <w:pPr>
        <w:ind w:left="-5"/>
        <w:rPr>
          <w:rFonts w:ascii="Times New Roman" w:eastAsia="Times New Roman" w:hAnsi="Times New Roman" w:cs="Times New Roman"/>
        </w:rPr>
      </w:pPr>
    </w:p>
    <w:p w14:paraId="11FD6241" w14:textId="77777777" w:rsidR="002A1BCF" w:rsidRDefault="002A1BCF" w:rsidP="002C1BEE">
      <w:pPr>
        <w:ind w:left="-5"/>
        <w:rPr>
          <w:rFonts w:ascii="Times New Roman" w:eastAsia="Times New Roman" w:hAnsi="Times New Roman" w:cs="Times New Roman"/>
        </w:rPr>
      </w:pPr>
    </w:p>
    <w:p w14:paraId="092AA769" w14:textId="77777777" w:rsidR="001720FE" w:rsidRPr="00656A80" w:rsidRDefault="001720FE" w:rsidP="00656A80">
      <w:pPr>
        <w:rPr>
          <w:rFonts w:ascii="Arial" w:hAnsi="Arial" w:cs="Arial"/>
          <w:sz w:val="20"/>
          <w:szCs w:val="20"/>
        </w:rPr>
      </w:pPr>
      <w:r w:rsidRPr="00656A80">
        <w:rPr>
          <w:rFonts w:ascii="Arial" w:hAnsi="Arial" w:cs="Arial"/>
          <w:b/>
          <w:bCs/>
        </w:rPr>
        <w:lastRenderedPageBreak/>
        <w:t>This guidance has been updated to meet accessibility standards and to replace certain references to legislation with references to the Environmental Authorisations (Scotland) Regulations 2018. It has not been reviewed beyond this. We are aware that sections of this guidance may need to be updated, and this work will be completed in due course.</w:t>
      </w:r>
    </w:p>
    <w:p w14:paraId="16599B46" w14:textId="77777777" w:rsidR="001720FE" w:rsidRDefault="001720FE" w:rsidP="002C1BEE">
      <w:pPr>
        <w:ind w:left="-5"/>
        <w:rPr>
          <w:rFonts w:ascii="Times New Roman" w:eastAsia="Times New Roman" w:hAnsi="Times New Roman" w:cs="Times New Roman"/>
        </w:rPr>
      </w:pPr>
    </w:p>
    <w:p w14:paraId="3D6A9D94" w14:textId="77777777" w:rsidR="00002F10" w:rsidRPr="000961F3" w:rsidRDefault="00002F10" w:rsidP="00002F10">
      <w:pPr>
        <w:pStyle w:val="Heading2"/>
        <w:spacing w:after="120" w:line="360" w:lineRule="auto"/>
        <w:rPr>
          <w:rFonts w:ascii="Arial" w:hAnsi="Arial" w:cs="Arial"/>
          <w:sz w:val="24"/>
          <w:szCs w:val="24"/>
        </w:rPr>
      </w:pPr>
      <w:bookmarkStart w:id="15" w:name="_Toc184981253"/>
      <w:bookmarkStart w:id="16" w:name="_Toc195528956"/>
      <w:bookmarkStart w:id="17" w:name="_Toc195530043"/>
      <w:r w:rsidRPr="000961F3">
        <w:rPr>
          <w:rFonts w:ascii="Arial" w:hAnsi="Arial" w:cs="Arial"/>
          <w:sz w:val="24"/>
          <w:szCs w:val="24"/>
        </w:rPr>
        <w:t>Disclaimer</w:t>
      </w:r>
      <w:bookmarkEnd w:id="15"/>
      <w:bookmarkEnd w:id="16"/>
      <w:bookmarkEnd w:id="17"/>
    </w:p>
    <w:p w14:paraId="3E2C0956" w14:textId="77777777" w:rsidR="00002F10" w:rsidRPr="000961F3" w:rsidRDefault="00002F10" w:rsidP="00002F10">
      <w:pPr>
        <w:spacing w:after="240"/>
        <w:rPr>
          <w:rFonts w:ascii="Arial" w:hAnsi="Arial" w:cs="Arial"/>
        </w:rPr>
      </w:pPr>
      <w:r w:rsidRPr="000961F3">
        <w:rPr>
          <w:rFonts w:ascii="Arial" w:hAnsi="Arial" w:cs="Arial"/>
        </w:rPr>
        <w:t>This guidance is based on the law as it stood when the guidance was published.</w:t>
      </w:r>
    </w:p>
    <w:p w14:paraId="3A6F0887" w14:textId="77777777" w:rsidR="00002F10" w:rsidRPr="000961F3" w:rsidRDefault="00002F10" w:rsidP="00002F10">
      <w:pPr>
        <w:spacing w:after="240"/>
        <w:rPr>
          <w:rFonts w:ascii="Arial" w:hAnsi="Arial" w:cs="Arial"/>
        </w:rPr>
      </w:pPr>
      <w:r w:rsidRPr="000961F3">
        <w:rPr>
          <w:rFonts w:ascii="Arial" w:hAnsi="Arial" w:cs="Arial"/>
        </w:rPr>
        <w:t>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w:t>
      </w:r>
    </w:p>
    <w:p w14:paraId="50A6E62E" w14:textId="77777777" w:rsidR="00002F10" w:rsidRPr="000961F3" w:rsidRDefault="00002F10" w:rsidP="00002F10">
      <w:pPr>
        <w:numPr>
          <w:ilvl w:val="0"/>
          <w:numId w:val="20"/>
        </w:numPr>
        <w:spacing w:after="240"/>
        <w:rPr>
          <w:rFonts w:ascii="Arial" w:hAnsi="Arial" w:cs="Arial"/>
        </w:rPr>
      </w:pPr>
      <w:r w:rsidRPr="000961F3">
        <w:rPr>
          <w:rFonts w:ascii="Arial" w:hAnsi="Arial" w:cs="Arial"/>
        </w:rPr>
        <w:t>any direct, indirect and consequential losses</w:t>
      </w:r>
    </w:p>
    <w:p w14:paraId="2DD942F6" w14:textId="77777777" w:rsidR="00002F10" w:rsidRPr="000961F3" w:rsidRDefault="00002F10" w:rsidP="00002F10">
      <w:pPr>
        <w:numPr>
          <w:ilvl w:val="0"/>
          <w:numId w:val="20"/>
        </w:numPr>
        <w:spacing w:after="240"/>
        <w:rPr>
          <w:rFonts w:ascii="Arial" w:hAnsi="Arial" w:cs="Arial"/>
        </w:rPr>
      </w:pPr>
      <w:r w:rsidRPr="000961F3">
        <w:rPr>
          <w:rFonts w:ascii="Arial" w:hAnsi="Arial" w:cs="Arial"/>
        </w:rPr>
        <w:t>any loss or damage caused by civil wrongs, breach of contract or otherwise.</w:t>
      </w:r>
    </w:p>
    <w:p w14:paraId="02EA9F74" w14:textId="77777777" w:rsidR="00002F10" w:rsidRPr="000961F3" w:rsidRDefault="00002F10" w:rsidP="00002F10">
      <w:pPr>
        <w:spacing w:after="240"/>
        <w:rPr>
          <w:rFonts w:ascii="Arial" w:hAnsi="Arial" w:cs="Arial"/>
        </w:rPr>
      </w:pPr>
      <w:r w:rsidRPr="000961F3">
        <w:rPr>
          <w:rFonts w:ascii="Arial" w:hAnsi="Arial" w:cs="Arial"/>
        </w:rPr>
        <w:t>SEPA reserves the right to depart from this guidance and take appropriate action as it considers necessary or appropriate. Operators are responsible for ensuring that they are compliant with the law. If necessary, independent legal / specialist advice should be sought.</w:t>
      </w:r>
    </w:p>
    <w:p w14:paraId="0C54E76F" w14:textId="77777777" w:rsidR="001720FE" w:rsidRDefault="001720FE" w:rsidP="002C1BEE">
      <w:pPr>
        <w:ind w:left="-5"/>
        <w:rPr>
          <w:rFonts w:ascii="Times New Roman" w:eastAsia="Times New Roman" w:hAnsi="Times New Roman" w:cs="Times New Roman"/>
        </w:rPr>
      </w:pPr>
    </w:p>
    <w:sectPr w:rsidR="001720FE" w:rsidSect="005E5007">
      <w:headerReference w:type="even" r:id="rId15"/>
      <w:headerReference w:type="default" r:id="rId16"/>
      <w:footerReference w:type="even" r:id="rId17"/>
      <w:footerReference w:type="default" r:id="rId18"/>
      <w:headerReference w:type="first" r:id="rId19"/>
      <w:footerReference w:type="first" r:id="rId20"/>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7E292" w14:textId="77777777" w:rsidR="004C2563" w:rsidRDefault="004C2563" w:rsidP="00660C79">
      <w:pPr>
        <w:spacing w:line="240" w:lineRule="auto"/>
      </w:pPr>
      <w:r>
        <w:separator/>
      </w:r>
    </w:p>
  </w:endnote>
  <w:endnote w:type="continuationSeparator" w:id="0">
    <w:p w14:paraId="12799288" w14:textId="77777777" w:rsidR="004C2563" w:rsidRDefault="004C2563" w:rsidP="00660C79">
      <w:pPr>
        <w:spacing w:line="240" w:lineRule="auto"/>
      </w:pPr>
      <w:r>
        <w:continuationSeparator/>
      </w:r>
    </w:p>
  </w:endnote>
  <w:endnote w:type="continuationNotice" w:id="1">
    <w:p w14:paraId="0E5D41CE" w14:textId="77777777" w:rsidR="004C2563" w:rsidRDefault="004C25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2CD86" w14:textId="77777777" w:rsidR="00EC6A73" w:rsidRDefault="00242D07" w:rsidP="003B26B7">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5A3C061E" wp14:editId="4BC395CC">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7D2515"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3C061E" id="_x0000_t202" coordsize="21600,21600" o:spt="202" path="m,l,21600r21600,l21600,xe">
              <v:stroke joinstyle="miter"/>
              <v:path gradientshapeok="t" o:connecttype="rect"/>
            </v:shapetype>
            <v:shape id="Text Box 11" o:spid="_x0000_s1030"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B7D2515"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64C33AA2" w14:textId="77777777" w:rsidR="00EC6A73" w:rsidRDefault="00EC6A73" w:rsidP="003B26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30AD5875"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2740CC"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A6741" w14:textId="77777777" w:rsidR="00EC6A73" w:rsidRDefault="00242D07" w:rsidP="00917BB1">
    <w:pPr>
      <w:pStyle w:val="Footer"/>
      <w:ind w:right="360"/>
    </w:pPr>
    <w:r>
      <w:rPr>
        <w:noProof/>
      </w:rPr>
      <mc:AlternateContent>
        <mc:Choice Requires="wps">
          <w:drawing>
            <wp:anchor distT="0" distB="0" distL="0" distR="0" simplePos="0" relativeHeight="251658247" behindDoc="0" locked="0" layoutInCell="1" allowOverlap="1" wp14:anchorId="29569857" wp14:editId="7A1F044A">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E856EE"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569857" id="_x0000_t202" coordsize="21600,21600" o:spt="202" path="m,l,21600r21600,l21600,xe">
              <v:stroke joinstyle="miter"/>
              <v:path gradientshapeok="t" o:connecttype="rect"/>
            </v:shapetype>
            <v:shape id="Text Box 12" o:spid="_x0000_s1031"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4E856EE"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p w14:paraId="6067EA2D"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2F47E0D" wp14:editId="4894733E">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D55E71"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0D8F97B8"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8BC1960" w14:textId="77777777" w:rsidR="00917BB1" w:rsidRDefault="00917BB1" w:rsidP="00917BB1">
    <w:pPr>
      <w:pStyle w:val="Footer"/>
      <w:ind w:right="360"/>
    </w:pPr>
    <w:r>
      <w:rPr>
        <w:noProof/>
      </w:rPr>
      <w:drawing>
        <wp:inline distT="0" distB="0" distL="0" distR="0" wp14:anchorId="0215E60C" wp14:editId="1D2709A4">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A5389" w14:textId="77777777" w:rsidR="00242D07" w:rsidRDefault="00242D07">
    <w:pPr>
      <w:pStyle w:val="Footer"/>
    </w:pPr>
    <w:r>
      <w:rPr>
        <w:noProof/>
      </w:rPr>
      <mc:AlternateContent>
        <mc:Choice Requires="wps">
          <w:drawing>
            <wp:anchor distT="0" distB="0" distL="0" distR="0" simplePos="0" relativeHeight="251658245" behindDoc="0" locked="0" layoutInCell="1" allowOverlap="1" wp14:anchorId="24E29DB9" wp14:editId="24C99441">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330283"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E29DB9" id="_x0000_t202" coordsize="21600,21600" o:spt="202" path="m,l,21600r21600,l21600,xe">
              <v:stroke joinstyle="miter"/>
              <v:path gradientshapeok="t" o:connecttype="rect"/>
            </v:shapetype>
            <v:shape id="Text Box 9" o:spid="_x0000_s1033"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8330283"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3BD75" w14:textId="77777777" w:rsidR="004C2563" w:rsidRDefault="004C2563" w:rsidP="00660C79">
      <w:pPr>
        <w:spacing w:line="240" w:lineRule="auto"/>
      </w:pPr>
      <w:r>
        <w:separator/>
      </w:r>
    </w:p>
  </w:footnote>
  <w:footnote w:type="continuationSeparator" w:id="0">
    <w:p w14:paraId="6F7E51A3" w14:textId="77777777" w:rsidR="004C2563" w:rsidRDefault="004C2563" w:rsidP="00660C79">
      <w:pPr>
        <w:spacing w:line="240" w:lineRule="auto"/>
      </w:pPr>
      <w:r>
        <w:continuationSeparator/>
      </w:r>
    </w:p>
  </w:footnote>
  <w:footnote w:type="continuationNotice" w:id="1">
    <w:p w14:paraId="4142A82B" w14:textId="77777777" w:rsidR="004C2563" w:rsidRDefault="004C256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22DD" w14:textId="77777777" w:rsidR="00242D07" w:rsidRDefault="00242D07">
    <w:pPr>
      <w:pStyle w:val="Header"/>
    </w:pPr>
    <w:r>
      <w:rPr>
        <w:noProof/>
      </w:rPr>
      <mc:AlternateContent>
        <mc:Choice Requires="wps">
          <w:drawing>
            <wp:anchor distT="0" distB="0" distL="0" distR="0" simplePos="0" relativeHeight="251658243" behindDoc="0" locked="0" layoutInCell="1" allowOverlap="1" wp14:anchorId="5470072C" wp14:editId="68D012A0">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EEACFE"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70072C" id="_x0000_t202" coordsize="21600,21600" o:spt="202" path="m,l,21600r21600,l21600,xe">
              <v:stroke joinstyle="miter"/>
              <v:path gradientshapeok="t" o:connecttype="rect"/>
            </v:shapetype>
            <v:shape id="Text Box 6" o:spid="_x0000_s1028"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AEEACFE"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BBE81" w14:textId="13CDAC91" w:rsidR="008D113C" w:rsidRPr="00917BB1" w:rsidRDefault="00D00ACB" w:rsidP="008D113C">
    <w:pPr>
      <w:pStyle w:val="BodyText1"/>
      <w:spacing w:line="240" w:lineRule="auto"/>
      <w:jc w:val="right"/>
      <w:rPr>
        <w:color w:val="6E7571" w:themeColor="text2"/>
      </w:rPr>
    </w:pPr>
    <w:r w:rsidRPr="00D00ACB">
      <w:rPr>
        <w:color w:val="6E7571" w:themeColor="text2"/>
      </w:rPr>
      <w:t xml:space="preserve">The disposal of stable, non-reactive hazardous wastes in non-hazardous waste landfills </w:t>
    </w:r>
    <w:r w:rsidR="00242D07">
      <w:rPr>
        <w:noProof/>
        <w:color w:val="6E7571" w:themeColor="text2"/>
      </w:rPr>
      <mc:AlternateContent>
        <mc:Choice Requires="wps">
          <w:drawing>
            <wp:anchor distT="0" distB="0" distL="0" distR="0" simplePos="0" relativeHeight="251658244" behindDoc="0" locked="0" layoutInCell="1" allowOverlap="1" wp14:anchorId="116776B2" wp14:editId="494133B9">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B78746"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6776B2" id="_x0000_t202" coordsize="21600,21600" o:spt="202" path="m,l,21600r21600,l21600,xe">
              <v:stroke joinstyle="miter"/>
              <v:path gradientshapeok="t" o:connecttype="rect"/>
            </v:shapetype>
            <v:shape id="Text Box 8" o:spid="_x0000_s1029"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0B78746"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p w14:paraId="0E183D66"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56A2EB9" wp14:editId="358F6C57">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6A75E0"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A67D9" w14:textId="77777777" w:rsidR="00242D07" w:rsidRDefault="00242D07">
    <w:pPr>
      <w:pStyle w:val="Header"/>
    </w:pPr>
    <w:r>
      <w:rPr>
        <w:noProof/>
      </w:rPr>
      <mc:AlternateContent>
        <mc:Choice Requires="wps">
          <w:drawing>
            <wp:anchor distT="0" distB="0" distL="0" distR="0" simplePos="0" relativeHeight="251658242" behindDoc="0" locked="0" layoutInCell="1" allowOverlap="1" wp14:anchorId="7DA9A3A8" wp14:editId="6FF85505">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A487E1"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A9A3A8" id="_x0000_t202" coordsize="21600,21600" o:spt="202" path="m,l,21600r21600,l21600,xe">
              <v:stroke joinstyle="miter"/>
              <v:path gradientshapeok="t" o:connecttype="rect"/>
            </v:shapetype>
            <v:shape id="Text Box 1" o:spid="_x0000_s1032"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9A487E1"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516057"/>
    <w:multiLevelType w:val="hybridMultilevel"/>
    <w:tmpl w:val="72242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F83337"/>
    <w:multiLevelType w:val="hybridMultilevel"/>
    <w:tmpl w:val="0B7E25F2"/>
    <w:lvl w:ilvl="0" w:tplc="1DF49E24">
      <w:start w:val="1"/>
      <w:numFmt w:val="bullet"/>
      <w:lvlText w:val="-"/>
      <w:lvlJc w:val="left"/>
      <w:pPr>
        <w:ind w:left="6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CBAC8B6">
      <w:start w:val="1"/>
      <w:numFmt w:val="bullet"/>
      <w:lvlText w:val="o"/>
      <w:lvlJc w:val="left"/>
      <w:pPr>
        <w:ind w:left="158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7834F9E8">
      <w:start w:val="1"/>
      <w:numFmt w:val="bullet"/>
      <w:lvlText w:val="▪"/>
      <w:lvlJc w:val="left"/>
      <w:pPr>
        <w:ind w:left="230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C46264CA">
      <w:start w:val="1"/>
      <w:numFmt w:val="bullet"/>
      <w:lvlText w:val="•"/>
      <w:lvlJc w:val="left"/>
      <w:pPr>
        <w:ind w:left="30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9E0FB08">
      <w:start w:val="1"/>
      <w:numFmt w:val="bullet"/>
      <w:lvlText w:val="o"/>
      <w:lvlJc w:val="left"/>
      <w:pPr>
        <w:ind w:left="374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14869DAC">
      <w:start w:val="1"/>
      <w:numFmt w:val="bullet"/>
      <w:lvlText w:val="▪"/>
      <w:lvlJc w:val="left"/>
      <w:pPr>
        <w:ind w:left="446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3E500CC2">
      <w:start w:val="1"/>
      <w:numFmt w:val="bullet"/>
      <w:lvlText w:val="•"/>
      <w:lvlJc w:val="left"/>
      <w:pPr>
        <w:ind w:left="518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3AC2156">
      <w:start w:val="1"/>
      <w:numFmt w:val="bullet"/>
      <w:lvlText w:val="o"/>
      <w:lvlJc w:val="left"/>
      <w:pPr>
        <w:ind w:left="590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2BA01E24">
      <w:start w:val="1"/>
      <w:numFmt w:val="bullet"/>
      <w:lvlText w:val="▪"/>
      <w:lvlJc w:val="left"/>
      <w:pPr>
        <w:ind w:left="66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15EA7500"/>
    <w:multiLevelType w:val="hybridMultilevel"/>
    <w:tmpl w:val="A43045D8"/>
    <w:lvl w:ilvl="0" w:tplc="08090001">
      <w:start w:val="1"/>
      <w:numFmt w:val="bullet"/>
      <w:lvlText w:val=""/>
      <w:lvlJc w:val="left"/>
      <w:pPr>
        <w:ind w:left="673"/>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FFFFFFFF">
      <w:start w:val="1"/>
      <w:numFmt w:val="bullet"/>
      <w:lvlText w:val="o"/>
      <w:lvlJc w:val="left"/>
      <w:pPr>
        <w:ind w:left="158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FFFFFFFF">
      <w:start w:val="1"/>
      <w:numFmt w:val="bullet"/>
      <w:lvlText w:val="▪"/>
      <w:lvlJc w:val="left"/>
      <w:pPr>
        <w:ind w:left="230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FFFFFFFF">
      <w:start w:val="1"/>
      <w:numFmt w:val="bullet"/>
      <w:lvlText w:val="•"/>
      <w:lvlJc w:val="left"/>
      <w:pPr>
        <w:ind w:left="30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FFFFFFF">
      <w:start w:val="1"/>
      <w:numFmt w:val="bullet"/>
      <w:lvlText w:val="o"/>
      <w:lvlJc w:val="left"/>
      <w:pPr>
        <w:ind w:left="374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FFFFFFFF">
      <w:start w:val="1"/>
      <w:numFmt w:val="bullet"/>
      <w:lvlText w:val="▪"/>
      <w:lvlJc w:val="left"/>
      <w:pPr>
        <w:ind w:left="446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FFFFFFFF">
      <w:start w:val="1"/>
      <w:numFmt w:val="bullet"/>
      <w:lvlText w:val="•"/>
      <w:lvlJc w:val="left"/>
      <w:pPr>
        <w:ind w:left="518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FFFFFFF">
      <w:start w:val="1"/>
      <w:numFmt w:val="bullet"/>
      <w:lvlText w:val="o"/>
      <w:lvlJc w:val="left"/>
      <w:pPr>
        <w:ind w:left="590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FFFFFFFF">
      <w:start w:val="1"/>
      <w:numFmt w:val="bullet"/>
      <w:lvlText w:val="▪"/>
      <w:lvlJc w:val="left"/>
      <w:pPr>
        <w:ind w:left="66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163C3BD2"/>
    <w:multiLevelType w:val="hybridMultilevel"/>
    <w:tmpl w:val="4A2A9D34"/>
    <w:lvl w:ilvl="0" w:tplc="64D6FF90">
      <w:start w:val="1"/>
      <w:numFmt w:val="lowerLetter"/>
      <w:lvlText w:val="(%1)"/>
      <w:lvlJc w:val="left"/>
      <w:pPr>
        <w:ind w:left="143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36A2ED2">
      <w:start w:val="1"/>
      <w:numFmt w:val="lowerLetter"/>
      <w:lvlText w:val="%2"/>
      <w:lvlJc w:val="left"/>
      <w:pPr>
        <w:ind w:left="220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A27CD9EA">
      <w:start w:val="1"/>
      <w:numFmt w:val="lowerRoman"/>
      <w:lvlText w:val="%3"/>
      <w:lvlJc w:val="left"/>
      <w:pPr>
        <w:ind w:left="29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82E88EC0">
      <w:start w:val="1"/>
      <w:numFmt w:val="decimal"/>
      <w:lvlText w:val="%4"/>
      <w:lvlJc w:val="left"/>
      <w:pPr>
        <w:ind w:left="364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FE07780">
      <w:start w:val="1"/>
      <w:numFmt w:val="lowerLetter"/>
      <w:lvlText w:val="%5"/>
      <w:lvlJc w:val="left"/>
      <w:pPr>
        <w:ind w:left="436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D9063B8C">
      <w:start w:val="1"/>
      <w:numFmt w:val="lowerRoman"/>
      <w:lvlText w:val="%6"/>
      <w:lvlJc w:val="left"/>
      <w:pPr>
        <w:ind w:left="508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B34289FC">
      <w:start w:val="1"/>
      <w:numFmt w:val="decimal"/>
      <w:lvlText w:val="%7"/>
      <w:lvlJc w:val="left"/>
      <w:pPr>
        <w:ind w:left="580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EC63320">
      <w:start w:val="1"/>
      <w:numFmt w:val="lowerLetter"/>
      <w:lvlText w:val="%8"/>
      <w:lvlJc w:val="left"/>
      <w:pPr>
        <w:ind w:left="65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9A06680C">
      <w:start w:val="1"/>
      <w:numFmt w:val="lowerRoman"/>
      <w:lvlText w:val="%9"/>
      <w:lvlJc w:val="left"/>
      <w:pPr>
        <w:ind w:left="724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1963218B"/>
    <w:multiLevelType w:val="hybridMultilevel"/>
    <w:tmpl w:val="01FCA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F8269D"/>
    <w:multiLevelType w:val="hybridMultilevel"/>
    <w:tmpl w:val="266C7A0E"/>
    <w:lvl w:ilvl="0" w:tplc="DA7EC5B2">
      <w:start w:val="1"/>
      <w:numFmt w:val="bullet"/>
      <w:lvlText w:val="•"/>
      <w:lvlJc w:val="left"/>
      <w:pPr>
        <w:ind w:left="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5B61F32">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2368A682">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4746D16E">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9B2E14C">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D14D78A">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F84B6D4">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17A80E6">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979CA0EC">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32E70D4C"/>
    <w:multiLevelType w:val="hybridMultilevel"/>
    <w:tmpl w:val="7C2AD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C920A8"/>
    <w:multiLevelType w:val="hybridMultilevel"/>
    <w:tmpl w:val="34782B02"/>
    <w:lvl w:ilvl="0" w:tplc="08090001">
      <w:start w:val="1"/>
      <w:numFmt w:val="bullet"/>
      <w:lvlText w:val=""/>
      <w:lvlJc w:val="left"/>
      <w:pPr>
        <w:ind w:left="668"/>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FFFFFFFF">
      <w:start w:val="1"/>
      <w:numFmt w:val="bullet"/>
      <w:lvlText w:val="o"/>
      <w:lvlJc w:val="left"/>
      <w:pPr>
        <w:ind w:left="158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FFFFFFFF">
      <w:start w:val="1"/>
      <w:numFmt w:val="bullet"/>
      <w:lvlText w:val="▪"/>
      <w:lvlJc w:val="left"/>
      <w:pPr>
        <w:ind w:left="230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FFFFFFFF">
      <w:start w:val="1"/>
      <w:numFmt w:val="bullet"/>
      <w:lvlText w:val="•"/>
      <w:lvlJc w:val="left"/>
      <w:pPr>
        <w:ind w:left="30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FFFFFFF">
      <w:start w:val="1"/>
      <w:numFmt w:val="bullet"/>
      <w:lvlText w:val="o"/>
      <w:lvlJc w:val="left"/>
      <w:pPr>
        <w:ind w:left="374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FFFFFFFF">
      <w:start w:val="1"/>
      <w:numFmt w:val="bullet"/>
      <w:lvlText w:val="▪"/>
      <w:lvlJc w:val="left"/>
      <w:pPr>
        <w:ind w:left="446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FFFFFFFF">
      <w:start w:val="1"/>
      <w:numFmt w:val="bullet"/>
      <w:lvlText w:val="•"/>
      <w:lvlJc w:val="left"/>
      <w:pPr>
        <w:ind w:left="518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FFFFFFF">
      <w:start w:val="1"/>
      <w:numFmt w:val="bullet"/>
      <w:lvlText w:val="o"/>
      <w:lvlJc w:val="left"/>
      <w:pPr>
        <w:ind w:left="590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FFFFFFFF">
      <w:start w:val="1"/>
      <w:numFmt w:val="bullet"/>
      <w:lvlText w:val="▪"/>
      <w:lvlJc w:val="left"/>
      <w:pPr>
        <w:ind w:left="66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3A3C588F"/>
    <w:multiLevelType w:val="hybridMultilevel"/>
    <w:tmpl w:val="6B58B026"/>
    <w:lvl w:ilvl="0" w:tplc="386E2C90">
      <w:start w:val="1"/>
      <w:numFmt w:val="bullet"/>
      <w:lvlText w:val="-"/>
      <w:lvlJc w:val="left"/>
      <w:pPr>
        <w:ind w:left="67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CA08528">
      <w:start w:val="1"/>
      <w:numFmt w:val="bullet"/>
      <w:lvlText w:val="o"/>
      <w:lvlJc w:val="left"/>
      <w:pPr>
        <w:ind w:left="158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DBC01774">
      <w:start w:val="1"/>
      <w:numFmt w:val="bullet"/>
      <w:lvlText w:val="▪"/>
      <w:lvlJc w:val="left"/>
      <w:pPr>
        <w:ind w:left="230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0A885E16">
      <w:start w:val="1"/>
      <w:numFmt w:val="bullet"/>
      <w:lvlText w:val="•"/>
      <w:lvlJc w:val="left"/>
      <w:pPr>
        <w:ind w:left="30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5F6C88A">
      <w:start w:val="1"/>
      <w:numFmt w:val="bullet"/>
      <w:lvlText w:val="o"/>
      <w:lvlJc w:val="left"/>
      <w:pPr>
        <w:ind w:left="374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E4B0E1E4">
      <w:start w:val="1"/>
      <w:numFmt w:val="bullet"/>
      <w:lvlText w:val="▪"/>
      <w:lvlJc w:val="left"/>
      <w:pPr>
        <w:ind w:left="446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A02A0634">
      <w:start w:val="1"/>
      <w:numFmt w:val="bullet"/>
      <w:lvlText w:val="•"/>
      <w:lvlJc w:val="left"/>
      <w:pPr>
        <w:ind w:left="518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BE80822">
      <w:start w:val="1"/>
      <w:numFmt w:val="bullet"/>
      <w:lvlText w:val="o"/>
      <w:lvlJc w:val="left"/>
      <w:pPr>
        <w:ind w:left="590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4474870C">
      <w:start w:val="1"/>
      <w:numFmt w:val="bullet"/>
      <w:lvlText w:val="▪"/>
      <w:lvlJc w:val="left"/>
      <w:pPr>
        <w:ind w:left="66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3C72152F"/>
    <w:multiLevelType w:val="hybridMultilevel"/>
    <w:tmpl w:val="CC6AA6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9D274C"/>
    <w:multiLevelType w:val="hybridMultilevel"/>
    <w:tmpl w:val="E062A1E0"/>
    <w:lvl w:ilvl="0" w:tplc="08090001">
      <w:start w:val="1"/>
      <w:numFmt w:val="bullet"/>
      <w:lvlText w:val=""/>
      <w:lvlJc w:val="left"/>
      <w:pPr>
        <w:ind w:left="720" w:hanging="360"/>
      </w:pPr>
      <w:rPr>
        <w:rFonts w:ascii="Symbol" w:hAnsi="Symbol" w:hint="default"/>
      </w:rPr>
    </w:lvl>
    <w:lvl w:ilvl="1" w:tplc="A51EFDF0">
      <w:start w:val="3"/>
      <w:numFmt w:val="bullet"/>
      <w:lvlText w:val="•"/>
      <w:lvlJc w:val="left"/>
      <w:pPr>
        <w:ind w:left="1810" w:hanging="73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B4244A"/>
    <w:multiLevelType w:val="hybridMultilevel"/>
    <w:tmpl w:val="EDFC9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B47DD3"/>
    <w:multiLevelType w:val="hybridMultilevel"/>
    <w:tmpl w:val="96BC1C66"/>
    <w:lvl w:ilvl="0" w:tplc="E6CA8652">
      <w:start w:val="1"/>
      <w:numFmt w:val="bullet"/>
      <w:lvlText w:val="-"/>
      <w:lvlJc w:val="left"/>
      <w:pPr>
        <w:ind w:left="6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37E34A8">
      <w:start w:val="1"/>
      <w:numFmt w:val="bullet"/>
      <w:lvlText w:val="o"/>
      <w:lvlJc w:val="left"/>
      <w:pPr>
        <w:ind w:left="158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96FA8BD2">
      <w:start w:val="1"/>
      <w:numFmt w:val="bullet"/>
      <w:lvlText w:val="▪"/>
      <w:lvlJc w:val="left"/>
      <w:pPr>
        <w:ind w:left="230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67C21F5A">
      <w:start w:val="1"/>
      <w:numFmt w:val="bullet"/>
      <w:lvlText w:val="•"/>
      <w:lvlJc w:val="left"/>
      <w:pPr>
        <w:ind w:left="30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49C9FE2">
      <w:start w:val="1"/>
      <w:numFmt w:val="bullet"/>
      <w:lvlText w:val="o"/>
      <w:lvlJc w:val="left"/>
      <w:pPr>
        <w:ind w:left="374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3F5867EC">
      <w:start w:val="1"/>
      <w:numFmt w:val="bullet"/>
      <w:lvlText w:val="▪"/>
      <w:lvlJc w:val="left"/>
      <w:pPr>
        <w:ind w:left="446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30CC578A">
      <w:start w:val="1"/>
      <w:numFmt w:val="bullet"/>
      <w:lvlText w:val="•"/>
      <w:lvlJc w:val="left"/>
      <w:pPr>
        <w:ind w:left="518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8D60B1A">
      <w:start w:val="1"/>
      <w:numFmt w:val="bullet"/>
      <w:lvlText w:val="o"/>
      <w:lvlJc w:val="left"/>
      <w:pPr>
        <w:ind w:left="590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2C288364">
      <w:start w:val="1"/>
      <w:numFmt w:val="bullet"/>
      <w:lvlText w:val="▪"/>
      <w:lvlJc w:val="left"/>
      <w:pPr>
        <w:ind w:left="66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6722608F"/>
    <w:multiLevelType w:val="hybridMultilevel"/>
    <w:tmpl w:val="140C6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E2037E"/>
    <w:multiLevelType w:val="hybridMultilevel"/>
    <w:tmpl w:val="5838B454"/>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25"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BE15D6"/>
    <w:multiLevelType w:val="hybridMultilevel"/>
    <w:tmpl w:val="11BCD84A"/>
    <w:lvl w:ilvl="0" w:tplc="08090001">
      <w:start w:val="1"/>
      <w:numFmt w:val="bullet"/>
      <w:lvlText w:val=""/>
      <w:lvlJc w:val="left"/>
      <w:pPr>
        <w:ind w:left="345" w:hanging="360"/>
      </w:pPr>
      <w:rPr>
        <w:rFonts w:ascii="Symbol" w:hAnsi="Symbol" w:hint="default"/>
      </w:rPr>
    </w:lvl>
    <w:lvl w:ilvl="1" w:tplc="FFFFFFFF" w:tentative="1">
      <w:start w:val="1"/>
      <w:numFmt w:val="bullet"/>
      <w:lvlText w:val="o"/>
      <w:lvlJc w:val="left"/>
      <w:pPr>
        <w:ind w:left="1065" w:hanging="360"/>
      </w:pPr>
      <w:rPr>
        <w:rFonts w:ascii="Courier New" w:hAnsi="Courier New" w:cs="Courier New" w:hint="default"/>
      </w:rPr>
    </w:lvl>
    <w:lvl w:ilvl="2" w:tplc="FFFFFFFF" w:tentative="1">
      <w:start w:val="1"/>
      <w:numFmt w:val="bullet"/>
      <w:lvlText w:val=""/>
      <w:lvlJc w:val="left"/>
      <w:pPr>
        <w:ind w:left="1785" w:hanging="360"/>
      </w:pPr>
      <w:rPr>
        <w:rFonts w:ascii="Wingdings" w:hAnsi="Wingdings" w:hint="default"/>
      </w:rPr>
    </w:lvl>
    <w:lvl w:ilvl="3" w:tplc="FFFFFFFF" w:tentative="1">
      <w:start w:val="1"/>
      <w:numFmt w:val="bullet"/>
      <w:lvlText w:val=""/>
      <w:lvlJc w:val="left"/>
      <w:pPr>
        <w:ind w:left="2505" w:hanging="360"/>
      </w:pPr>
      <w:rPr>
        <w:rFonts w:ascii="Symbol" w:hAnsi="Symbol" w:hint="default"/>
      </w:rPr>
    </w:lvl>
    <w:lvl w:ilvl="4" w:tplc="FFFFFFFF" w:tentative="1">
      <w:start w:val="1"/>
      <w:numFmt w:val="bullet"/>
      <w:lvlText w:val="o"/>
      <w:lvlJc w:val="left"/>
      <w:pPr>
        <w:ind w:left="3225" w:hanging="360"/>
      </w:pPr>
      <w:rPr>
        <w:rFonts w:ascii="Courier New" w:hAnsi="Courier New" w:cs="Courier New" w:hint="default"/>
      </w:rPr>
    </w:lvl>
    <w:lvl w:ilvl="5" w:tplc="FFFFFFFF" w:tentative="1">
      <w:start w:val="1"/>
      <w:numFmt w:val="bullet"/>
      <w:lvlText w:val=""/>
      <w:lvlJc w:val="left"/>
      <w:pPr>
        <w:ind w:left="3945" w:hanging="360"/>
      </w:pPr>
      <w:rPr>
        <w:rFonts w:ascii="Wingdings" w:hAnsi="Wingdings" w:hint="default"/>
      </w:rPr>
    </w:lvl>
    <w:lvl w:ilvl="6" w:tplc="FFFFFFFF" w:tentative="1">
      <w:start w:val="1"/>
      <w:numFmt w:val="bullet"/>
      <w:lvlText w:val=""/>
      <w:lvlJc w:val="left"/>
      <w:pPr>
        <w:ind w:left="4665" w:hanging="360"/>
      </w:pPr>
      <w:rPr>
        <w:rFonts w:ascii="Symbol" w:hAnsi="Symbol" w:hint="default"/>
      </w:rPr>
    </w:lvl>
    <w:lvl w:ilvl="7" w:tplc="FFFFFFFF" w:tentative="1">
      <w:start w:val="1"/>
      <w:numFmt w:val="bullet"/>
      <w:lvlText w:val="o"/>
      <w:lvlJc w:val="left"/>
      <w:pPr>
        <w:ind w:left="5385" w:hanging="360"/>
      </w:pPr>
      <w:rPr>
        <w:rFonts w:ascii="Courier New" w:hAnsi="Courier New" w:cs="Courier New" w:hint="default"/>
      </w:rPr>
    </w:lvl>
    <w:lvl w:ilvl="8" w:tplc="FFFFFFFF" w:tentative="1">
      <w:start w:val="1"/>
      <w:numFmt w:val="bullet"/>
      <w:lvlText w:val=""/>
      <w:lvlJc w:val="left"/>
      <w:pPr>
        <w:ind w:left="6105" w:hanging="360"/>
      </w:pPr>
      <w:rPr>
        <w:rFonts w:ascii="Wingdings" w:hAnsi="Wingdings" w:hint="default"/>
      </w:rPr>
    </w:lvl>
  </w:abstractNum>
  <w:abstractNum w:abstractNumId="27" w15:restartNumberingAfterBreak="0">
    <w:nsid w:val="70042541"/>
    <w:multiLevelType w:val="hybridMultilevel"/>
    <w:tmpl w:val="954C17FA"/>
    <w:lvl w:ilvl="0" w:tplc="3DB0D86E">
      <w:start w:val="3"/>
      <w:numFmt w:val="bullet"/>
      <w:lvlText w:val="·"/>
      <w:lvlJc w:val="left"/>
      <w:pPr>
        <w:ind w:left="345" w:hanging="360"/>
      </w:pPr>
      <w:rPr>
        <w:rFonts w:ascii="Arial" w:eastAsiaTheme="minorEastAsia" w:hAnsi="Arial" w:cs="Arial"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28" w15:restartNumberingAfterBreak="0">
    <w:nsid w:val="72266996"/>
    <w:multiLevelType w:val="multilevel"/>
    <w:tmpl w:val="F78C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D976DF"/>
    <w:multiLevelType w:val="hybridMultilevel"/>
    <w:tmpl w:val="238E5178"/>
    <w:lvl w:ilvl="0" w:tplc="08090001">
      <w:start w:val="1"/>
      <w:numFmt w:val="bullet"/>
      <w:lvlText w:val=""/>
      <w:lvlJc w:val="left"/>
      <w:pPr>
        <w:ind w:left="678"/>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FFFFFFFF">
      <w:start w:val="1"/>
      <w:numFmt w:val="bullet"/>
      <w:lvlText w:val="o"/>
      <w:lvlJc w:val="left"/>
      <w:pPr>
        <w:ind w:left="158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FFFFFFFF">
      <w:start w:val="1"/>
      <w:numFmt w:val="bullet"/>
      <w:lvlText w:val="▪"/>
      <w:lvlJc w:val="left"/>
      <w:pPr>
        <w:ind w:left="230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FFFFFFFF">
      <w:start w:val="1"/>
      <w:numFmt w:val="bullet"/>
      <w:lvlText w:val="•"/>
      <w:lvlJc w:val="left"/>
      <w:pPr>
        <w:ind w:left="30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FFFFFFF">
      <w:start w:val="1"/>
      <w:numFmt w:val="bullet"/>
      <w:lvlText w:val="o"/>
      <w:lvlJc w:val="left"/>
      <w:pPr>
        <w:ind w:left="374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FFFFFFFF">
      <w:start w:val="1"/>
      <w:numFmt w:val="bullet"/>
      <w:lvlText w:val="▪"/>
      <w:lvlJc w:val="left"/>
      <w:pPr>
        <w:ind w:left="446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FFFFFFFF">
      <w:start w:val="1"/>
      <w:numFmt w:val="bullet"/>
      <w:lvlText w:val="•"/>
      <w:lvlJc w:val="left"/>
      <w:pPr>
        <w:ind w:left="518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FFFFFFF">
      <w:start w:val="1"/>
      <w:numFmt w:val="bullet"/>
      <w:lvlText w:val="o"/>
      <w:lvlJc w:val="left"/>
      <w:pPr>
        <w:ind w:left="590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FFFFFFFF">
      <w:start w:val="1"/>
      <w:numFmt w:val="bullet"/>
      <w:lvlText w:val="▪"/>
      <w:lvlJc w:val="left"/>
      <w:pPr>
        <w:ind w:left="66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024938348">
    <w:abstractNumId w:val="25"/>
  </w:num>
  <w:num w:numId="12" w16cid:durableId="106119056">
    <w:abstractNumId w:val="16"/>
  </w:num>
  <w:num w:numId="13" w16cid:durableId="1818955842">
    <w:abstractNumId w:val="21"/>
  </w:num>
  <w:num w:numId="14" w16cid:durableId="1990550367">
    <w:abstractNumId w:val="13"/>
  </w:num>
  <w:num w:numId="15" w16cid:durableId="1041125197">
    <w:abstractNumId w:val="11"/>
  </w:num>
  <w:num w:numId="16" w16cid:durableId="1544518361">
    <w:abstractNumId w:val="15"/>
  </w:num>
  <w:num w:numId="17" w16cid:durableId="306670102">
    <w:abstractNumId w:val="14"/>
  </w:num>
  <w:num w:numId="18" w16cid:durableId="592324760">
    <w:abstractNumId w:val="29"/>
  </w:num>
  <w:num w:numId="19" w16cid:durableId="902714121">
    <w:abstractNumId w:val="19"/>
  </w:num>
  <w:num w:numId="20" w16cid:durableId="1115488505">
    <w:abstractNumId w:val="28"/>
  </w:num>
  <w:num w:numId="21" w16cid:durableId="1240099777">
    <w:abstractNumId w:val="18"/>
  </w:num>
  <w:num w:numId="22" w16cid:durableId="1143501870">
    <w:abstractNumId w:val="12"/>
  </w:num>
  <w:num w:numId="23" w16cid:durableId="1662730342">
    <w:abstractNumId w:val="22"/>
  </w:num>
  <w:num w:numId="24" w16cid:durableId="146481244">
    <w:abstractNumId w:val="17"/>
  </w:num>
  <w:num w:numId="25" w16cid:durableId="655770184">
    <w:abstractNumId w:val="10"/>
  </w:num>
  <w:num w:numId="26" w16cid:durableId="923761659">
    <w:abstractNumId w:val="27"/>
  </w:num>
  <w:num w:numId="27" w16cid:durableId="1596671734">
    <w:abstractNumId w:val="26"/>
  </w:num>
  <w:num w:numId="28" w16cid:durableId="283191901">
    <w:abstractNumId w:val="23"/>
  </w:num>
  <w:num w:numId="29" w16cid:durableId="1078481406">
    <w:abstractNumId w:val="20"/>
  </w:num>
  <w:num w:numId="30" w16cid:durableId="33549770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32"/>
    <w:rsid w:val="00002F10"/>
    <w:rsid w:val="0000543D"/>
    <w:rsid w:val="00024826"/>
    <w:rsid w:val="00032829"/>
    <w:rsid w:val="00040431"/>
    <w:rsid w:val="00040561"/>
    <w:rsid w:val="00042CCE"/>
    <w:rsid w:val="00046B93"/>
    <w:rsid w:val="000626BF"/>
    <w:rsid w:val="00070937"/>
    <w:rsid w:val="00073BCD"/>
    <w:rsid w:val="0007596A"/>
    <w:rsid w:val="000771FB"/>
    <w:rsid w:val="00084EF2"/>
    <w:rsid w:val="000A0B1A"/>
    <w:rsid w:val="000A31FF"/>
    <w:rsid w:val="000B7559"/>
    <w:rsid w:val="000E05DE"/>
    <w:rsid w:val="000E0D15"/>
    <w:rsid w:val="00105F31"/>
    <w:rsid w:val="00117C2F"/>
    <w:rsid w:val="001438B2"/>
    <w:rsid w:val="00155AF7"/>
    <w:rsid w:val="00164C20"/>
    <w:rsid w:val="001720FE"/>
    <w:rsid w:val="00183144"/>
    <w:rsid w:val="0018453B"/>
    <w:rsid w:val="00187BDE"/>
    <w:rsid w:val="001943E3"/>
    <w:rsid w:val="00195849"/>
    <w:rsid w:val="001964BC"/>
    <w:rsid w:val="001A0196"/>
    <w:rsid w:val="001C0A96"/>
    <w:rsid w:val="001D3495"/>
    <w:rsid w:val="001D545A"/>
    <w:rsid w:val="001E6164"/>
    <w:rsid w:val="0021453E"/>
    <w:rsid w:val="002212F0"/>
    <w:rsid w:val="00236552"/>
    <w:rsid w:val="00242D07"/>
    <w:rsid w:val="00254CA8"/>
    <w:rsid w:val="00261053"/>
    <w:rsid w:val="00266A28"/>
    <w:rsid w:val="00281BB1"/>
    <w:rsid w:val="00284517"/>
    <w:rsid w:val="00290B1F"/>
    <w:rsid w:val="00291710"/>
    <w:rsid w:val="002970FD"/>
    <w:rsid w:val="002A1BCF"/>
    <w:rsid w:val="002A6F2E"/>
    <w:rsid w:val="002B7D00"/>
    <w:rsid w:val="002C1BEE"/>
    <w:rsid w:val="002D7DE9"/>
    <w:rsid w:val="002E4F48"/>
    <w:rsid w:val="0030096D"/>
    <w:rsid w:val="00317618"/>
    <w:rsid w:val="00381E17"/>
    <w:rsid w:val="003869EA"/>
    <w:rsid w:val="003B26B7"/>
    <w:rsid w:val="003C00A4"/>
    <w:rsid w:val="003E1377"/>
    <w:rsid w:val="003E37CB"/>
    <w:rsid w:val="003F5384"/>
    <w:rsid w:val="004073BC"/>
    <w:rsid w:val="004308DB"/>
    <w:rsid w:val="00441A96"/>
    <w:rsid w:val="00444AA1"/>
    <w:rsid w:val="00450F70"/>
    <w:rsid w:val="00475FDE"/>
    <w:rsid w:val="00487267"/>
    <w:rsid w:val="00494C96"/>
    <w:rsid w:val="004C2563"/>
    <w:rsid w:val="004C2688"/>
    <w:rsid w:val="004C763F"/>
    <w:rsid w:val="004E47D1"/>
    <w:rsid w:val="00514648"/>
    <w:rsid w:val="00551989"/>
    <w:rsid w:val="00571431"/>
    <w:rsid w:val="00571963"/>
    <w:rsid w:val="005A355E"/>
    <w:rsid w:val="005B0832"/>
    <w:rsid w:val="005D1213"/>
    <w:rsid w:val="005D425C"/>
    <w:rsid w:val="005E369A"/>
    <w:rsid w:val="005E5007"/>
    <w:rsid w:val="005E7452"/>
    <w:rsid w:val="00605A47"/>
    <w:rsid w:val="006150F4"/>
    <w:rsid w:val="006243FF"/>
    <w:rsid w:val="00625167"/>
    <w:rsid w:val="00652525"/>
    <w:rsid w:val="00655FBC"/>
    <w:rsid w:val="00656A80"/>
    <w:rsid w:val="00660C79"/>
    <w:rsid w:val="00667FC0"/>
    <w:rsid w:val="006A5F5E"/>
    <w:rsid w:val="006B2909"/>
    <w:rsid w:val="006D16CE"/>
    <w:rsid w:val="006E60E6"/>
    <w:rsid w:val="006E7474"/>
    <w:rsid w:val="006F7EBC"/>
    <w:rsid w:val="00755449"/>
    <w:rsid w:val="007637F6"/>
    <w:rsid w:val="007645EF"/>
    <w:rsid w:val="0077167D"/>
    <w:rsid w:val="00785835"/>
    <w:rsid w:val="007868C1"/>
    <w:rsid w:val="00794FB4"/>
    <w:rsid w:val="007A60E1"/>
    <w:rsid w:val="007B17EE"/>
    <w:rsid w:val="007C3F12"/>
    <w:rsid w:val="007C5E0E"/>
    <w:rsid w:val="007D441B"/>
    <w:rsid w:val="007D7C93"/>
    <w:rsid w:val="007F6D6B"/>
    <w:rsid w:val="00801105"/>
    <w:rsid w:val="00845E2F"/>
    <w:rsid w:val="00861A7C"/>
    <w:rsid w:val="00861B46"/>
    <w:rsid w:val="008949AA"/>
    <w:rsid w:val="008B1EA7"/>
    <w:rsid w:val="008C1A73"/>
    <w:rsid w:val="008C3474"/>
    <w:rsid w:val="008C3E4A"/>
    <w:rsid w:val="008D113C"/>
    <w:rsid w:val="008D376F"/>
    <w:rsid w:val="008E5DC4"/>
    <w:rsid w:val="00916FB3"/>
    <w:rsid w:val="00917BB1"/>
    <w:rsid w:val="00975D21"/>
    <w:rsid w:val="00980531"/>
    <w:rsid w:val="009A240D"/>
    <w:rsid w:val="009C6C7D"/>
    <w:rsid w:val="009D7F69"/>
    <w:rsid w:val="009E00DC"/>
    <w:rsid w:val="00A125BE"/>
    <w:rsid w:val="00A35EAC"/>
    <w:rsid w:val="00A73F0C"/>
    <w:rsid w:val="00A9349C"/>
    <w:rsid w:val="00AA6F13"/>
    <w:rsid w:val="00AB1470"/>
    <w:rsid w:val="00AB7EE7"/>
    <w:rsid w:val="00AC3B68"/>
    <w:rsid w:val="00AC6F45"/>
    <w:rsid w:val="00AD456D"/>
    <w:rsid w:val="00AE068C"/>
    <w:rsid w:val="00AF74E2"/>
    <w:rsid w:val="00B03E57"/>
    <w:rsid w:val="00B34692"/>
    <w:rsid w:val="00B44315"/>
    <w:rsid w:val="00B46E48"/>
    <w:rsid w:val="00B51FCE"/>
    <w:rsid w:val="00B54CF4"/>
    <w:rsid w:val="00B56C15"/>
    <w:rsid w:val="00B930AA"/>
    <w:rsid w:val="00B95939"/>
    <w:rsid w:val="00BD6891"/>
    <w:rsid w:val="00BE6CB0"/>
    <w:rsid w:val="00C07AB3"/>
    <w:rsid w:val="00C114E4"/>
    <w:rsid w:val="00C14075"/>
    <w:rsid w:val="00C148D2"/>
    <w:rsid w:val="00C213D6"/>
    <w:rsid w:val="00C569B9"/>
    <w:rsid w:val="00CC1477"/>
    <w:rsid w:val="00CD6AC0"/>
    <w:rsid w:val="00CF7EFB"/>
    <w:rsid w:val="00D00ACB"/>
    <w:rsid w:val="00D1606E"/>
    <w:rsid w:val="00D35448"/>
    <w:rsid w:val="00D40B3A"/>
    <w:rsid w:val="00DA4CF8"/>
    <w:rsid w:val="00DF17E3"/>
    <w:rsid w:val="00E11A56"/>
    <w:rsid w:val="00E54E0F"/>
    <w:rsid w:val="00E67C75"/>
    <w:rsid w:val="00E92CF4"/>
    <w:rsid w:val="00E946F9"/>
    <w:rsid w:val="00EB7B3E"/>
    <w:rsid w:val="00EC6A73"/>
    <w:rsid w:val="00ED7348"/>
    <w:rsid w:val="00EF2A1C"/>
    <w:rsid w:val="00F07048"/>
    <w:rsid w:val="00F236BF"/>
    <w:rsid w:val="00F30520"/>
    <w:rsid w:val="00F67468"/>
    <w:rsid w:val="00F72274"/>
    <w:rsid w:val="00F8373A"/>
    <w:rsid w:val="00F87F98"/>
    <w:rsid w:val="00FA1AC4"/>
    <w:rsid w:val="00FD0978"/>
    <w:rsid w:val="00FF30C3"/>
    <w:rsid w:val="00FF5D5A"/>
    <w:rsid w:val="04F70129"/>
    <w:rsid w:val="36CA84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AA291"/>
  <w15:chartTrackingRefBased/>
  <w15:docId w15:val="{3F4D4F59-3735-4010-BBCE-2C6F3889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2516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2516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2516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62516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2516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2516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2516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625167"/>
    <w:rPr>
      <w:rFonts w:asciiTheme="majorHAnsi" w:eastAsiaTheme="majorEastAsia" w:hAnsiTheme="majorHAnsi" w:cstheme="majorBidi"/>
      <w:b/>
      <w:iCs/>
    </w:rPr>
  </w:style>
  <w:style w:type="paragraph" w:customStyle="1" w:styleId="BodyText1">
    <w:name w:val="Body Text1"/>
    <w:basedOn w:val="Normal"/>
    <w:qFormat/>
    <w:rsid w:val="0062516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table" w:customStyle="1" w:styleId="TableGrid">
    <w:name w:val="TableGrid"/>
    <w:rsid w:val="00667FC0"/>
    <w:rPr>
      <w:rFonts w:eastAsiaTheme="minorEastAsia"/>
      <w:kern w:val="2"/>
      <w:lang w:eastAsia="en-GB"/>
      <w14:ligatures w14:val="standardContextual"/>
    </w:rPr>
    <w:tblPr>
      <w:tblCellMar>
        <w:top w:w="0" w:type="dxa"/>
        <w:left w:w="0" w:type="dxa"/>
        <w:bottom w:w="0" w:type="dxa"/>
        <w:right w:w="0" w:type="dxa"/>
      </w:tblCellMar>
    </w:tblPr>
  </w:style>
  <w:style w:type="paragraph" w:styleId="TOC1">
    <w:name w:val="toc 1"/>
    <w:hidden/>
    <w:uiPriority w:val="39"/>
    <w:rsid w:val="006A5F5E"/>
    <w:pPr>
      <w:spacing w:after="4" w:line="248" w:lineRule="auto"/>
      <w:ind w:left="25" w:right="23" w:hanging="10"/>
    </w:pPr>
    <w:rPr>
      <w:rFonts w:ascii="Arial" w:eastAsia="Arial" w:hAnsi="Arial" w:cs="Arial"/>
      <w:color w:val="000000"/>
      <w:kern w:val="2"/>
      <w:sz w:val="19"/>
      <w:lang w:eastAsia="en-GB"/>
      <w14:ligatures w14:val="standardContextual"/>
    </w:rPr>
  </w:style>
  <w:style w:type="paragraph" w:styleId="TOC2">
    <w:name w:val="toc 2"/>
    <w:basedOn w:val="Normal"/>
    <w:next w:val="Normal"/>
    <w:autoRedefine/>
    <w:uiPriority w:val="39"/>
    <w:unhideWhenUsed/>
    <w:rsid w:val="006A5F5E"/>
    <w:pPr>
      <w:spacing w:after="100"/>
      <w:ind w:left="240"/>
    </w:pPr>
  </w:style>
  <w:style w:type="paragraph" w:styleId="ListParagraph">
    <w:name w:val="List Paragraph"/>
    <w:basedOn w:val="Normal"/>
    <w:uiPriority w:val="34"/>
    <w:qFormat/>
    <w:rsid w:val="006A5F5E"/>
    <w:pPr>
      <w:ind w:left="720"/>
      <w:contextualSpacing/>
    </w:pPr>
  </w:style>
  <w:style w:type="table" w:styleId="TableGrid0">
    <w:name w:val="Table Grid"/>
    <w:basedOn w:val="TableNormal"/>
    <w:uiPriority w:val="39"/>
    <w:rsid w:val="006A5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qualities@sepa.org.u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ai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43574-63B3-4817-B9F9-45472B713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3B92B2-4ED0-4815-9D45-D925F1C50596}">
  <ds:schemaRefs>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 ds:uri="http://purl.org/dc/dcmitype/"/>
    <ds:schemaRef ds:uri="http://schemas.openxmlformats.org/package/2006/metadata/core-properties"/>
    <ds:schemaRef ds:uri="ce5b52f7-9556-48ad-bf4f-1238de82834a"/>
    <ds:schemaRef ds:uri="7dd4d6b0-2bd1-40f7-94aa-8d4785e79023"/>
    <ds:schemaRef ds:uri="http://www.w3.org/XML/1998/namespace"/>
  </ds:schemaRefs>
</ds:datastoreItem>
</file>

<file path=customXml/itemProps3.xml><?xml version="1.0" encoding="utf-8"?>
<ds:datastoreItem xmlns:ds="http://schemas.openxmlformats.org/officeDocument/2006/customXml" ds:itemID="{2EC65292-4992-4FF8-9FB2-F502FB68FD36}">
  <ds:schemaRefs>
    <ds:schemaRef ds:uri="http://schemas.microsoft.com/sharepoint/v3/contenttype/forms"/>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SEPA_word_template_air_cover</Template>
  <TotalTime>37</TotalTime>
  <Pages>10</Pages>
  <Words>1497</Words>
  <Characters>8534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landfill@sepa.org.uk</dc:creator>
  <cp:keywords/>
  <dc:description/>
  <cp:lastModifiedBy>Summers, Lucy</cp:lastModifiedBy>
  <cp:revision>42</cp:revision>
  <cp:lastPrinted>2023-03-23T14:44:00Z</cp:lastPrinted>
  <dcterms:created xsi:type="dcterms:W3CDTF">2025-03-11T13:55:00Z</dcterms:created>
  <dcterms:modified xsi:type="dcterms:W3CDTF">2025-05-01T12:15:00Z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2023-07-28T09:30:33Z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956ec501-94bf-4840-9b35-7cf8cccccfd2</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