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75D3B541" w14:textId="77777777" w:rsidR="004073BC" w:rsidRDefault="00F72274" w:rsidP="00F72274">
          <w:r>
            <w:rPr>
              <w:noProof/>
            </w:rPr>
            <w:drawing>
              <wp:anchor distT="0" distB="0" distL="114300" distR="114300" simplePos="0" relativeHeight="251658241" behindDoc="1" locked="0" layoutInCell="1" allowOverlap="1" wp14:anchorId="2EE8CAD3" wp14:editId="61CDA324">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9A5B089" wp14:editId="647277B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5DD87BB" w14:textId="77777777" w:rsidR="004073BC" w:rsidRDefault="004073BC" w:rsidP="008C1A73"/>
        <w:p w14:paraId="2EACFA5C" w14:textId="77777777" w:rsidR="004073BC" w:rsidRDefault="004073BC" w:rsidP="008C1A73"/>
        <w:p w14:paraId="3D0D64B4" w14:textId="77777777" w:rsidR="004073BC" w:rsidRDefault="004073BC" w:rsidP="008C1A73"/>
        <w:p w14:paraId="45DD1998" w14:textId="77777777" w:rsidR="004073BC" w:rsidRDefault="004073BC" w:rsidP="008C1A73"/>
        <w:p w14:paraId="4E2BABA4" w14:textId="77777777" w:rsidR="004073BC" w:rsidRDefault="004073BC" w:rsidP="008C1A73"/>
        <w:p w14:paraId="6263C9EA" w14:textId="2B17E412" w:rsidR="00521A37" w:rsidRDefault="00281BB1" w:rsidP="00050E42">
          <w:pPr>
            <w:pStyle w:val="Heading1"/>
            <w:rPr>
              <w:color w:val="FFFFFF" w:themeColor="background1"/>
              <w:sz w:val="84"/>
              <w:szCs w:val="84"/>
            </w:rPr>
          </w:pPr>
          <w:r w:rsidRPr="00BC51A1">
            <w:rPr>
              <w:noProof/>
              <w:color w:val="FFFFFF" w:themeColor="background1"/>
              <w:sz w:val="84"/>
              <w:szCs w:val="84"/>
            </w:rPr>
            <mc:AlternateContent>
              <mc:Choice Requires="wps">
                <w:drawing>
                  <wp:anchor distT="0" distB="0" distL="114300" distR="114300" simplePos="0" relativeHeight="251658240" behindDoc="0" locked="1" layoutInCell="1" allowOverlap="1" wp14:anchorId="16674D9F" wp14:editId="141991B3">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92D00A0" w14:textId="03184D49" w:rsidR="00281BB1" w:rsidRPr="009A240D" w:rsidRDefault="00A36663" w:rsidP="00281BB1">
                                <w:pPr>
                                  <w:pStyle w:val="BodyText1"/>
                                  <w:rPr>
                                    <w:color w:val="FFFFFF" w:themeColor="background1"/>
                                  </w:rPr>
                                </w:pPr>
                                <w:r>
                                  <w:rPr>
                                    <w:color w:val="FFFFFF" w:themeColor="background1"/>
                                  </w:rPr>
                                  <w:t>February</w:t>
                                </w:r>
                                <w:r w:rsidR="00220B53">
                                  <w:rPr>
                                    <w:color w:val="FFFFFF" w:themeColor="background1"/>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74D9F"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92D00A0" w14:textId="03184D49" w:rsidR="00281BB1" w:rsidRPr="009A240D" w:rsidRDefault="00A36663" w:rsidP="00281BB1">
                          <w:pPr>
                            <w:pStyle w:val="BodyText1"/>
                            <w:rPr>
                              <w:color w:val="FFFFFF" w:themeColor="background1"/>
                            </w:rPr>
                          </w:pPr>
                          <w:r>
                            <w:rPr>
                              <w:color w:val="FFFFFF" w:themeColor="background1"/>
                            </w:rPr>
                            <w:t>February</w:t>
                          </w:r>
                          <w:r w:rsidR="00220B53">
                            <w:rPr>
                              <w:color w:val="FFFFFF" w:themeColor="background1"/>
                            </w:rPr>
                            <w:t xml:space="preserve"> 2026</w:t>
                          </w:r>
                        </w:p>
                      </w:txbxContent>
                    </v:textbox>
                    <w10:anchorlock/>
                  </v:shape>
                </w:pict>
              </mc:Fallback>
            </mc:AlternateContent>
          </w:r>
          <w:r w:rsidR="00521A37" w:rsidRPr="00BC51A1">
            <w:rPr>
              <w:color w:val="FFFFFF" w:themeColor="background1"/>
              <w:sz w:val="84"/>
              <w:szCs w:val="84"/>
            </w:rPr>
            <w:t xml:space="preserve">SEPA </w:t>
          </w:r>
          <w:r w:rsidR="00D33A78" w:rsidRPr="00BC51A1">
            <w:rPr>
              <w:color w:val="FFFFFF" w:themeColor="background1"/>
              <w:sz w:val="84"/>
              <w:szCs w:val="84"/>
            </w:rPr>
            <w:t xml:space="preserve">annual </w:t>
          </w:r>
          <w:r w:rsidR="007B1D80" w:rsidRPr="00BC51A1">
            <w:rPr>
              <w:color w:val="FFFFFF" w:themeColor="background1"/>
              <w:sz w:val="84"/>
              <w:szCs w:val="84"/>
            </w:rPr>
            <w:t>statement</w:t>
          </w:r>
          <w:r w:rsidR="00807070" w:rsidRPr="00BC51A1">
            <w:rPr>
              <w:color w:val="FFFFFF" w:themeColor="background1"/>
              <w:sz w:val="84"/>
              <w:szCs w:val="84"/>
            </w:rPr>
            <w:t>:</w:t>
          </w:r>
          <w:r w:rsidR="00D235B9" w:rsidRPr="00BC51A1">
            <w:rPr>
              <w:color w:val="FFFFFF" w:themeColor="background1"/>
              <w:sz w:val="84"/>
              <w:szCs w:val="84"/>
            </w:rPr>
            <w:t xml:space="preserve"> </w:t>
          </w:r>
          <w:r w:rsidR="00521A37" w:rsidRPr="00BC51A1">
            <w:rPr>
              <w:color w:val="FFFFFF" w:themeColor="background1"/>
              <w:sz w:val="84"/>
              <w:szCs w:val="84"/>
            </w:rPr>
            <w:t>Public Services Reform (Scotland) Act 2010</w:t>
          </w:r>
          <w:r w:rsidR="008976B9">
            <w:rPr>
              <w:color w:val="FFFFFF" w:themeColor="background1"/>
              <w:sz w:val="84"/>
              <w:szCs w:val="84"/>
            </w:rPr>
            <w:t xml:space="preserve"> </w:t>
          </w:r>
          <w:r w:rsidR="008976B9">
            <w:rPr>
              <w:color w:val="FFFFFF" w:themeColor="background1"/>
              <w:sz w:val="84"/>
              <w:szCs w:val="84"/>
            </w:rPr>
            <w:br/>
            <w:t>2024/25</w:t>
          </w:r>
        </w:p>
        <w:p w14:paraId="7EC8E2ED" w14:textId="727E2A00" w:rsidR="008976B9" w:rsidRPr="008976B9" w:rsidRDefault="008976B9" w:rsidP="008976B9"/>
        <w:p w14:paraId="7B30F5DB" w14:textId="77777777" w:rsidR="008C1A73" w:rsidRPr="00CF7EFB" w:rsidRDefault="008C1A73" w:rsidP="00650B15">
          <w:pPr>
            <w:pStyle w:val="BodyText1"/>
            <w:rPr>
              <w:b/>
              <w:bCs/>
              <w:color w:val="FFFFFF" w:themeColor="background1"/>
              <w:sz w:val="84"/>
              <w:szCs w:val="84"/>
            </w:rPr>
          </w:pPr>
          <w:r>
            <w:br w:type="page"/>
          </w:r>
        </w:p>
      </w:sdtContent>
    </w:sdt>
    <w:p w14:paraId="49A7DE21" w14:textId="77777777" w:rsidR="00EA219D" w:rsidRDefault="00EA219D" w:rsidP="00C70FA7">
      <w:pPr>
        <w:pStyle w:val="Heading2"/>
      </w:pPr>
      <w:bookmarkStart w:id="0" w:name="_Toc220672388"/>
      <w:bookmarkStart w:id="1" w:name="_Toc221879314"/>
      <w:r>
        <w:lastRenderedPageBreak/>
        <w:t>Contents</w:t>
      </w:r>
      <w:bookmarkEnd w:id="0"/>
      <w:bookmarkEnd w:id="1"/>
    </w:p>
    <w:sdt>
      <w:sdtPr>
        <w:id w:val="622886709"/>
        <w:docPartObj>
          <w:docPartGallery w:val="Table of Contents"/>
          <w:docPartUnique/>
        </w:docPartObj>
      </w:sdtPr>
      <w:sdtEndPr>
        <w:rPr>
          <w:b/>
          <w:bCs/>
          <w:noProof/>
        </w:rPr>
      </w:sdtEndPr>
      <w:sdtContent>
        <w:p w14:paraId="5F454FE3" w14:textId="64CF3EC6" w:rsidR="00C70FA7" w:rsidRDefault="00A33B06">
          <w:pPr>
            <w:pStyle w:val="TOC2"/>
            <w:tabs>
              <w:tab w:val="right" w:leader="dot" w:pos="10212"/>
            </w:tabs>
            <w:rPr>
              <w:noProof/>
              <w:kern w:val="2"/>
              <w:lang w:eastAsia="en-GB"/>
              <w14:ligatures w14:val="standardContextual"/>
            </w:rPr>
          </w:pPr>
          <w:r>
            <w:rPr>
              <w:rFonts w:asciiTheme="majorHAnsi" w:eastAsiaTheme="majorEastAsia" w:hAnsiTheme="majorHAnsi" w:cstheme="majorBidi"/>
              <w:color w:val="004B56" w:themeColor="accent1" w:themeShade="BF"/>
              <w:sz w:val="32"/>
              <w:szCs w:val="32"/>
              <w:lang w:val="en-US"/>
            </w:rPr>
            <w:fldChar w:fldCharType="begin"/>
          </w:r>
          <w:r>
            <w:instrText xml:space="preserve"> TOC \o "1-3" \h \z \u </w:instrText>
          </w:r>
          <w:r>
            <w:rPr>
              <w:rFonts w:asciiTheme="majorHAnsi" w:eastAsiaTheme="majorEastAsia" w:hAnsiTheme="majorHAnsi" w:cstheme="majorBidi"/>
              <w:color w:val="004B56" w:themeColor="accent1" w:themeShade="BF"/>
              <w:sz w:val="32"/>
              <w:szCs w:val="32"/>
              <w:lang w:val="en-US"/>
            </w:rPr>
            <w:fldChar w:fldCharType="separate"/>
          </w:r>
          <w:hyperlink w:anchor="_Toc221879315" w:history="1">
            <w:r w:rsidR="00C70FA7" w:rsidRPr="00280EB1">
              <w:rPr>
                <w:rStyle w:val="Hyperlink"/>
                <w:noProof/>
              </w:rPr>
              <w:t>Introduction</w:t>
            </w:r>
            <w:r w:rsidR="00C70FA7">
              <w:rPr>
                <w:noProof/>
                <w:webHidden/>
              </w:rPr>
              <w:tab/>
            </w:r>
            <w:r w:rsidR="00C70FA7">
              <w:rPr>
                <w:noProof/>
                <w:webHidden/>
              </w:rPr>
              <w:fldChar w:fldCharType="begin"/>
            </w:r>
            <w:r w:rsidR="00C70FA7">
              <w:rPr>
                <w:noProof/>
                <w:webHidden/>
              </w:rPr>
              <w:instrText xml:space="preserve"> PAGEREF _Toc221879315 \h </w:instrText>
            </w:r>
            <w:r w:rsidR="00C70FA7">
              <w:rPr>
                <w:noProof/>
                <w:webHidden/>
              </w:rPr>
            </w:r>
            <w:r w:rsidR="00C70FA7">
              <w:rPr>
                <w:noProof/>
                <w:webHidden/>
              </w:rPr>
              <w:fldChar w:fldCharType="separate"/>
            </w:r>
            <w:r w:rsidR="00862DCA">
              <w:rPr>
                <w:noProof/>
                <w:webHidden/>
              </w:rPr>
              <w:t>2</w:t>
            </w:r>
            <w:r w:rsidR="00C70FA7">
              <w:rPr>
                <w:noProof/>
                <w:webHidden/>
              </w:rPr>
              <w:fldChar w:fldCharType="end"/>
            </w:r>
          </w:hyperlink>
        </w:p>
        <w:p w14:paraId="0116A889" w14:textId="077A864F" w:rsidR="00C70FA7" w:rsidRDefault="00C70FA7">
          <w:pPr>
            <w:pStyle w:val="TOC2"/>
            <w:tabs>
              <w:tab w:val="right" w:leader="dot" w:pos="10212"/>
            </w:tabs>
            <w:rPr>
              <w:noProof/>
              <w:kern w:val="2"/>
              <w:lang w:eastAsia="en-GB"/>
              <w14:ligatures w14:val="standardContextual"/>
            </w:rPr>
          </w:pPr>
          <w:hyperlink w:anchor="_Toc221879316" w:history="1">
            <w:r w:rsidRPr="00280EB1">
              <w:rPr>
                <w:rStyle w:val="Hyperlink"/>
                <w:noProof/>
              </w:rPr>
              <w:t>Payments with a value more than £25k</w:t>
            </w:r>
            <w:r>
              <w:rPr>
                <w:noProof/>
                <w:webHidden/>
              </w:rPr>
              <w:tab/>
            </w:r>
            <w:r>
              <w:rPr>
                <w:noProof/>
                <w:webHidden/>
              </w:rPr>
              <w:fldChar w:fldCharType="begin"/>
            </w:r>
            <w:r>
              <w:rPr>
                <w:noProof/>
                <w:webHidden/>
              </w:rPr>
              <w:instrText xml:space="preserve"> PAGEREF _Toc221879316 \h </w:instrText>
            </w:r>
            <w:r>
              <w:rPr>
                <w:noProof/>
                <w:webHidden/>
              </w:rPr>
            </w:r>
            <w:r>
              <w:rPr>
                <w:noProof/>
                <w:webHidden/>
              </w:rPr>
              <w:fldChar w:fldCharType="separate"/>
            </w:r>
            <w:r w:rsidR="00862DCA">
              <w:rPr>
                <w:noProof/>
                <w:webHidden/>
              </w:rPr>
              <w:t>4</w:t>
            </w:r>
            <w:r>
              <w:rPr>
                <w:noProof/>
                <w:webHidden/>
              </w:rPr>
              <w:fldChar w:fldCharType="end"/>
            </w:r>
          </w:hyperlink>
        </w:p>
        <w:p w14:paraId="5D4C46EA" w14:textId="6844295E" w:rsidR="00C70FA7" w:rsidRDefault="00C70FA7">
          <w:pPr>
            <w:pStyle w:val="TOC2"/>
            <w:tabs>
              <w:tab w:val="right" w:leader="dot" w:pos="10212"/>
            </w:tabs>
            <w:rPr>
              <w:noProof/>
              <w:kern w:val="2"/>
              <w:lang w:eastAsia="en-GB"/>
              <w14:ligatures w14:val="standardContextual"/>
            </w:rPr>
          </w:pPr>
          <w:hyperlink w:anchor="_Toc221879317" w:history="1">
            <w:r w:rsidRPr="00280EB1">
              <w:rPr>
                <w:rStyle w:val="Hyperlink"/>
                <w:noProof/>
              </w:rPr>
              <w:t>Staff paid more than £150,000 per annum</w:t>
            </w:r>
            <w:r>
              <w:rPr>
                <w:noProof/>
                <w:webHidden/>
              </w:rPr>
              <w:tab/>
            </w:r>
            <w:r>
              <w:rPr>
                <w:noProof/>
                <w:webHidden/>
              </w:rPr>
              <w:fldChar w:fldCharType="begin"/>
            </w:r>
            <w:r>
              <w:rPr>
                <w:noProof/>
                <w:webHidden/>
              </w:rPr>
              <w:instrText xml:space="preserve"> PAGEREF _Toc221879317 \h </w:instrText>
            </w:r>
            <w:r>
              <w:rPr>
                <w:noProof/>
                <w:webHidden/>
              </w:rPr>
            </w:r>
            <w:r>
              <w:rPr>
                <w:noProof/>
                <w:webHidden/>
              </w:rPr>
              <w:fldChar w:fldCharType="separate"/>
            </w:r>
            <w:r w:rsidR="00862DCA">
              <w:rPr>
                <w:noProof/>
                <w:webHidden/>
              </w:rPr>
              <w:t>15</w:t>
            </w:r>
            <w:r>
              <w:rPr>
                <w:noProof/>
                <w:webHidden/>
              </w:rPr>
              <w:fldChar w:fldCharType="end"/>
            </w:r>
          </w:hyperlink>
        </w:p>
        <w:p w14:paraId="52497339" w14:textId="3D49D38A" w:rsidR="00C70FA7" w:rsidRDefault="00C70FA7">
          <w:pPr>
            <w:pStyle w:val="TOC2"/>
            <w:tabs>
              <w:tab w:val="right" w:leader="dot" w:pos="10212"/>
            </w:tabs>
            <w:rPr>
              <w:noProof/>
              <w:kern w:val="2"/>
              <w:lang w:eastAsia="en-GB"/>
              <w14:ligatures w14:val="standardContextual"/>
            </w:rPr>
          </w:pPr>
          <w:hyperlink w:anchor="_Toc221879318" w:history="1">
            <w:r w:rsidRPr="00280EB1">
              <w:rPr>
                <w:rStyle w:val="Hyperlink"/>
                <w:noProof/>
              </w:rPr>
              <w:t>Shared services</w:t>
            </w:r>
            <w:r>
              <w:rPr>
                <w:noProof/>
                <w:webHidden/>
              </w:rPr>
              <w:tab/>
            </w:r>
            <w:r>
              <w:rPr>
                <w:noProof/>
                <w:webHidden/>
              </w:rPr>
              <w:fldChar w:fldCharType="begin"/>
            </w:r>
            <w:r>
              <w:rPr>
                <w:noProof/>
                <w:webHidden/>
              </w:rPr>
              <w:instrText xml:space="preserve"> PAGEREF _Toc221879318 \h </w:instrText>
            </w:r>
            <w:r>
              <w:rPr>
                <w:noProof/>
                <w:webHidden/>
              </w:rPr>
            </w:r>
            <w:r>
              <w:rPr>
                <w:noProof/>
                <w:webHidden/>
              </w:rPr>
              <w:fldChar w:fldCharType="separate"/>
            </w:r>
            <w:r w:rsidR="00862DCA">
              <w:rPr>
                <w:noProof/>
                <w:webHidden/>
              </w:rPr>
              <w:t>15</w:t>
            </w:r>
            <w:r>
              <w:rPr>
                <w:noProof/>
                <w:webHidden/>
              </w:rPr>
              <w:fldChar w:fldCharType="end"/>
            </w:r>
          </w:hyperlink>
        </w:p>
        <w:p w14:paraId="66D62C71" w14:textId="7B16EFEC" w:rsidR="00C70FA7" w:rsidRDefault="00C70FA7">
          <w:pPr>
            <w:pStyle w:val="TOC2"/>
            <w:tabs>
              <w:tab w:val="right" w:leader="dot" w:pos="10212"/>
            </w:tabs>
            <w:rPr>
              <w:noProof/>
              <w:kern w:val="2"/>
              <w:lang w:eastAsia="en-GB"/>
              <w14:ligatures w14:val="standardContextual"/>
            </w:rPr>
          </w:pPr>
          <w:hyperlink w:anchor="_Toc221879319" w:history="1">
            <w:r w:rsidRPr="00280EB1">
              <w:rPr>
                <w:rStyle w:val="Hyperlink"/>
                <w:noProof/>
              </w:rPr>
              <w:t>Sustainability</w:t>
            </w:r>
            <w:r>
              <w:rPr>
                <w:noProof/>
                <w:webHidden/>
              </w:rPr>
              <w:tab/>
            </w:r>
            <w:r>
              <w:rPr>
                <w:noProof/>
                <w:webHidden/>
              </w:rPr>
              <w:fldChar w:fldCharType="begin"/>
            </w:r>
            <w:r>
              <w:rPr>
                <w:noProof/>
                <w:webHidden/>
              </w:rPr>
              <w:instrText xml:space="preserve"> PAGEREF _Toc221879319 \h </w:instrText>
            </w:r>
            <w:r>
              <w:rPr>
                <w:noProof/>
                <w:webHidden/>
              </w:rPr>
            </w:r>
            <w:r>
              <w:rPr>
                <w:noProof/>
                <w:webHidden/>
              </w:rPr>
              <w:fldChar w:fldCharType="separate"/>
            </w:r>
            <w:r w:rsidR="00862DCA">
              <w:rPr>
                <w:noProof/>
                <w:webHidden/>
              </w:rPr>
              <w:t>16</w:t>
            </w:r>
            <w:r>
              <w:rPr>
                <w:noProof/>
                <w:webHidden/>
              </w:rPr>
              <w:fldChar w:fldCharType="end"/>
            </w:r>
          </w:hyperlink>
        </w:p>
        <w:p w14:paraId="4173E9FB" w14:textId="0C9B093C" w:rsidR="00C70FA7" w:rsidRDefault="00C70FA7">
          <w:pPr>
            <w:pStyle w:val="TOC3"/>
            <w:tabs>
              <w:tab w:val="right" w:leader="dot" w:pos="10212"/>
            </w:tabs>
            <w:rPr>
              <w:noProof/>
              <w:kern w:val="2"/>
              <w:lang w:eastAsia="en-GB"/>
              <w14:ligatures w14:val="standardContextual"/>
            </w:rPr>
          </w:pPr>
          <w:hyperlink w:anchor="_Toc221879320" w:history="1">
            <w:r w:rsidRPr="00280EB1">
              <w:rPr>
                <w:rStyle w:val="Hyperlink"/>
                <w:noProof/>
              </w:rPr>
              <w:t>Net zero SEPA</w:t>
            </w:r>
            <w:r>
              <w:rPr>
                <w:noProof/>
                <w:webHidden/>
              </w:rPr>
              <w:tab/>
            </w:r>
            <w:r>
              <w:rPr>
                <w:noProof/>
                <w:webHidden/>
              </w:rPr>
              <w:fldChar w:fldCharType="begin"/>
            </w:r>
            <w:r>
              <w:rPr>
                <w:noProof/>
                <w:webHidden/>
              </w:rPr>
              <w:instrText xml:space="preserve"> PAGEREF _Toc221879320 \h </w:instrText>
            </w:r>
            <w:r>
              <w:rPr>
                <w:noProof/>
                <w:webHidden/>
              </w:rPr>
            </w:r>
            <w:r>
              <w:rPr>
                <w:noProof/>
                <w:webHidden/>
              </w:rPr>
              <w:fldChar w:fldCharType="separate"/>
            </w:r>
            <w:r w:rsidR="00862DCA">
              <w:rPr>
                <w:noProof/>
                <w:webHidden/>
              </w:rPr>
              <w:t>16</w:t>
            </w:r>
            <w:r>
              <w:rPr>
                <w:noProof/>
                <w:webHidden/>
              </w:rPr>
              <w:fldChar w:fldCharType="end"/>
            </w:r>
          </w:hyperlink>
        </w:p>
        <w:p w14:paraId="16E4107D" w14:textId="3AEBA0A1" w:rsidR="00C70FA7" w:rsidRDefault="00C70FA7">
          <w:pPr>
            <w:pStyle w:val="TOC2"/>
            <w:tabs>
              <w:tab w:val="right" w:leader="dot" w:pos="10212"/>
            </w:tabs>
            <w:rPr>
              <w:noProof/>
              <w:kern w:val="2"/>
              <w:lang w:eastAsia="en-GB"/>
              <w14:ligatures w14:val="standardContextual"/>
            </w:rPr>
          </w:pPr>
          <w:hyperlink w:anchor="_Toc221879321" w:history="1">
            <w:r w:rsidRPr="00280EB1">
              <w:rPr>
                <w:rStyle w:val="Hyperlink"/>
                <w:rFonts w:eastAsia="Calibri"/>
                <w:noProof/>
              </w:rPr>
              <w:t>National Performance Framework - Our contribution to Sustainable Development Goals</w:t>
            </w:r>
            <w:r>
              <w:rPr>
                <w:noProof/>
                <w:webHidden/>
              </w:rPr>
              <w:tab/>
            </w:r>
            <w:r>
              <w:rPr>
                <w:noProof/>
                <w:webHidden/>
              </w:rPr>
              <w:fldChar w:fldCharType="begin"/>
            </w:r>
            <w:r>
              <w:rPr>
                <w:noProof/>
                <w:webHidden/>
              </w:rPr>
              <w:instrText xml:space="preserve"> PAGEREF _Toc221879321 \h </w:instrText>
            </w:r>
            <w:r>
              <w:rPr>
                <w:noProof/>
                <w:webHidden/>
              </w:rPr>
            </w:r>
            <w:r>
              <w:rPr>
                <w:noProof/>
                <w:webHidden/>
              </w:rPr>
              <w:fldChar w:fldCharType="separate"/>
            </w:r>
            <w:r w:rsidR="00862DCA">
              <w:rPr>
                <w:noProof/>
                <w:webHidden/>
              </w:rPr>
              <w:t>17</w:t>
            </w:r>
            <w:r>
              <w:rPr>
                <w:noProof/>
                <w:webHidden/>
              </w:rPr>
              <w:fldChar w:fldCharType="end"/>
            </w:r>
          </w:hyperlink>
        </w:p>
        <w:p w14:paraId="465937C5" w14:textId="1939C2AA" w:rsidR="00C70FA7" w:rsidRDefault="00C70FA7">
          <w:pPr>
            <w:pStyle w:val="TOC2"/>
            <w:tabs>
              <w:tab w:val="right" w:leader="dot" w:pos="10212"/>
            </w:tabs>
            <w:rPr>
              <w:noProof/>
              <w:kern w:val="2"/>
              <w:lang w:eastAsia="en-GB"/>
              <w14:ligatures w14:val="standardContextual"/>
            </w:rPr>
          </w:pPr>
          <w:hyperlink w:anchor="_Toc221879322" w:history="1">
            <w:r w:rsidRPr="00280EB1">
              <w:rPr>
                <w:rStyle w:val="Hyperlink"/>
                <w:rFonts w:eastAsia="Calibri"/>
                <w:noProof/>
              </w:rPr>
              <w:t>Efficiency</w:t>
            </w:r>
            <w:r>
              <w:rPr>
                <w:noProof/>
                <w:webHidden/>
              </w:rPr>
              <w:tab/>
            </w:r>
            <w:r w:rsidR="008E1779">
              <w:rPr>
                <w:noProof/>
                <w:webHidden/>
              </w:rPr>
              <w:t>18</w:t>
            </w:r>
          </w:hyperlink>
        </w:p>
        <w:p w14:paraId="08E74BA0" w14:textId="67BD486C" w:rsidR="00362CA1" w:rsidRDefault="00A33B06" w:rsidP="00362CA1">
          <w:pPr>
            <w:rPr>
              <w:b/>
              <w:bCs/>
              <w:noProof/>
            </w:rPr>
          </w:pPr>
          <w:r>
            <w:rPr>
              <w:b/>
              <w:bCs/>
              <w:noProof/>
            </w:rPr>
            <w:fldChar w:fldCharType="end"/>
          </w:r>
        </w:p>
      </w:sdtContent>
    </w:sdt>
    <w:p w14:paraId="1D7DA4CE" w14:textId="25640382" w:rsidR="00EA219D" w:rsidRDefault="00EA219D" w:rsidP="00362CA1">
      <w:r>
        <w:br w:type="page"/>
      </w:r>
    </w:p>
    <w:p w14:paraId="2054C966" w14:textId="0140CB1C" w:rsidR="00AE1DFE" w:rsidRPr="00836BC4" w:rsidRDefault="00420C63" w:rsidP="0002309D">
      <w:pPr>
        <w:pStyle w:val="Heading2"/>
      </w:pPr>
      <w:bookmarkStart w:id="2" w:name="_Toc221879315"/>
      <w:r>
        <w:lastRenderedPageBreak/>
        <w:t>Introduction</w:t>
      </w:r>
      <w:bookmarkEnd w:id="2"/>
    </w:p>
    <w:p w14:paraId="16E1211E" w14:textId="77777777" w:rsidR="00967BEB" w:rsidRPr="00CA00F9" w:rsidRDefault="00967BEB" w:rsidP="00967BEB">
      <w:pPr>
        <w:pStyle w:val="BodyText1"/>
      </w:pPr>
      <w:r w:rsidRPr="00CA00F9">
        <w:t>Under the Public Services Reform (Scotland) Act 2010 we have, along with other public bodies in Scotland, a duty to publish annual public statements relating to our expenditure in the following areas:</w:t>
      </w:r>
    </w:p>
    <w:p w14:paraId="55C02FAC" w14:textId="77777777" w:rsidR="00967BEB" w:rsidRPr="00CA00F9" w:rsidRDefault="00967BEB" w:rsidP="00967BEB">
      <w:pPr>
        <w:pStyle w:val="BodyText1"/>
        <w:numPr>
          <w:ilvl w:val="0"/>
          <w:numId w:val="15"/>
        </w:numPr>
      </w:pPr>
      <w:r w:rsidRPr="00CA00F9">
        <w:t xml:space="preserve">Public relations </w:t>
      </w:r>
    </w:p>
    <w:p w14:paraId="48F1C708" w14:textId="77777777" w:rsidR="00967BEB" w:rsidRPr="00CA00F9" w:rsidRDefault="00967BEB" w:rsidP="00967BEB">
      <w:pPr>
        <w:pStyle w:val="BodyText1"/>
        <w:numPr>
          <w:ilvl w:val="0"/>
          <w:numId w:val="15"/>
        </w:numPr>
      </w:pPr>
      <w:r w:rsidRPr="00CA00F9">
        <w:t xml:space="preserve">Overseas travel </w:t>
      </w:r>
    </w:p>
    <w:p w14:paraId="7E6D46CF" w14:textId="77777777" w:rsidR="00967BEB" w:rsidRPr="00CA00F9" w:rsidRDefault="00967BEB" w:rsidP="00967BEB">
      <w:pPr>
        <w:pStyle w:val="BodyText1"/>
        <w:numPr>
          <w:ilvl w:val="0"/>
          <w:numId w:val="15"/>
        </w:numPr>
      </w:pPr>
      <w:r w:rsidRPr="00CA00F9">
        <w:t xml:space="preserve">Hospitality and entertainment </w:t>
      </w:r>
    </w:p>
    <w:p w14:paraId="41426949" w14:textId="77777777" w:rsidR="00967BEB" w:rsidRPr="00CA00F9" w:rsidRDefault="00967BEB" w:rsidP="00967BEB">
      <w:pPr>
        <w:pStyle w:val="BodyText1"/>
        <w:numPr>
          <w:ilvl w:val="0"/>
          <w:numId w:val="15"/>
        </w:numPr>
      </w:pPr>
      <w:r w:rsidRPr="00CA00F9">
        <w:t xml:space="preserve">External consultancy </w:t>
      </w:r>
    </w:p>
    <w:p w14:paraId="2BCDF98D" w14:textId="5CE8802E" w:rsidR="00967BEB" w:rsidRDefault="00967BEB" w:rsidP="00967BEB">
      <w:pPr>
        <w:pStyle w:val="BodyText1"/>
      </w:pPr>
      <w:r w:rsidRPr="0F3F84A1">
        <w:t>There are further duties to publish certain information relating to the purchasing of goods, the remuneration of employees, and the steps we have taken to improve efficiency, effectiveness, and economy in our performance as well as the promotion of sustainable growth</w:t>
      </w:r>
      <w:bookmarkStart w:id="3" w:name="_Int_nDDdPtAF"/>
      <w:r w:rsidRPr="0F3F84A1">
        <w:t xml:space="preserve">. </w:t>
      </w:r>
      <w:bookmarkEnd w:id="3"/>
      <w:r w:rsidRPr="0F3F84A1">
        <w:t>Th</w:t>
      </w:r>
      <w:r w:rsidR="007B1D80">
        <w:t>is</w:t>
      </w:r>
      <w:r w:rsidRPr="0F3F84A1">
        <w:t xml:space="preserve"> statement covers the period April 2024 - March 2025</w:t>
      </w:r>
      <w:r w:rsidR="004C6376">
        <w:t>.</w:t>
      </w:r>
    </w:p>
    <w:p w14:paraId="6899B43A" w14:textId="0F3C427B" w:rsidR="00361003" w:rsidRPr="00026B61" w:rsidRDefault="00361003" w:rsidP="00026B61">
      <w:pPr>
        <w:pStyle w:val="BodyText1"/>
        <w:rPr>
          <w:b/>
          <w:bCs/>
        </w:rPr>
      </w:pPr>
      <w:r w:rsidRPr="00026B61">
        <w:rPr>
          <w:b/>
          <w:bCs/>
        </w:rPr>
        <w:t xml:space="preserve">Table </w:t>
      </w:r>
      <w:r w:rsidR="00877B3C" w:rsidRPr="00026B61">
        <w:rPr>
          <w:b/>
          <w:bCs/>
        </w:rPr>
        <w:t>1:</w:t>
      </w:r>
      <w:r w:rsidRPr="00026B61">
        <w:rPr>
          <w:b/>
          <w:bCs/>
        </w:rPr>
        <w:t xml:space="preserve"> Public</w:t>
      </w:r>
      <w:r w:rsidR="00D2130A" w:rsidRPr="00026B61">
        <w:rPr>
          <w:b/>
          <w:bCs/>
        </w:rPr>
        <w:t xml:space="preserve"> r</w:t>
      </w:r>
      <w:r w:rsidRPr="00026B61">
        <w:rPr>
          <w:b/>
          <w:bCs/>
        </w:rPr>
        <w:t>elations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Public relations"/>
        <w:tblDescription w:val="Table shows costs for communications and marketing, digital communications, employee engagement and public affairs, and advertising totalling £ 1,421,044"/>
      </w:tblPr>
      <w:tblGrid>
        <w:gridCol w:w="5409"/>
        <w:gridCol w:w="2694"/>
      </w:tblGrid>
      <w:tr w:rsidR="00361003" w:rsidRPr="00CA00F9" w14:paraId="3397F031" w14:textId="77777777" w:rsidTr="00C6552C">
        <w:trPr>
          <w:cantSplit/>
          <w:trHeight w:val="300"/>
          <w:tblHeader/>
        </w:trPr>
        <w:tc>
          <w:tcPr>
            <w:tcW w:w="5409" w:type="dxa"/>
            <w:tcBorders>
              <w:top w:val="single" w:sz="4" w:space="0" w:color="auto"/>
              <w:left w:val="single" w:sz="4" w:space="0" w:color="auto"/>
              <w:bottom w:val="single" w:sz="4" w:space="0" w:color="auto"/>
              <w:right w:val="single" w:sz="4" w:space="0" w:color="auto"/>
            </w:tcBorders>
            <w:shd w:val="clear" w:color="auto" w:fill="016574" w:themeFill="accent1"/>
          </w:tcPr>
          <w:p w14:paraId="6BA3F221" w14:textId="77777777" w:rsidR="00361003" w:rsidRPr="00CA00F9" w:rsidRDefault="00361003" w:rsidP="00654F05">
            <w:pPr>
              <w:pStyle w:val="NormalWeb"/>
              <w:spacing w:before="120" w:beforeAutospacing="0" w:after="120" w:afterAutospacing="0"/>
              <w:rPr>
                <w:rFonts w:ascii="Arial" w:hAnsi="Arial" w:cs="Arial"/>
              </w:rPr>
            </w:pPr>
          </w:p>
        </w:tc>
        <w:tc>
          <w:tcPr>
            <w:tcW w:w="2694" w:type="dxa"/>
            <w:tcBorders>
              <w:left w:val="single" w:sz="4" w:space="0" w:color="auto"/>
            </w:tcBorders>
            <w:shd w:val="clear" w:color="auto" w:fill="116574"/>
          </w:tcPr>
          <w:p w14:paraId="0B8CCCC2" w14:textId="1CECCD2F" w:rsidR="00361003" w:rsidRPr="00CA00F9" w:rsidRDefault="00361003" w:rsidP="00654F05">
            <w:pPr>
              <w:spacing w:before="120" w:after="120" w:line="240" w:lineRule="auto"/>
              <w:jc w:val="center"/>
              <w:rPr>
                <w:rFonts w:ascii="Arial" w:hAnsi="Arial" w:cs="Arial"/>
                <w:b/>
                <w:bCs/>
                <w:color w:val="FFFFFF" w:themeColor="background1"/>
              </w:rPr>
            </w:pPr>
            <w:r w:rsidRPr="00BE6914">
              <w:rPr>
                <w:rFonts w:ascii="Arial" w:eastAsia="Times New Roman" w:hAnsi="Arial" w:cs="Arial"/>
                <w:b/>
                <w:bCs/>
                <w:color w:val="FFFFFF"/>
                <w:lang w:eastAsia="en-GB"/>
              </w:rPr>
              <w:t>2024</w:t>
            </w:r>
            <w:r w:rsidR="00C6552C" w:rsidRPr="00BE6914">
              <w:rPr>
                <w:rFonts w:ascii="Arial" w:eastAsia="Times New Roman" w:hAnsi="Arial" w:cs="Arial"/>
                <w:b/>
                <w:bCs/>
                <w:color w:val="FFFFFF"/>
                <w:lang w:eastAsia="en-GB"/>
              </w:rPr>
              <w:t>/</w:t>
            </w:r>
            <w:r w:rsidRPr="00BE6914">
              <w:rPr>
                <w:rFonts w:ascii="Arial" w:eastAsia="Times New Roman" w:hAnsi="Arial" w:cs="Arial"/>
                <w:b/>
                <w:bCs/>
                <w:color w:val="FFFFFF"/>
                <w:lang w:eastAsia="en-GB"/>
              </w:rPr>
              <w:t>25</w:t>
            </w:r>
          </w:p>
        </w:tc>
      </w:tr>
      <w:tr w:rsidR="00361003" w:rsidRPr="00CA00F9" w14:paraId="1F6ACBE5" w14:textId="77777777" w:rsidTr="00B838F3">
        <w:tc>
          <w:tcPr>
            <w:tcW w:w="5409" w:type="dxa"/>
            <w:tcBorders>
              <w:top w:val="single" w:sz="4" w:space="0" w:color="auto"/>
            </w:tcBorders>
            <w:vAlign w:val="center"/>
          </w:tcPr>
          <w:p w14:paraId="66E646BD" w14:textId="43FA7FE0" w:rsidR="00361003" w:rsidRPr="00361003" w:rsidRDefault="00361003" w:rsidP="00654F05">
            <w:pPr>
              <w:spacing w:before="120" w:after="120" w:line="240" w:lineRule="auto"/>
              <w:rPr>
                <w:rFonts w:ascii="Arial" w:eastAsia="Times New Roman" w:hAnsi="Arial" w:cs="Arial"/>
                <w:lang w:eastAsia="en-GB"/>
              </w:rPr>
            </w:pPr>
            <w:r w:rsidRPr="00361003">
              <w:rPr>
                <w:rFonts w:ascii="Arial" w:eastAsia="Times New Roman" w:hAnsi="Arial" w:cs="Arial"/>
                <w:lang w:eastAsia="en-GB"/>
              </w:rPr>
              <w:t xml:space="preserve">Communications </w:t>
            </w:r>
            <w:r w:rsidR="00C6552C">
              <w:rPr>
                <w:rFonts w:ascii="Arial" w:eastAsia="Times New Roman" w:hAnsi="Arial" w:cs="Arial"/>
                <w:lang w:eastAsia="en-GB"/>
              </w:rPr>
              <w:t>and m</w:t>
            </w:r>
            <w:r w:rsidRPr="00361003">
              <w:rPr>
                <w:rFonts w:ascii="Arial" w:eastAsia="Times New Roman" w:hAnsi="Arial" w:cs="Arial"/>
                <w:lang w:eastAsia="en-GB"/>
              </w:rPr>
              <w:t>arketing</w:t>
            </w:r>
          </w:p>
        </w:tc>
        <w:tc>
          <w:tcPr>
            <w:tcW w:w="2694" w:type="dxa"/>
            <w:vAlign w:val="center"/>
          </w:tcPr>
          <w:p w14:paraId="2B34B0AE" w14:textId="77777777" w:rsidR="00361003" w:rsidRPr="00361003" w:rsidRDefault="00361003" w:rsidP="00654F05">
            <w:pPr>
              <w:spacing w:before="120" w:after="120" w:line="240" w:lineRule="auto"/>
              <w:jc w:val="center"/>
              <w:rPr>
                <w:rFonts w:ascii="Arial" w:eastAsia="Times New Roman" w:hAnsi="Arial" w:cs="Arial"/>
                <w:lang w:eastAsia="en-GB"/>
              </w:rPr>
            </w:pPr>
            <w:r w:rsidRPr="00361003">
              <w:rPr>
                <w:rFonts w:ascii="Arial" w:eastAsia="Times New Roman" w:hAnsi="Arial" w:cs="Arial"/>
                <w:lang w:eastAsia="en-GB"/>
              </w:rPr>
              <w:t>£1,282,074</w:t>
            </w:r>
          </w:p>
        </w:tc>
      </w:tr>
      <w:tr w:rsidR="00361003" w:rsidRPr="00CA00F9" w14:paraId="4A68F66C" w14:textId="77777777" w:rsidTr="00B838F3">
        <w:tc>
          <w:tcPr>
            <w:tcW w:w="5409" w:type="dxa"/>
            <w:vAlign w:val="center"/>
          </w:tcPr>
          <w:p w14:paraId="5F1CCB02" w14:textId="6F41DCC8" w:rsidR="00361003" w:rsidRPr="00361003" w:rsidRDefault="00361003" w:rsidP="00654F05">
            <w:pPr>
              <w:spacing w:before="120" w:after="120" w:line="240" w:lineRule="auto"/>
              <w:rPr>
                <w:rFonts w:ascii="Arial" w:eastAsia="Times New Roman" w:hAnsi="Arial" w:cs="Arial"/>
                <w:lang w:eastAsia="en-GB"/>
              </w:rPr>
            </w:pPr>
            <w:r w:rsidRPr="00361003">
              <w:rPr>
                <w:rFonts w:ascii="Arial" w:eastAsia="Times New Roman" w:hAnsi="Arial" w:cs="Arial"/>
                <w:lang w:eastAsia="en-GB"/>
              </w:rPr>
              <w:t xml:space="preserve">Digital </w:t>
            </w:r>
            <w:r w:rsidR="00C6552C">
              <w:rPr>
                <w:rFonts w:ascii="Arial" w:eastAsia="Times New Roman" w:hAnsi="Arial" w:cs="Arial"/>
                <w:lang w:eastAsia="en-GB"/>
              </w:rPr>
              <w:t>c</w:t>
            </w:r>
            <w:r w:rsidRPr="00361003">
              <w:rPr>
                <w:rFonts w:ascii="Arial" w:eastAsia="Times New Roman" w:hAnsi="Arial" w:cs="Arial"/>
                <w:lang w:eastAsia="en-GB"/>
              </w:rPr>
              <w:t>ommunications</w:t>
            </w:r>
          </w:p>
        </w:tc>
        <w:tc>
          <w:tcPr>
            <w:tcW w:w="2694" w:type="dxa"/>
            <w:vAlign w:val="center"/>
          </w:tcPr>
          <w:p w14:paraId="6EA4FC1E" w14:textId="77777777" w:rsidR="00361003" w:rsidRPr="00361003" w:rsidRDefault="00361003" w:rsidP="00654F05">
            <w:pPr>
              <w:spacing w:before="120" w:after="120" w:line="240" w:lineRule="auto"/>
              <w:jc w:val="center"/>
              <w:rPr>
                <w:rFonts w:ascii="Arial" w:eastAsia="Times New Roman" w:hAnsi="Arial" w:cs="Arial"/>
                <w:lang w:eastAsia="en-GB"/>
              </w:rPr>
            </w:pPr>
            <w:r w:rsidRPr="00361003">
              <w:rPr>
                <w:rFonts w:ascii="Arial" w:eastAsia="Times New Roman" w:hAnsi="Arial" w:cs="Arial"/>
                <w:lang w:eastAsia="en-GB"/>
              </w:rPr>
              <w:t>£48,581</w:t>
            </w:r>
          </w:p>
        </w:tc>
      </w:tr>
      <w:tr w:rsidR="00361003" w:rsidRPr="00CA00F9" w14:paraId="1954B50A" w14:textId="77777777" w:rsidTr="00B838F3">
        <w:tc>
          <w:tcPr>
            <w:tcW w:w="5409" w:type="dxa"/>
            <w:vAlign w:val="center"/>
          </w:tcPr>
          <w:p w14:paraId="37C259E3" w14:textId="06DF77ED" w:rsidR="00361003" w:rsidRPr="00361003" w:rsidRDefault="00361003" w:rsidP="00654F05">
            <w:pPr>
              <w:spacing w:before="120" w:after="120" w:line="240" w:lineRule="auto"/>
              <w:rPr>
                <w:rFonts w:ascii="Arial" w:eastAsia="Times New Roman" w:hAnsi="Arial" w:cs="Arial"/>
                <w:lang w:eastAsia="en-GB"/>
              </w:rPr>
            </w:pPr>
            <w:r w:rsidRPr="00361003">
              <w:rPr>
                <w:rFonts w:ascii="Arial" w:eastAsia="Times New Roman" w:hAnsi="Arial" w:cs="Arial"/>
                <w:lang w:eastAsia="en-GB"/>
              </w:rPr>
              <w:t xml:space="preserve">Employee </w:t>
            </w:r>
            <w:r w:rsidR="00C6552C">
              <w:rPr>
                <w:rFonts w:ascii="Arial" w:eastAsia="Times New Roman" w:hAnsi="Arial" w:cs="Arial"/>
                <w:lang w:eastAsia="en-GB"/>
              </w:rPr>
              <w:t>e</w:t>
            </w:r>
            <w:r w:rsidRPr="00361003">
              <w:rPr>
                <w:rFonts w:ascii="Arial" w:eastAsia="Times New Roman" w:hAnsi="Arial" w:cs="Arial"/>
                <w:lang w:eastAsia="en-GB"/>
              </w:rPr>
              <w:t xml:space="preserve">ngagement </w:t>
            </w:r>
            <w:r w:rsidR="00C6552C">
              <w:rPr>
                <w:rFonts w:ascii="Arial" w:eastAsia="Times New Roman" w:hAnsi="Arial" w:cs="Arial"/>
                <w:lang w:eastAsia="en-GB"/>
              </w:rPr>
              <w:t>and</w:t>
            </w:r>
            <w:r w:rsidRPr="00361003">
              <w:rPr>
                <w:rFonts w:ascii="Arial" w:eastAsia="Times New Roman" w:hAnsi="Arial" w:cs="Arial"/>
                <w:lang w:eastAsia="en-GB"/>
              </w:rPr>
              <w:t xml:space="preserve"> </w:t>
            </w:r>
            <w:r w:rsidR="00C6552C">
              <w:rPr>
                <w:rFonts w:ascii="Arial" w:eastAsia="Times New Roman" w:hAnsi="Arial" w:cs="Arial"/>
                <w:lang w:eastAsia="en-GB"/>
              </w:rPr>
              <w:t>p</w:t>
            </w:r>
            <w:r w:rsidRPr="00361003">
              <w:rPr>
                <w:rFonts w:ascii="Arial" w:eastAsia="Times New Roman" w:hAnsi="Arial" w:cs="Arial"/>
                <w:lang w:eastAsia="en-GB"/>
              </w:rPr>
              <w:t xml:space="preserve">ublic </w:t>
            </w:r>
            <w:r w:rsidR="00C6552C">
              <w:rPr>
                <w:rFonts w:ascii="Arial" w:eastAsia="Times New Roman" w:hAnsi="Arial" w:cs="Arial"/>
                <w:lang w:eastAsia="en-GB"/>
              </w:rPr>
              <w:t>a</w:t>
            </w:r>
            <w:r w:rsidRPr="00361003">
              <w:rPr>
                <w:rFonts w:ascii="Arial" w:eastAsia="Times New Roman" w:hAnsi="Arial" w:cs="Arial"/>
                <w:lang w:eastAsia="en-GB"/>
              </w:rPr>
              <w:t>ffairs</w:t>
            </w:r>
          </w:p>
        </w:tc>
        <w:tc>
          <w:tcPr>
            <w:tcW w:w="2694" w:type="dxa"/>
            <w:vAlign w:val="center"/>
          </w:tcPr>
          <w:p w14:paraId="35FF2C56" w14:textId="77777777" w:rsidR="00361003" w:rsidRPr="00361003" w:rsidRDefault="00361003" w:rsidP="00654F05">
            <w:pPr>
              <w:spacing w:before="120" w:after="120" w:line="240" w:lineRule="auto"/>
              <w:jc w:val="center"/>
              <w:rPr>
                <w:rFonts w:ascii="Arial" w:eastAsia="Times New Roman" w:hAnsi="Arial" w:cs="Arial"/>
                <w:lang w:eastAsia="en-GB"/>
              </w:rPr>
            </w:pPr>
            <w:r w:rsidRPr="00361003">
              <w:rPr>
                <w:rFonts w:ascii="Arial" w:eastAsia="Times New Roman" w:hAnsi="Arial" w:cs="Arial"/>
                <w:lang w:eastAsia="en-GB"/>
              </w:rPr>
              <w:t>£13,746</w:t>
            </w:r>
          </w:p>
        </w:tc>
      </w:tr>
      <w:tr w:rsidR="00361003" w:rsidRPr="00CA00F9" w14:paraId="5BA3560F" w14:textId="77777777" w:rsidTr="00B838F3">
        <w:trPr>
          <w:trHeight w:val="300"/>
        </w:trPr>
        <w:tc>
          <w:tcPr>
            <w:tcW w:w="5409" w:type="dxa"/>
            <w:vAlign w:val="center"/>
          </w:tcPr>
          <w:p w14:paraId="61B1F348" w14:textId="77777777" w:rsidR="00361003" w:rsidRPr="00361003" w:rsidRDefault="00361003" w:rsidP="00654F05">
            <w:pPr>
              <w:spacing w:before="120" w:after="120" w:line="240" w:lineRule="auto"/>
              <w:rPr>
                <w:rFonts w:ascii="Arial" w:eastAsia="Times New Roman" w:hAnsi="Arial" w:cs="Arial"/>
                <w:lang w:eastAsia="en-GB"/>
              </w:rPr>
            </w:pPr>
            <w:r w:rsidRPr="00361003">
              <w:rPr>
                <w:rFonts w:ascii="Arial" w:eastAsia="Times New Roman" w:hAnsi="Arial" w:cs="Arial"/>
                <w:lang w:eastAsia="en-GB"/>
              </w:rPr>
              <w:t xml:space="preserve">Advertising </w:t>
            </w:r>
          </w:p>
        </w:tc>
        <w:tc>
          <w:tcPr>
            <w:tcW w:w="2694" w:type="dxa"/>
            <w:vAlign w:val="center"/>
          </w:tcPr>
          <w:p w14:paraId="02CF0945" w14:textId="77777777" w:rsidR="00361003" w:rsidRPr="00361003" w:rsidRDefault="00361003" w:rsidP="00654F05">
            <w:pPr>
              <w:spacing w:before="120" w:after="120" w:line="240" w:lineRule="auto"/>
              <w:jc w:val="center"/>
              <w:rPr>
                <w:rFonts w:ascii="Arial" w:eastAsia="Times New Roman" w:hAnsi="Arial" w:cs="Arial"/>
                <w:lang w:eastAsia="en-GB"/>
              </w:rPr>
            </w:pPr>
            <w:r w:rsidRPr="00361003">
              <w:rPr>
                <w:rFonts w:ascii="Arial" w:eastAsia="Times New Roman" w:hAnsi="Arial" w:cs="Arial"/>
                <w:lang w:eastAsia="en-GB"/>
              </w:rPr>
              <w:t>£76,644</w:t>
            </w:r>
          </w:p>
        </w:tc>
      </w:tr>
      <w:tr w:rsidR="00361003" w:rsidRPr="00CA00F9" w14:paraId="6C751B40" w14:textId="77777777" w:rsidTr="0070056F">
        <w:tc>
          <w:tcPr>
            <w:tcW w:w="5409" w:type="dxa"/>
            <w:shd w:val="clear" w:color="auto" w:fill="116574"/>
          </w:tcPr>
          <w:p w14:paraId="24296DEC" w14:textId="77777777" w:rsidR="00361003" w:rsidRPr="00F872C0" w:rsidRDefault="00361003" w:rsidP="00654F05">
            <w:pPr>
              <w:spacing w:before="120" w:after="120" w:line="240" w:lineRule="auto"/>
              <w:rPr>
                <w:rFonts w:ascii="Arial" w:hAnsi="Arial" w:cs="Arial"/>
                <w:b/>
                <w:bCs/>
                <w:color w:val="FFFFFF" w:themeColor="background1"/>
              </w:rPr>
            </w:pPr>
            <w:r w:rsidRPr="00F872C0">
              <w:rPr>
                <w:rFonts w:ascii="Arial" w:eastAsia="Times New Roman" w:hAnsi="Arial" w:cs="Arial"/>
                <w:b/>
                <w:bCs/>
                <w:color w:val="FFFFFF" w:themeColor="background1"/>
                <w:lang w:eastAsia="en-GB"/>
              </w:rPr>
              <w:t>Total</w:t>
            </w:r>
          </w:p>
        </w:tc>
        <w:tc>
          <w:tcPr>
            <w:tcW w:w="2694" w:type="dxa"/>
            <w:shd w:val="clear" w:color="auto" w:fill="116574"/>
          </w:tcPr>
          <w:p w14:paraId="646AB380" w14:textId="77777777" w:rsidR="00361003" w:rsidRPr="00F872C0" w:rsidRDefault="00361003" w:rsidP="00654F05">
            <w:pPr>
              <w:spacing w:before="120" w:after="120" w:line="240" w:lineRule="auto"/>
              <w:jc w:val="center"/>
              <w:rPr>
                <w:rFonts w:ascii="Arial" w:hAnsi="Arial" w:cs="Arial"/>
                <w:b/>
                <w:bCs/>
                <w:color w:val="FFFFFF" w:themeColor="background1"/>
              </w:rPr>
            </w:pPr>
            <w:r w:rsidRPr="00F872C0">
              <w:rPr>
                <w:rFonts w:ascii="Arial" w:eastAsia="Times New Roman" w:hAnsi="Arial" w:cs="Arial"/>
                <w:b/>
                <w:bCs/>
                <w:color w:val="FFFFFF" w:themeColor="background1"/>
                <w:lang w:eastAsia="en-GB"/>
              </w:rPr>
              <w:t>£1,421,044</w:t>
            </w:r>
          </w:p>
        </w:tc>
      </w:tr>
    </w:tbl>
    <w:p w14:paraId="102034D3" w14:textId="77777777" w:rsidR="0047287A" w:rsidRDefault="0047287A" w:rsidP="0047287A">
      <w:pPr>
        <w:pStyle w:val="BodyText1"/>
      </w:pPr>
    </w:p>
    <w:p w14:paraId="63A359B6" w14:textId="7C1A1839" w:rsidR="00361003" w:rsidRDefault="00361003" w:rsidP="0047287A">
      <w:pPr>
        <w:pStyle w:val="BodyText1"/>
      </w:pPr>
      <w:r w:rsidRPr="0047287A">
        <w:t>Public relations costs reflect the total cost of communications for SEPA incurred in the promotion or publicity of SEPA or the services it provides.</w:t>
      </w:r>
    </w:p>
    <w:p w14:paraId="6CAFCF89" w14:textId="77777777" w:rsidR="00026B61" w:rsidRDefault="00026B61" w:rsidP="0047287A">
      <w:pPr>
        <w:pStyle w:val="BodyText1"/>
      </w:pPr>
    </w:p>
    <w:p w14:paraId="081B2CCA" w14:textId="77777777" w:rsidR="00D2130A" w:rsidRPr="0047287A" w:rsidRDefault="00D2130A" w:rsidP="0047287A">
      <w:pPr>
        <w:pStyle w:val="BodyText1"/>
      </w:pPr>
    </w:p>
    <w:p w14:paraId="3E2CEE8D" w14:textId="7DDEDF0C" w:rsidR="006D0292" w:rsidRPr="00026B61" w:rsidRDefault="006D0292" w:rsidP="00026B61">
      <w:pPr>
        <w:pStyle w:val="BodyText1"/>
        <w:rPr>
          <w:b/>
          <w:bCs/>
        </w:rPr>
      </w:pPr>
      <w:r w:rsidRPr="00026B61">
        <w:rPr>
          <w:b/>
          <w:bCs/>
        </w:rPr>
        <w:lastRenderedPageBreak/>
        <w:t xml:space="preserve">Table </w:t>
      </w:r>
      <w:r w:rsidR="00E52375">
        <w:rPr>
          <w:b/>
          <w:bCs/>
        </w:rPr>
        <w:t>2</w:t>
      </w:r>
      <w:r w:rsidR="005F51F8" w:rsidRPr="00026B61">
        <w:rPr>
          <w:b/>
          <w:bCs/>
        </w:rPr>
        <w:t>:</w:t>
      </w:r>
      <w:r w:rsidRPr="00026B61">
        <w:rPr>
          <w:b/>
          <w:bCs/>
        </w:rPr>
        <w:t xml:space="preserve"> Overseas </w:t>
      </w:r>
      <w:r w:rsidR="00C6552C" w:rsidRPr="00026B61">
        <w:rPr>
          <w:b/>
          <w:bCs/>
        </w:rPr>
        <w:t>t</w:t>
      </w:r>
      <w:r w:rsidRPr="00026B61">
        <w:rPr>
          <w:b/>
          <w:bCs/>
        </w:rPr>
        <w:t>ravel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Overseas travel"/>
        <w:tblDescription w:val="Table shows costs for overseas travel by flight and rail, hotels, expenses and conference costs totalling £ 28,107"/>
      </w:tblPr>
      <w:tblGrid>
        <w:gridCol w:w="4275"/>
        <w:gridCol w:w="2520"/>
      </w:tblGrid>
      <w:tr w:rsidR="006D0292" w:rsidRPr="00CA00F9" w14:paraId="47D17190" w14:textId="77777777" w:rsidTr="007775E5">
        <w:trPr>
          <w:cantSplit/>
          <w:trHeight w:val="300"/>
          <w:tblHeader/>
        </w:trPr>
        <w:tc>
          <w:tcPr>
            <w:tcW w:w="4275" w:type="dxa"/>
            <w:tcBorders>
              <w:top w:val="nil"/>
              <w:left w:val="nil"/>
              <w:bottom w:val="single" w:sz="4" w:space="0" w:color="auto"/>
              <w:right w:val="single" w:sz="4" w:space="0" w:color="auto"/>
            </w:tcBorders>
            <w:shd w:val="clear" w:color="auto" w:fill="116574"/>
          </w:tcPr>
          <w:p w14:paraId="5CC871A9" w14:textId="77777777" w:rsidR="006D0292" w:rsidRPr="00CA00F9" w:rsidRDefault="006D0292" w:rsidP="00DB508C">
            <w:pPr>
              <w:pStyle w:val="NormalWeb"/>
              <w:spacing w:before="120" w:beforeAutospacing="0" w:after="120" w:afterAutospacing="0"/>
              <w:rPr>
                <w:rFonts w:ascii="Arial" w:hAnsi="Arial" w:cs="Arial"/>
                <w:color w:val="FFFFFF" w:themeColor="background1"/>
              </w:rPr>
            </w:pPr>
          </w:p>
        </w:tc>
        <w:tc>
          <w:tcPr>
            <w:tcW w:w="2520" w:type="dxa"/>
            <w:tcBorders>
              <w:left w:val="single" w:sz="4" w:space="0" w:color="auto"/>
            </w:tcBorders>
            <w:shd w:val="clear" w:color="auto" w:fill="116574"/>
            <w:vAlign w:val="center"/>
          </w:tcPr>
          <w:p w14:paraId="10BD4374" w14:textId="5DAAD82B" w:rsidR="006D0292" w:rsidRPr="00CA00F9" w:rsidRDefault="006D0292" w:rsidP="00DB508C">
            <w:pPr>
              <w:spacing w:before="120" w:after="120" w:line="240" w:lineRule="auto"/>
              <w:jc w:val="center"/>
              <w:rPr>
                <w:rFonts w:ascii="Arial" w:hAnsi="Arial" w:cs="Arial"/>
                <w:b/>
                <w:bCs/>
                <w:color w:val="FFFFFF" w:themeColor="background1"/>
              </w:rPr>
            </w:pPr>
            <w:r w:rsidRPr="00BE6914">
              <w:rPr>
                <w:rFonts w:ascii="Arial" w:eastAsia="Times New Roman" w:hAnsi="Arial" w:cs="Arial"/>
                <w:b/>
                <w:bCs/>
                <w:color w:val="FFFFFF"/>
                <w:lang w:eastAsia="en-GB"/>
              </w:rPr>
              <w:t>2024</w:t>
            </w:r>
            <w:r w:rsidR="00C6552C" w:rsidRPr="00BE6914">
              <w:rPr>
                <w:rFonts w:ascii="Arial" w:eastAsia="Times New Roman" w:hAnsi="Arial" w:cs="Arial"/>
                <w:b/>
                <w:bCs/>
                <w:color w:val="FFFFFF"/>
                <w:lang w:eastAsia="en-GB"/>
              </w:rPr>
              <w:t>/</w:t>
            </w:r>
            <w:r w:rsidRPr="00BE6914">
              <w:rPr>
                <w:rFonts w:ascii="Arial" w:eastAsia="Times New Roman" w:hAnsi="Arial" w:cs="Arial"/>
                <w:b/>
                <w:bCs/>
                <w:color w:val="FFFFFF"/>
                <w:lang w:eastAsia="en-GB"/>
              </w:rPr>
              <w:t>25</w:t>
            </w:r>
          </w:p>
        </w:tc>
      </w:tr>
      <w:tr w:rsidR="006D0292" w:rsidRPr="00CA00F9" w14:paraId="22067812" w14:textId="77777777" w:rsidTr="007775E5">
        <w:trPr>
          <w:trHeight w:val="300"/>
        </w:trPr>
        <w:tc>
          <w:tcPr>
            <w:tcW w:w="4275" w:type="dxa"/>
            <w:tcBorders>
              <w:top w:val="single" w:sz="4" w:space="0" w:color="auto"/>
            </w:tcBorders>
          </w:tcPr>
          <w:p w14:paraId="48FE7289" w14:textId="77777777" w:rsidR="006D0292" w:rsidRPr="00D2130A" w:rsidRDefault="006D0292" w:rsidP="00DB508C">
            <w:pPr>
              <w:spacing w:before="120" w:after="120" w:line="240" w:lineRule="auto"/>
              <w:rPr>
                <w:rFonts w:ascii="Arial" w:eastAsia="Times New Roman" w:hAnsi="Arial" w:cs="Arial"/>
                <w:lang w:eastAsia="en-GB"/>
              </w:rPr>
            </w:pPr>
            <w:r w:rsidRPr="00D2130A">
              <w:rPr>
                <w:rFonts w:ascii="Arial" w:eastAsia="Times New Roman" w:hAnsi="Arial" w:cs="Arial"/>
                <w:lang w:eastAsia="en-GB"/>
              </w:rPr>
              <w:t>Flights/Rail</w:t>
            </w:r>
          </w:p>
        </w:tc>
        <w:tc>
          <w:tcPr>
            <w:tcW w:w="2520" w:type="dxa"/>
            <w:vAlign w:val="center"/>
          </w:tcPr>
          <w:p w14:paraId="647CC7B6" w14:textId="77777777" w:rsidR="006D0292" w:rsidRPr="00D2130A" w:rsidRDefault="006D0292" w:rsidP="00DB508C">
            <w:pPr>
              <w:spacing w:before="120" w:after="120" w:line="240" w:lineRule="auto"/>
              <w:jc w:val="center"/>
              <w:rPr>
                <w:rFonts w:ascii="Arial" w:eastAsia="Times New Roman" w:hAnsi="Arial" w:cs="Arial"/>
                <w:lang w:eastAsia="en-GB"/>
              </w:rPr>
            </w:pPr>
            <w:r w:rsidRPr="00D2130A">
              <w:rPr>
                <w:rFonts w:ascii="Arial" w:eastAsia="Times New Roman" w:hAnsi="Arial" w:cs="Arial"/>
                <w:lang w:eastAsia="en-GB"/>
              </w:rPr>
              <w:t>£5,087</w:t>
            </w:r>
          </w:p>
        </w:tc>
      </w:tr>
      <w:tr w:rsidR="006D0292" w:rsidRPr="00CA00F9" w14:paraId="68F68DDE" w14:textId="77777777" w:rsidTr="007775E5">
        <w:trPr>
          <w:trHeight w:val="300"/>
        </w:trPr>
        <w:tc>
          <w:tcPr>
            <w:tcW w:w="4275" w:type="dxa"/>
          </w:tcPr>
          <w:p w14:paraId="6D39140B" w14:textId="77777777" w:rsidR="006D0292" w:rsidRPr="00D2130A" w:rsidRDefault="006D0292" w:rsidP="00DB508C">
            <w:pPr>
              <w:spacing w:before="120" w:after="120" w:line="240" w:lineRule="auto"/>
              <w:rPr>
                <w:rFonts w:ascii="Arial" w:eastAsia="Times New Roman" w:hAnsi="Arial" w:cs="Arial"/>
                <w:lang w:eastAsia="en-GB"/>
              </w:rPr>
            </w:pPr>
            <w:r w:rsidRPr="00D2130A">
              <w:rPr>
                <w:rFonts w:ascii="Arial" w:eastAsia="Times New Roman" w:hAnsi="Arial" w:cs="Arial"/>
                <w:lang w:eastAsia="en-GB"/>
              </w:rPr>
              <w:t>Hotels</w:t>
            </w:r>
          </w:p>
        </w:tc>
        <w:tc>
          <w:tcPr>
            <w:tcW w:w="2520" w:type="dxa"/>
            <w:vAlign w:val="center"/>
          </w:tcPr>
          <w:p w14:paraId="41C2CB1A" w14:textId="77777777" w:rsidR="006D0292" w:rsidRPr="00D2130A" w:rsidRDefault="006D0292" w:rsidP="00DB508C">
            <w:pPr>
              <w:spacing w:before="120" w:after="120" w:line="240" w:lineRule="auto"/>
              <w:jc w:val="center"/>
              <w:rPr>
                <w:rFonts w:ascii="Arial" w:eastAsia="Times New Roman" w:hAnsi="Arial" w:cs="Arial"/>
                <w:lang w:eastAsia="en-GB"/>
              </w:rPr>
            </w:pPr>
            <w:r w:rsidRPr="00D2130A">
              <w:rPr>
                <w:rFonts w:ascii="Arial" w:eastAsia="Times New Roman" w:hAnsi="Arial" w:cs="Arial"/>
                <w:lang w:eastAsia="en-GB"/>
              </w:rPr>
              <w:t>£22,247</w:t>
            </w:r>
          </w:p>
        </w:tc>
      </w:tr>
      <w:tr w:rsidR="006D0292" w:rsidRPr="00CA00F9" w14:paraId="25D2E534" w14:textId="77777777" w:rsidTr="007775E5">
        <w:trPr>
          <w:trHeight w:val="300"/>
        </w:trPr>
        <w:tc>
          <w:tcPr>
            <w:tcW w:w="4275" w:type="dxa"/>
          </w:tcPr>
          <w:p w14:paraId="55AD6D4A" w14:textId="77777777" w:rsidR="006D0292" w:rsidRPr="00D2130A" w:rsidRDefault="006D0292" w:rsidP="00DB508C">
            <w:pPr>
              <w:spacing w:before="120" w:after="120" w:line="240" w:lineRule="auto"/>
              <w:rPr>
                <w:rFonts w:ascii="Arial" w:eastAsia="Times New Roman" w:hAnsi="Arial" w:cs="Arial"/>
                <w:lang w:eastAsia="en-GB"/>
              </w:rPr>
            </w:pPr>
            <w:r w:rsidRPr="00D2130A">
              <w:rPr>
                <w:rFonts w:ascii="Arial" w:eastAsia="Times New Roman" w:hAnsi="Arial" w:cs="Arial"/>
                <w:lang w:eastAsia="en-GB"/>
              </w:rPr>
              <w:t>Expenses</w:t>
            </w:r>
          </w:p>
        </w:tc>
        <w:tc>
          <w:tcPr>
            <w:tcW w:w="2520" w:type="dxa"/>
            <w:vAlign w:val="center"/>
          </w:tcPr>
          <w:p w14:paraId="7946A272" w14:textId="77777777" w:rsidR="006D0292" w:rsidRPr="00D2130A" w:rsidRDefault="006D0292" w:rsidP="00DB508C">
            <w:pPr>
              <w:spacing w:before="120" w:after="120" w:line="240" w:lineRule="auto"/>
              <w:jc w:val="center"/>
              <w:rPr>
                <w:rFonts w:ascii="Arial" w:eastAsia="Times New Roman" w:hAnsi="Arial" w:cs="Arial"/>
                <w:lang w:eastAsia="en-GB"/>
              </w:rPr>
            </w:pPr>
            <w:r w:rsidRPr="00D2130A">
              <w:rPr>
                <w:rFonts w:ascii="Arial" w:eastAsia="Times New Roman" w:hAnsi="Arial" w:cs="Arial"/>
                <w:lang w:eastAsia="en-GB"/>
              </w:rPr>
              <w:t>£773</w:t>
            </w:r>
          </w:p>
        </w:tc>
      </w:tr>
      <w:tr w:rsidR="006D0292" w:rsidRPr="00CA00F9" w14:paraId="7B49CD80" w14:textId="77777777" w:rsidTr="007775E5">
        <w:trPr>
          <w:trHeight w:val="300"/>
        </w:trPr>
        <w:tc>
          <w:tcPr>
            <w:tcW w:w="4275" w:type="dxa"/>
          </w:tcPr>
          <w:p w14:paraId="26AFC40C" w14:textId="77777777" w:rsidR="006D0292" w:rsidRPr="00D2130A" w:rsidRDefault="006D0292" w:rsidP="00DB508C">
            <w:pPr>
              <w:spacing w:before="120" w:after="120" w:line="240" w:lineRule="auto"/>
              <w:rPr>
                <w:rFonts w:ascii="Arial" w:eastAsia="Times New Roman" w:hAnsi="Arial" w:cs="Arial"/>
                <w:lang w:eastAsia="en-GB"/>
              </w:rPr>
            </w:pPr>
            <w:r w:rsidRPr="00D2130A">
              <w:rPr>
                <w:rFonts w:ascii="Arial" w:eastAsia="Times New Roman" w:hAnsi="Arial" w:cs="Arial"/>
                <w:lang w:eastAsia="en-GB"/>
              </w:rPr>
              <w:t>Conference costs</w:t>
            </w:r>
          </w:p>
        </w:tc>
        <w:tc>
          <w:tcPr>
            <w:tcW w:w="2520" w:type="dxa"/>
            <w:vAlign w:val="center"/>
          </w:tcPr>
          <w:p w14:paraId="4000D720" w14:textId="77777777" w:rsidR="006D0292" w:rsidRPr="00D2130A" w:rsidRDefault="006D0292" w:rsidP="00DB508C">
            <w:pPr>
              <w:spacing w:before="120" w:after="120" w:line="240" w:lineRule="auto"/>
              <w:jc w:val="center"/>
              <w:rPr>
                <w:rFonts w:ascii="Arial" w:eastAsia="Times New Roman" w:hAnsi="Arial" w:cs="Arial"/>
                <w:lang w:eastAsia="en-GB"/>
              </w:rPr>
            </w:pPr>
            <w:r w:rsidRPr="00D2130A">
              <w:rPr>
                <w:rFonts w:ascii="Arial" w:eastAsia="Times New Roman" w:hAnsi="Arial" w:cs="Arial"/>
                <w:lang w:eastAsia="en-GB"/>
              </w:rPr>
              <w:t>£0</w:t>
            </w:r>
          </w:p>
        </w:tc>
      </w:tr>
      <w:tr w:rsidR="006D0292" w:rsidRPr="00D2130A" w14:paraId="50EE7934" w14:textId="77777777" w:rsidTr="007775E5">
        <w:trPr>
          <w:trHeight w:val="300"/>
        </w:trPr>
        <w:tc>
          <w:tcPr>
            <w:tcW w:w="4275" w:type="dxa"/>
            <w:shd w:val="clear" w:color="auto" w:fill="116574"/>
          </w:tcPr>
          <w:p w14:paraId="595D9066" w14:textId="77777777" w:rsidR="006D0292" w:rsidRPr="00777DE3" w:rsidRDefault="006D0292" w:rsidP="00DB508C">
            <w:pPr>
              <w:spacing w:before="120" w:after="120" w:line="240" w:lineRule="auto"/>
              <w:rPr>
                <w:rFonts w:ascii="Arial" w:hAnsi="Arial" w:cs="Arial"/>
                <w:b/>
                <w:bCs/>
                <w:color w:val="FFFFFF" w:themeColor="background1"/>
              </w:rPr>
            </w:pPr>
            <w:r w:rsidRPr="00777DE3">
              <w:rPr>
                <w:rFonts w:ascii="Arial" w:eastAsia="Times New Roman" w:hAnsi="Arial" w:cs="Arial"/>
                <w:b/>
                <w:bCs/>
                <w:color w:val="FFFFFF" w:themeColor="background1"/>
                <w:lang w:eastAsia="en-GB"/>
              </w:rPr>
              <w:t>Total</w:t>
            </w:r>
          </w:p>
        </w:tc>
        <w:tc>
          <w:tcPr>
            <w:tcW w:w="2520" w:type="dxa"/>
            <w:shd w:val="clear" w:color="auto" w:fill="116574"/>
            <w:vAlign w:val="center"/>
          </w:tcPr>
          <w:p w14:paraId="75797E48" w14:textId="77777777" w:rsidR="006D0292" w:rsidRPr="00777DE3" w:rsidRDefault="006D0292" w:rsidP="00DB508C">
            <w:pPr>
              <w:spacing w:before="120" w:after="120" w:line="240" w:lineRule="auto"/>
              <w:jc w:val="center"/>
              <w:rPr>
                <w:rFonts w:ascii="Arial" w:hAnsi="Arial" w:cs="Arial"/>
                <w:b/>
                <w:bCs/>
                <w:color w:val="FFFFFF" w:themeColor="background1"/>
              </w:rPr>
            </w:pPr>
            <w:r w:rsidRPr="00777DE3">
              <w:rPr>
                <w:rFonts w:ascii="Arial" w:eastAsia="Times New Roman" w:hAnsi="Arial" w:cs="Arial"/>
                <w:b/>
                <w:bCs/>
                <w:color w:val="FFFFFF" w:themeColor="background1"/>
                <w:lang w:eastAsia="en-GB"/>
              </w:rPr>
              <w:t>£28,107</w:t>
            </w:r>
          </w:p>
        </w:tc>
      </w:tr>
    </w:tbl>
    <w:p w14:paraId="1FB3DE9C" w14:textId="77777777" w:rsidR="00D2130A" w:rsidRDefault="00D2130A" w:rsidP="00D2130A">
      <w:pPr>
        <w:pStyle w:val="BodyText1"/>
      </w:pPr>
    </w:p>
    <w:p w14:paraId="67ACB334" w14:textId="09410D9C" w:rsidR="006D0292" w:rsidRPr="00D2130A" w:rsidRDefault="006D0292" w:rsidP="00D2130A">
      <w:pPr>
        <w:pStyle w:val="BodyText1"/>
      </w:pPr>
      <w:r w:rsidRPr="00D2130A">
        <w:t>The above costs include travel to and from the UK; the full cost of travel in connection with the trip from departure until return, and not simply the cost of the journey itself.</w:t>
      </w:r>
    </w:p>
    <w:p w14:paraId="6763C0A2" w14:textId="77777777" w:rsidR="006D0292" w:rsidRDefault="006D0292" w:rsidP="006D0292">
      <w:pPr>
        <w:pStyle w:val="Caption"/>
        <w:rPr>
          <w:rFonts w:ascii="Arial" w:hAnsi="Arial" w:cs="Arial"/>
          <w:b/>
          <w:bCs/>
          <w:i w:val="0"/>
          <w:iCs w:val="0"/>
          <w:color w:val="116574"/>
          <w:sz w:val="24"/>
          <w:szCs w:val="24"/>
        </w:rPr>
      </w:pPr>
    </w:p>
    <w:p w14:paraId="78E1F285" w14:textId="5E7F3AAF" w:rsidR="006D0292" w:rsidRPr="00026B61" w:rsidRDefault="006D0292" w:rsidP="00026B61">
      <w:pPr>
        <w:pStyle w:val="BodyText1"/>
        <w:rPr>
          <w:b/>
          <w:bCs/>
        </w:rPr>
      </w:pPr>
      <w:r w:rsidRPr="00026B61">
        <w:rPr>
          <w:b/>
          <w:bCs/>
        </w:rPr>
        <w:t xml:space="preserve">Table </w:t>
      </w:r>
      <w:r w:rsidR="00E52375">
        <w:rPr>
          <w:b/>
          <w:bCs/>
        </w:rPr>
        <w:t>3</w:t>
      </w:r>
      <w:r w:rsidR="005F51F8" w:rsidRPr="00026B61">
        <w:rPr>
          <w:b/>
          <w:bCs/>
        </w:rPr>
        <w:t>:</w:t>
      </w:r>
      <w:r w:rsidRPr="00026B61">
        <w:rPr>
          <w:b/>
          <w:bCs/>
        </w:rPr>
        <w:t xml:space="preserve"> Hospitality </w:t>
      </w:r>
      <w:r w:rsidR="00C6552C" w:rsidRPr="00026B61">
        <w:rPr>
          <w:b/>
          <w:bCs/>
        </w:rPr>
        <w:t>and e</w:t>
      </w:r>
      <w:r w:rsidRPr="00026B61">
        <w:rPr>
          <w:b/>
          <w:bCs/>
        </w:rPr>
        <w:t>ntertainment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Hospitality and entertainment"/>
        <w:tblDescription w:val="Tables shows costs for hospitality, catering, room hire and gifts totalling £28,333"/>
      </w:tblPr>
      <w:tblGrid>
        <w:gridCol w:w="4275"/>
        <w:gridCol w:w="2520"/>
      </w:tblGrid>
      <w:tr w:rsidR="006D0292" w:rsidRPr="00CA00F9" w14:paraId="38F67751" w14:textId="77777777" w:rsidTr="007775E5">
        <w:trPr>
          <w:cantSplit/>
          <w:trHeight w:val="510"/>
          <w:tblHeader/>
        </w:trPr>
        <w:tc>
          <w:tcPr>
            <w:tcW w:w="4275" w:type="dxa"/>
            <w:tcBorders>
              <w:top w:val="nil"/>
              <w:left w:val="nil"/>
              <w:bottom w:val="single" w:sz="4" w:space="0" w:color="auto"/>
              <w:right w:val="single" w:sz="4" w:space="0" w:color="auto"/>
            </w:tcBorders>
            <w:shd w:val="clear" w:color="auto" w:fill="116574"/>
            <w:vAlign w:val="center"/>
          </w:tcPr>
          <w:p w14:paraId="0F21D932" w14:textId="77777777" w:rsidR="006D0292" w:rsidRPr="00CA00F9" w:rsidRDefault="006D0292" w:rsidP="00DB508C">
            <w:pPr>
              <w:pStyle w:val="NormalWeb"/>
              <w:spacing w:before="120" w:beforeAutospacing="0" w:after="120" w:afterAutospacing="0"/>
              <w:jc w:val="center"/>
              <w:rPr>
                <w:rFonts w:ascii="Arial" w:hAnsi="Arial" w:cs="Arial"/>
                <w:color w:val="FFFFFF" w:themeColor="background1"/>
              </w:rPr>
            </w:pPr>
          </w:p>
        </w:tc>
        <w:tc>
          <w:tcPr>
            <w:tcW w:w="2520" w:type="dxa"/>
            <w:tcBorders>
              <w:left w:val="single" w:sz="4" w:space="0" w:color="auto"/>
            </w:tcBorders>
            <w:shd w:val="clear" w:color="auto" w:fill="116574"/>
            <w:vAlign w:val="center"/>
          </w:tcPr>
          <w:p w14:paraId="209616D4" w14:textId="5E93625E" w:rsidR="006D0292" w:rsidRPr="00C6552C" w:rsidRDefault="006D0292" w:rsidP="00DB508C">
            <w:pPr>
              <w:pStyle w:val="NormalWeb"/>
              <w:spacing w:before="120" w:beforeAutospacing="0" w:after="120" w:afterAutospacing="0"/>
              <w:jc w:val="center"/>
              <w:rPr>
                <w:rFonts w:ascii="Arial" w:hAnsi="Arial" w:cs="Arial"/>
                <w:b/>
                <w:bCs/>
                <w:color w:val="FFFFFF" w:themeColor="background1"/>
              </w:rPr>
            </w:pPr>
            <w:r w:rsidRPr="00C6552C">
              <w:rPr>
                <w:rFonts w:ascii="Arial" w:hAnsi="Arial" w:cs="Arial"/>
                <w:b/>
                <w:bCs/>
                <w:color w:val="FFFFFF" w:themeColor="background1"/>
              </w:rPr>
              <w:t>2024</w:t>
            </w:r>
            <w:r w:rsidR="00877B3C">
              <w:rPr>
                <w:rFonts w:ascii="Arial" w:hAnsi="Arial" w:cs="Arial"/>
                <w:b/>
                <w:bCs/>
                <w:color w:val="FFFFFF" w:themeColor="background1"/>
              </w:rPr>
              <w:t>/</w:t>
            </w:r>
            <w:r w:rsidRPr="00C6552C">
              <w:rPr>
                <w:rFonts w:ascii="Arial" w:hAnsi="Arial" w:cs="Arial"/>
                <w:b/>
                <w:bCs/>
                <w:color w:val="FFFFFF" w:themeColor="background1"/>
              </w:rPr>
              <w:t>25</w:t>
            </w:r>
          </w:p>
        </w:tc>
      </w:tr>
      <w:tr w:rsidR="006D0292" w:rsidRPr="00CA00F9" w14:paraId="35B16E4B" w14:textId="77777777" w:rsidTr="007775E5">
        <w:trPr>
          <w:trHeight w:val="510"/>
        </w:trPr>
        <w:tc>
          <w:tcPr>
            <w:tcW w:w="4275" w:type="dxa"/>
            <w:tcBorders>
              <w:top w:val="single" w:sz="4" w:space="0" w:color="auto"/>
            </w:tcBorders>
            <w:vAlign w:val="center"/>
          </w:tcPr>
          <w:p w14:paraId="624C3005" w14:textId="77777777" w:rsidR="006D0292" w:rsidRPr="00CA00F9" w:rsidRDefault="006D0292" w:rsidP="00DB508C">
            <w:pPr>
              <w:pStyle w:val="NormalWeb"/>
              <w:spacing w:before="120" w:beforeAutospacing="0" w:after="120" w:afterAutospacing="0"/>
              <w:rPr>
                <w:rFonts w:ascii="Arial" w:hAnsi="Arial" w:cs="Arial"/>
              </w:rPr>
            </w:pPr>
            <w:r w:rsidRPr="00CA00F9">
              <w:rPr>
                <w:rFonts w:ascii="Arial" w:hAnsi="Arial" w:cs="Arial"/>
              </w:rPr>
              <w:t>Hospitality</w:t>
            </w:r>
          </w:p>
        </w:tc>
        <w:tc>
          <w:tcPr>
            <w:tcW w:w="2520" w:type="dxa"/>
            <w:vAlign w:val="center"/>
          </w:tcPr>
          <w:p w14:paraId="1FDB289A" w14:textId="77777777" w:rsidR="006D0292" w:rsidRPr="00CA00F9" w:rsidRDefault="006D0292" w:rsidP="00DB508C">
            <w:pPr>
              <w:pStyle w:val="NormalWeb"/>
              <w:spacing w:before="120" w:beforeAutospacing="0" w:after="120" w:afterAutospacing="0"/>
              <w:jc w:val="center"/>
              <w:rPr>
                <w:rFonts w:ascii="Arial" w:hAnsi="Arial" w:cs="Arial"/>
              </w:rPr>
            </w:pPr>
            <w:r w:rsidRPr="12EF2F43">
              <w:rPr>
                <w:rFonts w:ascii="Arial" w:hAnsi="Arial" w:cs="Arial"/>
              </w:rPr>
              <w:t>£0</w:t>
            </w:r>
          </w:p>
        </w:tc>
      </w:tr>
      <w:tr w:rsidR="006D0292" w:rsidRPr="00CA00F9" w14:paraId="3D853C53" w14:textId="77777777" w:rsidTr="007775E5">
        <w:trPr>
          <w:trHeight w:val="510"/>
        </w:trPr>
        <w:tc>
          <w:tcPr>
            <w:tcW w:w="4275" w:type="dxa"/>
            <w:vAlign w:val="center"/>
          </w:tcPr>
          <w:p w14:paraId="72E0FE9F" w14:textId="77777777" w:rsidR="006D0292" w:rsidRPr="00CA00F9" w:rsidRDefault="006D0292" w:rsidP="00DB508C">
            <w:pPr>
              <w:pStyle w:val="NormalWeb"/>
              <w:spacing w:before="120" w:beforeAutospacing="0" w:after="120" w:afterAutospacing="0"/>
              <w:rPr>
                <w:rFonts w:ascii="Arial" w:hAnsi="Arial" w:cs="Arial"/>
              </w:rPr>
            </w:pPr>
            <w:r w:rsidRPr="00CA00F9">
              <w:rPr>
                <w:rFonts w:ascii="Arial" w:hAnsi="Arial" w:cs="Arial"/>
              </w:rPr>
              <w:t>Catering</w:t>
            </w:r>
          </w:p>
        </w:tc>
        <w:tc>
          <w:tcPr>
            <w:tcW w:w="2520" w:type="dxa"/>
            <w:vAlign w:val="center"/>
          </w:tcPr>
          <w:p w14:paraId="3C950FA0" w14:textId="77777777" w:rsidR="006D0292" w:rsidRPr="00CA00F9" w:rsidRDefault="006D0292" w:rsidP="00DB508C">
            <w:pPr>
              <w:pStyle w:val="NormalWeb"/>
              <w:spacing w:before="120" w:beforeAutospacing="0" w:after="120" w:afterAutospacing="0"/>
              <w:jc w:val="center"/>
              <w:rPr>
                <w:rFonts w:ascii="Arial" w:hAnsi="Arial" w:cs="Arial"/>
              </w:rPr>
            </w:pPr>
            <w:r w:rsidRPr="12EF2F43">
              <w:rPr>
                <w:rFonts w:ascii="Arial" w:hAnsi="Arial" w:cs="Arial"/>
              </w:rPr>
              <w:t>£7,824</w:t>
            </w:r>
          </w:p>
        </w:tc>
      </w:tr>
      <w:tr w:rsidR="006D0292" w:rsidRPr="00CA00F9" w14:paraId="667919A1" w14:textId="77777777" w:rsidTr="007775E5">
        <w:trPr>
          <w:trHeight w:val="510"/>
        </w:trPr>
        <w:tc>
          <w:tcPr>
            <w:tcW w:w="4275" w:type="dxa"/>
            <w:vAlign w:val="center"/>
          </w:tcPr>
          <w:p w14:paraId="3B6815C4" w14:textId="77777777" w:rsidR="006D0292" w:rsidRPr="00CA00F9" w:rsidRDefault="006D0292" w:rsidP="00DB508C">
            <w:pPr>
              <w:pStyle w:val="NormalWeb"/>
              <w:spacing w:before="120" w:beforeAutospacing="0" w:after="120" w:afterAutospacing="0"/>
              <w:rPr>
                <w:rFonts w:ascii="Arial" w:hAnsi="Arial" w:cs="Arial"/>
              </w:rPr>
            </w:pPr>
            <w:r w:rsidRPr="45DD3926">
              <w:rPr>
                <w:rFonts w:ascii="Arial" w:hAnsi="Arial" w:cs="Arial"/>
              </w:rPr>
              <w:t xml:space="preserve">Room </w:t>
            </w:r>
            <w:bookmarkStart w:id="4" w:name="_Int_C6kxcI8S"/>
            <w:r w:rsidRPr="45DD3926">
              <w:rPr>
                <w:rFonts w:ascii="Arial" w:hAnsi="Arial" w:cs="Arial"/>
              </w:rPr>
              <w:t>hire</w:t>
            </w:r>
            <w:bookmarkEnd w:id="4"/>
            <w:r w:rsidRPr="45DD3926">
              <w:rPr>
                <w:rFonts w:ascii="Arial" w:hAnsi="Arial" w:cs="Arial"/>
              </w:rPr>
              <w:t xml:space="preserve"> including catering</w:t>
            </w:r>
          </w:p>
        </w:tc>
        <w:tc>
          <w:tcPr>
            <w:tcW w:w="2520" w:type="dxa"/>
            <w:vAlign w:val="center"/>
          </w:tcPr>
          <w:p w14:paraId="2317E356" w14:textId="77777777" w:rsidR="006D0292" w:rsidRPr="00CA00F9" w:rsidRDefault="006D0292" w:rsidP="00DB508C">
            <w:pPr>
              <w:pStyle w:val="NormalWeb"/>
              <w:spacing w:before="120" w:beforeAutospacing="0" w:after="120" w:afterAutospacing="0"/>
              <w:jc w:val="center"/>
              <w:rPr>
                <w:rFonts w:ascii="Arial" w:hAnsi="Arial" w:cs="Arial"/>
              </w:rPr>
            </w:pPr>
            <w:r w:rsidRPr="12EF2F43">
              <w:rPr>
                <w:rFonts w:ascii="Arial" w:hAnsi="Arial" w:cs="Arial"/>
              </w:rPr>
              <w:t>£20,274</w:t>
            </w:r>
          </w:p>
        </w:tc>
      </w:tr>
      <w:tr w:rsidR="006D0292" w:rsidRPr="00CA00F9" w14:paraId="6450106F" w14:textId="77777777" w:rsidTr="007775E5">
        <w:trPr>
          <w:trHeight w:val="510"/>
        </w:trPr>
        <w:tc>
          <w:tcPr>
            <w:tcW w:w="4275" w:type="dxa"/>
            <w:vAlign w:val="center"/>
          </w:tcPr>
          <w:p w14:paraId="4ED928F4" w14:textId="77777777" w:rsidR="006D0292" w:rsidRPr="00CA00F9" w:rsidRDefault="006D0292" w:rsidP="00DB508C">
            <w:pPr>
              <w:pStyle w:val="NormalWeb"/>
              <w:spacing w:before="120" w:beforeAutospacing="0" w:after="120" w:afterAutospacing="0"/>
              <w:rPr>
                <w:rFonts w:ascii="Arial" w:hAnsi="Arial" w:cs="Arial"/>
              </w:rPr>
            </w:pPr>
            <w:r w:rsidRPr="00CA00F9">
              <w:rPr>
                <w:rFonts w:ascii="Arial" w:hAnsi="Arial" w:cs="Arial"/>
              </w:rPr>
              <w:t>Gifts</w:t>
            </w:r>
          </w:p>
        </w:tc>
        <w:tc>
          <w:tcPr>
            <w:tcW w:w="2520" w:type="dxa"/>
            <w:vAlign w:val="center"/>
          </w:tcPr>
          <w:p w14:paraId="7C04EEF4" w14:textId="77777777" w:rsidR="006D0292" w:rsidRPr="00CA00F9" w:rsidRDefault="006D0292" w:rsidP="00DB508C">
            <w:pPr>
              <w:pStyle w:val="NormalWeb"/>
              <w:spacing w:before="120" w:beforeAutospacing="0" w:after="120" w:afterAutospacing="0"/>
              <w:jc w:val="center"/>
              <w:rPr>
                <w:rFonts w:ascii="Arial" w:hAnsi="Arial" w:cs="Arial"/>
              </w:rPr>
            </w:pPr>
            <w:r>
              <w:rPr>
                <w:rFonts w:ascii="Arial" w:hAnsi="Arial" w:cs="Arial"/>
              </w:rPr>
              <w:t>£235</w:t>
            </w:r>
          </w:p>
        </w:tc>
      </w:tr>
      <w:tr w:rsidR="006D0292" w:rsidRPr="00CA00F9" w14:paraId="298CA1D1" w14:textId="77777777" w:rsidTr="007775E5">
        <w:trPr>
          <w:trHeight w:val="510"/>
        </w:trPr>
        <w:tc>
          <w:tcPr>
            <w:tcW w:w="4275" w:type="dxa"/>
            <w:shd w:val="clear" w:color="auto" w:fill="116574"/>
            <w:vAlign w:val="center"/>
          </w:tcPr>
          <w:p w14:paraId="6E934DA9" w14:textId="77777777" w:rsidR="006D0292" w:rsidRPr="00CA00F9" w:rsidRDefault="006D0292" w:rsidP="00DB508C">
            <w:pPr>
              <w:pStyle w:val="NormalWeb"/>
              <w:spacing w:before="120" w:beforeAutospacing="0" w:after="120" w:afterAutospacing="0"/>
              <w:rPr>
                <w:rFonts w:ascii="Arial" w:hAnsi="Arial" w:cs="Arial"/>
                <w:b/>
                <w:color w:val="FFFFFF" w:themeColor="background1"/>
              </w:rPr>
            </w:pPr>
            <w:r w:rsidRPr="00CA00F9">
              <w:rPr>
                <w:rFonts w:ascii="Arial" w:hAnsi="Arial" w:cs="Arial"/>
                <w:b/>
                <w:color w:val="FFFFFF" w:themeColor="background1"/>
              </w:rPr>
              <w:t>Total</w:t>
            </w:r>
          </w:p>
        </w:tc>
        <w:tc>
          <w:tcPr>
            <w:tcW w:w="2520" w:type="dxa"/>
            <w:shd w:val="clear" w:color="auto" w:fill="116574"/>
            <w:vAlign w:val="center"/>
          </w:tcPr>
          <w:p w14:paraId="24173658" w14:textId="77777777" w:rsidR="006D0292" w:rsidRPr="00CA00F9" w:rsidRDefault="006D0292" w:rsidP="00DB508C">
            <w:pPr>
              <w:pStyle w:val="NormalWeb"/>
              <w:spacing w:before="120" w:beforeAutospacing="0" w:after="120" w:afterAutospacing="0"/>
              <w:jc w:val="center"/>
              <w:rPr>
                <w:rFonts w:ascii="Arial" w:hAnsi="Arial" w:cs="Arial"/>
                <w:b/>
                <w:bCs/>
                <w:color w:val="FFFFFF" w:themeColor="background1"/>
              </w:rPr>
            </w:pPr>
            <w:r w:rsidRPr="12EF2F43">
              <w:rPr>
                <w:rFonts w:ascii="Arial" w:hAnsi="Arial" w:cs="Arial"/>
                <w:b/>
                <w:bCs/>
                <w:color w:val="FFFFFF" w:themeColor="background1"/>
              </w:rPr>
              <w:t>£28,</w:t>
            </w:r>
            <w:r>
              <w:rPr>
                <w:rFonts w:ascii="Arial" w:hAnsi="Arial" w:cs="Arial"/>
                <w:b/>
                <w:bCs/>
                <w:color w:val="FFFFFF" w:themeColor="background1"/>
              </w:rPr>
              <w:t>333</w:t>
            </w:r>
          </w:p>
        </w:tc>
      </w:tr>
    </w:tbl>
    <w:p w14:paraId="13288C38" w14:textId="77777777" w:rsidR="006D0292" w:rsidRDefault="006D0292" w:rsidP="006D0292">
      <w:pPr>
        <w:pStyle w:val="NormalWeb"/>
        <w:ind w:right="850"/>
        <w:jc w:val="both"/>
        <w:rPr>
          <w:rFonts w:ascii="Arial" w:hAnsi="Arial" w:cs="Arial"/>
        </w:rPr>
      </w:pPr>
    </w:p>
    <w:p w14:paraId="15980A27" w14:textId="19FFAD50" w:rsidR="006D0292" w:rsidRPr="005F51F8" w:rsidRDefault="006D0292" w:rsidP="005F51F8">
      <w:pPr>
        <w:pStyle w:val="BodyText1"/>
      </w:pPr>
      <w:r w:rsidRPr="005F51F8">
        <w:t xml:space="preserve">Hospitality and entertainment </w:t>
      </w:r>
      <w:bookmarkStart w:id="5" w:name="_Int_6l4nu5Zp"/>
      <w:r w:rsidRPr="005F51F8">
        <w:t>includes</w:t>
      </w:r>
      <w:bookmarkEnd w:id="5"/>
      <w:r w:rsidRPr="005F51F8">
        <w:t xml:space="preserve"> any gifts, meals, receptions accorded by a public body to its members or employee</w:t>
      </w:r>
      <w:r w:rsidR="00D82DD5">
        <w:t>s</w:t>
      </w:r>
      <w:r w:rsidRPr="005F51F8">
        <w:t xml:space="preserve"> or third parties for whatever reason</w:t>
      </w:r>
      <w:bookmarkStart w:id="6" w:name="_Int_M0SUPpac"/>
      <w:r w:rsidRPr="005F51F8">
        <w:t xml:space="preserve">. </w:t>
      </w:r>
      <w:bookmarkEnd w:id="6"/>
      <w:r w:rsidRPr="005F51F8">
        <w:t xml:space="preserve">The payment of travel and subsistence allowances and the reimbursement of expenses that are </w:t>
      </w:r>
      <w:bookmarkStart w:id="7" w:name="_Int_Vmz4nSg8"/>
      <w:r w:rsidRPr="005F51F8">
        <w:t>reasonably incurred</w:t>
      </w:r>
      <w:bookmarkEnd w:id="7"/>
      <w:r w:rsidRPr="005F51F8">
        <w:t xml:space="preserve"> in relation to service as a member or employee of a public body are excluded</w:t>
      </w:r>
      <w:bookmarkStart w:id="8" w:name="_Int_HIaIF7nd"/>
      <w:r w:rsidRPr="005F51F8">
        <w:t xml:space="preserve">.  </w:t>
      </w:r>
      <w:bookmarkEnd w:id="8"/>
    </w:p>
    <w:p w14:paraId="04CA2A6D" w14:textId="77777777" w:rsidR="006D0292" w:rsidRPr="005F51F8" w:rsidRDefault="006D0292" w:rsidP="005F51F8">
      <w:pPr>
        <w:pStyle w:val="BodyText1"/>
      </w:pPr>
      <w:r w:rsidRPr="005F51F8">
        <w:t>Hospitality includes the cost of receptions, and events. Catering includes the provision of lunches and refreshments for meetings and training on or offsite.</w:t>
      </w:r>
    </w:p>
    <w:p w14:paraId="43DCC88A" w14:textId="2B69BE96" w:rsidR="006D0292" w:rsidRPr="00026B61" w:rsidRDefault="006D0292" w:rsidP="00026B61">
      <w:pPr>
        <w:pStyle w:val="BodyText1"/>
        <w:rPr>
          <w:b/>
          <w:bCs/>
        </w:rPr>
      </w:pPr>
      <w:r w:rsidRPr="00026B61">
        <w:rPr>
          <w:b/>
          <w:bCs/>
        </w:rPr>
        <w:lastRenderedPageBreak/>
        <w:t xml:space="preserve">Table </w:t>
      </w:r>
      <w:r w:rsidR="00E52375">
        <w:rPr>
          <w:b/>
          <w:bCs/>
        </w:rPr>
        <w:t>4</w:t>
      </w:r>
      <w:r w:rsidR="005F51F8" w:rsidRPr="00026B61">
        <w:rPr>
          <w:b/>
          <w:bCs/>
        </w:rPr>
        <w:t>:</w:t>
      </w:r>
      <w:r w:rsidRPr="00026B61">
        <w:rPr>
          <w:b/>
          <w:bCs/>
        </w:rPr>
        <w:t xml:space="preserve"> External </w:t>
      </w:r>
      <w:r w:rsidR="005F51F8" w:rsidRPr="00026B61">
        <w:rPr>
          <w:b/>
          <w:bCs/>
        </w:rPr>
        <w:t>c</w:t>
      </w:r>
      <w:r w:rsidRPr="00026B61">
        <w:rPr>
          <w:b/>
          <w:bCs/>
        </w:rPr>
        <w:t>onsultants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4: External consultants"/>
        <w:tblDescription w:val="Tables shows the cost of consultants by SEPA type totalling £365,569"/>
      </w:tblPr>
      <w:tblGrid>
        <w:gridCol w:w="3969"/>
        <w:gridCol w:w="2520"/>
      </w:tblGrid>
      <w:tr w:rsidR="006D0292" w:rsidRPr="00CA00F9" w14:paraId="4679CB3F" w14:textId="77777777" w:rsidTr="007775E5">
        <w:trPr>
          <w:cantSplit/>
          <w:tblHeader/>
        </w:trPr>
        <w:tc>
          <w:tcPr>
            <w:tcW w:w="3969" w:type="dxa"/>
            <w:tcBorders>
              <w:top w:val="nil"/>
              <w:left w:val="nil"/>
              <w:bottom w:val="single" w:sz="4" w:space="0" w:color="auto"/>
              <w:right w:val="single" w:sz="4" w:space="0" w:color="auto"/>
            </w:tcBorders>
            <w:shd w:val="clear" w:color="auto" w:fill="116574"/>
            <w:vAlign w:val="center"/>
          </w:tcPr>
          <w:p w14:paraId="080625C9" w14:textId="77777777" w:rsidR="006D0292" w:rsidRPr="00CA00F9" w:rsidRDefault="006D0292" w:rsidP="00877B3C">
            <w:pPr>
              <w:pStyle w:val="NormalWeb"/>
              <w:spacing w:before="120" w:beforeAutospacing="0" w:after="120" w:afterAutospacing="0"/>
              <w:jc w:val="center"/>
              <w:rPr>
                <w:rFonts w:ascii="Arial" w:hAnsi="Arial" w:cs="Arial"/>
                <w:color w:val="FFFFFF" w:themeColor="background1"/>
              </w:rPr>
            </w:pPr>
          </w:p>
        </w:tc>
        <w:tc>
          <w:tcPr>
            <w:tcW w:w="2520" w:type="dxa"/>
            <w:tcBorders>
              <w:left w:val="single" w:sz="4" w:space="0" w:color="auto"/>
            </w:tcBorders>
            <w:shd w:val="clear" w:color="auto" w:fill="116574"/>
            <w:vAlign w:val="center"/>
          </w:tcPr>
          <w:p w14:paraId="6EE446B7" w14:textId="3F94D551" w:rsidR="006D0292" w:rsidRPr="00CA00F9" w:rsidRDefault="006D0292" w:rsidP="00877B3C">
            <w:pPr>
              <w:pStyle w:val="NormalWeb"/>
              <w:spacing w:before="120" w:beforeAutospacing="0" w:after="120" w:afterAutospacing="0"/>
              <w:jc w:val="center"/>
              <w:rPr>
                <w:rFonts w:ascii="Arial" w:hAnsi="Arial" w:cs="Arial"/>
                <w:b/>
                <w:bCs/>
                <w:color w:val="FFFFFF" w:themeColor="background1"/>
              </w:rPr>
            </w:pPr>
            <w:r w:rsidRPr="12EF2F43">
              <w:rPr>
                <w:rFonts w:ascii="Arial" w:hAnsi="Arial" w:cs="Arial"/>
                <w:b/>
                <w:bCs/>
                <w:color w:val="FFFFFF" w:themeColor="background1"/>
              </w:rPr>
              <w:t>2024</w:t>
            </w:r>
            <w:r w:rsidR="00877B3C">
              <w:rPr>
                <w:rFonts w:ascii="Arial" w:hAnsi="Arial" w:cs="Arial"/>
                <w:b/>
                <w:bCs/>
                <w:color w:val="FFFFFF" w:themeColor="background1"/>
              </w:rPr>
              <w:t>/</w:t>
            </w:r>
            <w:r w:rsidRPr="12EF2F43">
              <w:rPr>
                <w:rFonts w:ascii="Arial" w:hAnsi="Arial" w:cs="Arial"/>
                <w:b/>
                <w:bCs/>
                <w:color w:val="FFFFFF" w:themeColor="background1"/>
              </w:rPr>
              <w:t>25</w:t>
            </w:r>
          </w:p>
        </w:tc>
      </w:tr>
      <w:tr w:rsidR="006D0292" w:rsidRPr="00CA00F9" w14:paraId="22821924" w14:textId="77777777" w:rsidTr="007775E5">
        <w:tc>
          <w:tcPr>
            <w:tcW w:w="3969" w:type="dxa"/>
            <w:tcBorders>
              <w:top w:val="single" w:sz="4" w:space="0" w:color="auto"/>
            </w:tcBorders>
            <w:vAlign w:val="center"/>
          </w:tcPr>
          <w:p w14:paraId="497717F6" w14:textId="77777777" w:rsidR="006D0292" w:rsidRPr="00CA00F9" w:rsidRDefault="006D0292" w:rsidP="00877B3C">
            <w:pPr>
              <w:pStyle w:val="NormalWeb"/>
              <w:spacing w:before="120" w:beforeAutospacing="0" w:after="120" w:afterAutospacing="0"/>
              <w:rPr>
                <w:rFonts w:ascii="Arial" w:hAnsi="Arial" w:cs="Arial"/>
              </w:rPr>
            </w:pPr>
            <w:r w:rsidRPr="00CA00F9">
              <w:rPr>
                <w:rFonts w:ascii="Arial" w:hAnsi="Arial" w:cs="Arial"/>
              </w:rPr>
              <w:t>Flood</w:t>
            </w:r>
          </w:p>
        </w:tc>
        <w:tc>
          <w:tcPr>
            <w:tcW w:w="2520" w:type="dxa"/>
            <w:vAlign w:val="center"/>
          </w:tcPr>
          <w:p w14:paraId="78DF1DAB" w14:textId="5007B303" w:rsidR="006D0292" w:rsidRPr="00CA00F9" w:rsidRDefault="006D0292" w:rsidP="00877B3C">
            <w:pPr>
              <w:pStyle w:val="NormalWeb"/>
              <w:spacing w:before="120" w:beforeAutospacing="0" w:after="120" w:afterAutospacing="0"/>
              <w:jc w:val="center"/>
              <w:rPr>
                <w:rFonts w:ascii="Arial" w:hAnsi="Arial" w:cs="Arial"/>
              </w:rPr>
            </w:pPr>
            <w:r w:rsidRPr="5A34C32D">
              <w:rPr>
                <w:rFonts w:ascii="Arial" w:hAnsi="Arial" w:cs="Arial"/>
              </w:rPr>
              <w:t>£</w:t>
            </w:r>
            <w:r w:rsidR="004C6C83">
              <w:rPr>
                <w:rFonts w:ascii="Arial" w:hAnsi="Arial" w:cs="Arial"/>
              </w:rPr>
              <w:t>172,994</w:t>
            </w:r>
          </w:p>
        </w:tc>
      </w:tr>
      <w:tr w:rsidR="006D0292" w:rsidRPr="00CA00F9" w14:paraId="4BFEAD31" w14:textId="77777777" w:rsidTr="007775E5">
        <w:tc>
          <w:tcPr>
            <w:tcW w:w="3969" w:type="dxa"/>
            <w:vAlign w:val="center"/>
          </w:tcPr>
          <w:p w14:paraId="32B4C8C7" w14:textId="77777777" w:rsidR="006D0292" w:rsidRPr="00CA00F9" w:rsidRDefault="006D0292" w:rsidP="00877B3C">
            <w:pPr>
              <w:pStyle w:val="NormalWeb"/>
              <w:spacing w:before="120" w:beforeAutospacing="0" w:after="120" w:afterAutospacing="0"/>
              <w:rPr>
                <w:rFonts w:ascii="Arial" w:hAnsi="Arial" w:cs="Arial"/>
              </w:rPr>
            </w:pPr>
            <w:r w:rsidRPr="00CA00F9">
              <w:rPr>
                <w:rFonts w:ascii="Arial" w:hAnsi="Arial" w:cs="Arial"/>
              </w:rPr>
              <w:t>Organisation/Corporate</w:t>
            </w:r>
          </w:p>
        </w:tc>
        <w:tc>
          <w:tcPr>
            <w:tcW w:w="2520" w:type="dxa"/>
            <w:vAlign w:val="center"/>
          </w:tcPr>
          <w:p w14:paraId="5C874213" w14:textId="4E3C2B29" w:rsidR="006D0292" w:rsidRPr="00CA00F9" w:rsidRDefault="006D0292" w:rsidP="00877B3C">
            <w:pPr>
              <w:pStyle w:val="NormalWeb"/>
              <w:spacing w:before="120" w:beforeAutospacing="0" w:after="120" w:afterAutospacing="0"/>
              <w:jc w:val="center"/>
              <w:rPr>
                <w:rFonts w:ascii="Arial" w:hAnsi="Arial" w:cs="Arial"/>
              </w:rPr>
            </w:pPr>
            <w:r w:rsidRPr="12EF2F43">
              <w:rPr>
                <w:rFonts w:ascii="Arial" w:hAnsi="Arial" w:cs="Arial"/>
              </w:rPr>
              <w:t>£19</w:t>
            </w:r>
            <w:r w:rsidR="004C6C83">
              <w:rPr>
                <w:rFonts w:ascii="Arial" w:hAnsi="Arial" w:cs="Arial"/>
              </w:rPr>
              <w:t>2</w:t>
            </w:r>
            <w:r w:rsidRPr="12EF2F43">
              <w:rPr>
                <w:rFonts w:ascii="Arial" w:hAnsi="Arial" w:cs="Arial"/>
              </w:rPr>
              <w:t>,</w:t>
            </w:r>
            <w:r w:rsidR="004C6C83">
              <w:rPr>
                <w:rFonts w:ascii="Arial" w:hAnsi="Arial" w:cs="Arial"/>
              </w:rPr>
              <w:t>575</w:t>
            </w:r>
          </w:p>
        </w:tc>
      </w:tr>
      <w:tr w:rsidR="006D0292" w:rsidRPr="00CA00F9" w14:paraId="257EEC88" w14:textId="77777777" w:rsidTr="007775E5">
        <w:tc>
          <w:tcPr>
            <w:tcW w:w="3969" w:type="dxa"/>
            <w:shd w:val="clear" w:color="auto" w:fill="116574"/>
            <w:vAlign w:val="center"/>
          </w:tcPr>
          <w:p w14:paraId="044705EC" w14:textId="77777777" w:rsidR="006D0292" w:rsidRPr="00CA00F9" w:rsidRDefault="006D0292" w:rsidP="00877B3C">
            <w:pPr>
              <w:pStyle w:val="NormalWeb"/>
              <w:spacing w:before="120" w:beforeAutospacing="0" w:after="120" w:afterAutospacing="0"/>
              <w:rPr>
                <w:rFonts w:ascii="Arial" w:hAnsi="Arial" w:cs="Arial"/>
                <w:b/>
                <w:color w:val="FFFFFF" w:themeColor="background1"/>
              </w:rPr>
            </w:pPr>
            <w:r w:rsidRPr="00CA00F9">
              <w:rPr>
                <w:rFonts w:ascii="Arial" w:hAnsi="Arial" w:cs="Arial"/>
                <w:b/>
                <w:color w:val="FFFFFF" w:themeColor="background1"/>
              </w:rPr>
              <w:t>Total</w:t>
            </w:r>
          </w:p>
        </w:tc>
        <w:tc>
          <w:tcPr>
            <w:tcW w:w="2520" w:type="dxa"/>
            <w:shd w:val="clear" w:color="auto" w:fill="116574"/>
            <w:vAlign w:val="center"/>
          </w:tcPr>
          <w:p w14:paraId="33BAEF66" w14:textId="06FD7531" w:rsidR="006D0292" w:rsidRPr="00CA00F9" w:rsidRDefault="006D0292" w:rsidP="00877B3C">
            <w:pPr>
              <w:pStyle w:val="NormalWeb"/>
              <w:spacing w:before="120" w:beforeAutospacing="0" w:after="120" w:afterAutospacing="0"/>
              <w:jc w:val="center"/>
              <w:rPr>
                <w:rFonts w:ascii="Arial" w:hAnsi="Arial" w:cs="Arial"/>
                <w:b/>
                <w:bCs/>
                <w:color w:val="FFFFFF" w:themeColor="background1"/>
              </w:rPr>
            </w:pPr>
            <w:r w:rsidRPr="5A34C32D">
              <w:rPr>
                <w:rFonts w:ascii="Arial" w:hAnsi="Arial" w:cs="Arial"/>
                <w:b/>
                <w:bCs/>
                <w:color w:val="FFFFFF" w:themeColor="background1"/>
              </w:rPr>
              <w:t>£</w:t>
            </w:r>
            <w:r w:rsidR="004C6C83">
              <w:rPr>
                <w:rFonts w:ascii="Arial" w:hAnsi="Arial" w:cs="Arial"/>
                <w:b/>
                <w:bCs/>
                <w:color w:val="FFFFFF" w:themeColor="background1"/>
              </w:rPr>
              <w:t>365</w:t>
            </w:r>
            <w:r w:rsidRPr="5A34C32D">
              <w:rPr>
                <w:rFonts w:ascii="Arial" w:hAnsi="Arial" w:cs="Arial"/>
                <w:b/>
                <w:bCs/>
                <w:color w:val="FFFFFF" w:themeColor="background1"/>
              </w:rPr>
              <w:t>,</w:t>
            </w:r>
            <w:r w:rsidR="004C6C83">
              <w:rPr>
                <w:rFonts w:ascii="Arial" w:hAnsi="Arial" w:cs="Arial"/>
                <w:b/>
                <w:bCs/>
                <w:color w:val="FFFFFF" w:themeColor="background1"/>
              </w:rPr>
              <w:t>56</w:t>
            </w:r>
            <w:r w:rsidR="00461190">
              <w:rPr>
                <w:rFonts w:ascii="Arial" w:hAnsi="Arial" w:cs="Arial"/>
                <w:b/>
                <w:bCs/>
                <w:color w:val="FFFFFF" w:themeColor="background1"/>
              </w:rPr>
              <w:t>9</w:t>
            </w:r>
          </w:p>
        </w:tc>
      </w:tr>
    </w:tbl>
    <w:p w14:paraId="1144D408" w14:textId="77777777" w:rsidR="006D0292" w:rsidRPr="00CA00F9" w:rsidRDefault="006D0292" w:rsidP="006D0292">
      <w:pPr>
        <w:pStyle w:val="NormalWeb"/>
        <w:ind w:right="850"/>
        <w:jc w:val="both"/>
        <w:rPr>
          <w:rFonts w:ascii="Arial" w:hAnsi="Arial" w:cs="Arial"/>
        </w:rPr>
      </w:pPr>
    </w:p>
    <w:p w14:paraId="1886FA58" w14:textId="77777777" w:rsidR="006D0292" w:rsidRPr="00CA00F9" w:rsidRDefault="006D0292" w:rsidP="006D0292">
      <w:pPr>
        <w:pStyle w:val="NormalWeb"/>
        <w:ind w:right="850"/>
        <w:jc w:val="both"/>
        <w:rPr>
          <w:rFonts w:ascii="Arial" w:hAnsi="Arial" w:cs="Arial"/>
        </w:rPr>
      </w:pPr>
    </w:p>
    <w:p w14:paraId="0D3EC7BB" w14:textId="77777777" w:rsidR="006D0292" w:rsidRDefault="006D0292" w:rsidP="006D0292">
      <w:pPr>
        <w:pStyle w:val="NormalWeb"/>
        <w:ind w:right="850"/>
        <w:jc w:val="both"/>
        <w:rPr>
          <w:rFonts w:ascii="Arial" w:hAnsi="Arial" w:cs="Arial"/>
        </w:rPr>
      </w:pPr>
      <w:r w:rsidRPr="45DD3926">
        <w:rPr>
          <w:rFonts w:ascii="Arial" w:hAnsi="Arial" w:cs="Arial"/>
        </w:rPr>
        <w:t>.</w:t>
      </w:r>
    </w:p>
    <w:p w14:paraId="3C810888" w14:textId="77777777" w:rsidR="006D0292" w:rsidRDefault="006D0292" w:rsidP="006D0292">
      <w:pPr>
        <w:pStyle w:val="NormalWeb"/>
        <w:ind w:right="850"/>
        <w:jc w:val="both"/>
        <w:rPr>
          <w:rFonts w:ascii="Arial" w:hAnsi="Arial" w:cs="Arial"/>
        </w:rPr>
      </w:pPr>
    </w:p>
    <w:p w14:paraId="4062E5D1" w14:textId="77777777" w:rsidR="00877B3C" w:rsidRDefault="00877B3C" w:rsidP="006D0292">
      <w:pPr>
        <w:pStyle w:val="NormalWeb"/>
        <w:ind w:right="850"/>
        <w:jc w:val="both"/>
        <w:rPr>
          <w:rFonts w:ascii="Arial" w:hAnsi="Arial" w:cs="Arial"/>
        </w:rPr>
      </w:pPr>
    </w:p>
    <w:p w14:paraId="2301EF73" w14:textId="77777777" w:rsidR="00472DA1" w:rsidRDefault="006D0292" w:rsidP="00472DA1">
      <w:pPr>
        <w:pStyle w:val="BodyText1"/>
      </w:pPr>
      <w:r w:rsidRPr="00877B3C">
        <w:t xml:space="preserve">Scottish Government guidance on consultancy used a definition of ‘external consultancy’ as “Investigating problems, providing analysis or advice, or assisting with the development of new systems, new </w:t>
      </w:r>
      <w:bookmarkStart w:id="9" w:name="_Int_eSj4899B"/>
      <w:r w:rsidRPr="00877B3C">
        <w:t>structures</w:t>
      </w:r>
      <w:bookmarkEnd w:id="9"/>
      <w:r w:rsidRPr="00877B3C">
        <w:t xml:space="preserve"> or new capabilities within the organisation</w:t>
      </w:r>
      <w:r w:rsidR="000B17B3">
        <w:t>”</w:t>
      </w:r>
      <w:r w:rsidRPr="00877B3C">
        <w:t xml:space="preserve">. </w:t>
      </w:r>
      <w:r w:rsidR="00472DA1" w:rsidRPr="00877B3C">
        <w:t xml:space="preserve">The main areas of spend within this area include assistance with </w:t>
      </w:r>
      <w:r w:rsidR="00472DA1">
        <w:t>a review of flood defence assets, development of a fleet strategy and the c</w:t>
      </w:r>
      <w:r w:rsidR="00472DA1" w:rsidRPr="00877B3C">
        <w:t xml:space="preserve">reation of a new </w:t>
      </w:r>
      <w:r w:rsidR="00472DA1">
        <w:t>j</w:t>
      </w:r>
      <w:r w:rsidR="00472DA1" w:rsidRPr="00877B3C">
        <w:t xml:space="preserve">ob </w:t>
      </w:r>
      <w:r w:rsidR="00472DA1">
        <w:t>e</w:t>
      </w:r>
      <w:r w:rsidR="00472DA1" w:rsidRPr="00877B3C">
        <w:t xml:space="preserve">valuation </w:t>
      </w:r>
      <w:r w:rsidR="00472DA1">
        <w:t>s</w:t>
      </w:r>
      <w:r w:rsidR="00472DA1" w:rsidRPr="00877B3C">
        <w:t xml:space="preserve">ervice, </w:t>
      </w:r>
      <w:r w:rsidR="00472DA1">
        <w:t>s</w:t>
      </w:r>
      <w:r w:rsidR="00472DA1" w:rsidRPr="00877B3C">
        <w:t xml:space="preserve">takeholder </w:t>
      </w:r>
      <w:r w:rsidR="00472DA1">
        <w:t>e</w:t>
      </w:r>
      <w:r w:rsidR="00472DA1" w:rsidRPr="00877B3C">
        <w:t xml:space="preserve">ngagement and </w:t>
      </w:r>
      <w:r w:rsidR="00472DA1">
        <w:t>r</w:t>
      </w:r>
      <w:r w:rsidR="00472DA1" w:rsidRPr="00877B3C">
        <w:t xml:space="preserve">esearch </w:t>
      </w:r>
      <w:r w:rsidR="00472DA1">
        <w:t>and</w:t>
      </w:r>
      <w:r w:rsidR="00472DA1" w:rsidRPr="00877B3C">
        <w:t xml:space="preserve"> </w:t>
      </w:r>
      <w:r w:rsidR="00472DA1">
        <w:t>d</w:t>
      </w:r>
      <w:r w:rsidR="00472DA1" w:rsidRPr="00877B3C">
        <w:t>evelopment work.</w:t>
      </w:r>
    </w:p>
    <w:p w14:paraId="25B5B46E" w14:textId="77777777" w:rsidR="00877B3C" w:rsidRPr="00877B3C" w:rsidRDefault="00877B3C" w:rsidP="00877B3C">
      <w:pPr>
        <w:pStyle w:val="BodyText1"/>
      </w:pPr>
    </w:p>
    <w:p w14:paraId="749D6CB6" w14:textId="77777777" w:rsidR="006D0292" w:rsidRPr="00AE4172" w:rsidRDefault="006D0292" w:rsidP="00877B3C">
      <w:pPr>
        <w:pStyle w:val="Heading2"/>
        <w:rPr>
          <w:u w:val="single"/>
        </w:rPr>
      </w:pPr>
      <w:bookmarkStart w:id="10" w:name="_Toc221879316"/>
      <w:r w:rsidRPr="69CD1275">
        <w:t>Payments with a value more than £25k</w:t>
      </w:r>
      <w:bookmarkEnd w:id="10"/>
    </w:p>
    <w:p w14:paraId="56608611" w14:textId="2C9E2072" w:rsidR="006D0292" w:rsidRPr="00AE4172" w:rsidRDefault="006D0292" w:rsidP="00877B3C">
      <w:pPr>
        <w:pStyle w:val="BodyText1"/>
        <w:rPr>
          <w:rFonts w:ascii="Arial" w:hAnsi="Arial" w:cs="Arial"/>
          <w:b/>
          <w:bCs/>
          <w:u w:val="single"/>
        </w:rPr>
      </w:pPr>
      <w:r w:rsidRPr="00877B3C">
        <w:t>Payments include all individual payment transactions, including payments for goods and services, grants or grant-in-aid to third parties and transactions with government departments or other public bodies</w:t>
      </w:r>
      <w:bookmarkStart w:id="11" w:name="_Int_Ya5ReynH"/>
      <w:r w:rsidRPr="00877B3C">
        <w:t xml:space="preserve">. </w:t>
      </w:r>
      <w:bookmarkEnd w:id="11"/>
      <w:r w:rsidRPr="00877B3C">
        <w:t>It does not however include information relating to remuneration or other payments made to an individual in relation to their service as a member or employee of a public body (including office</w:t>
      </w:r>
      <w:r w:rsidR="002273C1">
        <w:t xml:space="preserve"> </w:t>
      </w:r>
      <w:r w:rsidRPr="00877B3C">
        <w:t xml:space="preserve">holders and company directors or secretaries), such as salary, bonuses, allowances, fees, pension, voluntary severance, compromise agreements or redundancy payments. The below table provides a full list of individual transactions </w:t>
      </w:r>
      <w:bookmarkStart w:id="12" w:name="_Int_nAViS8O4"/>
      <w:r w:rsidRPr="00877B3C">
        <w:t>in excess of</w:t>
      </w:r>
      <w:bookmarkEnd w:id="12"/>
      <w:r w:rsidRPr="00877B3C">
        <w:t xml:space="preserve"> £25,000, in alphabetical order of account name.</w:t>
      </w:r>
    </w:p>
    <w:p w14:paraId="50040F12" w14:textId="5BC96BDA" w:rsidR="00877B3C" w:rsidRDefault="00877B3C" w:rsidP="006D0292">
      <w:pPr>
        <w:autoSpaceDE w:val="0"/>
        <w:autoSpaceDN w:val="0"/>
        <w:adjustRightInd w:val="0"/>
        <w:ind w:right="850"/>
        <w:rPr>
          <w:rFonts w:ascii="Arial" w:hAnsi="Arial" w:cs="Arial"/>
          <w:b/>
          <w:bCs/>
          <w:color w:val="000000"/>
          <w:u w:val="single"/>
        </w:rPr>
      </w:pPr>
      <w:r>
        <w:rPr>
          <w:rFonts w:ascii="Arial" w:hAnsi="Arial" w:cs="Arial"/>
          <w:b/>
          <w:bCs/>
          <w:color w:val="000000"/>
          <w:u w:val="single"/>
        </w:rPr>
        <w:br w:type="page"/>
      </w:r>
    </w:p>
    <w:p w14:paraId="46C2F7A9" w14:textId="0E7934DB" w:rsidR="006D0292" w:rsidRPr="00026B61" w:rsidRDefault="006D0292" w:rsidP="00026B61">
      <w:pPr>
        <w:pStyle w:val="BodyText1"/>
        <w:rPr>
          <w:b/>
          <w:bCs/>
        </w:rPr>
      </w:pPr>
      <w:r w:rsidRPr="00026B61">
        <w:rPr>
          <w:b/>
          <w:bCs/>
        </w:rPr>
        <w:lastRenderedPageBreak/>
        <w:t>Table 5</w:t>
      </w:r>
      <w:r w:rsidR="00877B3C" w:rsidRPr="00026B61">
        <w:rPr>
          <w:b/>
          <w:bCs/>
        </w:rPr>
        <w:t>:</w:t>
      </w:r>
      <w:r w:rsidRPr="00026B61">
        <w:rPr>
          <w:b/>
          <w:bCs/>
        </w:rPr>
        <w:t xml:space="preserve"> Payments over £25k</w:t>
      </w:r>
    </w:p>
    <w:tbl>
      <w:tblPr>
        <w:tblW w:w="0" w:type="auto"/>
        <w:tblLook w:val="04A0" w:firstRow="1" w:lastRow="0" w:firstColumn="1" w:lastColumn="0" w:noHBand="0" w:noVBand="1"/>
        <w:tblCaption w:val="Table 5: Payments over £25k"/>
        <w:tblDescription w:val="Provides a full list of individual transactions in excess of £25,000 in alphabetical order of account name. Total value is £20,720,254"/>
      </w:tblPr>
      <w:tblGrid>
        <w:gridCol w:w="3540"/>
        <w:gridCol w:w="3992"/>
        <w:gridCol w:w="2669"/>
      </w:tblGrid>
      <w:tr w:rsidR="006D0292" w14:paraId="27399251" w14:textId="77777777" w:rsidTr="00812EC7">
        <w:trPr>
          <w:cantSplit/>
          <w:trHeight w:val="300"/>
          <w:tblHeader/>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shd w:val="clear" w:color="auto" w:fill="116574"/>
            <w:tcMar>
              <w:top w:w="15" w:type="dxa"/>
              <w:left w:w="108" w:type="dxa"/>
              <w:bottom w:w="15" w:type="dxa"/>
              <w:right w:w="108" w:type="dxa"/>
            </w:tcMar>
            <w:vAlign w:val="center"/>
          </w:tcPr>
          <w:p w14:paraId="6B84124B" w14:textId="2B5E6D2F"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b/>
                <w:bCs/>
                <w:color w:val="FFFFFF" w:themeColor="background1"/>
              </w:rPr>
              <w:t>Account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shd w:val="clear" w:color="auto" w:fill="116574"/>
            <w:tcMar>
              <w:top w:w="15" w:type="dxa"/>
              <w:left w:w="108" w:type="dxa"/>
              <w:bottom w:w="15" w:type="dxa"/>
              <w:right w:w="108" w:type="dxa"/>
            </w:tcMar>
            <w:vAlign w:val="center"/>
          </w:tcPr>
          <w:p w14:paraId="44BEBB9C" w14:textId="608F67A8"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b/>
                <w:bCs/>
                <w:color w:val="FFFFFF" w:themeColor="background1"/>
              </w:rPr>
              <w:t>Supplier</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shd w:val="clear" w:color="auto" w:fill="116574"/>
            <w:tcMar>
              <w:top w:w="15" w:type="dxa"/>
              <w:left w:w="108" w:type="dxa"/>
              <w:bottom w:w="15" w:type="dxa"/>
              <w:right w:w="108" w:type="dxa"/>
            </w:tcMar>
            <w:vAlign w:val="center"/>
          </w:tcPr>
          <w:p w14:paraId="64302CF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b/>
                <w:bCs/>
                <w:color w:val="FFFFFF" w:themeColor="background1"/>
              </w:rPr>
              <w:t>Amount £</w:t>
            </w:r>
          </w:p>
        </w:tc>
      </w:tr>
      <w:tr w:rsidR="006D0292" w14:paraId="78D89CF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6AEE2B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Air Emissions Audit Monitoring</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E3BCC7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Socotec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7209A9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25,069</w:t>
            </w:r>
          </w:p>
        </w:tc>
      </w:tr>
      <w:tr w:rsidR="006D0292" w14:paraId="27EE8967"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90B0D25" w14:textId="46E8B076"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Computer Hardware P</w:t>
            </w:r>
            <w:r w:rsidR="00812EC7">
              <w:rPr>
                <w:rFonts w:asciiTheme="majorHAnsi" w:eastAsia="Arial" w:hAnsiTheme="majorHAnsi" w:cstheme="majorHAnsi"/>
                <w:color w:val="012B31"/>
              </w:rPr>
              <w:t>C</w:t>
            </w:r>
            <w:r w:rsidRPr="00877B3C">
              <w:rPr>
                <w:rFonts w:asciiTheme="majorHAnsi" w:eastAsia="Arial" w:hAnsiTheme="majorHAnsi" w:cstheme="majorHAnsi"/>
                <w:color w:val="012B31"/>
              </w:rPr>
              <w:t>'s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80414B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HP Inc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F9A9262"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32,602</w:t>
            </w:r>
          </w:p>
        </w:tc>
      </w:tr>
      <w:tr w:rsidR="006D0292" w14:paraId="7DDC698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519F90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Computer Hardware Peripherals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074503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HP Inc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93769A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29,083</w:t>
            </w:r>
          </w:p>
        </w:tc>
      </w:tr>
      <w:tr w:rsidR="006D0292" w14:paraId="08258D96"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BC86B2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Computer Hardware Peripherals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2C3A99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HP Inc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74DA0F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68,201</w:t>
            </w:r>
          </w:p>
        </w:tc>
      </w:tr>
      <w:tr w:rsidR="006D0292" w14:paraId="175E041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3B5632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Computer Hardware Peripherals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0A9705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Softcat plc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F48652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31,812</w:t>
            </w:r>
          </w:p>
        </w:tc>
      </w:tr>
      <w:tr w:rsidR="006D0292" w14:paraId="01AD441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CD04AF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Computer Hardware Servers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DD8A05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Computacenter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A8B6BA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87,376</w:t>
            </w:r>
          </w:p>
        </w:tc>
      </w:tr>
      <w:tr w:rsidR="006D0292" w14:paraId="2726B544"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F1A64E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Computer Hardware Servers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29DA20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Pulsant (South Gyle)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45DA24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264,433</w:t>
            </w:r>
          </w:p>
        </w:tc>
      </w:tr>
      <w:tr w:rsidR="006D0292" w14:paraId="4575F75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304ABC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Computer Hardware Servers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53E9C0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Pulsant (South Gyle)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DF39A5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49,089</w:t>
            </w:r>
          </w:p>
        </w:tc>
      </w:tr>
      <w:tr w:rsidR="006D0292" w14:paraId="1AAE5D6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99EB3B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Computer Hardware Servers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861A85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Pulsant (South Gyle)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584975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30,303</w:t>
            </w:r>
          </w:p>
        </w:tc>
      </w:tr>
      <w:tr w:rsidR="006D0292" w14:paraId="39DAF17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E6397E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Consultancy Fees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DC80FB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Gartner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F1027F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81,720</w:t>
            </w:r>
          </w:p>
        </w:tc>
      </w:tr>
      <w:tr w:rsidR="006D0292" w14:paraId="18BEC2B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F6D88C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Consultancy Fees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824A5B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Jacobs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0F52CA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26,607</w:t>
            </w:r>
          </w:p>
        </w:tc>
      </w:tr>
      <w:tr w:rsidR="006D0292" w14:paraId="37FD3BE6"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9416562"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Consultancy Fees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CDB5E8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KPMG LLP</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6C7546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72,000</w:t>
            </w:r>
          </w:p>
        </w:tc>
      </w:tr>
      <w:tr w:rsidR="006D0292" w14:paraId="327E57B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8EFA98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Dilapidations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D47FBC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Carswell Properties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D94048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30,000</w:t>
            </w:r>
          </w:p>
        </w:tc>
      </w:tr>
      <w:tr w:rsidR="006D0292" w14:paraId="07196B5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3F86CB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Dilapidations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C6E67E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Kenman Holdings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2955CE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35,000</w:t>
            </w:r>
          </w:p>
        </w:tc>
      </w:tr>
      <w:tr w:rsidR="006D0292" w14:paraId="44B81BD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5380AF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209E3E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078C8B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53,447</w:t>
            </w:r>
          </w:p>
        </w:tc>
      </w:tr>
      <w:tr w:rsidR="006D0292" w14:paraId="001AE06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61133B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CFAC6A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BA4E61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55,891</w:t>
            </w:r>
          </w:p>
        </w:tc>
      </w:tr>
      <w:tr w:rsidR="006D0292" w14:paraId="2DDAEEA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21EF11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813988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2CF82D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55,269</w:t>
            </w:r>
          </w:p>
        </w:tc>
      </w:tr>
      <w:tr w:rsidR="006D0292" w14:paraId="36F446D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302959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531DE0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51EBAE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53,055</w:t>
            </w:r>
          </w:p>
        </w:tc>
      </w:tr>
      <w:tr w:rsidR="006D0292" w14:paraId="0CFAC5B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44F99A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CC7525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5ADF0C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51,281</w:t>
            </w:r>
          </w:p>
        </w:tc>
      </w:tr>
      <w:tr w:rsidR="006D0292" w14:paraId="2F18292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B805CB2"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670D04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0F26BA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52,260</w:t>
            </w:r>
          </w:p>
        </w:tc>
      </w:tr>
      <w:tr w:rsidR="006D0292" w14:paraId="72DD8054"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CEE937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lastRenderedPageBreak/>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79BB96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C23C23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52,275</w:t>
            </w:r>
          </w:p>
        </w:tc>
      </w:tr>
      <w:tr w:rsidR="006D0292" w14:paraId="46B6287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6910F0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5F94FD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878A09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57,505</w:t>
            </w:r>
          </w:p>
        </w:tc>
      </w:tr>
      <w:tr w:rsidR="006D0292" w14:paraId="4B193E5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53AFBB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2D7E5A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F917A9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60,131</w:t>
            </w:r>
          </w:p>
        </w:tc>
      </w:tr>
      <w:tr w:rsidR="006D0292" w14:paraId="504B44C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27A362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57C2AC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7818EA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27,274</w:t>
            </w:r>
          </w:p>
        </w:tc>
      </w:tr>
      <w:tr w:rsidR="006D0292" w14:paraId="2BBF2B6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29AA6D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2004FF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1079A8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30,181</w:t>
            </w:r>
          </w:p>
        </w:tc>
      </w:tr>
      <w:tr w:rsidR="006D0292" w14:paraId="41DEBB6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FF1789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DAB449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E724C1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61,838</w:t>
            </w:r>
          </w:p>
        </w:tc>
      </w:tr>
      <w:tr w:rsidR="006D0292" w14:paraId="7B4E92B7"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8C8CB4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A2ACFE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777002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31,417</w:t>
            </w:r>
          </w:p>
        </w:tc>
      </w:tr>
      <w:tr w:rsidR="006D0292" w14:paraId="1322DDD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05F648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6A1489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46BB59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61,756</w:t>
            </w:r>
          </w:p>
        </w:tc>
      </w:tr>
      <w:tr w:rsidR="006D0292" w14:paraId="0C283387"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BA5557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0CCF10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1476CD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25,529</w:t>
            </w:r>
          </w:p>
        </w:tc>
      </w:tr>
      <w:tr w:rsidR="006D0292" w14:paraId="191BE1B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D4D825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Electricity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18DCAE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EDF Energy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7ACBEA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53,340</w:t>
            </w:r>
          </w:p>
        </w:tc>
      </w:tr>
      <w:tr w:rsidR="006D0292" w14:paraId="03EDA114"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DB0094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Maintenance/Contract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5606E5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Bruker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F75C40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42,911</w:t>
            </w:r>
          </w:p>
        </w:tc>
      </w:tr>
      <w:tr w:rsidR="006D0292" w14:paraId="64633C4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E4924A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Maintenance/Contract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70FF0D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CEFAS</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997173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95,400</w:t>
            </w:r>
          </w:p>
        </w:tc>
      </w:tr>
      <w:tr w:rsidR="006D0292" w14:paraId="439CC17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E0D383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Maintenance/Contract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C3201B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CEFAS</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579FAF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95,400</w:t>
            </w:r>
          </w:p>
        </w:tc>
      </w:tr>
      <w:tr w:rsidR="006D0292" w14:paraId="6845A81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FB620B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Maintenance/Contract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911A7F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Thermo Fisher Scientific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5661522"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62,511</w:t>
            </w:r>
          </w:p>
        </w:tc>
      </w:tr>
      <w:tr w:rsidR="006D0292" w14:paraId="15DD890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34E8C8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772729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Agilent Technologies LDA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CA29FE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46,081</w:t>
            </w:r>
          </w:p>
        </w:tc>
      </w:tr>
      <w:tr w:rsidR="006D0292" w14:paraId="746A396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EDFCF0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B1528F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Bruker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5D0556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867,120</w:t>
            </w:r>
          </w:p>
        </w:tc>
      </w:tr>
      <w:tr w:rsidR="006D0292" w14:paraId="357B62D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A29C39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F42671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Computacenter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1794C92"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58,391</w:t>
            </w:r>
          </w:p>
        </w:tc>
      </w:tr>
      <w:tr w:rsidR="006D0292" w14:paraId="73215E6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98CB2B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5B10F0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Computacenter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49AD66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31,996</w:t>
            </w:r>
          </w:p>
        </w:tc>
      </w:tr>
      <w:tr w:rsidR="006D0292" w14:paraId="40C599D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230706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7554CE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Coptrz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E731A5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38,399</w:t>
            </w:r>
          </w:p>
        </w:tc>
      </w:tr>
      <w:tr w:rsidR="006D0292" w14:paraId="10A93AC0"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7AB0BE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7F50F28"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Gasmet Technologies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F537B2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95,552</w:t>
            </w:r>
          </w:p>
        </w:tc>
      </w:tr>
      <w:tr w:rsidR="006D0292" w14:paraId="07E015C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73FA39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lastRenderedPageBreak/>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F7337B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JBA Consulting</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22D1DE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90,260</w:t>
            </w:r>
          </w:p>
        </w:tc>
      </w:tr>
      <w:tr w:rsidR="006D0292" w14:paraId="0D45B5E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AB079B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F3A361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Kisters AG</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739538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89,124</w:t>
            </w:r>
          </w:p>
        </w:tc>
      </w:tr>
      <w:tr w:rsidR="006D0292" w14:paraId="0AA2E87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6608602"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001D6D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Kisters AG</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19ACC7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89,124</w:t>
            </w:r>
          </w:p>
        </w:tc>
      </w:tr>
      <w:tr w:rsidR="006D0292" w14:paraId="72A0148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6BC1E6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9E6353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LECO Instruments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F94983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47,400</w:t>
            </w:r>
          </w:p>
        </w:tc>
      </w:tr>
      <w:tr w:rsidR="006D0292" w14:paraId="3BE0032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241434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CBE1352"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Scientific Laboratory Supplies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2F7EA3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31,609</w:t>
            </w:r>
          </w:p>
        </w:tc>
      </w:tr>
      <w:tr w:rsidR="006D0292" w14:paraId="1D2523D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BE61FE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6638D6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SciQuip Limited c/o Calibre Scientific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433AA9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34,702</w:t>
            </w:r>
          </w:p>
        </w:tc>
      </w:tr>
      <w:tr w:rsidR="006D0292" w14:paraId="7ED8D75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4DD1B5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16FAF5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SciQuip Limited c/o Calibre Scientific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4A5FC9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32,815</w:t>
            </w:r>
          </w:p>
        </w:tc>
      </w:tr>
      <w:tr w:rsidR="006D0292" w14:paraId="02B0C89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FCB242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F37323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SciQuip Limited c/o Calibre Scientific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38DD1A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29,652</w:t>
            </w:r>
          </w:p>
        </w:tc>
      </w:tr>
      <w:tr w:rsidR="006D0292" w14:paraId="649655C6"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30B0E6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A35952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SciQuip Limited c/o Calibre Scientific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4A838C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55,781</w:t>
            </w:r>
          </w:p>
        </w:tc>
      </w:tr>
      <w:tr w:rsidR="006D0292" w14:paraId="0788708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6656AF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BC55DF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SciQuip Limited c/o Calibre Scientific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DB3D89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28,624</w:t>
            </w:r>
          </w:p>
        </w:tc>
      </w:tr>
      <w:tr w:rsidR="006D0292" w14:paraId="46B2C01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85268F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C92088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SciQuip Limited c/o Calibre Scientific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95ED8D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72,184</w:t>
            </w:r>
          </w:p>
        </w:tc>
      </w:tr>
      <w:tr w:rsidR="006D0292" w14:paraId="5E19000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27F637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C174F1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Shimadzu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541885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39,600</w:t>
            </w:r>
          </w:p>
        </w:tc>
      </w:tr>
      <w:tr w:rsidR="006D0292" w14:paraId="75F0526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022AE6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D89CFE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SKALAR Analytical</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AF8CD7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65,203</w:t>
            </w:r>
          </w:p>
        </w:tc>
      </w:tr>
      <w:tr w:rsidR="006D0292" w14:paraId="76C942B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F97493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9E165A2"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SKALAR Analytical</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7049B5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65,907</w:t>
            </w:r>
          </w:p>
        </w:tc>
      </w:tr>
      <w:tr w:rsidR="006D0292" w14:paraId="748296B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211FB1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6DB790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Valley Group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CBFC8A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31,035</w:t>
            </w:r>
          </w:p>
        </w:tc>
      </w:tr>
      <w:tr w:rsidR="006D0292" w14:paraId="3ADABB6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0DC228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82646A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Vodafone Corporate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F72315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33,631</w:t>
            </w:r>
          </w:p>
        </w:tc>
      </w:tr>
      <w:tr w:rsidR="006D0292" w14:paraId="5E71190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4553DF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537A9E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Wolf Laboratories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37E46D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27,262</w:t>
            </w:r>
          </w:p>
        </w:tc>
      </w:tr>
      <w:tr w:rsidR="006D0292" w14:paraId="0A7DE02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3D9D06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61BBA82"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Wolf Laboratories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0CED99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38,095</w:t>
            </w:r>
          </w:p>
        </w:tc>
      </w:tr>
      <w:tr w:rsidR="006D0292" w14:paraId="753F509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A0C11E8"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C17A26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Xylem Water Solutions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1BF5C2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69,926</w:t>
            </w:r>
          </w:p>
        </w:tc>
      </w:tr>
      <w:tr w:rsidR="006D0292" w14:paraId="178CE44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9034D1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lastRenderedPageBreak/>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EB1CAB8"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Xylem Water Solutions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5BABA6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28,894</w:t>
            </w:r>
          </w:p>
        </w:tc>
      </w:tr>
      <w:tr w:rsidR="006D0292" w14:paraId="54134D9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31EEEF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4C2F5F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Xylem Water Solutions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661E17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45,180</w:t>
            </w:r>
          </w:p>
        </w:tc>
      </w:tr>
      <w:tr w:rsidR="006D0292" w14:paraId="46346036"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393D4D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Equipment Purchase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959578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Xylem Water Solutions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37EE56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45,587</w:t>
            </w:r>
          </w:p>
        </w:tc>
      </w:tr>
      <w:tr w:rsidR="006D0292" w14:paraId="3601941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25BDAB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EUTS Registry Recharge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8E3B723" w14:textId="78889216"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Environment Agency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2F5AD2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49,729</w:t>
            </w:r>
          </w:p>
        </w:tc>
      </w:tr>
      <w:tr w:rsidR="006D0292" w14:paraId="1AD6F0C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59B93D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External Audit Fee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C839C9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Audit Scotland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01BF01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25,670</w:t>
            </w:r>
          </w:p>
        </w:tc>
      </w:tr>
      <w:tr w:rsidR="006D0292" w14:paraId="6E44DBA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2E0129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External Audit Fee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936980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Audit Scotland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E72341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26,167</w:t>
            </w:r>
          </w:p>
        </w:tc>
      </w:tr>
      <w:tr w:rsidR="006D0292" w14:paraId="744CA11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2AC51B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General Advertising</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7C7B99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Republic of Media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428979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33,209</w:t>
            </w:r>
          </w:p>
        </w:tc>
      </w:tr>
      <w:tr w:rsidR="006D0292" w14:paraId="146F383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ACC1D3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Hydrological Supplies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38A5DA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OTT HydroMet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E37241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31,851</w:t>
            </w:r>
          </w:p>
        </w:tc>
      </w:tr>
      <w:tr w:rsidR="006D0292" w14:paraId="104BE1F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9CCEEA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Hydrological Supplies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5ED220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Wallingford Hydro Solutions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53EABA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26,741</w:t>
            </w:r>
          </w:p>
        </w:tc>
      </w:tr>
      <w:tr w:rsidR="006D0292" w14:paraId="2FE1BE7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A2962D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Insurance Running Costs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0C22B0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James Hallam Limited T/A James Hallam Corporate</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3F9594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34,580</w:t>
            </w:r>
          </w:p>
        </w:tc>
      </w:tr>
      <w:tr w:rsidR="006D0292" w14:paraId="60A48FE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253FF39" w14:textId="77777777" w:rsidR="006D0292" w:rsidRPr="00877B3C" w:rsidRDefault="006D0292" w:rsidP="004101CC">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Legal Contingency</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B72DF1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West Fraser Europe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0E51D5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220,000</w:t>
            </w:r>
          </w:p>
        </w:tc>
      </w:tr>
      <w:tr w:rsidR="006D0292" w14:paraId="75AA4F2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431EC0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Licences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A37E71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UK CEH Enterprise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DA81E9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63,090</w:t>
            </w:r>
          </w:p>
        </w:tc>
      </w:tr>
      <w:tr w:rsidR="006D0292" w14:paraId="4D9001A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1ABBC9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Licences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46F183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ESRI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500DFA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28,248</w:t>
            </w:r>
          </w:p>
        </w:tc>
      </w:tr>
      <w:tr w:rsidR="006D0292" w14:paraId="16BFB7A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89D09B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Licences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B89757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ESRI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36CFA0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35,083</w:t>
            </w:r>
          </w:p>
        </w:tc>
      </w:tr>
      <w:tr w:rsidR="006D0292" w14:paraId="76980686"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3F65458"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Licences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C0E8E6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ESRI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57A0ED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28,034</w:t>
            </w:r>
          </w:p>
        </w:tc>
      </w:tr>
      <w:tr w:rsidR="006D0292" w14:paraId="45A812B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13F3A4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Maintenance Contracts -Hardware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1AB18A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Insight Direct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BDD58E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297,950</w:t>
            </w:r>
          </w:p>
        </w:tc>
      </w:tr>
      <w:tr w:rsidR="006D0292" w14:paraId="24B9B9C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BE217C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Maintenance Contracts -Hardware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BB6C9F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Pulsant (South Gyle)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E6FDE8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39,824</w:t>
            </w:r>
          </w:p>
        </w:tc>
      </w:tr>
      <w:tr w:rsidR="006D0292" w14:paraId="04502CB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41949E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Met Office Supplies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934323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Meteorological Office</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277ADB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113,135</w:t>
            </w:r>
          </w:p>
        </w:tc>
      </w:tr>
      <w:tr w:rsidR="006D0292" w14:paraId="480E75C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2D0E75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Met Office Supplies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346B8A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Meteorological Office</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B27FC7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113,135</w:t>
            </w:r>
          </w:p>
        </w:tc>
      </w:tr>
      <w:tr w:rsidR="006D0292" w14:paraId="23453C1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DC8D41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Met Office Supplies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C7E5CA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Meteorological Office</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6B5B09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113,135</w:t>
            </w:r>
          </w:p>
        </w:tc>
      </w:tr>
      <w:tr w:rsidR="006D0292" w14:paraId="2F6C6C5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22036D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Met Office Supplies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8E5D90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Meteorological Office</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4C407C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113,135</w:t>
            </w:r>
          </w:p>
        </w:tc>
      </w:tr>
      <w:tr w:rsidR="006D0292" w14:paraId="7A3AFB4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D85EF4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lastRenderedPageBreak/>
              <w:t>Mobile Phones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63A035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Vodafone Corporate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A9ED41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41,115</w:t>
            </w:r>
          </w:p>
        </w:tc>
      </w:tr>
      <w:tr w:rsidR="006D0292" w14:paraId="2FB22257"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3C7925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A46C81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Aberdeen City Council</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876C6B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250,000</w:t>
            </w:r>
          </w:p>
        </w:tc>
      </w:tr>
      <w:tr w:rsidR="006D0292" w14:paraId="70541B1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FDC1E7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A8AE58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DEFRA</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D93208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25,908</w:t>
            </w:r>
          </w:p>
        </w:tc>
      </w:tr>
      <w:tr w:rsidR="006D0292" w14:paraId="6D3A404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59FE35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1E29F5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Dumfries &amp; Galloway Council</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E07685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600,000</w:t>
            </w:r>
          </w:p>
        </w:tc>
      </w:tr>
      <w:tr w:rsidR="006D0292" w14:paraId="3904FAF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EC17F0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032D3B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Dundee City Council (City Development)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8F1A2F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100,000</w:t>
            </w:r>
          </w:p>
        </w:tc>
      </w:tr>
      <w:tr w:rsidR="006D0292" w14:paraId="3AB5672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F1D133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97759B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Dundee City Council (City Development)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2B9531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525,000</w:t>
            </w:r>
          </w:p>
        </w:tc>
      </w:tr>
      <w:tr w:rsidR="006D0292" w14:paraId="13E90630"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C424BA8"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65D50B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Edinburgh and Lothians Greenspace Trust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4EF1AE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215,000</w:t>
            </w:r>
          </w:p>
        </w:tc>
      </w:tr>
      <w:tr w:rsidR="006D0292" w14:paraId="4542C8B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D9F1E4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C5A590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Fife Council</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116082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78,750</w:t>
            </w:r>
          </w:p>
        </w:tc>
      </w:tr>
      <w:tr w:rsidR="006D0292" w14:paraId="68036BF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E1B999C"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3E0B548"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Fife Council</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E97938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350,000</w:t>
            </w:r>
          </w:p>
        </w:tc>
      </w:tr>
      <w:tr w:rsidR="006D0292" w14:paraId="121205F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652FA3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854FA8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Glasgow City Council (Funding/Grants)</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F1ACC08"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100,000</w:t>
            </w:r>
          </w:p>
        </w:tc>
      </w:tr>
      <w:tr w:rsidR="006D0292" w14:paraId="442A5AA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590AD5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A55CB1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Glasgow City Council (Funding/Grants)</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85D73A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1,200,000</w:t>
            </w:r>
          </w:p>
        </w:tc>
      </w:tr>
      <w:tr w:rsidR="006D0292" w14:paraId="412D353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7E3BC9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6C6A81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Glasgow City Council (Funding/Grants)</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E2CA119"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85,000</w:t>
            </w:r>
          </w:p>
        </w:tc>
      </w:tr>
      <w:tr w:rsidR="006D0292" w14:paraId="236120D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E605A6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179C55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Green Action Trust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79467D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135,000</w:t>
            </w:r>
          </w:p>
        </w:tc>
      </w:tr>
      <w:tr w:rsidR="006D0292" w14:paraId="3BAF924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034A6C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EEDEFC3"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Renfrewshire Council</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913E7C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100,000</w:t>
            </w:r>
          </w:p>
        </w:tc>
      </w:tr>
      <w:tr w:rsidR="006D0292" w14:paraId="76E6B07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98AED6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1C36DA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Tweed Forum</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1536217"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150,000</w:t>
            </w:r>
          </w:p>
        </w:tc>
      </w:tr>
      <w:tr w:rsidR="006D0292" w14:paraId="5CDB4500"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B0CDA91"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lastRenderedPageBreak/>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729AC2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Tweed Forum</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4BDB52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150,000</w:t>
            </w:r>
          </w:p>
        </w:tc>
      </w:tr>
      <w:tr w:rsidR="006D0292" w14:paraId="663E74C4"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2F2F4CD"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DA65A94"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Tweed Forum</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1EDAE2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318,298</w:t>
            </w:r>
          </w:p>
        </w:tc>
      </w:tr>
      <w:tr w:rsidR="006D0292" w14:paraId="47FAA0D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5126D4E"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Partnership Project Contributions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EF8049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Tweed Forum</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BD57BC8"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100,000</w:t>
            </w:r>
          </w:p>
        </w:tc>
      </w:tr>
      <w:tr w:rsidR="006D0292" w14:paraId="5B3E18E6"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4F840D3" w14:textId="2A595213"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Fees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2DBC2C1" w14:textId="3FAE74F3"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Environment Agency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3CB59BA"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209,681</w:t>
            </w:r>
          </w:p>
        </w:tc>
      </w:tr>
      <w:tr w:rsidR="006D0292" w14:paraId="12B22907"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84E11C8" w14:textId="22C96426"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Fees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60D2AE0"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HaskoningDHV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232D21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59,092</w:t>
            </w:r>
          </w:p>
        </w:tc>
      </w:tr>
      <w:tr w:rsidR="006D0292" w14:paraId="14654AE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7DCAA43" w14:textId="2313BF6D"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Fees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77CB96F"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HaskoningDHV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6E2C326"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35,768</w:t>
            </w:r>
          </w:p>
        </w:tc>
      </w:tr>
      <w:tr w:rsidR="006D0292" w14:paraId="7BBF8A8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CF6EE9D" w14:textId="47A38639"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Fees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82CB215"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Socotec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5B8C08B" w14:textId="77777777" w:rsidR="006D0292" w:rsidRPr="00877B3C" w:rsidRDefault="006D0292" w:rsidP="004101CC">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35,910</w:t>
            </w:r>
          </w:p>
        </w:tc>
      </w:tr>
      <w:tr w:rsidR="00472DA1" w14:paraId="375C3364"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E9F8B56" w14:textId="1CC84A87" w:rsidR="00472DA1" w:rsidRPr="00877B3C" w:rsidRDefault="00472DA1" w:rsidP="00472DA1">
            <w:pPr>
              <w:spacing w:before="120" w:after="120" w:line="240" w:lineRule="auto"/>
              <w:jc w:val="center"/>
              <w:rPr>
                <w:rFonts w:asciiTheme="majorHAnsi" w:eastAsia="Arial" w:hAnsiTheme="majorHAnsi" w:cstheme="majorHAnsi"/>
                <w:color w:val="012B31"/>
              </w:rPr>
            </w:pPr>
            <w:r>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9B138A3" w14:textId="4ADFE413" w:rsidR="00472DA1" w:rsidRPr="00877B3C" w:rsidRDefault="00472DA1" w:rsidP="00472DA1">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Adaptovate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ED6893F" w14:textId="0A3D8E3D" w:rsidR="00472DA1" w:rsidRPr="00877B3C" w:rsidRDefault="00472DA1" w:rsidP="00472DA1">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43,200</w:t>
            </w:r>
          </w:p>
        </w:tc>
      </w:tr>
      <w:tr w:rsidR="00472DA1" w14:paraId="734C6AA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369F884" w14:textId="76866BC2" w:rsidR="00472DA1" w:rsidRPr="00877B3C" w:rsidRDefault="00472DA1" w:rsidP="00472DA1">
            <w:pPr>
              <w:spacing w:before="120" w:after="120" w:line="240" w:lineRule="auto"/>
              <w:jc w:val="center"/>
              <w:rPr>
                <w:rFonts w:asciiTheme="majorHAnsi" w:eastAsia="Arial" w:hAnsiTheme="majorHAnsi" w:cstheme="majorHAnsi"/>
                <w:color w:val="012B31"/>
              </w:rPr>
            </w:pPr>
            <w:r>
              <w:rPr>
                <w:rFonts w:asciiTheme="majorHAnsi" w:eastAsia="Arial" w:hAnsiTheme="majorHAnsi" w:cstheme="majorHAnsi"/>
                <w:color w:val="012B31"/>
              </w:rPr>
              <w:t>Professional Services</w:t>
            </w:r>
            <w:r w:rsidRPr="00877B3C">
              <w:rPr>
                <w:rFonts w:asciiTheme="majorHAnsi" w:eastAsia="Arial" w:hAnsiTheme="majorHAnsi" w:cstheme="majorHAnsi"/>
                <w:color w:val="012B31"/>
              </w:rPr>
              <w:t xml:space="preserve"> </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36F91C7" w14:textId="1DE0FB1F" w:rsidR="00472DA1" w:rsidRPr="00877B3C" w:rsidRDefault="00472DA1" w:rsidP="00472DA1">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Adaptovate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A38777A" w14:textId="5B0EA1A9" w:rsidR="00472DA1" w:rsidRPr="00877B3C" w:rsidRDefault="00472DA1" w:rsidP="00472DA1">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99,120</w:t>
            </w:r>
          </w:p>
        </w:tc>
      </w:tr>
      <w:tr w:rsidR="00472DA1" w14:paraId="4522DF2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C3B0798" w14:textId="5B5CC295" w:rsidR="00472DA1" w:rsidRPr="00877B3C" w:rsidRDefault="00472DA1" w:rsidP="00472DA1">
            <w:pPr>
              <w:spacing w:before="120" w:after="120" w:line="240" w:lineRule="auto"/>
              <w:jc w:val="center"/>
              <w:rPr>
                <w:rFonts w:asciiTheme="majorHAnsi" w:eastAsia="Arial" w:hAnsiTheme="majorHAnsi" w:cstheme="majorHAnsi"/>
                <w:color w:val="012B31"/>
              </w:rPr>
            </w:pPr>
            <w:r>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F9F3CD8" w14:textId="10A1C771" w:rsidR="00472DA1" w:rsidRPr="00877B3C" w:rsidRDefault="00472DA1" w:rsidP="00472DA1">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BDO LLP</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AEDF026" w14:textId="296CF073" w:rsidR="00472DA1" w:rsidRPr="00877B3C" w:rsidRDefault="00472DA1" w:rsidP="00472DA1">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56,280</w:t>
            </w:r>
          </w:p>
        </w:tc>
      </w:tr>
      <w:tr w:rsidR="00472DA1" w14:paraId="2088F79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8FF8CA6" w14:textId="535140AC" w:rsidR="00472DA1" w:rsidRPr="00877B3C" w:rsidRDefault="00472DA1" w:rsidP="00472DA1">
            <w:pPr>
              <w:spacing w:before="120" w:after="120" w:line="240" w:lineRule="auto"/>
              <w:jc w:val="center"/>
              <w:rPr>
                <w:rFonts w:asciiTheme="majorHAnsi" w:eastAsia="Arial" w:hAnsiTheme="majorHAnsi" w:cstheme="majorHAnsi"/>
                <w:color w:val="012B31"/>
              </w:rPr>
            </w:pPr>
            <w:r>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EC3A368" w14:textId="6F2AD89A" w:rsidR="00472DA1" w:rsidRPr="00877B3C" w:rsidRDefault="00472DA1" w:rsidP="00472DA1">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BDO LLP</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260A43A" w14:textId="59C48F25" w:rsidR="00472DA1" w:rsidRPr="00877B3C" w:rsidRDefault="00472DA1" w:rsidP="00472DA1">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27,299</w:t>
            </w:r>
          </w:p>
        </w:tc>
      </w:tr>
      <w:tr w:rsidR="00472DA1" w14:paraId="4B8E034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E317A49" w14:textId="75FC1034" w:rsidR="00472DA1" w:rsidRPr="00877B3C" w:rsidRDefault="00472DA1" w:rsidP="00472DA1">
            <w:pPr>
              <w:spacing w:before="120" w:after="120" w:line="240" w:lineRule="auto"/>
              <w:jc w:val="center"/>
              <w:rPr>
                <w:rFonts w:asciiTheme="majorHAnsi" w:hAnsiTheme="majorHAnsi" w:cstheme="majorHAnsi"/>
              </w:rPr>
            </w:pPr>
            <w:r>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B2D3370" w14:textId="325BFAC3" w:rsidR="00472DA1" w:rsidRPr="00877B3C" w:rsidRDefault="00472DA1" w:rsidP="00472DA1">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Chatter Communications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01B1F57" w14:textId="2B8C4AEF" w:rsidR="00472DA1" w:rsidRPr="00877B3C" w:rsidRDefault="00472DA1" w:rsidP="00472DA1">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55,080</w:t>
            </w:r>
          </w:p>
        </w:tc>
      </w:tr>
      <w:tr w:rsidR="00247277" w14:paraId="7EF83CF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E81F053" w14:textId="6A2473C1" w:rsidR="00247277" w:rsidRPr="00877B3C" w:rsidRDefault="00247277" w:rsidP="00247277">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9ED8947" w14:textId="1379AB27" w:rsidR="00247277" w:rsidRPr="00877B3C" w:rsidRDefault="00247277" w:rsidP="00247277">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Computacenter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8B83C90" w14:textId="15CB9753" w:rsidR="00247277" w:rsidRPr="00877B3C" w:rsidRDefault="00247277" w:rsidP="00247277">
            <w:pPr>
              <w:spacing w:before="120" w:after="120" w:line="240" w:lineRule="auto"/>
              <w:jc w:val="center"/>
              <w:rPr>
                <w:rFonts w:asciiTheme="majorHAnsi" w:eastAsia="Arial" w:hAnsiTheme="majorHAnsi" w:cstheme="majorHAnsi"/>
                <w:color w:val="012B31"/>
              </w:rPr>
            </w:pPr>
            <w:r>
              <w:rPr>
                <w:rFonts w:asciiTheme="majorHAnsi" w:eastAsia="Arial" w:hAnsiTheme="majorHAnsi" w:cstheme="majorHAnsi"/>
                <w:color w:val="012B31"/>
              </w:rPr>
              <w:t>373,664</w:t>
            </w:r>
          </w:p>
        </w:tc>
      </w:tr>
      <w:tr w:rsidR="00247277" w14:paraId="136EFFC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22191BE"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CE0E7A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Computacenter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B241CB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392,348</w:t>
            </w:r>
          </w:p>
        </w:tc>
      </w:tr>
      <w:tr w:rsidR="00247277" w14:paraId="72F2FA4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457914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E6DCAD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50B060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41,323</w:t>
            </w:r>
          </w:p>
        </w:tc>
      </w:tr>
      <w:tr w:rsidR="00247277" w14:paraId="0D264FF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E79724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421F60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5E7EAC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53,772</w:t>
            </w:r>
          </w:p>
        </w:tc>
      </w:tr>
      <w:tr w:rsidR="00247277" w14:paraId="6676A7A0"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1D5E29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5626F0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C49636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74,999</w:t>
            </w:r>
          </w:p>
        </w:tc>
      </w:tr>
      <w:tr w:rsidR="00247277" w14:paraId="5DF89FE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1099D1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8DC276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0E0DFD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72,641</w:t>
            </w:r>
          </w:p>
        </w:tc>
      </w:tr>
      <w:tr w:rsidR="00247277" w14:paraId="77035BC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61C89B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FDAF41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DD1DC7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71,490</w:t>
            </w:r>
          </w:p>
        </w:tc>
      </w:tr>
      <w:tr w:rsidR="00247277" w14:paraId="6CE24E0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6E3E0A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F2DD23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BE64B4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74,133</w:t>
            </w:r>
          </w:p>
        </w:tc>
      </w:tr>
      <w:tr w:rsidR="00247277" w14:paraId="79C8941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0D8A36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201BB9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786CF3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40,978</w:t>
            </w:r>
          </w:p>
        </w:tc>
      </w:tr>
      <w:tr w:rsidR="00247277" w14:paraId="68AAA90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EE66D7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lastRenderedPageBreak/>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902DED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E2B280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45,779</w:t>
            </w:r>
          </w:p>
        </w:tc>
      </w:tr>
      <w:tr w:rsidR="00247277" w14:paraId="080DC8A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6230BE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98D0DD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357BD8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32,784</w:t>
            </w:r>
          </w:p>
        </w:tc>
      </w:tr>
      <w:tr w:rsidR="00247277" w14:paraId="483A5BE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3D7203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EFB68E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DF4ED2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48,497</w:t>
            </w:r>
          </w:p>
        </w:tc>
      </w:tr>
      <w:tr w:rsidR="00247277" w14:paraId="6B82501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1E3FD31" w14:textId="67611970"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274FF9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Health &amp; Safety Executive</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D7E25E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31,000</w:t>
            </w:r>
          </w:p>
        </w:tc>
      </w:tr>
      <w:tr w:rsidR="00247277" w14:paraId="0A4DF65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1483FFB" w14:textId="1319CAA3"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Professional Services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BCB32C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Union Advertising Agency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D672D9E"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38,154</w:t>
            </w:r>
          </w:p>
        </w:tc>
      </w:tr>
      <w:tr w:rsidR="00247277" w14:paraId="6099196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BF04FAE" w14:textId="77777777" w:rsidR="00247277" w:rsidRPr="00877B3C" w:rsidRDefault="00247277" w:rsidP="00247277">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Property Maintenance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D2DAB8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David Hardie Engineering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C19B09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46,787</w:t>
            </w:r>
          </w:p>
        </w:tc>
      </w:tr>
      <w:tr w:rsidR="00247277" w14:paraId="101DC864"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C7152BF" w14:textId="77777777" w:rsidR="00247277" w:rsidRPr="00877B3C" w:rsidRDefault="00247277" w:rsidP="00247277">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Property Maintenance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28055A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McLaren Plant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062FA0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63,632</w:t>
            </w:r>
          </w:p>
        </w:tc>
      </w:tr>
      <w:tr w:rsidR="00247277" w14:paraId="2471A1E4"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19D5781" w14:textId="77777777" w:rsidR="00247277" w:rsidRPr="00877B3C" w:rsidRDefault="00247277" w:rsidP="00247277">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Property Maintenance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C32CC0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Mitie Technical Facilities Management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3C9EC0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55,749</w:t>
            </w:r>
          </w:p>
        </w:tc>
      </w:tr>
      <w:tr w:rsidR="00247277" w14:paraId="2C9F672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65C6259" w14:textId="77777777" w:rsidR="00247277" w:rsidRPr="00877B3C" w:rsidRDefault="00247277" w:rsidP="00247277">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Property Maintenance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135C4D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Mitie Technical Facilities Management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6CDB4D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26,194</w:t>
            </w:r>
          </w:p>
        </w:tc>
      </w:tr>
      <w:tr w:rsidR="00247277" w14:paraId="04723BA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A46500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PRW Monitoring Recharge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67A556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Environment Agency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E2BE16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291,207</w:t>
            </w:r>
          </w:p>
        </w:tc>
      </w:tr>
      <w:tr w:rsidR="00247277" w14:paraId="201E22D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D67415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Rates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D42B85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Aberdeen City Council (Business Rates)</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3A6C69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234,221</w:t>
            </w:r>
          </w:p>
        </w:tc>
      </w:tr>
      <w:tr w:rsidR="00247277" w14:paraId="1D60269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F2A851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Rates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D40A30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Highland Council (Rates)</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3BB8EC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44,690</w:t>
            </w:r>
          </w:p>
        </w:tc>
      </w:tr>
      <w:tr w:rsidR="00247277" w14:paraId="4A278E2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CB5CD6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Rates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595614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North Lanarkshire Council - Rates</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EC296F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278,382</w:t>
            </w:r>
          </w:p>
        </w:tc>
      </w:tr>
      <w:tr w:rsidR="00247277" w14:paraId="76AF58D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A86308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Rates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8FFD51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Stirling Council / No 7 Rates A/C.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99F132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153,725</w:t>
            </w:r>
          </w:p>
        </w:tc>
      </w:tr>
      <w:tr w:rsidR="00247277" w14:paraId="3AA58BB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FEF685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Rent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E8211B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Knight Frank LLP</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EED8F7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95,038</w:t>
            </w:r>
          </w:p>
        </w:tc>
      </w:tr>
      <w:tr w:rsidR="00247277" w14:paraId="69CB094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BEEC4B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Rent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1FED39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Knight Frank LLP</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808199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95,038</w:t>
            </w:r>
          </w:p>
        </w:tc>
      </w:tr>
      <w:tr w:rsidR="00247277" w14:paraId="0A12454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D30BF9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Rent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232DDE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Knight Frank LLP</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47866F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95,038</w:t>
            </w:r>
          </w:p>
        </w:tc>
      </w:tr>
      <w:tr w:rsidR="00247277" w14:paraId="6DA94EE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9F990A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Rent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630711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Knight Frank LLP</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B70B3A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107,527</w:t>
            </w:r>
          </w:p>
        </w:tc>
      </w:tr>
      <w:tr w:rsidR="00247277" w14:paraId="15346AD4"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345056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Rent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9EE1D3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Shelborn Asset Management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EE368B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207,075</w:t>
            </w:r>
          </w:p>
        </w:tc>
      </w:tr>
      <w:tr w:rsidR="00247277" w14:paraId="6DBC4E7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6F30BA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Rent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512C7D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Shelborn Asset Management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C88F8C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207,075</w:t>
            </w:r>
          </w:p>
        </w:tc>
      </w:tr>
      <w:tr w:rsidR="00247277" w14:paraId="49342B0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C1C291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lastRenderedPageBreak/>
              <w:t>Rent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F603D3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Shelborn Asset Management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A19C1FE"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207,075</w:t>
            </w:r>
          </w:p>
        </w:tc>
      </w:tr>
      <w:tr w:rsidR="00247277" w14:paraId="6A5C225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162976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Rent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E576D0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Shelborn Asset Management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AFDEC3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207,075</w:t>
            </w:r>
          </w:p>
        </w:tc>
      </w:tr>
      <w:tr w:rsidR="00247277" w14:paraId="1D3A45B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B9E696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Rent</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73F642C" w14:textId="5F7F86BC"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City of Edinburgh Council</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5F2C34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89,400</w:t>
            </w:r>
          </w:p>
        </w:tc>
      </w:tr>
      <w:tr w:rsidR="00247277" w14:paraId="63392A9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F91964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Repairs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F3E49D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CBRE Managed Services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3A31A6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175,902</w:t>
            </w:r>
          </w:p>
        </w:tc>
      </w:tr>
      <w:tr w:rsidR="00247277" w14:paraId="27DEE3E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3242479" w14:textId="77777777" w:rsidR="00247277" w:rsidRPr="00877B3C" w:rsidRDefault="00247277" w:rsidP="00247277">
            <w:pPr>
              <w:spacing w:before="120" w:after="120" w:line="240" w:lineRule="auto"/>
              <w:jc w:val="center"/>
              <w:rPr>
                <w:rFonts w:asciiTheme="majorHAnsi" w:eastAsia="Arial" w:hAnsiTheme="majorHAnsi" w:cstheme="majorHAnsi"/>
                <w:color w:val="012B31"/>
              </w:rPr>
            </w:pPr>
            <w:r w:rsidRPr="00877B3C">
              <w:rPr>
                <w:rFonts w:asciiTheme="majorHAnsi" w:eastAsia="Arial" w:hAnsiTheme="majorHAnsi" w:cstheme="majorHAnsi"/>
                <w:color w:val="012B31"/>
              </w:rPr>
              <w:t>RS Monitoring Non-Recoverable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C97F73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University of Stirling</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CF4013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38,635</w:t>
            </w:r>
          </w:p>
        </w:tc>
      </w:tr>
      <w:tr w:rsidR="00247277" w14:paraId="35E8208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CDA281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RSA Monitoring Recoverable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840573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Food Standards Agency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75EAB8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39,522</w:t>
            </w:r>
          </w:p>
        </w:tc>
      </w:tr>
      <w:tr w:rsidR="00247277" w14:paraId="09565F7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533DE5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RSA Monitoring Recoverable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1E6660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UK Health Security Agency - CRCE (Glasgow)</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EE52F5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104,477</w:t>
            </w:r>
          </w:p>
        </w:tc>
      </w:tr>
      <w:tr w:rsidR="00247277" w14:paraId="59C5DB1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19A4FC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RSA Monitoring Recoverable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7F3211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UK Health Security Agency - CRCE (Glasgow)</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549581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104,477</w:t>
            </w:r>
          </w:p>
        </w:tc>
      </w:tr>
      <w:tr w:rsidR="00247277" w14:paraId="3D6F72A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6733F6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RSA Monitoring Recoverable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E5311E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UK Health Security Agency - CRCE (Glasgow)</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3E398F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96,471</w:t>
            </w:r>
          </w:p>
        </w:tc>
      </w:tr>
      <w:tr w:rsidR="00247277" w14:paraId="42E1949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78F2CD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RSA Monitoring Recoverable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AB9083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UK Health Security Agency - CRCE (Glasgow)</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77C9EB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109,701</w:t>
            </w:r>
          </w:p>
        </w:tc>
      </w:tr>
      <w:tr w:rsidR="00247277" w14:paraId="34FC4BA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30D607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RSA Monitoring Recoverable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33A43E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University of Stirling</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D4C58E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37,583</w:t>
            </w:r>
          </w:p>
        </w:tc>
      </w:tr>
      <w:tr w:rsidR="00247277" w14:paraId="12D6C616"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DEFDB9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RSA Monitoring Recoverable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5C78B4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University of Stirling</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3377D8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33,333</w:t>
            </w:r>
          </w:p>
        </w:tc>
      </w:tr>
      <w:tr w:rsidR="00247277" w14:paraId="0FF85610"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479F60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RSA Monitoring Recoverable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5DF978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University of Stirling</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DC4BFA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37,636</w:t>
            </w:r>
          </w:p>
        </w:tc>
      </w:tr>
      <w:tr w:rsidR="00247277" w14:paraId="4933B17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50A5DB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Service Charge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9BAB86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Knight Frank LLP</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B424A9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25,799</w:t>
            </w:r>
          </w:p>
        </w:tc>
      </w:tr>
      <w:tr w:rsidR="00247277" w14:paraId="6AFD43D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F2CB1D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0AF967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British Telecommunications Plc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B2C3BC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90,000</w:t>
            </w:r>
          </w:p>
        </w:tc>
      </w:tr>
      <w:tr w:rsidR="00247277" w14:paraId="6DC12AA0"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1214CB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589548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British Telecommunications Plc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07BF05E"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252,800</w:t>
            </w:r>
          </w:p>
        </w:tc>
      </w:tr>
      <w:tr w:rsidR="00247277" w14:paraId="5235ADA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68D2C3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0E62FF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British Telecommunications Plc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9CC005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72,000</w:t>
            </w:r>
          </w:p>
        </w:tc>
      </w:tr>
      <w:tr w:rsidR="00247277" w14:paraId="2CFCB1B4"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0537AF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DA04DE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CDSM Interactive Solutions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9D8CB5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35,994</w:t>
            </w:r>
          </w:p>
        </w:tc>
      </w:tr>
      <w:tr w:rsidR="00247277" w14:paraId="6E52BF2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53A009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lastRenderedPageBreak/>
              <w:t>Software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D363FAE"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eCom Learning Solutions TA eCom Scotland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535DC5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28,692</w:t>
            </w:r>
          </w:p>
        </w:tc>
      </w:tr>
      <w:tr w:rsidR="00247277" w14:paraId="2A994376"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77D562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E5ED52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BlueLight Commercial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7253CC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43,758</w:t>
            </w:r>
          </w:p>
        </w:tc>
      </w:tr>
      <w:tr w:rsidR="00247277" w14:paraId="3885A40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4BDBCF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E06307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Deltares</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E7CE5B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67,345</w:t>
            </w:r>
          </w:p>
        </w:tc>
      </w:tr>
      <w:tr w:rsidR="00247277" w14:paraId="30A8B5A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9F3694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A19B6F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Insight Direct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78DA96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59,467</w:t>
            </w:r>
          </w:p>
        </w:tc>
      </w:tr>
      <w:tr w:rsidR="00247277" w14:paraId="619A6A1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34E7ED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5650BE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Insight Direct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08536F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61,518</w:t>
            </w:r>
          </w:p>
        </w:tc>
      </w:tr>
      <w:tr w:rsidR="00247277" w14:paraId="5A06E9E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BE59FD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331FBF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Jacobs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F9CB63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33,096</w:t>
            </w:r>
          </w:p>
        </w:tc>
      </w:tr>
      <w:tr w:rsidR="00247277" w14:paraId="1FAA845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648ADF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D46D58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Kisters AG</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179FB4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63,866</w:t>
            </w:r>
          </w:p>
        </w:tc>
      </w:tr>
      <w:tr w:rsidR="00247277" w14:paraId="5E657C4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BA4403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73F8D4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Revvity Signals Software Inc.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C1C228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75,230</w:t>
            </w:r>
          </w:p>
        </w:tc>
      </w:tr>
      <w:tr w:rsidR="00247277" w14:paraId="2715BA6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65E2EC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635407E"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UK centre for Ecology and Hydrology (UK CEH)</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3F7DE3E"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30,346</w:t>
            </w:r>
          </w:p>
        </w:tc>
      </w:tr>
      <w:tr w:rsidR="00247277" w14:paraId="7BD6BE06"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79CDF0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823FE2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Unit4 Business Software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7DB1C3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63,778</w:t>
            </w:r>
          </w:p>
        </w:tc>
      </w:tr>
      <w:tr w:rsidR="00247277" w14:paraId="2BD097BD"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844EE0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Business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76C7A8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Unit4 Business Software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7A4795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181,575</w:t>
            </w:r>
          </w:p>
        </w:tc>
      </w:tr>
      <w:tr w:rsidR="00247277" w14:paraId="16636E8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C59F4E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215AB3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Computacenter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4575BA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25,602</w:t>
            </w:r>
          </w:p>
        </w:tc>
      </w:tr>
      <w:tr w:rsidR="00247277" w14:paraId="6F404BC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F951E7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6BEB61E"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Computacenter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D5D4C2E"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27,855</w:t>
            </w:r>
          </w:p>
        </w:tc>
      </w:tr>
      <w:tr w:rsidR="00247277" w14:paraId="7CEDA50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0A85E6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639423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Computacenter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DAD504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34,119</w:t>
            </w:r>
          </w:p>
        </w:tc>
      </w:tr>
      <w:tr w:rsidR="00247277" w14:paraId="6D1A532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3E0294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99B48E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Computacenter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54898C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64,650</w:t>
            </w:r>
          </w:p>
        </w:tc>
      </w:tr>
      <w:tr w:rsidR="00247277" w14:paraId="41A0054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5F5BE5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F94C78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Computacenter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9B78CC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73,006</w:t>
            </w:r>
          </w:p>
        </w:tc>
      </w:tr>
      <w:tr w:rsidR="00247277" w14:paraId="5B6C3E30"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2F873D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080547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ESRI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635723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203,538</w:t>
            </w:r>
          </w:p>
        </w:tc>
      </w:tr>
      <w:tr w:rsidR="00247277" w14:paraId="67B3B5D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29AAD4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lastRenderedPageBreak/>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2F7321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ESRI (UK)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049BBB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203,538</w:t>
            </w:r>
          </w:p>
        </w:tc>
      </w:tr>
      <w:tr w:rsidR="00247277" w14:paraId="4ED9A27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4531EA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3CC56B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Halo</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128A1F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42,084</w:t>
            </w:r>
          </w:p>
        </w:tc>
      </w:tr>
      <w:tr w:rsidR="00247277" w14:paraId="0895F45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E3AC27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F43262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Halo</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E1B4E4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43,347</w:t>
            </w:r>
          </w:p>
        </w:tc>
      </w:tr>
      <w:tr w:rsidR="00247277" w14:paraId="1F951C3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BCBC0E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2B4AEE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Halo</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8A6519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43,347</w:t>
            </w:r>
          </w:p>
        </w:tc>
      </w:tr>
      <w:tr w:rsidR="00247277" w14:paraId="77CBD2AE"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6686EAE"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F6AD6F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HP Inc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0C6703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43,520</w:t>
            </w:r>
          </w:p>
        </w:tc>
      </w:tr>
      <w:tr w:rsidR="00247277" w14:paraId="2DB855B1"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15E623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CEA74F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I-KONIC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9967FF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108,618</w:t>
            </w:r>
          </w:p>
        </w:tc>
      </w:tr>
      <w:tr w:rsidR="00247277" w14:paraId="70C3371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3BC1FC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31CAD4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Insight Direct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E3134C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65,232</w:t>
            </w:r>
          </w:p>
        </w:tc>
      </w:tr>
      <w:tr w:rsidR="00247277" w14:paraId="5DCEC4D2"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C2499F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33345E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Insight Direct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10DE9C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62,943</w:t>
            </w:r>
          </w:p>
        </w:tc>
      </w:tr>
      <w:tr w:rsidR="00247277" w14:paraId="17BC2B30"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0618F5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9C501C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Insight Direct UK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5E11A5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60,876</w:t>
            </w:r>
          </w:p>
        </w:tc>
      </w:tr>
      <w:tr w:rsidR="00247277" w14:paraId="445C72A8"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8D1910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AB5830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Mason Advisory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071447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61,095</w:t>
            </w:r>
          </w:p>
        </w:tc>
      </w:tr>
      <w:tr w:rsidR="00247277" w14:paraId="1CD8BB5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9A7606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529892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Quorum Cyber Security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57ECF0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179,593</w:t>
            </w:r>
          </w:p>
        </w:tc>
      </w:tr>
      <w:tr w:rsidR="00247277" w14:paraId="1588A59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198189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2F3B80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Softcat plc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AE81C0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1,053,637</w:t>
            </w:r>
          </w:p>
        </w:tc>
      </w:tr>
      <w:tr w:rsidR="00247277" w14:paraId="762A0D07"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6468427"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A48994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Softcat plc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E2CC262"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88,539</w:t>
            </w:r>
          </w:p>
        </w:tc>
      </w:tr>
      <w:tr w:rsidR="00247277" w14:paraId="6B9C17F6"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642C72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Software Maintenance - IS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ADF9FC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Softcat plc</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0006E81"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35,610</w:t>
            </w:r>
          </w:p>
        </w:tc>
      </w:tr>
      <w:tr w:rsidR="00247277" w14:paraId="3743ACE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E50350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Subcontracted Work</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60FF0C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Hennessy IT Consulting Limited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C9550A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31,608</w:t>
            </w:r>
          </w:p>
        </w:tc>
      </w:tr>
      <w:tr w:rsidR="00247277" w14:paraId="3E657033"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A4DB1A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Subcontracted Work</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1A4237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JBA Consulting</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0F0512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53,983</w:t>
            </w:r>
          </w:p>
        </w:tc>
      </w:tr>
      <w:tr w:rsidR="00247277" w14:paraId="51A2B58A"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48E2F1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Subscriptions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DB25C8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Haymarket Media Group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E947D9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25,997</w:t>
            </w:r>
          </w:p>
        </w:tc>
      </w:tr>
      <w:tr w:rsidR="00247277" w14:paraId="5F72E5E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6A1B451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Sundries/Miscellaneous</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335D0D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JBA Consulting</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29A2B10"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25,588</w:t>
            </w:r>
          </w:p>
        </w:tc>
      </w:tr>
      <w:tr w:rsidR="00247277" w14:paraId="1802E0D5"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5EB51CB"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Survey Vessel Hire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FADC86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8ED708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34,486</w:t>
            </w:r>
          </w:p>
        </w:tc>
      </w:tr>
      <w:tr w:rsidR="00247277" w14:paraId="3D67C5D7"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178138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Survey Vessel Hire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692458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4827FA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41,582</w:t>
            </w:r>
          </w:p>
        </w:tc>
      </w:tr>
      <w:tr w:rsidR="00247277" w14:paraId="2DD4193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11DAE55"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Survey Vessel Hire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7AB5DBE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DC3064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46,557</w:t>
            </w:r>
          </w:p>
        </w:tc>
      </w:tr>
      <w:tr w:rsidR="00247277" w14:paraId="7996BCE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CD8743A"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Survey Vessel Hire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6EFAAB6"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The Scottish Government</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374F98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26,156</w:t>
            </w:r>
          </w:p>
        </w:tc>
      </w:tr>
      <w:tr w:rsidR="00247277" w14:paraId="05DB645B"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6DB22CC"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lastRenderedPageBreak/>
              <w:t>Telephone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FD2BD42" w14:textId="3A60CAFD"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Environment Agency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2B35BF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43,301</w:t>
            </w:r>
          </w:p>
        </w:tc>
      </w:tr>
      <w:tr w:rsidR="00247277" w14:paraId="5E15BB0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4CA599D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Telephone</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80B1849" w14:textId="2E582CF2"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Environment Agency</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2CAF59D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46,384</w:t>
            </w:r>
          </w:p>
        </w:tc>
      </w:tr>
      <w:tr w:rsidR="00247277" w14:paraId="15FFE6CC"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2B60C43"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Training</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D0129B4"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Hydro International Data, Insight and Analysis Ltd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50A99D2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26,962</w:t>
            </w:r>
          </w:p>
        </w:tc>
      </w:tr>
      <w:tr w:rsidR="00247277" w14:paraId="3B8EC4AF"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1545E7F8"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Unfunded Pension Provision</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35E0CFFD"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Strathclyde Pension Fund</w:t>
            </w: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tcMar>
              <w:top w:w="15" w:type="dxa"/>
              <w:left w:w="108" w:type="dxa"/>
              <w:bottom w:w="15" w:type="dxa"/>
              <w:right w:w="108" w:type="dxa"/>
            </w:tcMar>
            <w:vAlign w:val="center"/>
          </w:tcPr>
          <w:p w14:paraId="0C97EDE9"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color w:val="012B31"/>
              </w:rPr>
              <w:t>28,097</w:t>
            </w:r>
          </w:p>
        </w:tc>
      </w:tr>
      <w:tr w:rsidR="00247277" w14:paraId="36A34D89" w14:textId="77777777" w:rsidTr="00812EC7">
        <w:trPr>
          <w:trHeight w:val="300"/>
        </w:trPr>
        <w:tc>
          <w:tcPr>
            <w:tcW w:w="3540" w:type="dxa"/>
            <w:tcBorders>
              <w:top w:val="single" w:sz="4" w:space="0" w:color="3C4741" w:themeColor="text1"/>
              <w:left w:val="single" w:sz="4" w:space="0" w:color="3C4741" w:themeColor="text1"/>
              <w:bottom w:val="single" w:sz="4" w:space="0" w:color="3C4741" w:themeColor="text1"/>
              <w:right w:val="single" w:sz="4" w:space="0" w:color="3C4741" w:themeColor="text1"/>
            </w:tcBorders>
            <w:shd w:val="clear" w:color="auto" w:fill="116574"/>
            <w:tcMar>
              <w:top w:w="15" w:type="dxa"/>
              <w:left w:w="108" w:type="dxa"/>
              <w:bottom w:w="15" w:type="dxa"/>
              <w:right w:w="108" w:type="dxa"/>
            </w:tcMar>
            <w:vAlign w:val="center"/>
          </w:tcPr>
          <w:p w14:paraId="6F1C3A86" w14:textId="0EC02A25"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b/>
                <w:bCs/>
                <w:color w:val="FFFFFF" w:themeColor="background1"/>
              </w:rPr>
              <w:t>Total</w:t>
            </w:r>
          </w:p>
        </w:tc>
        <w:tc>
          <w:tcPr>
            <w:tcW w:w="3992" w:type="dxa"/>
            <w:tcBorders>
              <w:top w:val="single" w:sz="4" w:space="0" w:color="3C4741" w:themeColor="text1"/>
              <w:left w:val="single" w:sz="4" w:space="0" w:color="3C4741" w:themeColor="text1"/>
              <w:bottom w:val="single" w:sz="4" w:space="0" w:color="3C4741" w:themeColor="text1"/>
              <w:right w:val="single" w:sz="4" w:space="0" w:color="3C4741" w:themeColor="text1"/>
            </w:tcBorders>
            <w:shd w:val="clear" w:color="auto" w:fill="116574"/>
            <w:tcMar>
              <w:top w:w="15" w:type="dxa"/>
              <w:left w:w="108" w:type="dxa"/>
              <w:bottom w:w="15" w:type="dxa"/>
              <w:right w:w="108" w:type="dxa"/>
            </w:tcMar>
            <w:vAlign w:val="center"/>
          </w:tcPr>
          <w:p w14:paraId="28FE156D" w14:textId="005E58B1" w:rsidR="00247277" w:rsidRPr="00877B3C" w:rsidRDefault="00247277" w:rsidP="00247277">
            <w:pPr>
              <w:spacing w:before="120" w:after="120" w:line="240" w:lineRule="auto"/>
              <w:jc w:val="center"/>
              <w:rPr>
                <w:rFonts w:asciiTheme="majorHAnsi" w:hAnsiTheme="majorHAnsi" w:cstheme="majorHAnsi"/>
              </w:rPr>
            </w:pPr>
          </w:p>
        </w:tc>
        <w:tc>
          <w:tcPr>
            <w:tcW w:w="2669" w:type="dxa"/>
            <w:tcBorders>
              <w:top w:val="single" w:sz="4" w:space="0" w:color="3C4741" w:themeColor="text1"/>
              <w:left w:val="single" w:sz="4" w:space="0" w:color="3C4741" w:themeColor="text1"/>
              <w:bottom w:val="single" w:sz="4" w:space="0" w:color="3C4741" w:themeColor="text1"/>
              <w:right w:val="single" w:sz="4" w:space="0" w:color="3C4741" w:themeColor="text1"/>
            </w:tcBorders>
            <w:shd w:val="clear" w:color="auto" w:fill="116574"/>
            <w:tcMar>
              <w:top w:w="15" w:type="dxa"/>
              <w:left w:w="108" w:type="dxa"/>
              <w:bottom w:w="15" w:type="dxa"/>
              <w:right w:w="108" w:type="dxa"/>
            </w:tcMar>
            <w:vAlign w:val="center"/>
          </w:tcPr>
          <w:p w14:paraId="3688BC0F" w14:textId="77777777" w:rsidR="00247277" w:rsidRPr="00877B3C" w:rsidRDefault="00247277" w:rsidP="00247277">
            <w:pPr>
              <w:spacing w:before="120" w:after="120" w:line="240" w:lineRule="auto"/>
              <w:jc w:val="center"/>
              <w:rPr>
                <w:rFonts w:asciiTheme="majorHAnsi" w:hAnsiTheme="majorHAnsi" w:cstheme="majorHAnsi"/>
              </w:rPr>
            </w:pPr>
            <w:r w:rsidRPr="00877B3C">
              <w:rPr>
                <w:rFonts w:asciiTheme="majorHAnsi" w:eastAsia="Arial" w:hAnsiTheme="majorHAnsi" w:cstheme="majorHAnsi"/>
                <w:b/>
                <w:bCs/>
                <w:color w:val="FFFFFF" w:themeColor="background1"/>
              </w:rPr>
              <w:t>20,720,254</w:t>
            </w:r>
          </w:p>
        </w:tc>
      </w:tr>
    </w:tbl>
    <w:p w14:paraId="028B340D" w14:textId="77777777" w:rsidR="004C6376" w:rsidRDefault="004C6376" w:rsidP="00496E43">
      <w:pPr>
        <w:pStyle w:val="BodyText1"/>
        <w:spacing w:after="0"/>
      </w:pPr>
    </w:p>
    <w:p w14:paraId="7E8DA758" w14:textId="52086512" w:rsidR="009C55EC" w:rsidRPr="000C19B2" w:rsidRDefault="009C55EC" w:rsidP="00D53AB5">
      <w:pPr>
        <w:pStyle w:val="Heading2"/>
      </w:pPr>
      <w:bookmarkStart w:id="13" w:name="_Toc221879317"/>
      <w:r w:rsidRPr="000C19B2">
        <w:t xml:space="preserve">Staff paid more than £150,000 </w:t>
      </w:r>
      <w:r w:rsidR="008E3B27">
        <w:t>per annum</w:t>
      </w:r>
      <w:bookmarkEnd w:id="13"/>
    </w:p>
    <w:p w14:paraId="5DE43F37" w14:textId="77777777" w:rsidR="009C55EC" w:rsidRDefault="009C55EC" w:rsidP="009C55EC">
      <w:pPr>
        <w:autoSpaceDE w:val="0"/>
        <w:autoSpaceDN w:val="0"/>
        <w:adjustRightInd w:val="0"/>
        <w:ind w:right="850"/>
        <w:rPr>
          <w:rFonts w:ascii="Arial" w:hAnsi="Arial" w:cs="Arial"/>
          <w:color w:val="3C4741" w:themeColor="text1"/>
        </w:rPr>
      </w:pPr>
      <w:r w:rsidRPr="000C19B2">
        <w:rPr>
          <w:rFonts w:ascii="Arial" w:hAnsi="Arial" w:cs="Arial"/>
          <w:color w:val="3C4741" w:themeColor="text1"/>
        </w:rPr>
        <w:t>None.</w:t>
      </w:r>
    </w:p>
    <w:p w14:paraId="542A113A" w14:textId="77777777" w:rsidR="00D53AB5" w:rsidRPr="000C19B2" w:rsidRDefault="00D53AB5" w:rsidP="009C55EC">
      <w:pPr>
        <w:autoSpaceDE w:val="0"/>
        <w:autoSpaceDN w:val="0"/>
        <w:adjustRightInd w:val="0"/>
        <w:ind w:right="850"/>
        <w:rPr>
          <w:rFonts w:ascii="Arial" w:hAnsi="Arial" w:cs="Arial"/>
          <w:color w:val="000000"/>
        </w:rPr>
      </w:pPr>
    </w:p>
    <w:p w14:paraId="42CE4A03" w14:textId="77777777" w:rsidR="009C55EC" w:rsidRPr="000C19B2" w:rsidRDefault="009C55EC" w:rsidP="00D53AB5">
      <w:pPr>
        <w:pStyle w:val="Heading2"/>
        <w:rPr>
          <w:color w:val="3C4741" w:themeColor="text1"/>
        </w:rPr>
      </w:pPr>
      <w:bookmarkStart w:id="14" w:name="_Toc221879318"/>
      <w:r w:rsidRPr="000C19B2">
        <w:t>Shared services</w:t>
      </w:r>
      <w:bookmarkEnd w:id="14"/>
      <w:r w:rsidRPr="000C19B2">
        <w:t xml:space="preserve"> </w:t>
      </w:r>
    </w:p>
    <w:p w14:paraId="5C970CC6" w14:textId="50FE59A0" w:rsidR="009C55EC" w:rsidRPr="00114C3C" w:rsidRDefault="009C55EC" w:rsidP="00114C3C">
      <w:pPr>
        <w:pStyle w:val="BodyText1"/>
      </w:pPr>
      <w:r w:rsidRPr="00114C3C">
        <w:t xml:space="preserve">In the </w:t>
      </w:r>
      <w:bookmarkStart w:id="15" w:name="_Int_aY8nsQXX"/>
      <w:r w:rsidRPr="00114C3C">
        <w:t>financial year</w:t>
      </w:r>
      <w:bookmarkEnd w:id="15"/>
      <w:r w:rsidRPr="00114C3C">
        <w:t xml:space="preserve"> 2024</w:t>
      </w:r>
      <w:r w:rsidR="003A391D">
        <w:t>/25</w:t>
      </w:r>
      <w:r w:rsidRPr="00114C3C">
        <w:t>, SEPA provided accommodation and reception services at several of our buildings. We received a total contribution of £157,258 from the following organisations:</w:t>
      </w:r>
    </w:p>
    <w:p w14:paraId="747B8C7A" w14:textId="46F80C0B" w:rsidR="009C55EC" w:rsidRPr="00114C3C" w:rsidRDefault="009C55EC" w:rsidP="00496E43">
      <w:pPr>
        <w:pStyle w:val="BodyText1"/>
        <w:numPr>
          <w:ilvl w:val="0"/>
          <w:numId w:val="42"/>
        </w:numPr>
        <w:spacing w:after="180"/>
        <w:ind w:left="714" w:hanging="357"/>
      </w:pPr>
      <w:r w:rsidRPr="00114C3C">
        <w:t>NatureScot</w:t>
      </w:r>
      <w:r w:rsidR="00D07FB1">
        <w:t>,</w:t>
      </w:r>
      <w:r w:rsidRPr="00114C3C">
        <w:t xml:space="preserve"> </w:t>
      </w:r>
      <w:r w:rsidR="00D07FB1">
        <w:t>l</w:t>
      </w:r>
      <w:r w:rsidRPr="00114C3C">
        <w:t>ocations: Aberdeen, Stirling, and Ayr</w:t>
      </w:r>
      <w:r w:rsidR="00D07FB1">
        <w:t>.</w:t>
      </w:r>
    </w:p>
    <w:p w14:paraId="42C912FD" w14:textId="5DAF4493" w:rsidR="009C55EC" w:rsidRPr="00114C3C" w:rsidRDefault="009C55EC" w:rsidP="00496E43">
      <w:pPr>
        <w:pStyle w:val="BodyText1"/>
        <w:numPr>
          <w:ilvl w:val="0"/>
          <w:numId w:val="42"/>
        </w:numPr>
        <w:spacing w:after="180"/>
        <w:ind w:left="714" w:hanging="357"/>
      </w:pPr>
      <w:r w:rsidRPr="00114C3C">
        <w:t xml:space="preserve">Joint Nature Conservation Committee (DEFRA), </w:t>
      </w:r>
      <w:r w:rsidR="00D07FB1">
        <w:t>l</w:t>
      </w:r>
      <w:r w:rsidRPr="00114C3C">
        <w:t>ocation: Aberdeen</w:t>
      </w:r>
      <w:r w:rsidR="00496E43">
        <w:t>.</w:t>
      </w:r>
    </w:p>
    <w:p w14:paraId="57593D8A" w14:textId="37E2F2A8" w:rsidR="009C55EC" w:rsidRPr="00114C3C" w:rsidRDefault="009C55EC" w:rsidP="00114C3C">
      <w:pPr>
        <w:pStyle w:val="BodyText1"/>
      </w:pPr>
      <w:r w:rsidRPr="00114C3C">
        <w:t xml:space="preserve">In the </w:t>
      </w:r>
      <w:bookmarkStart w:id="16" w:name="_Int_WmgF2c7y"/>
      <w:r w:rsidRPr="00114C3C">
        <w:t>financial year</w:t>
      </w:r>
      <w:bookmarkEnd w:id="16"/>
      <w:r w:rsidRPr="00114C3C">
        <w:t xml:space="preserve"> 2024</w:t>
      </w:r>
      <w:r w:rsidR="00D07FB1">
        <w:t>/</w:t>
      </w:r>
      <w:r w:rsidRPr="00114C3C">
        <w:t>25, we contributed a total of £453,312 towards the costs of eight buildings. This included:</w:t>
      </w:r>
    </w:p>
    <w:p w14:paraId="6C447DF4" w14:textId="679D8361" w:rsidR="009C55EC" w:rsidRPr="00E95D7A" w:rsidRDefault="009C55EC" w:rsidP="00496E43">
      <w:pPr>
        <w:pStyle w:val="BodyText1"/>
        <w:numPr>
          <w:ilvl w:val="0"/>
          <w:numId w:val="42"/>
        </w:numPr>
        <w:spacing w:after="180"/>
        <w:ind w:left="714" w:hanging="357"/>
      </w:pPr>
      <w:r w:rsidRPr="00E95D7A">
        <w:t>£218,924 to the Scottish Government for accommodation in Perth and Thurso</w:t>
      </w:r>
      <w:r w:rsidR="00C504EF">
        <w:t>.</w:t>
      </w:r>
    </w:p>
    <w:p w14:paraId="1AA0DC53" w14:textId="20C607CB" w:rsidR="009C55EC" w:rsidRPr="00E95D7A" w:rsidRDefault="009C55EC" w:rsidP="00496E43">
      <w:pPr>
        <w:pStyle w:val="BodyText1"/>
        <w:numPr>
          <w:ilvl w:val="0"/>
          <w:numId w:val="42"/>
        </w:numPr>
        <w:spacing w:after="180"/>
        <w:ind w:left="714" w:hanging="357"/>
      </w:pPr>
      <w:r w:rsidRPr="00E95D7A">
        <w:t>£31,680 to NatureScot for accommodation in Newton Stewart and Dingwall</w:t>
      </w:r>
      <w:r w:rsidR="00C504EF">
        <w:t>.</w:t>
      </w:r>
    </w:p>
    <w:p w14:paraId="2831182C" w14:textId="12B75836" w:rsidR="009C55EC" w:rsidRPr="00E95D7A" w:rsidRDefault="009C55EC" w:rsidP="00496E43">
      <w:pPr>
        <w:pStyle w:val="BodyText1"/>
        <w:numPr>
          <w:ilvl w:val="0"/>
          <w:numId w:val="42"/>
        </w:numPr>
        <w:spacing w:after="180"/>
        <w:ind w:left="714" w:hanging="357"/>
      </w:pPr>
      <w:r w:rsidRPr="00E95D7A">
        <w:t xml:space="preserve">£47,723 to Loch Lomond </w:t>
      </w:r>
      <w:r w:rsidR="00C504EF">
        <w:t>and</w:t>
      </w:r>
      <w:r w:rsidRPr="00E95D7A">
        <w:t xml:space="preserve"> The Trossachs National Park Authority</w:t>
      </w:r>
      <w:r w:rsidR="00C504EF">
        <w:t>.</w:t>
      </w:r>
    </w:p>
    <w:p w14:paraId="7E79166A" w14:textId="1EBFCB30" w:rsidR="009C55EC" w:rsidRPr="00E95D7A" w:rsidRDefault="009C55EC" w:rsidP="00496E43">
      <w:pPr>
        <w:pStyle w:val="BodyText1"/>
        <w:numPr>
          <w:ilvl w:val="0"/>
          <w:numId w:val="42"/>
        </w:numPr>
        <w:spacing w:after="180"/>
        <w:ind w:left="714" w:hanging="357"/>
      </w:pPr>
      <w:r w:rsidRPr="00E95D7A">
        <w:t>£63,323 to the Department for Work and Pensions (DWP) for Shetland</w:t>
      </w:r>
      <w:r w:rsidR="00C504EF">
        <w:t>.</w:t>
      </w:r>
    </w:p>
    <w:p w14:paraId="065DD6D3" w14:textId="3EE2B36C" w:rsidR="009C55EC" w:rsidRPr="00E95D7A" w:rsidRDefault="009C55EC" w:rsidP="00496E43">
      <w:pPr>
        <w:pStyle w:val="BodyText1"/>
        <w:numPr>
          <w:ilvl w:val="0"/>
          <w:numId w:val="42"/>
        </w:numPr>
        <w:spacing w:after="180"/>
        <w:ind w:left="714" w:hanging="357"/>
      </w:pPr>
      <w:r w:rsidRPr="00E95D7A">
        <w:t>£14,000 to the Scottish Children’s Reporter Administration for Lochgilphead</w:t>
      </w:r>
      <w:r w:rsidR="00C504EF">
        <w:t>.</w:t>
      </w:r>
    </w:p>
    <w:p w14:paraId="590708EF" w14:textId="1A0A1EE9" w:rsidR="009C55EC" w:rsidRPr="00E95D7A" w:rsidRDefault="009C55EC" w:rsidP="00496E43">
      <w:pPr>
        <w:pStyle w:val="BodyText1"/>
        <w:numPr>
          <w:ilvl w:val="0"/>
          <w:numId w:val="42"/>
        </w:numPr>
        <w:spacing w:after="180"/>
        <w:ind w:left="714" w:hanging="357"/>
      </w:pPr>
      <w:r w:rsidRPr="00E95D7A">
        <w:t>£88,271 to the City of Edinburgh Council to co-locate at Waverley Court, Edinburgh</w:t>
      </w:r>
      <w:r w:rsidR="00C504EF">
        <w:t>.</w:t>
      </w:r>
    </w:p>
    <w:p w14:paraId="327F40DB" w14:textId="77777777" w:rsidR="009C55EC" w:rsidRPr="00E95D7A" w:rsidRDefault="009C55EC" w:rsidP="00E95D7A">
      <w:pPr>
        <w:pStyle w:val="Heading2"/>
      </w:pPr>
      <w:bookmarkStart w:id="17" w:name="_Toc221879319"/>
      <w:r w:rsidRPr="00E95D7A">
        <w:lastRenderedPageBreak/>
        <w:t>Sustainability</w:t>
      </w:r>
      <w:bookmarkEnd w:id="17"/>
    </w:p>
    <w:p w14:paraId="56E7DD16" w14:textId="77777777" w:rsidR="009C55EC" w:rsidRPr="00021624" w:rsidRDefault="009C55EC" w:rsidP="00021624">
      <w:pPr>
        <w:pStyle w:val="Heading3"/>
      </w:pPr>
      <w:bookmarkStart w:id="18" w:name="_Toc221879320"/>
      <w:r w:rsidRPr="00021624">
        <w:t>Net zero SEPA</w:t>
      </w:r>
      <w:bookmarkEnd w:id="18"/>
      <w:r w:rsidRPr="00021624">
        <w:t xml:space="preserve"> </w:t>
      </w:r>
      <w:r w:rsidRPr="00021624">
        <w:tab/>
      </w:r>
      <w:r w:rsidRPr="00021624">
        <w:tab/>
      </w:r>
      <w:r w:rsidRPr="00021624">
        <w:tab/>
      </w:r>
      <w:r w:rsidRPr="00021624">
        <w:tab/>
      </w:r>
      <w:r w:rsidRPr="00021624">
        <w:tab/>
      </w:r>
    </w:p>
    <w:p w14:paraId="1819726E" w14:textId="1150A0F9" w:rsidR="009C55EC" w:rsidRDefault="009C55EC" w:rsidP="00021624">
      <w:pPr>
        <w:pStyle w:val="BodyText1"/>
      </w:pPr>
      <w:r w:rsidRPr="00021624">
        <w:t xml:space="preserve">Our ambition is to be net zero in our emissions. We have adopted and are implementing </w:t>
      </w:r>
      <w:r w:rsidR="0022221B">
        <w:t xml:space="preserve">a </w:t>
      </w:r>
      <w:hyperlink r:id="rId13" w:history="1">
        <w:r w:rsidR="00833257" w:rsidRPr="0022221B">
          <w:rPr>
            <w:rStyle w:val="Hyperlink"/>
          </w:rPr>
          <w:t>Ro</w:t>
        </w:r>
        <w:r w:rsidR="0022221B" w:rsidRPr="0022221B">
          <w:rPr>
            <w:rStyle w:val="Hyperlink"/>
          </w:rPr>
          <w:t>ute Map</w:t>
        </w:r>
      </w:hyperlink>
      <w:r w:rsidR="0022221B">
        <w:t xml:space="preserve"> </w:t>
      </w:r>
      <w:r w:rsidRPr="00021624">
        <w:t>(covering the period 2024-2026)</w:t>
      </w:r>
      <w:r w:rsidR="00C504EF">
        <w:t>,</w:t>
      </w:r>
      <w:r w:rsidRPr="00021624">
        <w:t xml:space="preserve"> which sets ambitious but realistic targets and will guide our work to further reduce our emissions. It also resets our direct emissions baseline to 2022/23 when they were 1,742 tCO2e and sets a target to reduce them by 15% over the route map lifetime.</w:t>
      </w:r>
    </w:p>
    <w:p w14:paraId="246FFACB" w14:textId="62F383CE" w:rsidR="0004411B" w:rsidRPr="00021624" w:rsidRDefault="0004411B" w:rsidP="0004411B">
      <w:pPr>
        <w:pStyle w:val="Heading4"/>
        <w:rPr>
          <w:rFonts w:asciiTheme="minorHAnsi" w:eastAsiaTheme="minorEastAsia" w:hAnsiTheme="minorHAnsi" w:cstheme="minorBidi"/>
          <w:color w:val="auto"/>
        </w:rPr>
      </w:pPr>
      <w:r>
        <w:t>Our net zero routemap on a page</w:t>
      </w:r>
    </w:p>
    <w:p w14:paraId="234A4473" w14:textId="4DA56D58" w:rsidR="00021624" w:rsidRDefault="007E2FA9" w:rsidP="00967BEB">
      <w:pPr>
        <w:pStyle w:val="BodyText1"/>
      </w:pPr>
      <w:r w:rsidRPr="007E2FA9">
        <w:rPr>
          <w:noProof/>
        </w:rPr>
        <w:drawing>
          <wp:anchor distT="0" distB="0" distL="114300" distR="114300" simplePos="0" relativeHeight="251661315" behindDoc="0" locked="0" layoutInCell="1" allowOverlap="1" wp14:anchorId="5E60AB59" wp14:editId="694AB7B6">
            <wp:simplePos x="0" y="0"/>
            <wp:positionH relativeFrom="column">
              <wp:posOffset>-247015</wp:posOffset>
            </wp:positionH>
            <wp:positionV relativeFrom="paragraph">
              <wp:posOffset>-3810</wp:posOffset>
            </wp:positionV>
            <wp:extent cx="7115175" cy="4465106"/>
            <wp:effectExtent l="0" t="0" r="0" b="0"/>
            <wp:wrapNone/>
            <wp:docPr id="1634746401" name="Picture 1" descr="This chart details SEPA's net zero routemap on a page as follows:&#10;&#10;Our aim is to reduce our greenhouse gas emissions to at least net zero by 2035.&#10;&#10;Our target  during 2024-2026 is to reduce our direct greenhouse gas emissions by 15% by March 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46401" name="Picture 1" descr="This chart details SEPA's net zero routemap on a page as follows:&#10;&#10;Our aim is to reduce our greenhouse gas emissions to at least net zero by 2035.&#10;&#10;Our target  during 2024-2026 is to reduce our direct greenhouse gas emissions by 15% by March 2026.&#10;"/>
                    <pic:cNvPicPr/>
                  </pic:nvPicPr>
                  <pic:blipFill>
                    <a:blip r:embed="rId14">
                      <a:extLst>
                        <a:ext uri="{28A0092B-C50C-407E-A947-70E740481C1C}">
                          <a14:useLocalDpi xmlns:a14="http://schemas.microsoft.com/office/drawing/2010/main" val="0"/>
                        </a:ext>
                      </a:extLst>
                    </a:blip>
                    <a:stretch>
                      <a:fillRect/>
                    </a:stretch>
                  </pic:blipFill>
                  <pic:spPr>
                    <a:xfrm>
                      <a:off x="0" y="0"/>
                      <a:ext cx="7126418" cy="4472162"/>
                    </a:xfrm>
                    <a:prstGeom prst="rect">
                      <a:avLst/>
                    </a:prstGeom>
                  </pic:spPr>
                </pic:pic>
              </a:graphicData>
            </a:graphic>
            <wp14:sizeRelH relativeFrom="margin">
              <wp14:pctWidth>0</wp14:pctWidth>
            </wp14:sizeRelH>
            <wp14:sizeRelV relativeFrom="margin">
              <wp14:pctHeight>0</wp14:pctHeight>
            </wp14:sizeRelV>
          </wp:anchor>
        </w:drawing>
      </w:r>
      <w:r w:rsidR="00021624">
        <w:br w:type="page"/>
      </w:r>
    </w:p>
    <w:p w14:paraId="4D666338" w14:textId="77777777" w:rsidR="00BC65EF" w:rsidRPr="006E0D49" w:rsidRDefault="00BC65EF" w:rsidP="00BC65EF">
      <w:pPr>
        <w:pStyle w:val="Heading2"/>
        <w:rPr>
          <w:rFonts w:eastAsia="Calibri"/>
        </w:rPr>
      </w:pPr>
      <w:bookmarkStart w:id="19" w:name="_Toc221879321"/>
      <w:r>
        <w:rPr>
          <w:rFonts w:eastAsia="Calibri"/>
        </w:rPr>
        <w:lastRenderedPageBreak/>
        <w:t xml:space="preserve">National Performance Framework - </w:t>
      </w:r>
      <w:r w:rsidRPr="1D6CAB11">
        <w:rPr>
          <w:rFonts w:eastAsia="Calibri"/>
        </w:rPr>
        <w:t>Our contribution to Sustainable Development Goals</w:t>
      </w:r>
      <w:bookmarkEnd w:id="19"/>
    </w:p>
    <w:p w14:paraId="544BC8CB" w14:textId="77777777" w:rsidR="00BC65EF" w:rsidRPr="00BC65EF" w:rsidRDefault="00BC65EF" w:rsidP="00BC65EF">
      <w:pPr>
        <w:pStyle w:val="BodyText1"/>
      </w:pPr>
      <w:r w:rsidRPr="00BC65EF">
        <w:t xml:space="preserve">Our work is integrated with environment goals set by Scotland and internationally. The 2030 Agenda for Sustainable Development, adopted by all United Nations member states in 2015, provides a shared blueprint for peace and prosperity for people and the planet, now and into the future. </w:t>
      </w:r>
    </w:p>
    <w:p w14:paraId="439FBE5E" w14:textId="77777777" w:rsidR="00BC65EF" w:rsidRPr="00BC65EF" w:rsidRDefault="00BC65EF" w:rsidP="00BC65EF">
      <w:pPr>
        <w:pStyle w:val="BodyText1"/>
      </w:pPr>
      <w:r w:rsidRPr="00BC65EF">
        <w:t>We are dedicated to contributing to the ambitions of the United Nations 17 sustainable development goals and the National Performance Framework for Scotland.</w:t>
      </w:r>
    </w:p>
    <w:p w14:paraId="3BCECC1A" w14:textId="77777777" w:rsidR="00BC65EF" w:rsidRPr="00BC65EF" w:rsidRDefault="00BC65EF" w:rsidP="00BC65EF">
      <w:pPr>
        <w:pStyle w:val="BodyText1"/>
      </w:pPr>
      <w:r w:rsidRPr="00BC65EF">
        <w:t>The National Performance Framework sets out 11 national outcomes and explains which sustainable development goals each outcome contributes to. The examples on the following page show how our work helps deliver five of the national outcomes and nine sustainable development goals.</w:t>
      </w:r>
    </w:p>
    <w:p w14:paraId="3B25D880" w14:textId="77777777" w:rsidR="009E0F9C" w:rsidRDefault="009E0F9C" w:rsidP="00967BEB">
      <w:pPr>
        <w:pStyle w:val="BodyText1"/>
        <w:sectPr w:rsidR="009E0F9C" w:rsidSect="00917BB1">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pPr>
    </w:p>
    <w:p w14:paraId="31628EAC" w14:textId="565DDE96" w:rsidR="00722764" w:rsidRDefault="00D21F55" w:rsidP="00D21F55">
      <w:pPr>
        <w:pStyle w:val="Heading4"/>
      </w:pPr>
      <w:r>
        <w:rPr>
          <w:noProof/>
        </w:rPr>
        <w:lastRenderedPageBreak/>
        <w:drawing>
          <wp:anchor distT="0" distB="0" distL="114300" distR="114300" simplePos="0" relativeHeight="251662339" behindDoc="0" locked="0" layoutInCell="1" allowOverlap="1" wp14:anchorId="0E7EACC2" wp14:editId="6A311621">
            <wp:simplePos x="0" y="0"/>
            <wp:positionH relativeFrom="margin">
              <wp:align>left</wp:align>
            </wp:positionH>
            <wp:positionV relativeFrom="paragraph">
              <wp:posOffset>254000</wp:posOffset>
            </wp:positionV>
            <wp:extent cx="9698670" cy="4429125"/>
            <wp:effectExtent l="0" t="0" r="0" b="0"/>
            <wp:wrapNone/>
            <wp:docPr id="908095886" name="Picture 4" descr="This table outlines the sustainable development goals (SDGs)  that SEPA works to&#10;&#10;1) We live in communities that are inclusive, empowered, resilient and safe&#10;We do this via SDG 10 - We provide advice to avoid development in areas of flood risk.&#10;We warn people so they can take action when a flood is likely.&#10; &#10;We do this against SDG 11 -  We regulate activities that could pollute water, air or land to keep communities safe. &#10;&#10;We apply the polluter pays principle to ensure that the costs are borne by those that impact our environment most.&#10;&#10;2) We have a globally competitive, entrepreneurial, inclusive and sustainable economy&#10;&#10;We do this against SDG 9 - We adopt Best Available Techniques when regulating industry to protect the environment and people in the best way possible.&#10;&#10;We are working with regulators and industry in Grangemouth to enable competitive strength to grow whilst transitioning to net zero.&#10;&#10;We do this against SDG 12 - We are working with partners to deliver digital tracking of waste. This supports more efficient use of resources.&#10;&#10;We regulate waste management activities to protect communities and encourage recycling. &#10;&#10;3) We are healthy and active&#10;&#10;We do this via SDG 3 - As Scotland’s principal environmental regulator, we regulate activities that could pollute water, air or land.&#10;&#10;We do this via SDG 15 - We administer the Water Environment Fund, to restore rivers. We create new green corridors in urban areas which can be used for active travel and recreation.&#10;&#10;4) We value, enjoy, protect and enhance our environment&#10; &#10;We do this via SDG 13 - We monitor, forecast and report water scarcity, and provide advice to water users to protect the water environment.&#10;&#10;We reduce our own greenhouse gas emissions and aim to become a net zero organisation by 2035.&#10; &#10;We do this via SDG 14 - We monitor and report water quality at Scotland’s 89 bathing waters so people can enjoy them safely. &#10;&#10;We deliver River Basin Management Plans to protect and improve our rivers, lochs, estuaries, coastal areas and groundwater.&#10;&#10;5) We are open, connected and make a positive contribution internationally&#10;&#10;We do this via SDG 17 - We undertake work with international partners so that we can help them build their capacity to protect and improve the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5886" name="Picture 4" descr="This table outlines the sustainable development goals (SDGs)  that SEPA works to&#10;&#10;1) We live in communities that are inclusive, empowered, resilient and safe&#10;We do this via SDG 10 - We provide advice to avoid development in areas of flood risk.&#10;We warn people so they can take action when a flood is likely.&#10; &#10;We do this against SDG 11 -  We regulate activities that could pollute water, air or land to keep communities safe. &#10;&#10;We apply the polluter pays principle to ensure that the costs are borne by those that impact our environment most.&#10;&#10;2) We have a globally competitive, entrepreneurial, inclusive and sustainable economy&#10;&#10;We do this against SDG 9 - We adopt Best Available Techniques when regulating industry to protect the environment and people in the best way possible.&#10;&#10;We are working with regulators and industry in Grangemouth to enable competitive strength to grow whilst transitioning to net zero.&#10;&#10;We do this against SDG 12 - We are working with partners to deliver digital tracking of waste. This supports more efficient use of resources.&#10;&#10;We regulate waste management activities to protect communities and encourage recycling. &#10;&#10;3) We are healthy and active&#10;&#10;We do this via SDG 3 - As Scotland’s principal environmental regulator, we regulate activities that could pollute water, air or land.&#10;&#10;We do this via SDG 15 - We administer the Water Environment Fund, to restore rivers. We create new green corridors in urban areas which can be used for active travel and recreation.&#10;&#10;4) We value, enjoy, protect and enhance our environment&#10; &#10;We do this via SDG 13 - We monitor, forecast and report water scarcity, and provide advice to water users to protect the water environment.&#10;&#10;We reduce our own greenhouse gas emissions and aim to become a net zero organisation by 2035.&#10; &#10;We do this via SDG 14 - We monitor and report water quality at Scotland’s 89 bathing waters so people can enjoy them safely. &#10;&#10;We deliver River Basin Management Plans to protect and improve our rivers, lochs, estuaries, coastal areas and groundwater.&#10;&#10;5) We are open, connected and make a positive contribution internationally&#10;&#10;We do this via SDG 17 - We undertake work with international partners so that we can help them build their capacity to protect and improve the environ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98670" cy="4429125"/>
                    </a:xfrm>
                    <a:prstGeom prst="rect">
                      <a:avLst/>
                    </a:prstGeom>
                    <a:noFill/>
                  </pic:spPr>
                </pic:pic>
              </a:graphicData>
            </a:graphic>
            <wp14:sizeRelH relativeFrom="margin">
              <wp14:pctWidth>0</wp14:pctWidth>
            </wp14:sizeRelH>
            <wp14:sizeRelV relativeFrom="margin">
              <wp14:pctHeight>0</wp14:pctHeight>
            </wp14:sizeRelV>
          </wp:anchor>
        </w:drawing>
      </w:r>
      <w:r>
        <w:t>Sustainable Development Goals and how we live them</w:t>
      </w:r>
    </w:p>
    <w:p w14:paraId="3DBE7298" w14:textId="3D252DE1" w:rsidR="00722764" w:rsidRDefault="00722764" w:rsidP="00967BEB">
      <w:pPr>
        <w:pStyle w:val="BodyText1"/>
      </w:pPr>
    </w:p>
    <w:p w14:paraId="6483C584" w14:textId="21E56244" w:rsidR="00722764" w:rsidRDefault="00722764" w:rsidP="00967BEB">
      <w:pPr>
        <w:pStyle w:val="BodyText1"/>
      </w:pPr>
    </w:p>
    <w:p w14:paraId="7DDADB84" w14:textId="3ACA2C70" w:rsidR="00722764" w:rsidRDefault="00722764" w:rsidP="00967BEB">
      <w:pPr>
        <w:pStyle w:val="BodyText1"/>
      </w:pPr>
    </w:p>
    <w:p w14:paraId="1DCBA44C" w14:textId="72F93A71" w:rsidR="00722764" w:rsidRDefault="00722764" w:rsidP="00967BEB">
      <w:pPr>
        <w:pStyle w:val="BodyText1"/>
      </w:pPr>
    </w:p>
    <w:p w14:paraId="4D0A2394" w14:textId="77777777" w:rsidR="00523A25" w:rsidRDefault="00523A25" w:rsidP="00967BEB">
      <w:pPr>
        <w:pStyle w:val="BodyText1"/>
      </w:pPr>
    </w:p>
    <w:p w14:paraId="41661E74" w14:textId="77777777" w:rsidR="00523A25" w:rsidRDefault="00523A25" w:rsidP="00967BEB">
      <w:pPr>
        <w:pStyle w:val="BodyText1"/>
      </w:pPr>
    </w:p>
    <w:p w14:paraId="0FED5B40" w14:textId="77777777" w:rsidR="00523A25" w:rsidRDefault="00523A25" w:rsidP="00967BEB">
      <w:pPr>
        <w:pStyle w:val="BodyText1"/>
      </w:pPr>
    </w:p>
    <w:p w14:paraId="6278B55F" w14:textId="77777777" w:rsidR="00523A25" w:rsidRDefault="00523A25" w:rsidP="00967BEB">
      <w:pPr>
        <w:pStyle w:val="BodyText1"/>
      </w:pPr>
    </w:p>
    <w:p w14:paraId="75CFA482" w14:textId="77777777" w:rsidR="00523A25" w:rsidRDefault="00523A25" w:rsidP="00967BEB">
      <w:pPr>
        <w:pStyle w:val="BodyText1"/>
      </w:pPr>
    </w:p>
    <w:p w14:paraId="6CAD0A4B" w14:textId="77777777" w:rsidR="00523A25" w:rsidRDefault="00523A25" w:rsidP="00967BEB">
      <w:pPr>
        <w:pStyle w:val="BodyText1"/>
      </w:pPr>
    </w:p>
    <w:p w14:paraId="13B8BEC9" w14:textId="77777777" w:rsidR="00207997" w:rsidRDefault="00207997" w:rsidP="00967BEB">
      <w:pPr>
        <w:pStyle w:val="BodyText1"/>
      </w:pPr>
    </w:p>
    <w:p w14:paraId="0B190C23" w14:textId="77777777" w:rsidR="00741EB3" w:rsidRDefault="00741EB3" w:rsidP="00722764">
      <w:pPr>
        <w:pStyle w:val="Heading2"/>
        <w:rPr>
          <w:rFonts w:eastAsia="Calibri"/>
        </w:rPr>
        <w:sectPr w:rsidR="00741EB3" w:rsidSect="009E0F9C">
          <w:pgSz w:w="16840" w:h="11900" w:orient="landscape"/>
          <w:pgMar w:top="839" w:right="839" w:bottom="839" w:left="839" w:header="794" w:footer="567" w:gutter="0"/>
          <w:pgNumType w:start="0"/>
          <w:cols w:space="708"/>
          <w:titlePg/>
          <w:docGrid w:linePitch="360"/>
        </w:sectPr>
      </w:pPr>
    </w:p>
    <w:p w14:paraId="6EA59EAA" w14:textId="77777777" w:rsidR="00722764" w:rsidRPr="00722764" w:rsidRDefault="00722764" w:rsidP="00722764">
      <w:pPr>
        <w:pStyle w:val="Heading2"/>
        <w:rPr>
          <w:rFonts w:eastAsia="Calibri"/>
        </w:rPr>
      </w:pPr>
      <w:bookmarkStart w:id="20" w:name="_Toc221879322"/>
      <w:r w:rsidRPr="00722764">
        <w:rPr>
          <w:rFonts w:eastAsia="Calibri"/>
        </w:rPr>
        <w:lastRenderedPageBreak/>
        <w:t>Efficiency</w:t>
      </w:r>
      <w:bookmarkEnd w:id="20"/>
    </w:p>
    <w:p w14:paraId="2FA5DC52" w14:textId="77777777" w:rsidR="00580BF4" w:rsidRPr="00580BF4" w:rsidRDefault="00722764" w:rsidP="00580BF4">
      <w:pPr>
        <w:ind w:right="850"/>
        <w:rPr>
          <w:rFonts w:ascii="Arial" w:hAnsi="Arial" w:cs="Arial"/>
          <w:sz w:val="22"/>
          <w:szCs w:val="22"/>
          <w:lang w:val="en"/>
        </w:rPr>
      </w:pPr>
      <w:r w:rsidRPr="37C45CD5">
        <w:rPr>
          <w:rFonts w:ascii="Arial" w:eastAsia="Arial Narrow" w:hAnsi="Arial" w:cs="Arial"/>
          <w:spacing w:val="8"/>
        </w:rPr>
        <w:t xml:space="preserve">The Scottish Government sets efficiency savings targets for public bodies each year. We must identify how to make these savings </w:t>
      </w:r>
      <w:bookmarkStart w:id="21" w:name="_Int_K8rhmrfx"/>
      <w:r w:rsidRPr="37C45CD5">
        <w:rPr>
          <w:rFonts w:ascii="Arial" w:eastAsia="Arial Narrow" w:hAnsi="Arial" w:cs="Arial"/>
          <w:spacing w:val="8"/>
        </w:rPr>
        <w:t>in order to</w:t>
      </w:r>
      <w:bookmarkEnd w:id="21"/>
      <w:r w:rsidRPr="37C45CD5">
        <w:rPr>
          <w:rFonts w:ascii="Arial" w:eastAsia="Arial Narrow" w:hAnsi="Arial" w:cs="Arial"/>
          <w:spacing w:val="8"/>
        </w:rPr>
        <w:t xml:space="preserve"> achieve a balanced budget in future years. This year we met our target of identifying organisational efficiencies of at least 3% of our grant-in-aid funding.</w:t>
      </w:r>
      <w:r w:rsidRPr="37C45CD5">
        <w:rPr>
          <w:rFonts w:ascii="Arial" w:eastAsia="Arial" w:hAnsi="Arial" w:cs="Arial"/>
        </w:rPr>
        <w:t xml:space="preserve"> The 2024</w:t>
      </w:r>
      <w:r w:rsidR="00FD2357">
        <w:rPr>
          <w:rFonts w:ascii="Arial" w:eastAsia="Arial" w:hAnsi="Arial" w:cs="Arial"/>
        </w:rPr>
        <w:t>/</w:t>
      </w:r>
      <w:r w:rsidRPr="37C45CD5">
        <w:rPr>
          <w:rFonts w:ascii="Arial" w:eastAsia="Arial" w:hAnsi="Arial" w:cs="Arial"/>
        </w:rPr>
        <w:t>25 budget was balanced using non-recurring staff vacancy savings. Our annual expenditure was within the resource budget set by Scottish Government.</w:t>
      </w:r>
    </w:p>
    <w:p w14:paraId="71CF4388" w14:textId="0901F662" w:rsidR="009E0F9C" w:rsidRPr="00580BF4" w:rsidRDefault="009E0F9C" w:rsidP="00580BF4">
      <w:pPr>
        <w:ind w:right="850"/>
        <w:rPr>
          <w:rFonts w:ascii="Arial" w:hAnsi="Arial" w:cs="Arial"/>
          <w:sz w:val="22"/>
          <w:szCs w:val="22"/>
          <w:lang w:val="en"/>
        </w:rPr>
      </w:pPr>
    </w:p>
    <w:p w14:paraId="640BF181" w14:textId="6242D49F" w:rsidR="0079792B" w:rsidRPr="0079792B" w:rsidRDefault="0079792B" w:rsidP="003060FA">
      <w:pPr>
        <w:ind w:right="850"/>
        <w:rPr>
          <w:rFonts w:ascii="Arial" w:eastAsia="Arial Narrow" w:hAnsi="Arial" w:cs="Arial"/>
          <w:spacing w:val="8"/>
        </w:rPr>
      </w:pPr>
      <w:r w:rsidRPr="0079792B">
        <w:rPr>
          <w:rFonts w:ascii="Arial" w:eastAsia="Arial Narrow" w:hAnsi="Arial" w:cs="Arial"/>
          <w:spacing w:val="8"/>
        </w:rPr>
        <w:t>We have adopted and aligned with the Scottish Government’s procurement benefits reporting. In 2024</w:t>
      </w:r>
      <w:r w:rsidR="00FD2357">
        <w:rPr>
          <w:rFonts w:ascii="Arial" w:eastAsia="Arial Narrow" w:hAnsi="Arial" w:cs="Arial"/>
          <w:spacing w:val="8"/>
        </w:rPr>
        <w:t>/</w:t>
      </w:r>
      <w:r w:rsidRPr="0079792B">
        <w:rPr>
          <w:rFonts w:ascii="Arial" w:eastAsia="Arial Narrow" w:hAnsi="Arial" w:cs="Arial"/>
          <w:spacing w:val="8"/>
        </w:rPr>
        <w:t>25 the organisational efficiencies achieved as a result of procurement activity equated to 6.6% of our contract spend with £937,351 cash savings and £855,994 non-cash savings realised.</w:t>
      </w:r>
    </w:p>
    <w:p w14:paraId="35EF8369" w14:textId="77777777" w:rsidR="0079792B" w:rsidRPr="0079792B" w:rsidRDefault="0079792B" w:rsidP="0079792B">
      <w:pPr>
        <w:sectPr w:rsidR="0079792B" w:rsidRPr="0079792B" w:rsidSect="00741EB3">
          <w:pgSz w:w="11900" w:h="16840"/>
          <w:pgMar w:top="839" w:right="839" w:bottom="839" w:left="839" w:header="794" w:footer="567" w:gutter="0"/>
          <w:pgNumType w:start="0"/>
          <w:cols w:space="708"/>
          <w:titlePg/>
          <w:docGrid w:linePitch="360"/>
        </w:sectPr>
      </w:pPr>
    </w:p>
    <w:p w14:paraId="08368C09" w14:textId="77777777" w:rsidR="00AD321D" w:rsidRPr="00C9352C" w:rsidRDefault="00AD321D" w:rsidP="00C9352C">
      <w:pPr>
        <w:pStyle w:val="BodyText1"/>
        <w:rPr>
          <w:rFonts w:eastAsia="Times New Roman"/>
          <w:sz w:val="32"/>
          <w:szCs w:val="32"/>
        </w:rPr>
      </w:pPr>
      <w:r w:rsidRPr="00C9352C">
        <w:rPr>
          <w:rFonts w:eastAsia="Times New Roman"/>
          <w:sz w:val="32"/>
          <w:szCs w:val="32"/>
        </w:rPr>
        <w:lastRenderedPageBreak/>
        <w:t>If you would like this document in an accessible format, such as large print, audio recording or braille, please contact SEPA by emailing </w:t>
      </w:r>
      <w:hyperlink r:id="rId22"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2FA6D93D" w14:textId="77777777" w:rsidR="006243FF" w:rsidRPr="00CE7AD0" w:rsidRDefault="006243FF" w:rsidP="00290B1F">
      <w:pPr>
        <w:spacing w:line="240" w:lineRule="auto"/>
        <w:rPr>
          <w:color w:val="016574"/>
          <w:u w:val="single"/>
        </w:rPr>
      </w:pPr>
    </w:p>
    <w:sectPr w:rsidR="006243FF" w:rsidRPr="00CE7AD0" w:rsidSect="00917BB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CDA5" w14:textId="77777777" w:rsidR="0020311D" w:rsidRDefault="0020311D" w:rsidP="00660C79">
      <w:pPr>
        <w:spacing w:line="240" w:lineRule="auto"/>
      </w:pPr>
      <w:r>
        <w:separator/>
      </w:r>
    </w:p>
  </w:endnote>
  <w:endnote w:type="continuationSeparator" w:id="0">
    <w:p w14:paraId="785B30EA" w14:textId="77777777" w:rsidR="0020311D" w:rsidRDefault="0020311D" w:rsidP="00660C79">
      <w:pPr>
        <w:spacing w:line="240" w:lineRule="auto"/>
      </w:pPr>
      <w:r>
        <w:continuationSeparator/>
      </w:r>
    </w:p>
  </w:endnote>
  <w:endnote w:type="continuationNotice" w:id="1">
    <w:p w14:paraId="3CE3AB5A" w14:textId="77777777" w:rsidR="0020311D" w:rsidRDefault="002031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DC0A" w14:textId="09C01759" w:rsidR="00EC6A73" w:rsidRDefault="00676506"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8485" behindDoc="0" locked="0" layoutInCell="1" allowOverlap="1" wp14:anchorId="294C7658" wp14:editId="44904018">
              <wp:simplePos x="635" y="635"/>
              <wp:positionH relativeFrom="page">
                <wp:align>center</wp:align>
              </wp:positionH>
              <wp:positionV relativeFrom="page">
                <wp:align>bottom</wp:align>
              </wp:positionV>
              <wp:extent cx="421005" cy="422910"/>
              <wp:effectExtent l="0" t="0" r="17145" b="0"/>
              <wp:wrapNone/>
              <wp:docPr id="1043913883"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1CB3B2B" w14:textId="0CA9A0EA" w:rsidR="00676506" w:rsidRPr="00676506" w:rsidRDefault="00676506" w:rsidP="00676506">
                          <w:pPr>
                            <w:rPr>
                              <w:rFonts w:ascii="Aptos" w:eastAsia="Aptos" w:hAnsi="Aptos" w:cs="Aptos"/>
                              <w:noProof/>
                              <w:color w:val="000000"/>
                              <w:sz w:val="20"/>
                              <w:szCs w:val="20"/>
                            </w:rPr>
                          </w:pPr>
                          <w:r w:rsidRPr="0067650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C7658" id="_x0000_t202" coordsize="21600,21600" o:spt="202" path="m,l,21600r21600,l21600,xe">
              <v:stroke joinstyle="miter"/>
              <v:path gradientshapeok="t" o:connecttype="rect"/>
            </v:shapetype>
            <v:shape id="Text Box 12" o:spid="_x0000_s1030" type="#_x0000_t202" alt="PUBLIC" style="position:absolute;margin-left:0;margin-top:0;width:33.15pt;height:33.3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textbox style="mso-fit-shape-to-text:t" inset="0,0,0,15pt">
                <w:txbxContent>
                  <w:p w14:paraId="21CB3B2B" w14:textId="0CA9A0EA" w:rsidR="00676506" w:rsidRPr="00676506" w:rsidRDefault="00676506" w:rsidP="00676506">
                    <w:pPr>
                      <w:rPr>
                        <w:rFonts w:ascii="Aptos" w:eastAsia="Aptos" w:hAnsi="Aptos" w:cs="Aptos"/>
                        <w:noProof/>
                        <w:color w:val="000000"/>
                        <w:sz w:val="20"/>
                        <w:szCs w:val="20"/>
                      </w:rPr>
                    </w:pPr>
                    <w:r w:rsidRPr="00676506">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21E2BBF5"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B3A372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2FD5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483B" w14:textId="740E7AB0" w:rsidR="00EC6A73" w:rsidRDefault="00676506" w:rsidP="0002309D">
    <w:pPr>
      <w:pStyle w:val="Footer"/>
      <w:tabs>
        <w:tab w:val="clear" w:pos="4513"/>
        <w:tab w:val="clear" w:pos="9026"/>
        <w:tab w:val="left" w:pos="5520"/>
      </w:tabs>
      <w:ind w:right="360"/>
    </w:pPr>
    <w:r>
      <w:rPr>
        <w:noProof/>
      </w:rPr>
      <mc:AlternateContent>
        <mc:Choice Requires="wps">
          <w:drawing>
            <wp:anchor distT="0" distB="0" distL="0" distR="0" simplePos="0" relativeHeight="251669509" behindDoc="0" locked="0" layoutInCell="1" allowOverlap="1" wp14:anchorId="6A85B8BB" wp14:editId="1473EC9F">
              <wp:simplePos x="533400" y="9716770"/>
              <wp:positionH relativeFrom="page">
                <wp:align>center</wp:align>
              </wp:positionH>
              <wp:positionV relativeFrom="page">
                <wp:align>bottom</wp:align>
              </wp:positionV>
              <wp:extent cx="421005" cy="422910"/>
              <wp:effectExtent l="0" t="0" r="17145" b="0"/>
              <wp:wrapNone/>
              <wp:docPr id="2063728674"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223D209" w14:textId="633D92C3" w:rsidR="00676506" w:rsidRPr="00676506" w:rsidRDefault="00676506" w:rsidP="00676506">
                          <w:pPr>
                            <w:rPr>
                              <w:rFonts w:ascii="Aptos" w:eastAsia="Aptos" w:hAnsi="Aptos" w:cs="Aptos"/>
                              <w:noProof/>
                              <w:color w:val="000000"/>
                              <w:sz w:val="20"/>
                              <w:szCs w:val="20"/>
                            </w:rPr>
                          </w:pPr>
                          <w:r w:rsidRPr="0067650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85B8BB" id="_x0000_t202" coordsize="21600,21600" o:spt="202" path="m,l,21600r21600,l21600,xe">
              <v:stroke joinstyle="miter"/>
              <v:path gradientshapeok="t" o:connecttype="rect"/>
            </v:shapetype>
            <v:shape id="Text Box 13" o:spid="_x0000_s1031" type="#_x0000_t202" alt="PUBLIC" style="position:absolute;margin-left:0;margin-top:0;width:33.15pt;height:33.3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Iu1xUsOAgAAHAQA&#10;AA4AAAAAAAAAAAAAAAAALgIAAGRycy9lMm9Eb2MueG1sUEsBAi0AFAAGAAgAAAAhAGvw7dHZAAAA&#10;AwEAAA8AAAAAAAAAAAAAAAAAaAQAAGRycy9kb3ducmV2LnhtbFBLBQYAAAAABAAEAPMAAABuBQAA&#10;AAA=&#10;" filled="f" stroked="f">
              <v:textbox style="mso-fit-shape-to-text:t" inset="0,0,0,15pt">
                <w:txbxContent>
                  <w:p w14:paraId="7223D209" w14:textId="633D92C3" w:rsidR="00676506" w:rsidRPr="00676506" w:rsidRDefault="00676506" w:rsidP="00676506">
                    <w:pPr>
                      <w:rPr>
                        <w:rFonts w:ascii="Aptos" w:eastAsia="Aptos" w:hAnsi="Aptos" w:cs="Aptos"/>
                        <w:noProof/>
                        <w:color w:val="000000"/>
                        <w:sz w:val="20"/>
                        <w:szCs w:val="20"/>
                      </w:rPr>
                    </w:pPr>
                    <w:r w:rsidRPr="00676506">
                      <w:rPr>
                        <w:rFonts w:ascii="Aptos" w:eastAsia="Aptos" w:hAnsi="Aptos" w:cs="Aptos"/>
                        <w:noProof/>
                        <w:color w:val="000000"/>
                        <w:sz w:val="20"/>
                        <w:szCs w:val="20"/>
                      </w:rPr>
                      <w:t>PUBLIC</w:t>
                    </w:r>
                  </w:p>
                </w:txbxContent>
              </v:textbox>
              <w10:wrap anchorx="page" anchory="page"/>
            </v:shape>
          </w:pict>
        </mc:Fallback>
      </mc:AlternateContent>
    </w:r>
  </w:p>
  <w:p w14:paraId="3E7A060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01BF853" wp14:editId="3C12629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523B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A4536E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57C38F" w14:textId="77777777" w:rsidR="00917BB1" w:rsidRDefault="00917BB1" w:rsidP="00917BB1">
    <w:pPr>
      <w:pStyle w:val="Footer"/>
      <w:ind w:right="360"/>
    </w:pPr>
    <w:r>
      <w:rPr>
        <w:noProof/>
      </w:rPr>
      <w:drawing>
        <wp:inline distT="0" distB="0" distL="0" distR="0" wp14:anchorId="285D1DEA" wp14:editId="1751526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02B7" w14:textId="52B6C77D" w:rsidR="00676506" w:rsidRDefault="00676506">
    <w:pPr>
      <w:pStyle w:val="Footer"/>
    </w:pPr>
    <w:r>
      <w:rPr>
        <w:noProof/>
      </w:rPr>
      <mc:AlternateContent>
        <mc:Choice Requires="wps">
          <w:drawing>
            <wp:anchor distT="0" distB="0" distL="0" distR="0" simplePos="0" relativeHeight="251667461" behindDoc="0" locked="0" layoutInCell="1" allowOverlap="1" wp14:anchorId="490FDF6D" wp14:editId="15710762">
              <wp:simplePos x="533400" y="10160000"/>
              <wp:positionH relativeFrom="page">
                <wp:align>center</wp:align>
              </wp:positionH>
              <wp:positionV relativeFrom="page">
                <wp:align>bottom</wp:align>
              </wp:positionV>
              <wp:extent cx="421005" cy="422910"/>
              <wp:effectExtent l="0" t="0" r="17145" b="0"/>
              <wp:wrapNone/>
              <wp:docPr id="1541093937"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5EF0BCA" w14:textId="77777777" w:rsidR="00676506" w:rsidRPr="00676506" w:rsidRDefault="00676506" w:rsidP="00676506">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FDF6D" id="_x0000_t202" coordsize="21600,21600" o:spt="202" path="m,l,21600r21600,l21600,xe">
              <v:stroke joinstyle="miter"/>
              <v:path gradientshapeok="t" o:connecttype="rect"/>
            </v:shapetype>
            <v:shape id="Text Box 11" o:spid="_x0000_s1034" type="#_x0000_t202" alt="PUBLIC" style="position:absolute;margin-left:0;margin-top:0;width:33.15pt;height:33.3pt;z-index:2516674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A8dBINDwIAABwE&#10;AAAOAAAAAAAAAAAAAAAAAC4CAABkcnMvZTJvRG9jLnhtbFBLAQItABQABgAIAAAAIQBr8O3R2QAA&#10;AAMBAAAPAAAAAAAAAAAAAAAAAGkEAABkcnMvZG93bnJldi54bWxQSwUGAAAAAAQABADzAAAAbwUA&#10;AAAA&#10;" filled="f" stroked="f">
              <v:textbox style="mso-fit-shape-to-text:t" inset="0,0,0,15pt">
                <w:txbxContent>
                  <w:p w14:paraId="35EF0BCA" w14:textId="77777777" w:rsidR="00676506" w:rsidRPr="00676506" w:rsidRDefault="00676506" w:rsidP="00676506">
                    <w:pPr>
                      <w:rPr>
                        <w:rFonts w:ascii="Aptos" w:eastAsia="Aptos" w:hAnsi="Aptos" w:cs="Aptos"/>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9620" w14:textId="77777777" w:rsidR="0020311D" w:rsidRDefault="0020311D" w:rsidP="00660C79">
      <w:pPr>
        <w:spacing w:line="240" w:lineRule="auto"/>
      </w:pPr>
      <w:r>
        <w:separator/>
      </w:r>
    </w:p>
  </w:footnote>
  <w:footnote w:type="continuationSeparator" w:id="0">
    <w:p w14:paraId="5F4D3061" w14:textId="77777777" w:rsidR="0020311D" w:rsidRDefault="0020311D" w:rsidP="00660C79">
      <w:pPr>
        <w:spacing w:line="240" w:lineRule="auto"/>
      </w:pPr>
      <w:r>
        <w:continuationSeparator/>
      </w:r>
    </w:p>
  </w:footnote>
  <w:footnote w:type="continuationNotice" w:id="1">
    <w:p w14:paraId="25C7EC0B" w14:textId="77777777" w:rsidR="0020311D" w:rsidRDefault="002031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CD52" w14:textId="1BEBEEDA" w:rsidR="00CF1C49" w:rsidRDefault="00676506">
    <w:pPr>
      <w:pStyle w:val="Header"/>
    </w:pPr>
    <w:r>
      <w:rPr>
        <w:noProof/>
      </w:rPr>
      <mc:AlternateContent>
        <mc:Choice Requires="wps">
          <w:drawing>
            <wp:anchor distT="0" distB="0" distL="0" distR="0" simplePos="0" relativeHeight="251665413" behindDoc="0" locked="0" layoutInCell="1" allowOverlap="1" wp14:anchorId="4536D293" wp14:editId="7AF309A4">
              <wp:simplePos x="635" y="635"/>
              <wp:positionH relativeFrom="page">
                <wp:align>center</wp:align>
              </wp:positionH>
              <wp:positionV relativeFrom="page">
                <wp:align>top</wp:align>
              </wp:positionV>
              <wp:extent cx="421005" cy="422910"/>
              <wp:effectExtent l="0" t="0" r="17145" b="15240"/>
              <wp:wrapNone/>
              <wp:docPr id="200653938"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3D0FD49" w14:textId="039194CB" w:rsidR="00676506" w:rsidRPr="00676506" w:rsidRDefault="00676506" w:rsidP="00676506">
                          <w:pPr>
                            <w:rPr>
                              <w:rFonts w:ascii="Aptos" w:eastAsia="Aptos" w:hAnsi="Aptos" w:cs="Aptos"/>
                              <w:noProof/>
                              <w:color w:val="000000"/>
                              <w:sz w:val="20"/>
                              <w:szCs w:val="20"/>
                            </w:rPr>
                          </w:pPr>
                          <w:r w:rsidRPr="0067650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6D293" id="_x0000_t202" coordsize="21600,21600" o:spt="202" path="m,l,21600r21600,l21600,xe">
              <v:stroke joinstyle="miter"/>
              <v:path gradientshapeok="t" o:connecttype="rect"/>
            </v:shapetype>
            <v:shape id="Text Box 9" o:spid="_x0000_s1027" type="#_x0000_t202" alt="PUBLIC" style="position:absolute;margin-left:0;margin-top:0;width:33.15pt;height:33.3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textbox style="mso-fit-shape-to-text:t" inset="0,15pt,0,0">
                <w:txbxContent>
                  <w:p w14:paraId="03D0FD49" w14:textId="039194CB" w:rsidR="00676506" w:rsidRPr="00676506" w:rsidRDefault="00676506" w:rsidP="00676506">
                    <w:pPr>
                      <w:rPr>
                        <w:rFonts w:ascii="Aptos" w:eastAsia="Aptos" w:hAnsi="Aptos" w:cs="Aptos"/>
                        <w:noProof/>
                        <w:color w:val="000000"/>
                        <w:sz w:val="20"/>
                        <w:szCs w:val="20"/>
                      </w:rPr>
                    </w:pPr>
                    <w:r w:rsidRPr="00676506">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D708" w14:textId="39D23A20" w:rsidR="008D113C" w:rsidRPr="00917BB1" w:rsidRDefault="00676506"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6437" behindDoc="0" locked="0" layoutInCell="1" allowOverlap="1" wp14:anchorId="510CC2C7" wp14:editId="4BF7BF50">
              <wp:simplePos x="533400" y="504825"/>
              <wp:positionH relativeFrom="page">
                <wp:align>center</wp:align>
              </wp:positionH>
              <wp:positionV relativeFrom="page">
                <wp:align>top</wp:align>
              </wp:positionV>
              <wp:extent cx="421005" cy="422910"/>
              <wp:effectExtent l="0" t="0" r="17145" b="15240"/>
              <wp:wrapNone/>
              <wp:docPr id="38416275"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7DA178B" w14:textId="22125FA2" w:rsidR="00676506" w:rsidRPr="00676506" w:rsidRDefault="00676506" w:rsidP="00676506">
                          <w:pPr>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0CC2C7" id="_x0000_t202" coordsize="21600,21600" o:spt="202" path="m,l,21600r21600,l21600,xe">
              <v:stroke joinstyle="miter"/>
              <v:path gradientshapeok="t" o:connecttype="rect"/>
            </v:shapetype>
            <v:shape id="Text Box 10" o:spid="_x0000_s1028" type="#_x0000_t202" alt="PUBLIC" style="position:absolute;left:0;text-align:left;margin-left:0;margin-top:0;width:33.15pt;height:33.3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textbox style="mso-fit-shape-to-text:t" inset="0,15pt,0,0">
                <w:txbxContent>
                  <w:p w14:paraId="17DA178B" w14:textId="22125FA2" w:rsidR="00676506" w:rsidRPr="00676506" w:rsidRDefault="00676506" w:rsidP="00676506">
                    <w:pPr>
                      <w:rPr>
                        <w:rFonts w:ascii="Aptos" w:eastAsia="Aptos" w:hAnsi="Aptos" w:cs="Aptos"/>
                        <w:noProof/>
                        <w:color w:val="000000"/>
                        <w:sz w:val="20"/>
                        <w:szCs w:val="20"/>
                      </w:rPr>
                    </w:pPr>
                  </w:p>
                </w:txbxContent>
              </v:textbox>
              <w10:wrap anchorx="page" anchory="page"/>
            </v:shape>
          </w:pict>
        </mc:Fallback>
      </mc:AlternateContent>
    </w:r>
    <w:r w:rsidR="00CE7AD0">
      <w:rPr>
        <w:noProof/>
        <w:color w:val="6E7571" w:themeColor="text2"/>
      </w:rPr>
      <mc:AlternateContent>
        <mc:Choice Requires="wps">
          <w:drawing>
            <wp:anchor distT="0" distB="0" distL="114300" distR="114300" simplePos="0" relativeHeight="251658242" behindDoc="0" locked="0" layoutInCell="0" allowOverlap="1" wp14:anchorId="3F61809F" wp14:editId="58F1911B">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9C133" w14:textId="7550EEB5" w:rsidR="00CF1C49" w:rsidRPr="00CE7AD0" w:rsidRDefault="0002309D" w:rsidP="00CF1C49">
                          <w:pPr>
                            <w:jc w:val="center"/>
                            <w:rPr>
                              <w:rFonts w:ascii="Calibri" w:hAnsi="Calibri" w:cs="Calibri"/>
                              <w:color w:val="0000FF"/>
                              <w:sz w:val="20"/>
                            </w:rPr>
                          </w:pPr>
                          <w:r>
                            <w:rPr>
                              <w:rFonts w:ascii="Calibri" w:hAnsi="Calibri" w:cs="Calibri"/>
                              <w:color w:val="0000FF"/>
                              <w:sz w:val="20"/>
                            </w:rPr>
                            <w:t>PUBLIC</w:t>
                          </w:r>
                        </w:p>
                        <w:p w14:paraId="41C02802" w14:textId="31463EF3" w:rsidR="00CF1C49" w:rsidRDefault="00CE7AD0" w:rsidP="00CF1C49">
                          <w:pPr>
                            <w:jc w:val="cente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F61809F" id="Text Box 1" o:spid="_x0000_s1029"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6EE9C133" w14:textId="7550EEB5" w:rsidR="00CF1C49" w:rsidRPr="00CE7AD0" w:rsidRDefault="0002309D" w:rsidP="00CF1C49">
                    <w:pPr>
                      <w:jc w:val="center"/>
                      <w:rPr>
                        <w:rFonts w:ascii="Calibri" w:hAnsi="Calibri" w:cs="Calibri"/>
                        <w:color w:val="0000FF"/>
                        <w:sz w:val="20"/>
                      </w:rPr>
                    </w:pPr>
                    <w:r>
                      <w:rPr>
                        <w:rFonts w:ascii="Calibri" w:hAnsi="Calibri" w:cs="Calibri"/>
                        <w:color w:val="0000FF"/>
                        <w:sz w:val="20"/>
                      </w:rPr>
                      <w:t>PUBLIC</w:t>
                    </w:r>
                  </w:p>
                  <w:p w14:paraId="41C02802" w14:textId="31463EF3" w:rsidR="00CF1C49" w:rsidRDefault="00CE7AD0" w:rsidP="00CF1C49">
                    <w:pPr>
                      <w:jc w:val="center"/>
                    </w:pPr>
                    <w:r w:rsidRPr="00CE7AD0">
                      <w:rPr>
                        <w:rFonts w:ascii="Calibri" w:hAnsi="Calibri" w:cs="Calibri"/>
                        <w:color w:val="0000FF"/>
                        <w:sz w:val="20"/>
                      </w:rPr>
                      <w:t>OFFICIAL</w:t>
                    </w:r>
                  </w:p>
                </w:txbxContent>
              </v:textbox>
              <w10:wrap anchorx="page" anchory="page"/>
            </v:shape>
          </w:pict>
        </mc:Fallback>
      </mc:AlternateContent>
    </w:r>
    <w:r w:rsidR="004B464C">
      <w:rPr>
        <w:color w:val="6E7571" w:themeColor="text2"/>
      </w:rPr>
      <w:t xml:space="preserve">SEPA annual </w:t>
    </w:r>
    <w:r w:rsidR="007B1D80">
      <w:rPr>
        <w:color w:val="6E7571" w:themeColor="text2"/>
      </w:rPr>
      <w:t>statement</w:t>
    </w:r>
    <w:r w:rsidR="00807070">
      <w:rPr>
        <w:color w:val="6E7571" w:themeColor="text2"/>
      </w:rPr>
      <w:t>: Public Services Reform (Scotland) Act 2010</w:t>
    </w:r>
  </w:p>
  <w:p w14:paraId="36D43E3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A4046F4" wp14:editId="7EEEBEC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CA23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1A35" w14:textId="0D3B0268" w:rsidR="00CE7AD0" w:rsidRDefault="00676506">
    <w:pPr>
      <w:pStyle w:val="Header"/>
    </w:pPr>
    <w:r>
      <w:rPr>
        <w:noProof/>
      </w:rPr>
      <mc:AlternateContent>
        <mc:Choice Requires="wps">
          <w:drawing>
            <wp:anchor distT="0" distB="0" distL="0" distR="0" simplePos="0" relativeHeight="251664389" behindDoc="0" locked="0" layoutInCell="1" allowOverlap="1" wp14:anchorId="2BD80C2D" wp14:editId="4B0C0859">
              <wp:simplePos x="533400" y="508000"/>
              <wp:positionH relativeFrom="page">
                <wp:align>center</wp:align>
              </wp:positionH>
              <wp:positionV relativeFrom="page">
                <wp:align>top</wp:align>
              </wp:positionV>
              <wp:extent cx="421005" cy="422910"/>
              <wp:effectExtent l="0" t="0" r="17145" b="15240"/>
              <wp:wrapNone/>
              <wp:docPr id="650392523"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7D00EAF" w14:textId="43D02405" w:rsidR="00676506" w:rsidRPr="00676506" w:rsidRDefault="00676506" w:rsidP="00676506">
                          <w:pPr>
                            <w:rPr>
                              <w:rFonts w:ascii="Aptos" w:eastAsia="Aptos" w:hAnsi="Aptos" w:cs="Aptos"/>
                              <w:noProof/>
                              <w:color w:val="000000"/>
                              <w:sz w:val="20"/>
                              <w:szCs w:val="20"/>
                            </w:rPr>
                          </w:pPr>
                          <w:r w:rsidRPr="0067650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D80C2D" id="_x0000_t202" coordsize="21600,21600" o:spt="202" path="m,l,21600r21600,l21600,xe">
              <v:stroke joinstyle="miter"/>
              <v:path gradientshapeok="t" o:connecttype="rect"/>
            </v:shapetype>
            <v:shape id="Text Box 8" o:spid="_x0000_s1032" type="#_x0000_t202" alt="PUBLIC" style="position:absolute;margin-left:0;margin-top:0;width:33.15pt;height:33.3pt;z-index:2516643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eM0mwg4CAAAcBAAA&#10;DgAAAAAAAAAAAAAAAAAuAgAAZHJzL2Uyb0RvYy54bWxQSwECLQAUAAYACAAAACEAiAMxbtgAAAAD&#10;AQAADwAAAAAAAAAAAAAAAABoBAAAZHJzL2Rvd25yZXYueG1sUEsFBgAAAAAEAAQA8wAAAG0FAAAA&#10;AA==&#10;" filled="f" stroked="f">
              <v:textbox style="mso-fit-shape-to-text:t" inset="0,15pt,0,0">
                <w:txbxContent>
                  <w:p w14:paraId="37D00EAF" w14:textId="43D02405" w:rsidR="00676506" w:rsidRPr="00676506" w:rsidRDefault="00676506" w:rsidP="00676506">
                    <w:pPr>
                      <w:rPr>
                        <w:rFonts w:ascii="Aptos" w:eastAsia="Aptos" w:hAnsi="Aptos" w:cs="Aptos"/>
                        <w:noProof/>
                        <w:color w:val="000000"/>
                        <w:sz w:val="20"/>
                        <w:szCs w:val="20"/>
                      </w:rPr>
                    </w:pPr>
                    <w:r w:rsidRPr="00676506">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25D4172F" wp14:editId="0200486D">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374AA" w14:textId="7777777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5D4172F" id="Text Box 6" o:spid="_x0000_s1033"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WwFg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" o:allowincell="f" filled="f" stroked="f" strokeweight=".5pt">
              <v:textbox inset=",0,,0">
                <w:txbxContent>
                  <w:p w14:paraId="028374AA" w14:textId="77777777"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84D75"/>
    <w:multiLevelType w:val="multilevel"/>
    <w:tmpl w:val="B0A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D6DDC"/>
    <w:multiLevelType w:val="hybridMultilevel"/>
    <w:tmpl w:val="51BC17B2"/>
    <w:lvl w:ilvl="0" w:tplc="79A29AA4">
      <w:start w:val="1"/>
      <w:numFmt w:val="bullet"/>
      <w:lvlText w:val=""/>
      <w:lvlJc w:val="left"/>
      <w:pPr>
        <w:ind w:left="360" w:hanging="360"/>
      </w:pPr>
      <w:rPr>
        <w:rFonts w:ascii="Symbol" w:hAnsi="Symbol" w:hint="default"/>
      </w:rPr>
    </w:lvl>
    <w:lvl w:ilvl="1" w:tplc="138C66CA">
      <w:start w:val="1"/>
      <w:numFmt w:val="bullet"/>
      <w:lvlText w:val="o"/>
      <w:lvlJc w:val="left"/>
      <w:pPr>
        <w:ind w:left="1440" w:hanging="360"/>
      </w:pPr>
      <w:rPr>
        <w:rFonts w:ascii="Courier New" w:hAnsi="Courier New" w:hint="default"/>
      </w:rPr>
    </w:lvl>
    <w:lvl w:ilvl="2" w:tplc="DB946D7A">
      <w:start w:val="1"/>
      <w:numFmt w:val="bullet"/>
      <w:lvlText w:val=""/>
      <w:lvlJc w:val="left"/>
      <w:pPr>
        <w:ind w:left="2160" w:hanging="360"/>
      </w:pPr>
      <w:rPr>
        <w:rFonts w:ascii="Wingdings" w:hAnsi="Wingdings" w:hint="default"/>
      </w:rPr>
    </w:lvl>
    <w:lvl w:ilvl="3" w:tplc="7EAAE0DC">
      <w:start w:val="1"/>
      <w:numFmt w:val="bullet"/>
      <w:lvlText w:val=""/>
      <w:lvlJc w:val="left"/>
      <w:pPr>
        <w:ind w:left="2880" w:hanging="360"/>
      </w:pPr>
      <w:rPr>
        <w:rFonts w:ascii="Symbol" w:hAnsi="Symbol" w:hint="default"/>
      </w:rPr>
    </w:lvl>
    <w:lvl w:ilvl="4" w:tplc="E85EDEF0">
      <w:start w:val="1"/>
      <w:numFmt w:val="bullet"/>
      <w:lvlText w:val="o"/>
      <w:lvlJc w:val="left"/>
      <w:pPr>
        <w:ind w:left="3600" w:hanging="360"/>
      </w:pPr>
      <w:rPr>
        <w:rFonts w:ascii="Courier New" w:hAnsi="Courier New" w:hint="default"/>
      </w:rPr>
    </w:lvl>
    <w:lvl w:ilvl="5" w:tplc="34F40308">
      <w:start w:val="1"/>
      <w:numFmt w:val="bullet"/>
      <w:lvlText w:val=""/>
      <w:lvlJc w:val="left"/>
      <w:pPr>
        <w:ind w:left="4320" w:hanging="360"/>
      </w:pPr>
      <w:rPr>
        <w:rFonts w:ascii="Wingdings" w:hAnsi="Wingdings" w:hint="default"/>
      </w:rPr>
    </w:lvl>
    <w:lvl w:ilvl="6" w:tplc="B6707630">
      <w:start w:val="1"/>
      <w:numFmt w:val="bullet"/>
      <w:lvlText w:val=""/>
      <w:lvlJc w:val="left"/>
      <w:pPr>
        <w:ind w:left="5040" w:hanging="360"/>
      </w:pPr>
      <w:rPr>
        <w:rFonts w:ascii="Symbol" w:hAnsi="Symbol" w:hint="default"/>
      </w:rPr>
    </w:lvl>
    <w:lvl w:ilvl="7" w:tplc="6964BA22">
      <w:start w:val="1"/>
      <w:numFmt w:val="bullet"/>
      <w:lvlText w:val="o"/>
      <w:lvlJc w:val="left"/>
      <w:pPr>
        <w:ind w:left="5760" w:hanging="360"/>
      </w:pPr>
      <w:rPr>
        <w:rFonts w:ascii="Courier New" w:hAnsi="Courier New" w:hint="default"/>
      </w:rPr>
    </w:lvl>
    <w:lvl w:ilvl="8" w:tplc="442EE37E">
      <w:start w:val="1"/>
      <w:numFmt w:val="bullet"/>
      <w:lvlText w:val=""/>
      <w:lvlJc w:val="left"/>
      <w:pPr>
        <w:ind w:left="6480" w:hanging="360"/>
      </w:pPr>
      <w:rPr>
        <w:rFonts w:ascii="Wingdings" w:hAnsi="Wingdings" w:hint="default"/>
      </w:rPr>
    </w:lvl>
  </w:abstractNum>
  <w:abstractNum w:abstractNumId="12" w15:restartNumberingAfterBreak="0">
    <w:nsid w:val="1C117BC6"/>
    <w:multiLevelType w:val="hybridMultilevel"/>
    <w:tmpl w:val="55FA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F0854"/>
    <w:multiLevelType w:val="hybridMultilevel"/>
    <w:tmpl w:val="6E5E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D70ED1"/>
    <w:multiLevelType w:val="hybridMultilevel"/>
    <w:tmpl w:val="98405F96"/>
    <w:lvl w:ilvl="0" w:tplc="0809000F">
      <w:start w:val="1"/>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4A6AB7"/>
    <w:multiLevelType w:val="hybridMultilevel"/>
    <w:tmpl w:val="9E209B5C"/>
    <w:lvl w:ilvl="0" w:tplc="28EA0D4A">
      <w:start w:val="1"/>
      <w:numFmt w:val="decimal"/>
      <w:lvlText w:val="7.%1 "/>
      <w:lvlJc w:val="left"/>
      <w:pPr>
        <w:ind w:left="720" w:hanging="360"/>
      </w:pPr>
      <w:rPr>
        <w:rFonts w:ascii="Arial" w:hAnsi="Arial" w:hint="default"/>
        <w:b w:val="0"/>
        <w:i w:val="0"/>
        <w:color w:val="auto"/>
        <w:sz w:val="22"/>
        <w:szCs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125F32"/>
    <w:multiLevelType w:val="hybridMultilevel"/>
    <w:tmpl w:val="AFA04306"/>
    <w:lvl w:ilvl="0" w:tplc="14F69C5E">
      <w:start w:val="5"/>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594551"/>
    <w:multiLevelType w:val="hybridMultilevel"/>
    <w:tmpl w:val="E7B6E836"/>
    <w:lvl w:ilvl="0" w:tplc="74D8E98A">
      <w:start w:val="1"/>
      <w:numFmt w:val="decimal"/>
      <w:lvlText w:val="%1."/>
      <w:lvlJc w:val="left"/>
      <w:pPr>
        <w:tabs>
          <w:tab w:val="num" w:pos="567"/>
        </w:tabs>
        <w:ind w:left="567" w:hanging="34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2EE537B3"/>
    <w:multiLevelType w:val="hybridMultilevel"/>
    <w:tmpl w:val="220E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A50A4"/>
    <w:multiLevelType w:val="hybridMultilevel"/>
    <w:tmpl w:val="BD5AB916"/>
    <w:lvl w:ilvl="0" w:tplc="EB70AAA4">
      <w:start w:val="1"/>
      <w:numFmt w:val="decimal"/>
      <w:lvlText w:val="1.%1 "/>
      <w:lvlJc w:val="left"/>
      <w:pPr>
        <w:ind w:left="720" w:hanging="360"/>
      </w:pPr>
      <w:rPr>
        <w:rFonts w:ascii="Arial" w:hAnsi="Arial" w:hint="default"/>
        <w:b w:val="0"/>
        <w:i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655D10"/>
    <w:multiLevelType w:val="multilevel"/>
    <w:tmpl w:val="0630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55F19"/>
    <w:multiLevelType w:val="hybridMultilevel"/>
    <w:tmpl w:val="B2564156"/>
    <w:lvl w:ilvl="0" w:tplc="0809000F">
      <w:start w:val="1"/>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8B0BAC"/>
    <w:multiLevelType w:val="multilevel"/>
    <w:tmpl w:val="E5408CEE"/>
    <w:lvl w:ilvl="0">
      <w:start w:val="1"/>
      <w:numFmt w:val="bullet"/>
      <w:lvlText w:val="n"/>
      <w:lvlJc w:val="left"/>
      <w:pPr>
        <w:tabs>
          <w:tab w:val="left" w:pos="216"/>
        </w:tabs>
        <w:ind w:left="720"/>
      </w:pPr>
      <w:rPr>
        <w:rFonts w:ascii="Wingdings" w:eastAsia="Wingdings" w:hAnsi="Wingdings"/>
        <w:strike w:val="0"/>
        <w:color w:val="052A4F"/>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4009F6"/>
    <w:multiLevelType w:val="hybridMultilevel"/>
    <w:tmpl w:val="BB2E8912"/>
    <w:lvl w:ilvl="0" w:tplc="4CF858F0">
      <w:start w:val="1"/>
      <w:numFmt w:val="decimal"/>
      <w:lvlText w:val="6.%1 "/>
      <w:lvlJc w:val="left"/>
      <w:pPr>
        <w:ind w:left="720" w:hanging="360"/>
      </w:pPr>
      <w:rPr>
        <w:rFonts w:ascii="Arial" w:hAnsi="Arial" w:hint="default"/>
        <w:b w:val="0"/>
        <w:i w:val="0"/>
        <w:color w:val="auto"/>
        <w:sz w:val="22"/>
        <w:szCs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280D0F"/>
    <w:multiLevelType w:val="hybridMultilevel"/>
    <w:tmpl w:val="32986618"/>
    <w:lvl w:ilvl="0" w:tplc="67A838BC">
      <w:start w:val="1"/>
      <w:numFmt w:val="decimal"/>
      <w:lvlText w:val="4.%1 "/>
      <w:lvlJc w:val="left"/>
      <w:pPr>
        <w:ind w:left="720" w:hanging="360"/>
      </w:pPr>
      <w:rPr>
        <w:rFonts w:ascii="Arial" w:hAnsi="Arial" w:hint="default"/>
        <w:b w:val="0"/>
        <w:i w:val="0"/>
        <w:color w:val="auto"/>
        <w:sz w:val="22"/>
        <w:szCs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F20D16"/>
    <w:multiLevelType w:val="hybridMultilevel"/>
    <w:tmpl w:val="F1D0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830A8C"/>
    <w:multiLevelType w:val="hybridMultilevel"/>
    <w:tmpl w:val="8C6E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142A02"/>
    <w:multiLevelType w:val="multilevel"/>
    <w:tmpl w:val="7C589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A0568"/>
    <w:multiLevelType w:val="hybridMultilevel"/>
    <w:tmpl w:val="79ECB01A"/>
    <w:lvl w:ilvl="0" w:tplc="0809000F">
      <w:start w:val="1"/>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9B4B2"/>
    <w:multiLevelType w:val="hybridMultilevel"/>
    <w:tmpl w:val="85D22CA2"/>
    <w:lvl w:ilvl="0" w:tplc="90245C82">
      <w:start w:val="1"/>
      <w:numFmt w:val="bullet"/>
      <w:lvlText w:val=""/>
      <w:lvlJc w:val="left"/>
      <w:pPr>
        <w:ind w:left="360" w:hanging="360"/>
      </w:pPr>
      <w:rPr>
        <w:rFonts w:ascii="Symbol" w:hAnsi="Symbol" w:hint="default"/>
      </w:rPr>
    </w:lvl>
    <w:lvl w:ilvl="1" w:tplc="6E983630">
      <w:start w:val="1"/>
      <w:numFmt w:val="bullet"/>
      <w:lvlText w:val="o"/>
      <w:lvlJc w:val="left"/>
      <w:pPr>
        <w:ind w:left="1440" w:hanging="360"/>
      </w:pPr>
      <w:rPr>
        <w:rFonts w:ascii="Courier New" w:hAnsi="Courier New" w:hint="default"/>
      </w:rPr>
    </w:lvl>
    <w:lvl w:ilvl="2" w:tplc="43520166">
      <w:start w:val="1"/>
      <w:numFmt w:val="bullet"/>
      <w:lvlText w:val=""/>
      <w:lvlJc w:val="left"/>
      <w:pPr>
        <w:ind w:left="2160" w:hanging="360"/>
      </w:pPr>
      <w:rPr>
        <w:rFonts w:ascii="Wingdings" w:hAnsi="Wingdings" w:hint="default"/>
      </w:rPr>
    </w:lvl>
    <w:lvl w:ilvl="3" w:tplc="14964748">
      <w:start w:val="1"/>
      <w:numFmt w:val="bullet"/>
      <w:lvlText w:val=""/>
      <w:lvlJc w:val="left"/>
      <w:pPr>
        <w:ind w:left="2880" w:hanging="360"/>
      </w:pPr>
      <w:rPr>
        <w:rFonts w:ascii="Symbol" w:hAnsi="Symbol" w:hint="default"/>
      </w:rPr>
    </w:lvl>
    <w:lvl w:ilvl="4" w:tplc="0F6C16DA">
      <w:start w:val="1"/>
      <w:numFmt w:val="bullet"/>
      <w:lvlText w:val="o"/>
      <w:lvlJc w:val="left"/>
      <w:pPr>
        <w:ind w:left="3600" w:hanging="360"/>
      </w:pPr>
      <w:rPr>
        <w:rFonts w:ascii="Courier New" w:hAnsi="Courier New" w:hint="default"/>
      </w:rPr>
    </w:lvl>
    <w:lvl w:ilvl="5" w:tplc="28EEB3B2">
      <w:start w:val="1"/>
      <w:numFmt w:val="bullet"/>
      <w:lvlText w:val=""/>
      <w:lvlJc w:val="left"/>
      <w:pPr>
        <w:ind w:left="4320" w:hanging="360"/>
      </w:pPr>
      <w:rPr>
        <w:rFonts w:ascii="Wingdings" w:hAnsi="Wingdings" w:hint="default"/>
      </w:rPr>
    </w:lvl>
    <w:lvl w:ilvl="6" w:tplc="21B8D10A">
      <w:start w:val="1"/>
      <w:numFmt w:val="bullet"/>
      <w:lvlText w:val=""/>
      <w:lvlJc w:val="left"/>
      <w:pPr>
        <w:ind w:left="5040" w:hanging="360"/>
      </w:pPr>
      <w:rPr>
        <w:rFonts w:ascii="Symbol" w:hAnsi="Symbol" w:hint="default"/>
      </w:rPr>
    </w:lvl>
    <w:lvl w:ilvl="7" w:tplc="0A1AF704">
      <w:start w:val="1"/>
      <w:numFmt w:val="bullet"/>
      <w:lvlText w:val="o"/>
      <w:lvlJc w:val="left"/>
      <w:pPr>
        <w:ind w:left="5760" w:hanging="360"/>
      </w:pPr>
      <w:rPr>
        <w:rFonts w:ascii="Courier New" w:hAnsi="Courier New" w:hint="default"/>
      </w:rPr>
    </w:lvl>
    <w:lvl w:ilvl="8" w:tplc="E4C4CC06">
      <w:start w:val="1"/>
      <w:numFmt w:val="bullet"/>
      <w:lvlText w:val=""/>
      <w:lvlJc w:val="left"/>
      <w:pPr>
        <w:ind w:left="6480" w:hanging="360"/>
      </w:pPr>
      <w:rPr>
        <w:rFonts w:ascii="Wingdings" w:hAnsi="Wingdings" w:hint="default"/>
      </w:rPr>
    </w:lvl>
  </w:abstractNum>
  <w:abstractNum w:abstractNumId="32" w15:restartNumberingAfterBreak="0">
    <w:nsid w:val="5E633551"/>
    <w:multiLevelType w:val="hybridMultilevel"/>
    <w:tmpl w:val="63D44622"/>
    <w:lvl w:ilvl="0" w:tplc="7242E182">
      <w:start w:val="1"/>
      <w:numFmt w:val="bullet"/>
      <w:lvlText w:val=""/>
      <w:lvlJc w:val="left"/>
      <w:pPr>
        <w:tabs>
          <w:tab w:val="num" w:pos="643"/>
        </w:tabs>
        <w:ind w:left="643" w:hanging="283"/>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78D479B"/>
    <w:multiLevelType w:val="hybridMultilevel"/>
    <w:tmpl w:val="8A0C6982"/>
    <w:lvl w:ilvl="0" w:tplc="381AC1D6">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A5B7D08"/>
    <w:multiLevelType w:val="multilevel"/>
    <w:tmpl w:val="CF16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397749"/>
    <w:multiLevelType w:val="hybridMultilevel"/>
    <w:tmpl w:val="1936744C"/>
    <w:lvl w:ilvl="0" w:tplc="F4F88FF6">
      <w:start w:val="1"/>
      <w:numFmt w:val="decimal"/>
      <w:lvlText w:val="2.%1 "/>
      <w:lvlJc w:val="left"/>
      <w:pPr>
        <w:ind w:left="720" w:hanging="360"/>
      </w:pPr>
      <w:rPr>
        <w:rFonts w:ascii="Arial" w:hAnsi="Arial" w:hint="default"/>
        <w:b w:val="0"/>
        <w:i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624442"/>
    <w:multiLevelType w:val="hybridMultilevel"/>
    <w:tmpl w:val="C1BCBD7E"/>
    <w:lvl w:ilvl="0" w:tplc="6C381184">
      <w:start w:val="1"/>
      <w:numFmt w:val="decimal"/>
      <w:lvlText w:val="3.%1 "/>
      <w:lvlJc w:val="left"/>
      <w:pPr>
        <w:ind w:left="720" w:hanging="360"/>
      </w:pPr>
      <w:rPr>
        <w:rFonts w:ascii="Arial" w:hAnsi="Arial" w:hint="default"/>
        <w:b w:val="0"/>
        <w:i w:val="0"/>
        <w:color w:val="auto"/>
        <w:sz w:val="22"/>
        <w:szCs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7114A8"/>
    <w:multiLevelType w:val="hybridMultilevel"/>
    <w:tmpl w:val="39642348"/>
    <w:lvl w:ilvl="0" w:tplc="0809000F">
      <w:start w:val="1"/>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BA83385"/>
    <w:multiLevelType w:val="hybridMultilevel"/>
    <w:tmpl w:val="585638AE"/>
    <w:lvl w:ilvl="0" w:tplc="8B4077F0">
      <w:start w:val="1"/>
      <w:numFmt w:val="decimal"/>
      <w:lvlText w:val="5.%1 "/>
      <w:lvlJc w:val="left"/>
      <w:pPr>
        <w:ind w:left="720" w:hanging="360"/>
      </w:pPr>
      <w:rPr>
        <w:rFonts w:ascii="Arial" w:hAnsi="Arial" w:hint="default"/>
        <w:b w:val="0"/>
        <w:i w:val="0"/>
        <w:color w:val="auto"/>
        <w:sz w:val="22"/>
        <w:szCs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35"/>
  </w:num>
  <w:num w:numId="12" w16cid:durableId="60641277">
    <w:abstractNumId w:val="30"/>
  </w:num>
  <w:num w:numId="13" w16cid:durableId="2002156795">
    <w:abstractNumId w:val="14"/>
  </w:num>
  <w:num w:numId="14" w16cid:durableId="57170770">
    <w:abstractNumId w:val="28"/>
  </w:num>
  <w:num w:numId="15" w16cid:durableId="539241398">
    <w:abstractNumId w:val="19"/>
  </w:num>
  <w:num w:numId="16" w16cid:durableId="138376907">
    <w:abstractNumId w:val="31"/>
  </w:num>
  <w:num w:numId="17" w16cid:durableId="381487879">
    <w:abstractNumId w:val="11"/>
  </w:num>
  <w:num w:numId="18" w16cid:durableId="1506555990">
    <w:abstractNumId w:val="10"/>
  </w:num>
  <w:num w:numId="19" w16cid:durableId="2132899303">
    <w:abstractNumId w:val="21"/>
  </w:num>
  <w:num w:numId="20" w16cid:durableId="776949193">
    <w:abstractNumId w:val="34"/>
  </w:num>
  <w:num w:numId="21" w16cid:durableId="139010707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4694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964676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5344758">
    <w:abstractNumId w:val="29"/>
  </w:num>
  <w:num w:numId="25" w16cid:durableId="1742875000">
    <w:abstractNumId w:val="18"/>
  </w:num>
  <w:num w:numId="26" w16cid:durableId="462161682">
    <w:abstractNumId w:val="22"/>
  </w:num>
  <w:num w:numId="27" w16cid:durableId="2127963432">
    <w:abstractNumId w:val="32"/>
  </w:num>
  <w:num w:numId="28" w16cid:durableId="822234320">
    <w:abstractNumId w:val="15"/>
  </w:num>
  <w:num w:numId="29" w16cid:durableId="417941279">
    <w:abstractNumId w:val="17"/>
  </w:num>
  <w:num w:numId="30" w16cid:durableId="900169657">
    <w:abstractNumId w:val="38"/>
  </w:num>
  <w:num w:numId="31" w16cid:durableId="654334999">
    <w:abstractNumId w:val="37"/>
  </w:num>
  <w:num w:numId="32" w16cid:durableId="698162992">
    <w:abstractNumId w:val="25"/>
  </w:num>
  <w:num w:numId="33" w16cid:durableId="835995398">
    <w:abstractNumId w:val="39"/>
  </w:num>
  <w:num w:numId="34" w16cid:durableId="1822773473">
    <w:abstractNumId w:val="24"/>
  </w:num>
  <w:num w:numId="35" w16cid:durableId="27604156">
    <w:abstractNumId w:val="16"/>
  </w:num>
  <w:num w:numId="36" w16cid:durableId="1275791343">
    <w:abstractNumId w:val="20"/>
  </w:num>
  <w:num w:numId="37" w16cid:durableId="424426468">
    <w:abstractNumId w:val="36"/>
  </w:num>
  <w:num w:numId="38" w16cid:durableId="1824811260">
    <w:abstractNumId w:val="23"/>
  </w:num>
  <w:num w:numId="39" w16cid:durableId="1542287318">
    <w:abstractNumId w:val="13"/>
  </w:num>
  <w:num w:numId="40" w16cid:durableId="1199512382">
    <w:abstractNumId w:val="26"/>
  </w:num>
  <w:num w:numId="41" w16cid:durableId="1181968498">
    <w:abstractNumId w:val="27"/>
  </w:num>
  <w:num w:numId="42" w16cid:durableId="1702512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37"/>
    <w:rsid w:val="000135B1"/>
    <w:rsid w:val="00021624"/>
    <w:rsid w:val="0002309D"/>
    <w:rsid w:val="00026B61"/>
    <w:rsid w:val="00032829"/>
    <w:rsid w:val="00040561"/>
    <w:rsid w:val="0004411B"/>
    <w:rsid w:val="00050E42"/>
    <w:rsid w:val="00070937"/>
    <w:rsid w:val="00080FC0"/>
    <w:rsid w:val="000B17B3"/>
    <w:rsid w:val="000B2171"/>
    <w:rsid w:val="000B7559"/>
    <w:rsid w:val="000C39E7"/>
    <w:rsid w:val="000E0D15"/>
    <w:rsid w:val="000E1E6B"/>
    <w:rsid w:val="000F384C"/>
    <w:rsid w:val="00105F31"/>
    <w:rsid w:val="001138C7"/>
    <w:rsid w:val="00114C3C"/>
    <w:rsid w:val="0012622E"/>
    <w:rsid w:val="001D1EA9"/>
    <w:rsid w:val="001E2CD2"/>
    <w:rsid w:val="001F6B7E"/>
    <w:rsid w:val="0020311D"/>
    <w:rsid w:val="002043CB"/>
    <w:rsid w:val="00207997"/>
    <w:rsid w:val="00220B53"/>
    <w:rsid w:val="0022221B"/>
    <w:rsid w:val="002273C1"/>
    <w:rsid w:val="00231FBA"/>
    <w:rsid w:val="002362E0"/>
    <w:rsid w:val="00236552"/>
    <w:rsid w:val="0024635F"/>
    <w:rsid w:val="00247277"/>
    <w:rsid w:val="00273747"/>
    <w:rsid w:val="002814DF"/>
    <w:rsid w:val="00281BB1"/>
    <w:rsid w:val="00290883"/>
    <w:rsid w:val="00290B1F"/>
    <w:rsid w:val="002D614C"/>
    <w:rsid w:val="0030096D"/>
    <w:rsid w:val="003060FA"/>
    <w:rsid w:val="00313D01"/>
    <w:rsid w:val="00317618"/>
    <w:rsid w:val="003229CB"/>
    <w:rsid w:val="00333EDA"/>
    <w:rsid w:val="00342C55"/>
    <w:rsid w:val="00344C8F"/>
    <w:rsid w:val="003537B2"/>
    <w:rsid w:val="00361003"/>
    <w:rsid w:val="00362CA1"/>
    <w:rsid w:val="0036419A"/>
    <w:rsid w:val="00375025"/>
    <w:rsid w:val="003A391D"/>
    <w:rsid w:val="003A7CD0"/>
    <w:rsid w:val="003D2B2C"/>
    <w:rsid w:val="003E06F1"/>
    <w:rsid w:val="003F5384"/>
    <w:rsid w:val="004073BC"/>
    <w:rsid w:val="004101CC"/>
    <w:rsid w:val="00420C63"/>
    <w:rsid w:val="00422FBF"/>
    <w:rsid w:val="00433E9B"/>
    <w:rsid w:val="004415A2"/>
    <w:rsid w:val="00444AA1"/>
    <w:rsid w:val="00461190"/>
    <w:rsid w:val="0047287A"/>
    <w:rsid w:val="00472DA1"/>
    <w:rsid w:val="0048526C"/>
    <w:rsid w:val="00496E43"/>
    <w:rsid w:val="004A32BF"/>
    <w:rsid w:val="004B464C"/>
    <w:rsid w:val="004C6376"/>
    <w:rsid w:val="004C6C83"/>
    <w:rsid w:val="004D7701"/>
    <w:rsid w:val="004E285B"/>
    <w:rsid w:val="004E63EF"/>
    <w:rsid w:val="004F0E7A"/>
    <w:rsid w:val="004F6767"/>
    <w:rsid w:val="00520C88"/>
    <w:rsid w:val="00521A37"/>
    <w:rsid w:val="00523A25"/>
    <w:rsid w:val="0052425B"/>
    <w:rsid w:val="0053754B"/>
    <w:rsid w:val="00551989"/>
    <w:rsid w:val="005600C1"/>
    <w:rsid w:val="0057456B"/>
    <w:rsid w:val="00580BF4"/>
    <w:rsid w:val="005947A1"/>
    <w:rsid w:val="005A355E"/>
    <w:rsid w:val="005D1213"/>
    <w:rsid w:val="005F51F8"/>
    <w:rsid w:val="00601131"/>
    <w:rsid w:val="00605B3C"/>
    <w:rsid w:val="0061519C"/>
    <w:rsid w:val="006152C0"/>
    <w:rsid w:val="0062156C"/>
    <w:rsid w:val="006243FF"/>
    <w:rsid w:val="00644D15"/>
    <w:rsid w:val="00650B15"/>
    <w:rsid w:val="00654F05"/>
    <w:rsid w:val="00660C79"/>
    <w:rsid w:val="00676506"/>
    <w:rsid w:val="006A409A"/>
    <w:rsid w:val="006C0D69"/>
    <w:rsid w:val="006D0292"/>
    <w:rsid w:val="006D16CE"/>
    <w:rsid w:val="00702E2F"/>
    <w:rsid w:val="00705E60"/>
    <w:rsid w:val="00722764"/>
    <w:rsid w:val="00736F38"/>
    <w:rsid w:val="00741EB3"/>
    <w:rsid w:val="00757467"/>
    <w:rsid w:val="007775E5"/>
    <w:rsid w:val="00777DE3"/>
    <w:rsid w:val="007939BA"/>
    <w:rsid w:val="0079792B"/>
    <w:rsid w:val="007A1BD9"/>
    <w:rsid w:val="007A398C"/>
    <w:rsid w:val="007B1D80"/>
    <w:rsid w:val="007B6A94"/>
    <w:rsid w:val="007C3F12"/>
    <w:rsid w:val="007D441B"/>
    <w:rsid w:val="007E2FA9"/>
    <w:rsid w:val="00801105"/>
    <w:rsid w:val="00807070"/>
    <w:rsid w:val="00812EC7"/>
    <w:rsid w:val="00833257"/>
    <w:rsid w:val="00836BC4"/>
    <w:rsid w:val="008576BE"/>
    <w:rsid w:val="00861B46"/>
    <w:rsid w:val="00862DCA"/>
    <w:rsid w:val="00877B3C"/>
    <w:rsid w:val="008971B9"/>
    <w:rsid w:val="008976B9"/>
    <w:rsid w:val="008B02C0"/>
    <w:rsid w:val="008C1A73"/>
    <w:rsid w:val="008C7086"/>
    <w:rsid w:val="008D113C"/>
    <w:rsid w:val="008D2B23"/>
    <w:rsid w:val="008D376F"/>
    <w:rsid w:val="008E1779"/>
    <w:rsid w:val="008E3B27"/>
    <w:rsid w:val="00917BB1"/>
    <w:rsid w:val="009541EA"/>
    <w:rsid w:val="0095697A"/>
    <w:rsid w:val="00967BEB"/>
    <w:rsid w:val="00975D21"/>
    <w:rsid w:val="00980531"/>
    <w:rsid w:val="009815C7"/>
    <w:rsid w:val="009A240D"/>
    <w:rsid w:val="009B1753"/>
    <w:rsid w:val="009C55EC"/>
    <w:rsid w:val="009E0F9C"/>
    <w:rsid w:val="009F34DA"/>
    <w:rsid w:val="00A33B06"/>
    <w:rsid w:val="00A36663"/>
    <w:rsid w:val="00A4150A"/>
    <w:rsid w:val="00A9349C"/>
    <w:rsid w:val="00AA38A1"/>
    <w:rsid w:val="00AC2758"/>
    <w:rsid w:val="00AD321D"/>
    <w:rsid w:val="00AE068C"/>
    <w:rsid w:val="00AE1DFE"/>
    <w:rsid w:val="00AE426E"/>
    <w:rsid w:val="00AF00C1"/>
    <w:rsid w:val="00B23131"/>
    <w:rsid w:val="00B33A7E"/>
    <w:rsid w:val="00B37305"/>
    <w:rsid w:val="00B46E48"/>
    <w:rsid w:val="00B54CF4"/>
    <w:rsid w:val="00B57F85"/>
    <w:rsid w:val="00B838F3"/>
    <w:rsid w:val="00BB51AF"/>
    <w:rsid w:val="00BB6E2A"/>
    <w:rsid w:val="00BC51A1"/>
    <w:rsid w:val="00BC65EF"/>
    <w:rsid w:val="00BE6914"/>
    <w:rsid w:val="00C323AA"/>
    <w:rsid w:val="00C504EF"/>
    <w:rsid w:val="00C569B9"/>
    <w:rsid w:val="00C6552C"/>
    <w:rsid w:val="00C70FA7"/>
    <w:rsid w:val="00C9352C"/>
    <w:rsid w:val="00C9784A"/>
    <w:rsid w:val="00CA6D5A"/>
    <w:rsid w:val="00CB613C"/>
    <w:rsid w:val="00CD0362"/>
    <w:rsid w:val="00CD6AC0"/>
    <w:rsid w:val="00CE7AD0"/>
    <w:rsid w:val="00CF1C49"/>
    <w:rsid w:val="00CF7EFB"/>
    <w:rsid w:val="00D0490E"/>
    <w:rsid w:val="00D07FB1"/>
    <w:rsid w:val="00D2130A"/>
    <w:rsid w:val="00D21F55"/>
    <w:rsid w:val="00D235B9"/>
    <w:rsid w:val="00D33A78"/>
    <w:rsid w:val="00D35448"/>
    <w:rsid w:val="00D41736"/>
    <w:rsid w:val="00D47C61"/>
    <w:rsid w:val="00D50590"/>
    <w:rsid w:val="00D5387C"/>
    <w:rsid w:val="00D53AB5"/>
    <w:rsid w:val="00D82DD5"/>
    <w:rsid w:val="00DB4302"/>
    <w:rsid w:val="00DB508C"/>
    <w:rsid w:val="00DD5EAC"/>
    <w:rsid w:val="00DF6320"/>
    <w:rsid w:val="00E11A56"/>
    <w:rsid w:val="00E42ECD"/>
    <w:rsid w:val="00E52375"/>
    <w:rsid w:val="00E579C6"/>
    <w:rsid w:val="00E64E14"/>
    <w:rsid w:val="00E67C75"/>
    <w:rsid w:val="00E8286F"/>
    <w:rsid w:val="00E83F52"/>
    <w:rsid w:val="00E95D7A"/>
    <w:rsid w:val="00EA219D"/>
    <w:rsid w:val="00EA72BA"/>
    <w:rsid w:val="00EB2904"/>
    <w:rsid w:val="00EC6077"/>
    <w:rsid w:val="00EC6A73"/>
    <w:rsid w:val="00EE54FD"/>
    <w:rsid w:val="00EF0AB0"/>
    <w:rsid w:val="00EF7F00"/>
    <w:rsid w:val="00F0686D"/>
    <w:rsid w:val="00F07048"/>
    <w:rsid w:val="00F37340"/>
    <w:rsid w:val="00F666F8"/>
    <w:rsid w:val="00F72274"/>
    <w:rsid w:val="00F872C0"/>
    <w:rsid w:val="00F91E29"/>
    <w:rsid w:val="00F9726C"/>
    <w:rsid w:val="00FA5B35"/>
    <w:rsid w:val="00FB2B91"/>
    <w:rsid w:val="00FD2357"/>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0B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Caption">
    <w:name w:val="caption"/>
    <w:basedOn w:val="Normal"/>
    <w:next w:val="Normal"/>
    <w:unhideWhenUsed/>
    <w:qFormat/>
    <w:rsid w:val="00361003"/>
    <w:pPr>
      <w:spacing w:after="200" w:line="240" w:lineRule="auto"/>
    </w:pPr>
    <w:rPr>
      <w:rFonts w:ascii="Times New Roman" w:eastAsia="Times New Roman" w:hAnsi="Times New Roman" w:cs="Times New Roman"/>
      <w:i/>
      <w:iCs/>
      <w:color w:val="6E7571" w:themeColor="text2"/>
      <w:sz w:val="18"/>
      <w:szCs w:val="18"/>
      <w:lang w:eastAsia="en-GB"/>
    </w:rPr>
  </w:style>
  <w:style w:type="paragraph" w:styleId="z-TopofForm">
    <w:name w:val="HTML Top of Form"/>
    <w:basedOn w:val="Normal"/>
    <w:next w:val="Normal"/>
    <w:link w:val="z-TopofFormChar"/>
    <w:hidden/>
    <w:rsid w:val="006D0292"/>
    <w:pPr>
      <w:pBdr>
        <w:bottom w:val="single" w:sz="6" w:space="1" w:color="auto"/>
      </w:pBdr>
      <w:spacing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6D029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rsid w:val="006D0292"/>
    <w:pPr>
      <w:pBdr>
        <w:top w:val="single" w:sz="6" w:space="1" w:color="auto"/>
      </w:pBdr>
      <w:spacing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6D0292"/>
    <w:rPr>
      <w:rFonts w:ascii="Arial" w:eastAsia="Times New Roman" w:hAnsi="Arial" w:cs="Arial"/>
      <w:vanish/>
      <w:sz w:val="16"/>
      <w:szCs w:val="16"/>
      <w:lang w:eastAsia="en-GB"/>
    </w:rPr>
  </w:style>
  <w:style w:type="paragraph" w:customStyle="1" w:styleId="newstitle">
    <w:name w:val="newstitle"/>
    <w:basedOn w:val="Normal"/>
    <w:rsid w:val="006D0292"/>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qFormat/>
    <w:rsid w:val="006D0292"/>
    <w:rPr>
      <w:b/>
      <w:bCs/>
    </w:rPr>
  </w:style>
  <w:style w:type="paragraph" w:customStyle="1" w:styleId="footnote">
    <w:name w:val="footnote"/>
    <w:basedOn w:val="Normal"/>
    <w:rsid w:val="006D0292"/>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6D029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0292"/>
    <w:pPr>
      <w:spacing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6D0292"/>
    <w:rPr>
      <w:rFonts w:ascii="Tahoma" w:eastAsia="Times New Roman" w:hAnsi="Tahoma" w:cs="Tahoma"/>
      <w:sz w:val="16"/>
      <w:szCs w:val="16"/>
      <w:lang w:eastAsia="en-GB"/>
    </w:rPr>
  </w:style>
  <w:style w:type="character" w:styleId="FollowedHyperlink">
    <w:name w:val="FollowedHyperlink"/>
    <w:uiPriority w:val="99"/>
    <w:unhideWhenUsed/>
    <w:rsid w:val="006D0292"/>
    <w:rPr>
      <w:color w:val="800080"/>
      <w:u w:val="single"/>
    </w:rPr>
  </w:style>
  <w:style w:type="paragraph" w:customStyle="1" w:styleId="xl121">
    <w:name w:val="xl121"/>
    <w:basedOn w:val="Normal"/>
    <w:rsid w:val="006D0292"/>
    <w:pPr>
      <w:spacing w:before="100" w:beforeAutospacing="1" w:after="100" w:afterAutospacing="1" w:line="240" w:lineRule="auto"/>
      <w:jc w:val="right"/>
    </w:pPr>
    <w:rPr>
      <w:rFonts w:ascii="Tahoma" w:eastAsia="Times New Roman" w:hAnsi="Tahoma" w:cs="Tahoma"/>
      <w:sz w:val="16"/>
      <w:szCs w:val="16"/>
      <w:lang w:eastAsia="en-GB"/>
    </w:rPr>
  </w:style>
  <w:style w:type="paragraph" w:customStyle="1" w:styleId="xl122">
    <w:name w:val="xl122"/>
    <w:basedOn w:val="Normal"/>
    <w:rsid w:val="006D0292"/>
    <w:pPr>
      <w:spacing w:before="100" w:beforeAutospacing="1" w:after="100" w:afterAutospacing="1" w:line="240" w:lineRule="auto"/>
      <w:jc w:val="center"/>
    </w:pPr>
    <w:rPr>
      <w:rFonts w:ascii="Tahoma" w:eastAsia="Times New Roman" w:hAnsi="Tahoma" w:cs="Tahoma"/>
      <w:b/>
      <w:bCs/>
      <w:sz w:val="16"/>
      <w:szCs w:val="16"/>
      <w:lang w:eastAsia="en-GB"/>
    </w:rPr>
  </w:style>
  <w:style w:type="paragraph" w:customStyle="1" w:styleId="xl123">
    <w:name w:val="xl123"/>
    <w:basedOn w:val="Normal"/>
    <w:rsid w:val="006D0292"/>
    <w:pPr>
      <w:spacing w:before="100" w:beforeAutospacing="1" w:after="100" w:afterAutospacing="1" w:line="240" w:lineRule="auto"/>
    </w:pPr>
    <w:rPr>
      <w:rFonts w:ascii="Tahoma" w:eastAsia="Times New Roman" w:hAnsi="Tahoma" w:cs="Tahoma"/>
      <w:sz w:val="16"/>
      <w:szCs w:val="16"/>
      <w:lang w:eastAsia="en-GB"/>
    </w:rPr>
  </w:style>
  <w:style w:type="paragraph" w:customStyle="1" w:styleId="xl124">
    <w:name w:val="xl124"/>
    <w:basedOn w:val="Normal"/>
    <w:rsid w:val="006D0292"/>
    <w:pPr>
      <w:spacing w:before="100" w:beforeAutospacing="1" w:after="100" w:afterAutospacing="1" w:line="240" w:lineRule="auto"/>
      <w:jc w:val="right"/>
    </w:pPr>
    <w:rPr>
      <w:rFonts w:ascii="Tahoma" w:eastAsia="Times New Roman" w:hAnsi="Tahoma" w:cs="Tahoma"/>
      <w:sz w:val="16"/>
      <w:szCs w:val="16"/>
      <w:lang w:eastAsia="en-GB"/>
    </w:rPr>
  </w:style>
  <w:style w:type="paragraph" w:customStyle="1" w:styleId="xl125">
    <w:name w:val="xl125"/>
    <w:basedOn w:val="Normal"/>
    <w:rsid w:val="006D0292"/>
    <w:pPr>
      <w:spacing w:before="100" w:beforeAutospacing="1" w:after="100" w:afterAutospacing="1" w:line="240" w:lineRule="auto"/>
      <w:jc w:val="right"/>
    </w:pPr>
    <w:rPr>
      <w:rFonts w:ascii="Tahoma" w:eastAsia="Times New Roman" w:hAnsi="Tahoma" w:cs="Tahoma"/>
      <w:sz w:val="16"/>
      <w:szCs w:val="16"/>
      <w:lang w:eastAsia="en-GB"/>
    </w:rPr>
  </w:style>
  <w:style w:type="paragraph" w:customStyle="1" w:styleId="xl126">
    <w:name w:val="xl126"/>
    <w:basedOn w:val="Normal"/>
    <w:rsid w:val="006D0292"/>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16"/>
      <w:szCs w:val="16"/>
      <w:lang w:eastAsia="en-GB"/>
    </w:rPr>
  </w:style>
  <w:style w:type="paragraph" w:customStyle="1" w:styleId="xl127">
    <w:name w:val="xl127"/>
    <w:basedOn w:val="Normal"/>
    <w:rsid w:val="006D0292"/>
    <w:pPr>
      <w:pBdr>
        <w:top w:val="single" w:sz="4" w:space="0" w:color="auto"/>
        <w:bottom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16"/>
      <w:szCs w:val="16"/>
      <w:lang w:eastAsia="en-GB"/>
    </w:rPr>
  </w:style>
  <w:style w:type="paragraph" w:customStyle="1" w:styleId="xl128">
    <w:name w:val="xl128"/>
    <w:basedOn w:val="Normal"/>
    <w:rsid w:val="006D0292"/>
    <w:pPr>
      <w:pBdr>
        <w:top w:val="single" w:sz="4" w:space="0" w:color="auto"/>
        <w:bottom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16"/>
      <w:szCs w:val="16"/>
      <w:lang w:eastAsia="en-GB"/>
    </w:rPr>
  </w:style>
  <w:style w:type="paragraph" w:customStyle="1" w:styleId="xl129">
    <w:name w:val="xl129"/>
    <w:basedOn w:val="Normal"/>
    <w:rsid w:val="006D0292"/>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16"/>
      <w:szCs w:val="16"/>
      <w:lang w:eastAsia="en-GB"/>
    </w:rPr>
  </w:style>
  <w:style w:type="paragraph" w:customStyle="1" w:styleId="xl130">
    <w:name w:val="xl130"/>
    <w:basedOn w:val="Normal"/>
    <w:rsid w:val="006D0292"/>
    <w:pPr>
      <w:spacing w:before="100" w:beforeAutospacing="1" w:after="100" w:afterAutospacing="1" w:line="240" w:lineRule="auto"/>
    </w:pPr>
    <w:rPr>
      <w:rFonts w:ascii="Arial" w:eastAsia="Times New Roman" w:hAnsi="Arial" w:cs="Arial"/>
      <w:b/>
      <w:bCs/>
      <w:lang w:eastAsia="en-GB"/>
    </w:rPr>
  </w:style>
  <w:style w:type="paragraph" w:customStyle="1" w:styleId="xl131">
    <w:name w:val="xl131"/>
    <w:basedOn w:val="Normal"/>
    <w:rsid w:val="006D0292"/>
    <w:pPr>
      <w:spacing w:before="100" w:beforeAutospacing="1" w:after="100" w:afterAutospacing="1" w:line="240" w:lineRule="auto"/>
    </w:pPr>
    <w:rPr>
      <w:rFonts w:ascii="Arial" w:eastAsia="Times New Roman" w:hAnsi="Arial" w:cs="Arial"/>
      <w:b/>
      <w:bCs/>
      <w:lang w:eastAsia="en-GB"/>
    </w:rPr>
  </w:style>
  <w:style w:type="paragraph" w:customStyle="1" w:styleId="xl132">
    <w:name w:val="xl132"/>
    <w:basedOn w:val="Normal"/>
    <w:rsid w:val="006D0292"/>
    <w:pPr>
      <w:spacing w:before="100" w:beforeAutospacing="1" w:after="100" w:afterAutospacing="1" w:line="240" w:lineRule="auto"/>
    </w:pPr>
    <w:rPr>
      <w:rFonts w:ascii="Arial" w:eastAsia="Times New Roman" w:hAnsi="Arial" w:cs="Arial"/>
      <w:sz w:val="16"/>
      <w:szCs w:val="16"/>
      <w:lang w:eastAsia="en-GB"/>
    </w:rPr>
  </w:style>
  <w:style w:type="paragraph" w:customStyle="1" w:styleId="xl133">
    <w:name w:val="xl133"/>
    <w:basedOn w:val="Normal"/>
    <w:rsid w:val="006D0292"/>
    <w:pPr>
      <w:spacing w:before="100" w:beforeAutospacing="1" w:after="100" w:afterAutospacing="1" w:line="240" w:lineRule="auto"/>
      <w:jc w:val="right"/>
    </w:pPr>
    <w:rPr>
      <w:rFonts w:ascii="Arial" w:eastAsia="Times New Roman" w:hAnsi="Arial" w:cs="Arial"/>
      <w:sz w:val="16"/>
      <w:szCs w:val="16"/>
      <w:lang w:eastAsia="en-GB"/>
    </w:rPr>
  </w:style>
  <w:style w:type="paragraph" w:customStyle="1" w:styleId="xl134">
    <w:name w:val="xl134"/>
    <w:basedOn w:val="Normal"/>
    <w:rsid w:val="006D0292"/>
    <w:pPr>
      <w:spacing w:before="100" w:beforeAutospacing="1" w:after="100" w:afterAutospacing="1" w:line="240" w:lineRule="auto"/>
      <w:jc w:val="right"/>
    </w:pPr>
    <w:rPr>
      <w:rFonts w:ascii="Arial" w:eastAsia="Times New Roman" w:hAnsi="Arial" w:cs="Arial"/>
      <w:sz w:val="16"/>
      <w:szCs w:val="16"/>
      <w:lang w:eastAsia="en-GB"/>
    </w:rPr>
  </w:style>
  <w:style w:type="paragraph" w:customStyle="1" w:styleId="xl135">
    <w:name w:val="xl135"/>
    <w:basedOn w:val="Normal"/>
    <w:rsid w:val="006D0292"/>
    <w:pPr>
      <w:spacing w:before="100" w:beforeAutospacing="1" w:after="100" w:afterAutospacing="1" w:line="240" w:lineRule="auto"/>
    </w:pPr>
    <w:rPr>
      <w:rFonts w:ascii="Arial" w:eastAsia="Times New Roman" w:hAnsi="Arial" w:cs="Arial"/>
      <w:sz w:val="16"/>
      <w:szCs w:val="16"/>
      <w:lang w:eastAsia="en-GB"/>
    </w:rPr>
  </w:style>
  <w:style w:type="paragraph" w:customStyle="1" w:styleId="xl136">
    <w:name w:val="xl136"/>
    <w:basedOn w:val="Normal"/>
    <w:rsid w:val="006D0292"/>
    <w:pPr>
      <w:spacing w:before="100" w:beforeAutospacing="1" w:after="100" w:afterAutospacing="1" w:line="240" w:lineRule="auto"/>
    </w:pPr>
    <w:rPr>
      <w:rFonts w:ascii="Arial" w:eastAsia="Times New Roman" w:hAnsi="Arial" w:cs="Arial"/>
      <w:sz w:val="16"/>
      <w:szCs w:val="16"/>
      <w:lang w:eastAsia="en-GB"/>
    </w:rPr>
  </w:style>
  <w:style w:type="paragraph" w:customStyle="1" w:styleId="xl137">
    <w:name w:val="xl137"/>
    <w:basedOn w:val="Normal"/>
    <w:rsid w:val="006D0292"/>
    <w:pPr>
      <w:spacing w:before="100" w:beforeAutospacing="1" w:after="100" w:afterAutospacing="1" w:line="240" w:lineRule="auto"/>
    </w:pPr>
    <w:rPr>
      <w:rFonts w:ascii="Arial" w:eastAsia="Times New Roman" w:hAnsi="Arial" w:cs="Arial"/>
      <w:sz w:val="16"/>
      <w:szCs w:val="16"/>
      <w:lang w:eastAsia="en-GB"/>
    </w:rPr>
  </w:style>
  <w:style w:type="paragraph" w:customStyle="1" w:styleId="xl80">
    <w:name w:val="xl80"/>
    <w:basedOn w:val="Normal"/>
    <w:rsid w:val="006D0292"/>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16"/>
      <w:szCs w:val="16"/>
      <w:lang w:eastAsia="en-GB"/>
    </w:rPr>
  </w:style>
  <w:style w:type="paragraph" w:customStyle="1" w:styleId="xl81">
    <w:name w:val="xl81"/>
    <w:basedOn w:val="Normal"/>
    <w:rsid w:val="006D0292"/>
    <w:pPr>
      <w:pBdr>
        <w:top w:val="single" w:sz="4" w:space="0" w:color="auto"/>
        <w:bottom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16"/>
      <w:szCs w:val="16"/>
      <w:lang w:eastAsia="en-GB"/>
    </w:rPr>
  </w:style>
  <w:style w:type="paragraph" w:customStyle="1" w:styleId="xl82">
    <w:name w:val="xl82"/>
    <w:basedOn w:val="Normal"/>
    <w:rsid w:val="006D0292"/>
    <w:pPr>
      <w:pBdr>
        <w:top w:val="single" w:sz="4" w:space="0" w:color="auto"/>
        <w:bottom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16"/>
      <w:szCs w:val="16"/>
      <w:lang w:eastAsia="en-GB"/>
    </w:rPr>
  </w:style>
  <w:style w:type="paragraph" w:customStyle="1" w:styleId="xl83">
    <w:name w:val="xl83"/>
    <w:basedOn w:val="Normal"/>
    <w:rsid w:val="006D0292"/>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ahoma" w:eastAsia="Times New Roman" w:hAnsi="Tahoma" w:cs="Tahoma"/>
      <w:b/>
      <w:bCs/>
      <w:sz w:val="16"/>
      <w:szCs w:val="16"/>
      <w:lang w:eastAsia="en-GB"/>
    </w:rPr>
  </w:style>
  <w:style w:type="paragraph" w:customStyle="1" w:styleId="xl85">
    <w:name w:val="xl85"/>
    <w:basedOn w:val="Normal"/>
    <w:rsid w:val="006D0292"/>
    <w:pPr>
      <w:shd w:val="clear" w:color="000000" w:fill="FFFFFF"/>
      <w:spacing w:before="100" w:beforeAutospacing="1" w:after="100" w:afterAutospacing="1" w:line="240" w:lineRule="auto"/>
    </w:pPr>
    <w:rPr>
      <w:rFonts w:ascii="Times New Roman" w:eastAsia="Times New Roman" w:hAnsi="Times New Roman" w:cs="Times New Roman"/>
      <w:lang w:eastAsia="en-GB"/>
    </w:rPr>
  </w:style>
  <w:style w:type="paragraph" w:customStyle="1" w:styleId="xl86">
    <w:name w:val="xl86"/>
    <w:basedOn w:val="Normal"/>
    <w:rsid w:val="006D0292"/>
    <w:pPr>
      <w:shd w:val="clear" w:color="000000" w:fill="FFFFFF"/>
      <w:spacing w:before="100" w:beforeAutospacing="1" w:after="100" w:afterAutospacing="1" w:line="240" w:lineRule="auto"/>
    </w:pPr>
    <w:rPr>
      <w:rFonts w:ascii="Times New Roman" w:eastAsia="Times New Roman" w:hAnsi="Times New Roman" w:cs="Times New Roman"/>
      <w:lang w:eastAsia="en-GB"/>
    </w:rPr>
  </w:style>
  <w:style w:type="paragraph" w:customStyle="1" w:styleId="xl89">
    <w:name w:val="xl89"/>
    <w:basedOn w:val="Normal"/>
    <w:rsid w:val="006D0292"/>
    <w:pPr>
      <w:shd w:val="clear" w:color="000000" w:fill="FFFFFF"/>
      <w:spacing w:before="100" w:beforeAutospacing="1" w:after="100" w:afterAutospacing="1" w:line="240" w:lineRule="auto"/>
    </w:pPr>
    <w:rPr>
      <w:rFonts w:ascii="Times New Roman" w:eastAsia="Times New Roman" w:hAnsi="Times New Roman" w:cs="Times New Roman"/>
      <w:lang w:eastAsia="en-GB"/>
    </w:rPr>
  </w:style>
  <w:style w:type="paragraph" w:customStyle="1" w:styleId="xl90">
    <w:name w:val="xl90"/>
    <w:basedOn w:val="Normal"/>
    <w:rsid w:val="006D0292"/>
    <w:pPr>
      <w:shd w:val="clear" w:color="000000" w:fill="FFFFFF"/>
      <w:spacing w:before="100" w:beforeAutospacing="1" w:after="100" w:afterAutospacing="1" w:line="240" w:lineRule="auto"/>
    </w:pPr>
    <w:rPr>
      <w:rFonts w:ascii="Times New Roman" w:eastAsia="Times New Roman" w:hAnsi="Times New Roman" w:cs="Times New Roman"/>
      <w:lang w:eastAsia="en-GB"/>
    </w:rPr>
  </w:style>
  <w:style w:type="paragraph" w:customStyle="1" w:styleId="xl91">
    <w:name w:val="xl91"/>
    <w:basedOn w:val="Normal"/>
    <w:rsid w:val="006D0292"/>
    <w:pPr>
      <w:spacing w:before="100" w:beforeAutospacing="1" w:after="100" w:afterAutospacing="1" w:line="240" w:lineRule="auto"/>
    </w:pPr>
    <w:rPr>
      <w:rFonts w:ascii="Calibri" w:eastAsia="Times New Roman" w:hAnsi="Calibri" w:cs="Times New Roman"/>
      <w:sz w:val="22"/>
      <w:szCs w:val="22"/>
      <w:lang w:eastAsia="en-GB"/>
    </w:rPr>
  </w:style>
  <w:style w:type="paragraph" w:customStyle="1" w:styleId="xl92">
    <w:name w:val="xl92"/>
    <w:basedOn w:val="Normal"/>
    <w:rsid w:val="006D0292"/>
    <w:pPr>
      <w:shd w:val="clear" w:color="000000" w:fill="FFFFFF"/>
      <w:spacing w:before="100" w:beforeAutospacing="1" w:after="100" w:afterAutospacing="1" w:line="240" w:lineRule="auto"/>
    </w:pPr>
    <w:rPr>
      <w:rFonts w:ascii="Times New Roman" w:eastAsia="Times New Roman" w:hAnsi="Times New Roman" w:cs="Times New Roman"/>
      <w:lang w:eastAsia="en-GB"/>
    </w:rPr>
  </w:style>
  <w:style w:type="paragraph" w:customStyle="1" w:styleId="xl93">
    <w:name w:val="xl93"/>
    <w:basedOn w:val="Normal"/>
    <w:rsid w:val="006D0292"/>
    <w:pPr>
      <w:pBdr>
        <w:top w:val="single" w:sz="4"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lang w:eastAsia="en-GB"/>
    </w:rPr>
  </w:style>
  <w:style w:type="paragraph" w:customStyle="1" w:styleId="xl94">
    <w:name w:val="xl94"/>
    <w:basedOn w:val="Normal"/>
    <w:rsid w:val="006D0292"/>
    <w:pPr>
      <w:pBdr>
        <w:top w:val="single" w:sz="4"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rsid w:val="006D0292"/>
    <w:pPr>
      <w:autoSpaceDE w:val="0"/>
      <w:autoSpaceDN w:val="0"/>
      <w:adjustRightInd w:val="0"/>
    </w:pPr>
    <w:rPr>
      <w:rFonts w:ascii="Arial" w:eastAsia="Times New Roman" w:hAnsi="Arial" w:cs="Arial"/>
      <w:color w:val="000000"/>
      <w:lang w:eastAsia="en-GB"/>
    </w:rPr>
  </w:style>
  <w:style w:type="character" w:styleId="CommentReference">
    <w:name w:val="annotation reference"/>
    <w:rsid w:val="006D0292"/>
    <w:rPr>
      <w:sz w:val="16"/>
      <w:szCs w:val="16"/>
    </w:rPr>
  </w:style>
  <w:style w:type="paragraph" w:styleId="CommentText">
    <w:name w:val="annotation text"/>
    <w:basedOn w:val="Normal"/>
    <w:link w:val="CommentTextChar"/>
    <w:rsid w:val="006D0292"/>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6D029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6D0292"/>
    <w:rPr>
      <w:b/>
      <w:bCs/>
    </w:rPr>
  </w:style>
  <w:style w:type="character" w:customStyle="1" w:styleId="CommentSubjectChar">
    <w:name w:val="Comment Subject Char"/>
    <w:basedOn w:val="CommentTextChar"/>
    <w:link w:val="CommentSubject"/>
    <w:rsid w:val="006D0292"/>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6D0292"/>
    <w:pPr>
      <w:spacing w:after="200" w:line="276" w:lineRule="auto"/>
      <w:ind w:left="720"/>
      <w:contextualSpacing/>
    </w:pPr>
    <w:rPr>
      <w:rFonts w:ascii="Calibri" w:eastAsia="Calibri" w:hAnsi="Calibri" w:cs="Times New Roman"/>
      <w:sz w:val="22"/>
      <w:szCs w:val="22"/>
    </w:rPr>
  </w:style>
  <w:style w:type="paragraph" w:customStyle="1" w:styleId="msonormal0">
    <w:name w:val="msonormal"/>
    <w:basedOn w:val="Normal"/>
    <w:rsid w:val="006D0292"/>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65">
    <w:name w:val="xl65"/>
    <w:basedOn w:val="Normal"/>
    <w:rsid w:val="006D02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n-GB"/>
    </w:rPr>
  </w:style>
  <w:style w:type="paragraph" w:customStyle="1" w:styleId="xl66">
    <w:name w:val="xl66"/>
    <w:basedOn w:val="Normal"/>
    <w:rsid w:val="006D02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n-GB"/>
    </w:rPr>
  </w:style>
  <w:style w:type="paragraph" w:customStyle="1" w:styleId="xl67">
    <w:name w:val="xl67"/>
    <w:basedOn w:val="Normal"/>
    <w:rsid w:val="006D02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n-GB"/>
    </w:rPr>
  </w:style>
  <w:style w:type="paragraph" w:customStyle="1" w:styleId="xl68">
    <w:name w:val="xl68"/>
    <w:basedOn w:val="Normal"/>
    <w:rsid w:val="006D0292"/>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69">
    <w:name w:val="xl69"/>
    <w:basedOn w:val="Normal"/>
    <w:rsid w:val="006D02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n-GB"/>
    </w:rPr>
  </w:style>
  <w:style w:type="paragraph" w:customStyle="1" w:styleId="xl70">
    <w:name w:val="xl70"/>
    <w:basedOn w:val="Normal"/>
    <w:rsid w:val="006D029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Arial" w:eastAsia="Times New Roman" w:hAnsi="Arial" w:cs="Arial"/>
      <w:b/>
      <w:bCs/>
      <w:sz w:val="20"/>
      <w:szCs w:val="20"/>
      <w:lang w:eastAsia="en-GB"/>
    </w:rPr>
  </w:style>
  <w:style w:type="paragraph" w:customStyle="1" w:styleId="xl71">
    <w:name w:val="xl71"/>
    <w:basedOn w:val="Normal"/>
    <w:rsid w:val="006D029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Arial" w:eastAsia="Times New Roman" w:hAnsi="Arial" w:cs="Arial"/>
      <w:b/>
      <w:bCs/>
      <w:sz w:val="20"/>
      <w:szCs w:val="20"/>
      <w:lang w:eastAsia="en-GB"/>
    </w:rPr>
  </w:style>
  <w:style w:type="paragraph" w:customStyle="1" w:styleId="xl72">
    <w:name w:val="xl72"/>
    <w:basedOn w:val="Normal"/>
    <w:rsid w:val="006D029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Arial" w:eastAsia="Times New Roman" w:hAnsi="Arial" w:cs="Arial"/>
      <w:b/>
      <w:bCs/>
      <w:sz w:val="20"/>
      <w:szCs w:val="20"/>
      <w:lang w:eastAsia="en-GB"/>
    </w:rPr>
  </w:style>
  <w:style w:type="character" w:styleId="Mention">
    <w:name w:val="Mention"/>
    <w:basedOn w:val="DefaultParagraphFont"/>
    <w:uiPriority w:val="99"/>
    <w:unhideWhenUsed/>
    <w:rsid w:val="006D0292"/>
    <w:rPr>
      <w:color w:val="2B579A"/>
      <w:shd w:val="clear" w:color="auto" w:fill="E1DFDD"/>
    </w:rPr>
  </w:style>
  <w:style w:type="character" w:customStyle="1" w:styleId="font121">
    <w:name w:val="font121"/>
    <w:basedOn w:val="DefaultParagraphFont"/>
    <w:rsid w:val="006D0292"/>
    <w:rPr>
      <w:rFonts w:ascii="Arial" w:hAnsi="Arial" w:cs="Arial" w:hint="default"/>
      <w:b w:val="0"/>
      <w:bCs w:val="0"/>
      <w:i w:val="0"/>
      <w:iCs w:val="0"/>
      <w:strike w:val="0"/>
      <w:dstrike w:val="0"/>
      <w:color w:val="FFFFFF"/>
      <w:sz w:val="24"/>
      <w:szCs w:val="24"/>
      <w:u w:val="none"/>
      <w:effect w:val="none"/>
    </w:rPr>
  </w:style>
  <w:style w:type="paragraph" w:styleId="TOCHeading">
    <w:name w:val="TOC Heading"/>
    <w:basedOn w:val="Heading1"/>
    <w:next w:val="Normal"/>
    <w:uiPriority w:val="39"/>
    <w:unhideWhenUsed/>
    <w:qFormat/>
    <w:rsid w:val="00A33B0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A33B06"/>
    <w:pPr>
      <w:spacing w:after="100"/>
    </w:pPr>
  </w:style>
  <w:style w:type="paragraph" w:styleId="TOC2">
    <w:name w:val="toc 2"/>
    <w:basedOn w:val="Normal"/>
    <w:next w:val="Normal"/>
    <w:autoRedefine/>
    <w:uiPriority w:val="39"/>
    <w:unhideWhenUsed/>
    <w:rsid w:val="00A33B06"/>
    <w:pPr>
      <w:spacing w:after="100"/>
      <w:ind w:left="240"/>
    </w:pPr>
  </w:style>
  <w:style w:type="paragraph" w:styleId="TOC3">
    <w:name w:val="toc 3"/>
    <w:basedOn w:val="Normal"/>
    <w:next w:val="Normal"/>
    <w:autoRedefine/>
    <w:uiPriority w:val="39"/>
    <w:unhideWhenUsed/>
    <w:rsid w:val="00A33B0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who-we-are/our-performance/net-zero-routema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equalities@sepa.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9D178B5906E42B885C4420595D9C4" ma:contentTypeVersion="14" ma:contentTypeDescription="Create a new document." ma:contentTypeScope="" ma:versionID="7c53eb9663b48faf485be081ec121c19">
  <xsd:schema xmlns:xsd="http://www.w3.org/2001/XMLSchema" xmlns:xs="http://www.w3.org/2001/XMLSchema" xmlns:p="http://schemas.microsoft.com/office/2006/metadata/properties" xmlns:ns2="3da07131-369b-4b2e-83cf-a7581ae7bf30" xmlns:ns3="ce5b52f7-9556-48ad-bf4f-1238de82834a" targetNamespace="http://schemas.microsoft.com/office/2006/metadata/properties" ma:root="true" ma:fieldsID="915b676b58b0237119f54d01451c532e" ns2:_="" ns3:_="">
    <xsd:import namespace="3da07131-369b-4b2e-83cf-a7581ae7bf30"/>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7131-369b-4b2e-83cf-a7581ae7b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c7cb999-2fba-4384-b1d7-7001e3776de4}"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3da07131-369b-4b2e-83cf-a7581ae7bf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588F9-7C18-47AF-B895-F280C5E0D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7131-369b-4b2e-83cf-a7581ae7bf30"/>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59ACE390-89AC-49D6-8E9F-FB43A8F15B85}">
  <ds:schemaRefs>
    <ds:schemaRef ds:uri="http://schemas.microsoft.com/office/2006/metadata/properties"/>
    <ds:schemaRef ds:uri="http://schemas.microsoft.com/office/infopath/2007/PartnerControls"/>
    <ds:schemaRef ds:uri="ce5b52f7-9556-48ad-bf4f-1238de82834a"/>
    <ds:schemaRef ds:uri="3da07131-369b-4b2e-83cf-a7581ae7bf30"/>
  </ds:schemaRefs>
</ds:datastoreItem>
</file>

<file path=customXml/itemProps4.xml><?xml version="1.0" encoding="utf-8"?>
<ds:datastoreItem xmlns:ds="http://schemas.openxmlformats.org/officeDocument/2006/customXml" ds:itemID="{A76DF94B-C8EF-4353-B687-AACA0B74D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SEPA annual statement: Public Services Reform (Scotland) Act 2010</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annual statement: Public Services Reform (Scotland) Act 2010</dc:title>
  <dc:subject/>
  <dc:creator/>
  <cp:keywords/>
  <dc:description/>
  <cp:lastModifiedBy/>
  <cp:revision>1</cp:revision>
  <dcterms:created xsi:type="dcterms:W3CDTF">2026-02-17T14:23:00Z</dcterms:created>
  <dcterms:modified xsi:type="dcterms:W3CDTF">2026-02-18T09:23:00Z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26c433cb,bf5bc72,24a2f93</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5bdb3a31,3e38dc9b,7b020022</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2026-02-17T13:39:13Z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64311c25-2911-4b0c-9d77-d87ea48967b5</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0x01010012E9D178B5906E42B885C4420595D9C4</vt:lpwstr>
  </property>
  <property fmtid="{D5CDD505-2E9C-101B-9397-08002B2CF9AE}" pid="17" name="MediaServiceImageTags">
    <vt:lpwstr/>
  </property>
</Properties>
</file>