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637A20D2" w14:textId="77777777" w:rsidR="00ED3EE7" w:rsidRDefault="00CF7EFB" w:rsidP="00ED3EE7">
          <w:r>
            <w:rPr>
              <w:noProof/>
            </w:rPr>
            <w:drawing>
              <wp:inline distT="0" distB="0" distL="0" distR="0" wp14:anchorId="7F614317" wp14:editId="5157D672">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5F4A08D5" w14:textId="142F1A8F" w:rsidR="00ED3EE7" w:rsidRDefault="00284817" w:rsidP="00ED3EE7">
          <w:pPr>
            <w:pStyle w:val="Heading1"/>
          </w:pPr>
          <w:r>
            <w:t>WAS-G-03</w:t>
          </w:r>
        </w:p>
        <w:p w14:paraId="3641BD7A" w14:textId="043DEE50" w:rsidR="00ED3EE7" w:rsidRPr="00E245AC" w:rsidRDefault="006673F9" w:rsidP="00760F9A">
          <w:pPr>
            <w:pStyle w:val="Reportheader"/>
            <w:rPr>
              <w:rFonts w:ascii="Arial" w:hAnsi="Arial" w:cs="Arial"/>
            </w:rPr>
          </w:pPr>
          <w:r>
            <w:rPr>
              <w:rFonts w:ascii="Arial" w:hAnsi="Arial" w:cs="Arial"/>
            </w:rPr>
            <w:t>Interpretation of ‘</w:t>
          </w:r>
          <w:proofErr w:type="spellStart"/>
          <w:r>
            <w:rPr>
              <w:rFonts w:ascii="Arial" w:hAnsi="Arial" w:cs="Arial"/>
            </w:rPr>
            <w:t>physico</w:t>
          </w:r>
          <w:proofErr w:type="spellEnd"/>
          <w:r>
            <w:rPr>
              <w:rFonts w:ascii="Arial" w:hAnsi="Arial" w:cs="Arial"/>
            </w:rPr>
            <w:t xml:space="preserve">-chemical’ treatment </w:t>
          </w:r>
        </w:p>
        <w:p w14:paraId="130ED2F4" w14:textId="25C055F2" w:rsidR="00ED3EE7" w:rsidRDefault="006673F9" w:rsidP="00ED3EE7">
          <w:pPr>
            <w:pStyle w:val="Heading2"/>
          </w:pPr>
          <w:r>
            <w:t>01 August 2025</w:t>
          </w:r>
        </w:p>
        <w:p w14:paraId="69F26894" w14:textId="77777777" w:rsidR="006673F9" w:rsidRDefault="00ED3EE7" w:rsidP="006673F9">
          <w:pPr>
            <w:pStyle w:val="Footer"/>
            <w:ind w:right="360"/>
            <w:rPr>
              <w:rStyle w:val="Heading2Char"/>
            </w:rPr>
          </w:pPr>
          <w:r>
            <w:rPr>
              <w:noProof/>
            </w:rPr>
            <mc:AlternateContent>
              <mc:Choice Requires="wps">
                <w:drawing>
                  <wp:anchor distT="0" distB="0" distL="114300" distR="114300" simplePos="0" relativeHeight="251658240" behindDoc="0" locked="0" layoutInCell="1" allowOverlap="1" wp14:anchorId="31CAAE74" wp14:editId="47936637">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line id="Straight Connector 12" style="position:absolute;z-index:25166848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7BBB7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p w14:paraId="04FC69FF" w14:textId="26501996" w:rsidR="006673F9" w:rsidRDefault="006673F9" w:rsidP="006579C5">
          <w:pPr>
            <w:pStyle w:val="Footer"/>
            <w:spacing w:line="360" w:lineRule="auto"/>
            <w:ind w:right="360"/>
          </w:pPr>
          <w:r w:rsidRPr="006673F9">
            <w:rPr>
              <w:rStyle w:val="Heading2Char"/>
            </w:rPr>
            <w:t>Purpose</w:t>
          </w:r>
          <w:r>
            <w:t xml:space="preserve"> </w:t>
          </w:r>
        </w:p>
        <w:p w14:paraId="67B68872" w14:textId="6CE05200" w:rsidR="006673F9" w:rsidRDefault="006673F9" w:rsidP="006579C5">
          <w:r>
            <w:t>This guidance sets out SEPA’s interpretation of “</w:t>
          </w:r>
          <w:proofErr w:type="spellStart"/>
          <w:r>
            <w:t>physico</w:t>
          </w:r>
          <w:proofErr w:type="spellEnd"/>
          <w:r>
            <w:t xml:space="preserve">-chemical treatment” in the context of Industrial Emissions Activities 23 and 25 in Schedule 20 to the Environmental </w:t>
          </w:r>
          <w:r w:rsidR="4F8571CE">
            <w:t>Authorisations</w:t>
          </w:r>
          <w:r>
            <w:t xml:space="preserve"> (Scotland) Regulations 2018.</w:t>
          </w:r>
        </w:p>
        <w:p w14:paraId="57961FB8" w14:textId="4B7E4727" w:rsidR="006673F9" w:rsidRDefault="006673F9" w:rsidP="006579C5">
          <w:pPr>
            <w:pStyle w:val="Heading2"/>
            <w:spacing w:line="360" w:lineRule="auto"/>
          </w:pPr>
          <w:r>
            <w:t xml:space="preserve">SEPA </w:t>
          </w:r>
          <w:r w:rsidR="003C5513">
            <w:t>i</w:t>
          </w:r>
          <w:r>
            <w:t>nte</w:t>
          </w:r>
          <w:r w:rsidR="003C5513">
            <w:t>r</w:t>
          </w:r>
          <w:r>
            <w:t xml:space="preserve">pretation of </w:t>
          </w:r>
          <w:proofErr w:type="spellStart"/>
          <w:r w:rsidR="003C5513">
            <w:t>p</w:t>
          </w:r>
          <w:r>
            <w:t>hysico</w:t>
          </w:r>
          <w:proofErr w:type="spellEnd"/>
          <w:r>
            <w:t>-</w:t>
          </w:r>
          <w:r w:rsidR="003C5513">
            <w:t>c</w:t>
          </w:r>
          <w:r>
            <w:t xml:space="preserve">hemical treatment </w:t>
          </w:r>
        </w:p>
        <w:p w14:paraId="6ABAB8B3" w14:textId="705B3808" w:rsidR="006673F9" w:rsidRDefault="006673F9" w:rsidP="006579C5">
          <w:r>
            <w:t xml:space="preserve">SEPA </w:t>
          </w:r>
          <w:r w:rsidR="00D97EE7">
            <w:t>considers</w:t>
          </w:r>
          <w:r>
            <w:t xml:space="preserve"> </w:t>
          </w:r>
          <w:proofErr w:type="spellStart"/>
          <w:r>
            <w:t>physico</w:t>
          </w:r>
          <w:proofErr w:type="spellEnd"/>
          <w:r>
            <w:t xml:space="preserve">-chemical treatment </w:t>
          </w:r>
          <w:r w:rsidR="00D97EE7">
            <w:t>to mean</w:t>
          </w:r>
          <w:r>
            <w:t xml:space="preserve"> a </w:t>
          </w:r>
          <w:r w:rsidR="00D97EE7">
            <w:t>combination</w:t>
          </w:r>
          <w:r>
            <w:t xml:space="preserve"> of physical and chemical </w:t>
          </w:r>
          <w:r w:rsidR="00345466">
            <w:t xml:space="preserve">treatment </w:t>
          </w:r>
          <w:r>
            <w:t xml:space="preserve">methods. </w:t>
          </w:r>
        </w:p>
        <w:p w14:paraId="417D1163" w14:textId="42526C98" w:rsidR="00D97EE7" w:rsidRDefault="006673F9" w:rsidP="006579C5">
          <w:r>
            <w:t xml:space="preserve">Physical dismantling of a waste motor vehicle, </w:t>
          </w:r>
          <w:r w:rsidR="003C5513">
            <w:t>offshore</w:t>
          </w:r>
          <w:r>
            <w:t xml:space="preserve"> equipment or </w:t>
          </w:r>
          <w:r w:rsidR="00A01364">
            <w:t>waste electrical and electronic equipment (“</w:t>
          </w:r>
          <w:r>
            <w:t>WEEE</w:t>
          </w:r>
          <w:r w:rsidR="00A01364">
            <w:t>”)</w:t>
          </w:r>
          <w:r>
            <w:t xml:space="preserve">, including the removal of hazardous materials and components, </w:t>
          </w:r>
          <w:r w:rsidR="001E4824">
            <w:t>is not</w:t>
          </w:r>
          <w:r>
            <w:t xml:space="preserve"> considered </w:t>
          </w:r>
          <w:proofErr w:type="spellStart"/>
          <w:r>
            <w:t>physico</w:t>
          </w:r>
          <w:proofErr w:type="spellEnd"/>
          <w:r>
            <w:t>-chemical treatment for the purpose of these activity descriptions.</w:t>
          </w:r>
          <w:r w:rsidR="0095131E">
            <w:t xml:space="preserve"> </w:t>
          </w:r>
          <w:r>
            <w:t>This includes remov</w:t>
          </w:r>
          <w:r w:rsidR="001E4824">
            <w:t>ing</w:t>
          </w:r>
          <w:r>
            <w:t xml:space="preserve"> components or dismantling by hand, us</w:t>
          </w:r>
          <w:r w:rsidR="001E4824">
            <w:t>ing</w:t>
          </w:r>
          <w:r>
            <w:t xml:space="preserve"> of hand tools </w:t>
          </w:r>
          <w:r w:rsidR="00D97EE7">
            <w:t xml:space="preserve">or specialist </w:t>
          </w:r>
          <w:r w:rsidR="00927677">
            <w:t>equipment,</w:t>
          </w:r>
          <w:r>
            <w:t xml:space="preserve"> and</w:t>
          </w:r>
          <w:r w:rsidR="00D97EE7">
            <w:t xml:space="preserve"> </w:t>
          </w:r>
          <w:r w:rsidR="001E4824">
            <w:t>removing</w:t>
          </w:r>
          <w:r>
            <w:t xml:space="preserve"> fluids for collection. </w:t>
          </w:r>
        </w:p>
        <w:p w14:paraId="70DB7202" w14:textId="3FFDE639" w:rsidR="00D97EE7" w:rsidRPr="0096745E" w:rsidRDefault="004D52A5" w:rsidP="006579C5">
          <w:pPr>
            <w:rPr>
              <w:rFonts w:ascii="Arial" w:eastAsia="Times New Roman" w:hAnsi="Arial" w:cs="Arial"/>
              <w:b/>
              <w:color w:val="016574"/>
              <w:sz w:val="40"/>
              <w:szCs w:val="32"/>
            </w:rPr>
          </w:pPr>
          <w:r>
            <w:t>Treating</w:t>
          </w:r>
          <w:r w:rsidR="00D97EE7">
            <w:t xml:space="preserve"> waste in a way which does not change </w:t>
          </w:r>
          <w:r>
            <w:t>its</w:t>
          </w:r>
          <w:r w:rsidR="00D97EE7">
            <w:t xml:space="preserve"> composition, such as compaction or other re-packing would not normally be considered </w:t>
          </w:r>
          <w:proofErr w:type="spellStart"/>
          <w:r w:rsidR="00D97EE7">
            <w:t>physico</w:t>
          </w:r>
          <w:proofErr w:type="spellEnd"/>
          <w:r w:rsidR="00D97EE7">
            <w:t xml:space="preserve">-chemical treatment. However, where compaction does result in a change in the composition of the waste, the activity may be </w:t>
          </w:r>
          <w:proofErr w:type="spellStart"/>
          <w:r w:rsidR="00D97EE7">
            <w:t>physico</w:t>
          </w:r>
          <w:proofErr w:type="spellEnd"/>
          <w:r w:rsidR="00D97EE7">
            <w:t>-chemical and should be discussed with SEPA.</w:t>
          </w:r>
        </w:p>
        <w:p w14:paraId="7BBF8102" w14:textId="77777777" w:rsidR="00442CAA" w:rsidRDefault="007807DF" w:rsidP="006579C5">
          <w:r>
            <w:lastRenderedPageBreak/>
            <w:t xml:space="preserve">Treating </w:t>
          </w:r>
          <w:r w:rsidR="006673F9">
            <w:t>waste</w:t>
          </w:r>
          <w:r w:rsidR="00D97EE7">
            <w:t xml:space="preserve"> </w:t>
          </w:r>
          <w:r>
            <w:t>using</w:t>
          </w:r>
          <w:r w:rsidR="006673F9">
            <w:t xml:space="preserve"> a combination of physical and chemical methods, such as physical processes including air-stripping or filtration and chemical processes including coagulation, chlorination or ozonation may be </w:t>
          </w:r>
          <w:proofErr w:type="spellStart"/>
          <w:r w:rsidR="006673F9">
            <w:t>physico</w:t>
          </w:r>
          <w:proofErr w:type="spellEnd"/>
          <w:r w:rsidR="006673F9">
            <w:t>-chemical and should be discussed with SEPA.</w:t>
          </w:r>
        </w:p>
        <w:p w14:paraId="03803D12" w14:textId="77777777" w:rsidR="00442CAA" w:rsidRPr="00442CAA" w:rsidRDefault="00442CAA" w:rsidP="00442CAA">
          <w:pPr>
            <w:rPr>
              <w:b/>
              <w:bCs/>
              <w:color w:val="016574" w:themeColor="accent2"/>
              <w:sz w:val="32"/>
              <w:szCs w:val="32"/>
            </w:rPr>
          </w:pPr>
          <w:r w:rsidRPr="00442CAA">
            <w:rPr>
              <w:b/>
              <w:bCs/>
              <w:color w:val="016574" w:themeColor="accent2"/>
              <w:sz w:val="32"/>
              <w:szCs w:val="32"/>
            </w:rPr>
            <w:t>Disclaimer </w:t>
          </w:r>
        </w:p>
        <w:p w14:paraId="74CF6A2B" w14:textId="77777777" w:rsidR="000158E1" w:rsidRPr="000158E1" w:rsidRDefault="000158E1" w:rsidP="000158E1">
          <w:r w:rsidRPr="000158E1">
            <w:t xml:space="preserve">This guidance is based on the law as it stood when the guidance was published. </w:t>
          </w:r>
        </w:p>
        <w:p w14:paraId="5428E343" w14:textId="77777777" w:rsidR="000158E1" w:rsidRPr="000158E1" w:rsidRDefault="000158E1" w:rsidP="000158E1">
          <w:r w:rsidRPr="000158E1">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FA3740E" w14:textId="77777777" w:rsidR="000158E1" w:rsidRPr="000158E1" w:rsidRDefault="000158E1" w:rsidP="000158E1">
          <w:pPr>
            <w:numPr>
              <w:ilvl w:val="0"/>
              <w:numId w:val="14"/>
            </w:numPr>
          </w:pPr>
          <w:r w:rsidRPr="000158E1">
            <w:t>any direct, indirect and consequential losses</w:t>
          </w:r>
        </w:p>
        <w:p w14:paraId="7CA81A71" w14:textId="77777777" w:rsidR="000158E1" w:rsidRPr="000158E1" w:rsidRDefault="000158E1" w:rsidP="000158E1">
          <w:pPr>
            <w:numPr>
              <w:ilvl w:val="0"/>
              <w:numId w:val="14"/>
            </w:numPr>
          </w:pPr>
          <w:r w:rsidRPr="000158E1">
            <w:t>any loss or damage caused by civil wrongs, breach of contract or otherwise</w:t>
          </w:r>
        </w:p>
        <w:p w14:paraId="580B6DB1" w14:textId="77777777" w:rsidR="000158E1" w:rsidRPr="000158E1" w:rsidRDefault="000158E1" w:rsidP="000158E1">
          <w:r w:rsidRPr="000158E1">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p w14:paraId="28FC1FFC" w14:textId="2D8FABD3" w:rsidR="006673F9" w:rsidRDefault="000158E1" w:rsidP="006579C5"/>
      </w:sdtContent>
    </w:sdt>
    <w:p w14:paraId="705696A3" w14:textId="77777777" w:rsidR="006673F9" w:rsidRDefault="006673F9" w:rsidP="00E245AC">
      <w:pPr>
        <w:pStyle w:val="BodyText1"/>
      </w:pPr>
    </w:p>
    <w:p w14:paraId="6D76BBBB" w14:textId="77777777" w:rsidR="006673F9" w:rsidRDefault="006673F9" w:rsidP="00E245AC">
      <w:pPr>
        <w:pStyle w:val="BodyText1"/>
      </w:pPr>
    </w:p>
    <w:p w14:paraId="613E19DC" w14:textId="77777777" w:rsidR="000158E1" w:rsidRDefault="000158E1" w:rsidP="00E245AC">
      <w:pPr>
        <w:pStyle w:val="BodyText1"/>
      </w:pPr>
    </w:p>
    <w:p w14:paraId="11D04E87" w14:textId="563D18F6" w:rsidR="006243FF" w:rsidRPr="00194D3A" w:rsidRDefault="00194D3A" w:rsidP="00194D3A">
      <w:pPr>
        <w:pStyle w:val="BodyText1"/>
        <w:rPr>
          <w:sz w:val="32"/>
          <w:szCs w:val="32"/>
        </w:rPr>
      </w:pPr>
      <w:r w:rsidRPr="00194D3A">
        <w:rPr>
          <w:sz w:val="32"/>
          <w:szCs w:val="32"/>
        </w:rPr>
        <w:t xml:space="preserve">If you would like this document in an accessible format, such as large print, audio recording or braille, please contact SEPA by emailing </w:t>
      </w:r>
      <w:hyperlink r:id="rId12" w:tgtFrame="_blank" w:history="1">
        <w:r w:rsidRPr="00194D3A">
          <w:rPr>
            <w:rStyle w:val="Hyperlink"/>
            <w:sz w:val="32"/>
            <w:szCs w:val="32"/>
          </w:rPr>
          <w:t>equalities@sepa.org.uk</w:t>
        </w:r>
      </w:hyperlink>
      <w:r w:rsidRPr="00194D3A">
        <w:rPr>
          <w:sz w:val="32"/>
          <w:szCs w:val="32"/>
        </w:rPr>
        <w:t> </w:t>
      </w:r>
    </w:p>
    <w:sectPr w:rsidR="006243FF" w:rsidRPr="00194D3A" w:rsidSect="00917BB1">
      <w:headerReference w:type="default" r:id="rId13"/>
      <w:footerReference w:type="even" r:id="rId14"/>
      <w:footerReference w:type="default" r:id="rId15"/>
      <w:headerReference w:type="first" r:id="rId16"/>
      <w:footerReference w:type="first" r:id="rId1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395F" w14:textId="77777777" w:rsidR="0093330F" w:rsidRDefault="0093330F" w:rsidP="00660C79">
      <w:pPr>
        <w:spacing w:line="240" w:lineRule="auto"/>
      </w:pPr>
      <w:r>
        <w:separator/>
      </w:r>
    </w:p>
  </w:endnote>
  <w:endnote w:type="continuationSeparator" w:id="0">
    <w:p w14:paraId="40B171D6" w14:textId="77777777" w:rsidR="0093330F" w:rsidRDefault="0093330F" w:rsidP="00660C79">
      <w:pPr>
        <w:spacing w:line="240" w:lineRule="auto"/>
      </w:pPr>
      <w:r>
        <w:continuationSeparator/>
      </w:r>
    </w:p>
  </w:endnote>
  <w:endnote w:type="continuationNotice" w:id="1">
    <w:p w14:paraId="41B32B2E" w14:textId="77777777" w:rsidR="0093330F" w:rsidRDefault="00933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61B77195"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58D51F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8E9D1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4D20" w14:textId="77777777" w:rsidR="00EC6A73" w:rsidRDefault="002369CA" w:rsidP="00917BB1">
    <w:pPr>
      <w:pStyle w:val="Footer"/>
      <w:ind w:right="360"/>
    </w:pPr>
    <w:r>
      <w:rPr>
        <w:noProof/>
      </w:rPr>
      <mc:AlternateContent>
        <mc:Choice Requires="wps">
          <w:drawing>
            <wp:anchor distT="0" distB="0" distL="114300" distR="114300" simplePos="0" relativeHeight="251658244" behindDoc="0" locked="0" layoutInCell="0" allowOverlap="1" wp14:anchorId="0E378800" wp14:editId="036919C2">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EECA6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78800" id="_x0000_t202" coordsize="21600,21600" o:spt="202" path="m,l,21600r21600,l21600,xe">
              <v:stroke joinstyle="miter"/>
              <v:path gradientshapeok="t" o:connecttype="rect"/>
            </v:shapetype>
            <v:shape id="MSIPCM5e5e4a189a8ec75f16fc991b" o:spid="_x0000_s102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7AEECA6E"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4DC1AFB2"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20DCBF7" wp14:editId="1656AE2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v:line id="Straight Connector 10"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676D5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1A7E2F29" w14:textId="7580B120" w:rsidR="00EC6A73" w:rsidRDefault="00B07511" w:rsidP="00EC6A73">
        <w:pPr>
          <w:pStyle w:val="Footer"/>
          <w:framePr w:wrap="none" w:vAnchor="text" w:hAnchor="page" w:x="10958" w:y="9"/>
          <w:rPr>
            <w:rStyle w:val="PageNumber"/>
          </w:rPr>
        </w:pPr>
        <w:r>
          <w:rPr>
            <w:rStyle w:val="PageNumber"/>
          </w:rPr>
          <w:t>2</w:t>
        </w:r>
      </w:p>
    </w:sdtContent>
  </w:sdt>
  <w:p w14:paraId="75E3F628" w14:textId="77777777" w:rsidR="00917BB1" w:rsidRDefault="00917BB1" w:rsidP="00917BB1">
    <w:pPr>
      <w:pStyle w:val="Footer"/>
      <w:ind w:right="360"/>
    </w:pPr>
    <w:r>
      <w:rPr>
        <w:noProof/>
      </w:rPr>
      <w:drawing>
        <wp:inline distT="0" distB="0" distL="0" distR="0" wp14:anchorId="1664E079" wp14:editId="3704398E">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364422"/>
      <w:docPartObj>
        <w:docPartGallery w:val="Page Numbers (Bottom of Page)"/>
        <w:docPartUnique/>
      </w:docPartObj>
    </w:sdtPr>
    <w:sdtEndPr>
      <w:rPr>
        <w:noProof/>
      </w:rPr>
    </w:sdtEndPr>
    <w:sdtContent>
      <w:p w14:paraId="1B1130B7" w14:textId="351C960F" w:rsidR="00B07511" w:rsidRDefault="00B07511">
        <w:pPr>
          <w:pStyle w:val="Footer"/>
          <w:jc w:val="right"/>
        </w:pPr>
        <w:r>
          <w:t>1</w:t>
        </w:r>
      </w:p>
    </w:sdtContent>
  </w:sdt>
  <w:p w14:paraId="2D80A92D" w14:textId="1E1EB4F7" w:rsidR="002369CA" w:rsidRDefault="00236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6B0C" w14:textId="77777777" w:rsidR="0093330F" w:rsidRDefault="0093330F" w:rsidP="00660C79">
      <w:pPr>
        <w:spacing w:line="240" w:lineRule="auto"/>
      </w:pPr>
      <w:r>
        <w:separator/>
      </w:r>
    </w:p>
  </w:footnote>
  <w:footnote w:type="continuationSeparator" w:id="0">
    <w:p w14:paraId="20E11B1E" w14:textId="77777777" w:rsidR="0093330F" w:rsidRDefault="0093330F" w:rsidP="00660C79">
      <w:pPr>
        <w:spacing w:line="240" w:lineRule="auto"/>
      </w:pPr>
      <w:r>
        <w:continuationSeparator/>
      </w:r>
    </w:p>
  </w:footnote>
  <w:footnote w:type="continuationNotice" w:id="1">
    <w:p w14:paraId="27816E5F" w14:textId="77777777" w:rsidR="0093330F" w:rsidRDefault="009333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E0D6" w14:textId="7350A831"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0ED5103D" wp14:editId="1EDCB2CD">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57651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D5103D" id="_x0000_t202" coordsize="21600,21600" o:spt="202" path="m,l,21600r21600,l21600,xe">
              <v:stroke joinstyle="miter"/>
              <v:path gradientshapeok="t" o:connecttype="rect"/>
            </v:shapetype>
            <v:shape id="MSIPCM3e7c4667b3fb4a16462b8c07" o:spid="_x0000_s1026"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6D576512"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C378F9">
      <w:rPr>
        <w:color w:val="6E7571" w:themeColor="text2"/>
      </w:rPr>
      <w:t xml:space="preserve">Interpretation of </w:t>
    </w:r>
    <w:proofErr w:type="spellStart"/>
    <w:r w:rsidR="00C378F9">
      <w:rPr>
        <w:color w:val="6E7571" w:themeColor="text2"/>
      </w:rPr>
      <w:t>physico</w:t>
    </w:r>
    <w:proofErr w:type="spellEnd"/>
    <w:r w:rsidR="00C378F9">
      <w:rPr>
        <w:color w:val="6E7571" w:themeColor="text2"/>
      </w:rPr>
      <w:t>-chemical treatment</w:t>
    </w:r>
  </w:p>
  <w:p w14:paraId="73CC5F0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3C4369F" wp14:editId="69702490">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dec="http://schemas.microsoft.com/office/drawing/2017/decorative" xmlns:a="http://schemas.openxmlformats.org/drawingml/2006/main">
          <w:pict>
            <v:line id="Straight Connector 7"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5BC0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0DDF" w14:textId="77777777" w:rsidR="002369CA" w:rsidRDefault="002369CA">
    <w:pPr>
      <w:pStyle w:val="Header"/>
    </w:pPr>
    <w:r>
      <w:rPr>
        <w:noProof/>
      </w:rPr>
      <mc:AlternateContent>
        <mc:Choice Requires="wps">
          <w:drawing>
            <wp:anchor distT="0" distB="0" distL="114300" distR="114300" simplePos="0" relativeHeight="251658243" behindDoc="0" locked="0" layoutInCell="0" allowOverlap="1" wp14:anchorId="3820CDE2" wp14:editId="5D873403">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CFEE97"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820CDE2" id="_x0000_t202" coordsize="21600,21600" o:spt="202" path="m,l,21600r21600,l21600,xe">
              <v:stroke joinstyle="miter"/>
              <v:path gradientshapeok="t" o:connecttype="rect"/>
            </v:shapetype>
            <v:shape id="MSIPCMa3a54bf5b0225d2ae74b3b10" o:spid="_x0000_s1028"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5ACFEE97"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0E02B2"/>
    <w:multiLevelType w:val="multilevel"/>
    <w:tmpl w:val="0FF0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7267CC5"/>
    <w:multiLevelType w:val="multilevel"/>
    <w:tmpl w:val="C31E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13"/>
  </w:num>
  <w:num w:numId="12" w16cid:durableId="1253122534">
    <w:abstractNumId w:val="10"/>
  </w:num>
  <w:num w:numId="13" w16cid:durableId="739326169">
    <w:abstractNumId w:val="12"/>
  </w:num>
  <w:num w:numId="14" w16cid:durableId="230384299">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F9"/>
    <w:rsid w:val="000158E1"/>
    <w:rsid w:val="00032829"/>
    <w:rsid w:val="00040561"/>
    <w:rsid w:val="00070937"/>
    <w:rsid w:val="000B7559"/>
    <w:rsid w:val="000E0D15"/>
    <w:rsid w:val="000E2FC4"/>
    <w:rsid w:val="000F1ECC"/>
    <w:rsid w:val="00105F31"/>
    <w:rsid w:val="0011594C"/>
    <w:rsid w:val="0012089B"/>
    <w:rsid w:val="00194D3A"/>
    <w:rsid w:val="001E4824"/>
    <w:rsid w:val="00236552"/>
    <w:rsid w:val="002369CA"/>
    <w:rsid w:val="002403E3"/>
    <w:rsid w:val="00256B91"/>
    <w:rsid w:val="00281BB1"/>
    <w:rsid w:val="00284817"/>
    <w:rsid w:val="002C7710"/>
    <w:rsid w:val="0030096D"/>
    <w:rsid w:val="0030479F"/>
    <w:rsid w:val="00317618"/>
    <w:rsid w:val="00324E76"/>
    <w:rsid w:val="00345466"/>
    <w:rsid w:val="003C5513"/>
    <w:rsid w:val="003F5384"/>
    <w:rsid w:val="004073BC"/>
    <w:rsid w:val="00411CBE"/>
    <w:rsid w:val="00412609"/>
    <w:rsid w:val="00442CAA"/>
    <w:rsid w:val="004436E0"/>
    <w:rsid w:val="00444AA1"/>
    <w:rsid w:val="00452550"/>
    <w:rsid w:val="00466D27"/>
    <w:rsid w:val="004D52A5"/>
    <w:rsid w:val="004D6DB1"/>
    <w:rsid w:val="005116B4"/>
    <w:rsid w:val="00550C88"/>
    <w:rsid w:val="005759EF"/>
    <w:rsid w:val="005900AA"/>
    <w:rsid w:val="005A355E"/>
    <w:rsid w:val="005D1213"/>
    <w:rsid w:val="005D7437"/>
    <w:rsid w:val="005E1385"/>
    <w:rsid w:val="006033E7"/>
    <w:rsid w:val="006243FF"/>
    <w:rsid w:val="00631A40"/>
    <w:rsid w:val="006579C5"/>
    <w:rsid w:val="00660C79"/>
    <w:rsid w:val="006673F9"/>
    <w:rsid w:val="006D16CE"/>
    <w:rsid w:val="006D348A"/>
    <w:rsid w:val="00760F9A"/>
    <w:rsid w:val="00760FA8"/>
    <w:rsid w:val="00766162"/>
    <w:rsid w:val="00775B91"/>
    <w:rsid w:val="007807DF"/>
    <w:rsid w:val="007A27CF"/>
    <w:rsid w:val="007C3F12"/>
    <w:rsid w:val="007D441B"/>
    <w:rsid w:val="00801105"/>
    <w:rsid w:val="00824780"/>
    <w:rsid w:val="008304A2"/>
    <w:rsid w:val="00861B46"/>
    <w:rsid w:val="008A5426"/>
    <w:rsid w:val="008B2578"/>
    <w:rsid w:val="008C1A73"/>
    <w:rsid w:val="008D113C"/>
    <w:rsid w:val="008D376F"/>
    <w:rsid w:val="00917BB1"/>
    <w:rsid w:val="00927677"/>
    <w:rsid w:val="0093330F"/>
    <w:rsid w:val="0093727D"/>
    <w:rsid w:val="0095131E"/>
    <w:rsid w:val="0096745E"/>
    <w:rsid w:val="00975D21"/>
    <w:rsid w:val="00980531"/>
    <w:rsid w:val="00994CBD"/>
    <w:rsid w:val="009A240D"/>
    <w:rsid w:val="00A01364"/>
    <w:rsid w:val="00A14C43"/>
    <w:rsid w:val="00A22A02"/>
    <w:rsid w:val="00A4691F"/>
    <w:rsid w:val="00A825CF"/>
    <w:rsid w:val="00A9349C"/>
    <w:rsid w:val="00AB2E3B"/>
    <w:rsid w:val="00AD5E7B"/>
    <w:rsid w:val="00AE068C"/>
    <w:rsid w:val="00B07511"/>
    <w:rsid w:val="00B22748"/>
    <w:rsid w:val="00B26B28"/>
    <w:rsid w:val="00B32359"/>
    <w:rsid w:val="00B46E48"/>
    <w:rsid w:val="00B54CF4"/>
    <w:rsid w:val="00B758D5"/>
    <w:rsid w:val="00BE60E1"/>
    <w:rsid w:val="00BF7190"/>
    <w:rsid w:val="00C378F9"/>
    <w:rsid w:val="00C569B9"/>
    <w:rsid w:val="00C63AF5"/>
    <w:rsid w:val="00CA2709"/>
    <w:rsid w:val="00CF7EFB"/>
    <w:rsid w:val="00D006E7"/>
    <w:rsid w:val="00D35448"/>
    <w:rsid w:val="00D50803"/>
    <w:rsid w:val="00D661AD"/>
    <w:rsid w:val="00D97EE7"/>
    <w:rsid w:val="00DC1FC5"/>
    <w:rsid w:val="00E12094"/>
    <w:rsid w:val="00E154AD"/>
    <w:rsid w:val="00E245AC"/>
    <w:rsid w:val="00E62524"/>
    <w:rsid w:val="00E67C75"/>
    <w:rsid w:val="00E87D92"/>
    <w:rsid w:val="00EA297B"/>
    <w:rsid w:val="00EC6A73"/>
    <w:rsid w:val="00ED3EE7"/>
    <w:rsid w:val="00F07048"/>
    <w:rsid w:val="00F23076"/>
    <w:rsid w:val="00F366A4"/>
    <w:rsid w:val="00F417D5"/>
    <w:rsid w:val="00F5514B"/>
    <w:rsid w:val="00F60DD8"/>
    <w:rsid w:val="00F72274"/>
    <w:rsid w:val="00F835FF"/>
    <w:rsid w:val="00F95ECD"/>
    <w:rsid w:val="00FA5965"/>
    <w:rsid w:val="00FF5D5A"/>
    <w:rsid w:val="00FF669F"/>
    <w:rsid w:val="088B71A6"/>
    <w:rsid w:val="4F8571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C0F34"/>
  <w15:chartTrackingRefBased/>
  <w15:docId w15:val="{3893C309-60CC-477C-9BD2-5E5FBDAA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6243">
      <w:bodyDiv w:val="1"/>
      <w:marLeft w:val="0"/>
      <w:marRight w:val="0"/>
      <w:marTop w:val="0"/>
      <w:marBottom w:val="0"/>
      <w:divBdr>
        <w:top w:val="none" w:sz="0" w:space="0" w:color="auto"/>
        <w:left w:val="none" w:sz="0" w:space="0" w:color="auto"/>
        <w:bottom w:val="none" w:sz="0" w:space="0" w:color="auto"/>
        <w:right w:val="none" w:sz="0" w:space="0" w:color="auto"/>
      </w:divBdr>
    </w:div>
    <w:div w:id="417213689">
      <w:bodyDiv w:val="1"/>
      <w:marLeft w:val="0"/>
      <w:marRight w:val="0"/>
      <w:marTop w:val="0"/>
      <w:marBottom w:val="0"/>
      <w:divBdr>
        <w:top w:val="none" w:sz="0" w:space="0" w:color="auto"/>
        <w:left w:val="none" w:sz="0" w:space="0" w:color="auto"/>
        <w:bottom w:val="none" w:sz="0" w:space="0" w:color="auto"/>
        <w:right w:val="none" w:sz="0" w:space="0" w:color="auto"/>
      </w:divBdr>
    </w:div>
    <w:div w:id="1447312866">
      <w:bodyDiv w:val="1"/>
      <w:marLeft w:val="0"/>
      <w:marRight w:val="0"/>
      <w:marTop w:val="0"/>
      <w:marBottom w:val="0"/>
      <w:divBdr>
        <w:top w:val="none" w:sz="0" w:space="0" w:color="auto"/>
        <w:left w:val="none" w:sz="0" w:space="0" w:color="auto"/>
        <w:bottom w:val="none" w:sz="0" w:space="0" w:color="auto"/>
        <w:right w:val="none" w:sz="0" w:space="0" w:color="auto"/>
      </w:divBdr>
      <w:divsChild>
        <w:div w:id="342979150">
          <w:marLeft w:val="0"/>
          <w:marRight w:val="0"/>
          <w:marTop w:val="0"/>
          <w:marBottom w:val="0"/>
          <w:divBdr>
            <w:top w:val="none" w:sz="0" w:space="0" w:color="auto"/>
            <w:left w:val="none" w:sz="0" w:space="0" w:color="auto"/>
            <w:bottom w:val="none" w:sz="0" w:space="0" w:color="auto"/>
            <w:right w:val="none" w:sz="0" w:space="0" w:color="auto"/>
          </w:divBdr>
        </w:div>
        <w:div w:id="659621564">
          <w:marLeft w:val="0"/>
          <w:marRight w:val="0"/>
          <w:marTop w:val="0"/>
          <w:marBottom w:val="0"/>
          <w:divBdr>
            <w:top w:val="none" w:sz="0" w:space="0" w:color="auto"/>
            <w:left w:val="none" w:sz="0" w:space="0" w:color="auto"/>
            <w:bottom w:val="none" w:sz="0" w:space="0" w:color="auto"/>
            <w:right w:val="none" w:sz="0" w:space="0" w:color="auto"/>
          </w:divBdr>
        </w:div>
        <w:div w:id="1433091013">
          <w:marLeft w:val="0"/>
          <w:marRight w:val="0"/>
          <w:marTop w:val="0"/>
          <w:marBottom w:val="0"/>
          <w:divBdr>
            <w:top w:val="none" w:sz="0" w:space="0" w:color="auto"/>
            <w:left w:val="none" w:sz="0" w:space="0" w:color="auto"/>
            <w:bottom w:val="none" w:sz="0" w:space="0" w:color="auto"/>
            <w:right w:val="none" w:sz="0" w:space="0" w:color="auto"/>
          </w:divBdr>
        </w:div>
        <w:div w:id="2134402686">
          <w:marLeft w:val="0"/>
          <w:marRight w:val="0"/>
          <w:marTop w:val="0"/>
          <w:marBottom w:val="0"/>
          <w:divBdr>
            <w:top w:val="none" w:sz="0" w:space="0" w:color="auto"/>
            <w:left w:val="none" w:sz="0" w:space="0" w:color="auto"/>
            <w:bottom w:val="none" w:sz="0" w:space="0" w:color="auto"/>
            <w:right w:val="none" w:sz="0" w:space="0" w:color="auto"/>
          </w:divBdr>
        </w:div>
      </w:divsChild>
    </w:div>
    <w:div w:id="2053846121">
      <w:bodyDiv w:val="1"/>
      <w:marLeft w:val="0"/>
      <w:marRight w:val="0"/>
      <w:marTop w:val="0"/>
      <w:marBottom w:val="0"/>
      <w:divBdr>
        <w:top w:val="none" w:sz="0" w:space="0" w:color="auto"/>
        <w:left w:val="none" w:sz="0" w:space="0" w:color="auto"/>
        <w:bottom w:val="none" w:sz="0" w:space="0" w:color="auto"/>
        <w:right w:val="none" w:sz="0" w:space="0" w:color="auto"/>
      </w:divBdr>
      <w:divsChild>
        <w:div w:id="177619008">
          <w:marLeft w:val="0"/>
          <w:marRight w:val="0"/>
          <w:marTop w:val="0"/>
          <w:marBottom w:val="0"/>
          <w:divBdr>
            <w:top w:val="none" w:sz="0" w:space="0" w:color="auto"/>
            <w:left w:val="none" w:sz="0" w:space="0" w:color="auto"/>
            <w:bottom w:val="none" w:sz="0" w:space="0" w:color="auto"/>
            <w:right w:val="none" w:sz="0" w:space="0" w:color="auto"/>
          </w:divBdr>
        </w:div>
        <w:div w:id="863901339">
          <w:marLeft w:val="0"/>
          <w:marRight w:val="0"/>
          <w:marTop w:val="0"/>
          <w:marBottom w:val="0"/>
          <w:divBdr>
            <w:top w:val="none" w:sz="0" w:space="0" w:color="auto"/>
            <w:left w:val="none" w:sz="0" w:space="0" w:color="auto"/>
            <w:bottom w:val="none" w:sz="0" w:space="0" w:color="auto"/>
            <w:right w:val="none" w:sz="0" w:space="0" w:color="auto"/>
          </w:divBdr>
        </w:div>
        <w:div w:id="866606418">
          <w:marLeft w:val="0"/>
          <w:marRight w:val="0"/>
          <w:marTop w:val="0"/>
          <w:marBottom w:val="0"/>
          <w:divBdr>
            <w:top w:val="none" w:sz="0" w:space="0" w:color="auto"/>
            <w:left w:val="none" w:sz="0" w:space="0" w:color="auto"/>
            <w:bottom w:val="none" w:sz="0" w:space="0" w:color="auto"/>
            <w:right w:val="none" w:sz="0" w:space="0" w:color="auto"/>
          </w:divBdr>
        </w:div>
        <w:div w:id="1454789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alities@sepa.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168F4-C533-40B3-86BA-6A3C29922A5C}">
  <ds:schemaRefs>
    <ds:schemaRef ds:uri="http://schemas.microsoft.com/sharepoint/v3/contenttype/forms"/>
  </ds:schemaRefs>
</ds:datastoreItem>
</file>

<file path=customXml/itemProps2.xml><?xml version="1.0" encoding="utf-8"?>
<ds:datastoreItem xmlns:ds="http://schemas.openxmlformats.org/officeDocument/2006/customXml" ds:itemID="{C1D85CCA-BC1A-4FEF-9B84-1B4E42172721}">
  <ds:schemaRef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ce5b52f7-9556-48ad-bf4f-1238de82834a"/>
    <ds:schemaRef ds:uri="7dd4d6b0-2bd1-40f7-94aa-8d4785e79023"/>
    <ds:schemaRef ds:uri="http://schemas.microsoft.com/office/2006/metadata/properties"/>
  </ds:schemaRefs>
</ds:datastoreItem>
</file>

<file path=customXml/itemProps3.xml><?xml version="1.0" encoding="utf-8"?>
<ds:datastoreItem xmlns:ds="http://schemas.openxmlformats.org/officeDocument/2006/customXml" ds:itemID="{959DF17B-39EA-4F30-9804-D85DA058C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49</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Ross, Naomi</cp:lastModifiedBy>
  <cp:revision>27</cp:revision>
  <cp:lastPrinted>2023-03-24T04:44:00Z</cp:lastPrinted>
  <dcterms:created xsi:type="dcterms:W3CDTF">2025-02-14T05:18:00Z</dcterms:created>
  <dcterms:modified xsi:type="dcterms:W3CDTF">2025-05-01T14:36:00Z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