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91923907"/>
        <w:docPartObj>
          <w:docPartGallery w:val="Cover Pages"/>
          <w:docPartUnique/>
        </w:docPartObj>
      </w:sdtPr>
      <w:sdtEndPr>
        <w:rPr>
          <w:b w:val="0"/>
        </w:rPr>
      </w:sdtEndPr>
      <w:sdtContent>
        <w:p w14:paraId="6B8F2561" w14:textId="77777777" w:rsidR="004073BC" w:rsidRDefault="00F72274" w:rsidP="004157FD">
          <w:pPr>
            <w:pStyle w:val="BodyText1"/>
          </w:pPr>
          <w:r>
            <w:rPr>
              <w:noProof/>
            </w:rPr>
            <w:drawing>
              <wp:anchor distT="0" distB="0" distL="114300" distR="114300" simplePos="0" relativeHeight="251658241" behindDoc="1" locked="0" layoutInCell="1" allowOverlap="1" wp14:anchorId="7D33EC4B" wp14:editId="36B019C1">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3754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704BDD8E">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6D99E9A7" w14:textId="77777777" w:rsidR="004073BC" w:rsidRDefault="004073BC" w:rsidP="004157FD">
          <w:pPr>
            <w:pStyle w:val="BodyText1"/>
          </w:pPr>
        </w:p>
        <w:p w14:paraId="44A5AFC4" w14:textId="77777777" w:rsidR="004073BC" w:rsidRDefault="004073BC" w:rsidP="004157FD">
          <w:pPr>
            <w:pStyle w:val="BodyText1"/>
          </w:pPr>
        </w:p>
        <w:p w14:paraId="2354D509" w14:textId="77777777" w:rsidR="004073BC" w:rsidRDefault="004073BC" w:rsidP="00BB7C4B">
          <w:pPr>
            <w:spacing w:after="240"/>
          </w:pPr>
        </w:p>
        <w:p w14:paraId="087D8427" w14:textId="77777777" w:rsidR="004073BC" w:rsidRDefault="004073BC" w:rsidP="00BB7C4B">
          <w:pPr>
            <w:spacing w:after="240"/>
          </w:pPr>
        </w:p>
        <w:p w14:paraId="52438364" w14:textId="77777777" w:rsidR="004073BC" w:rsidRDefault="004073BC" w:rsidP="00BB7C4B">
          <w:pPr>
            <w:spacing w:after="240"/>
          </w:pPr>
        </w:p>
        <w:p w14:paraId="54B82023" w14:textId="67F1EF1B" w:rsidR="007F2394" w:rsidRDefault="00281BB1" w:rsidP="00BB7C4B">
          <w:pPr>
            <w:spacing w:after="240"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545BE8CB" wp14:editId="6AEBC79F">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26322E97" w14:textId="2E22CC32" w:rsidR="00281BB1" w:rsidRPr="009A240D" w:rsidRDefault="00D02904" w:rsidP="00281BB1">
                                <w:pPr>
                                  <w:pStyle w:val="BodyText1"/>
                                  <w:rPr>
                                    <w:color w:val="FFFFFF" w:themeColor="background1"/>
                                  </w:rPr>
                                </w:pPr>
                                <w:r>
                                  <w:rPr>
                                    <w:color w:val="FFFFFF" w:themeColor="background1"/>
                                  </w:rPr>
                                  <w:t>September</w:t>
                                </w:r>
                                <w:r w:rsidR="007F2394">
                                  <w:rPr>
                                    <w:color w:val="FFFFFF" w:themeColor="background1"/>
                                  </w:rPr>
                                  <w:t xml:space="preserve"> 202</w:t>
                                </w:r>
                                <w:r w:rsidR="00BE0655">
                                  <w:rPr>
                                    <w:color w:val="FFFFFF" w:themeColor="background1"/>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26322E97" w14:textId="2E22CC32" w:rsidR="00281BB1" w:rsidRPr="009A240D" w:rsidRDefault="00D02904" w:rsidP="00281BB1">
                          <w:pPr>
                            <w:pStyle w:val="BodyText1"/>
                            <w:rPr>
                              <w:color w:val="FFFFFF" w:themeColor="background1"/>
                            </w:rPr>
                          </w:pPr>
                          <w:r>
                            <w:rPr>
                              <w:color w:val="FFFFFF" w:themeColor="background1"/>
                            </w:rPr>
                            <w:t>September</w:t>
                          </w:r>
                          <w:r w:rsidR="007F2394">
                            <w:rPr>
                              <w:color w:val="FFFFFF" w:themeColor="background1"/>
                            </w:rPr>
                            <w:t xml:space="preserve"> 202</w:t>
                          </w:r>
                          <w:r w:rsidR="00BE0655">
                            <w:rPr>
                              <w:color w:val="FFFFFF" w:themeColor="background1"/>
                            </w:rPr>
                            <w:t>6</w:t>
                          </w:r>
                        </w:p>
                      </w:txbxContent>
                    </v:textbox>
                    <w10:anchorlock/>
                  </v:shape>
                </w:pict>
              </mc:Fallback>
            </mc:AlternateContent>
          </w:r>
          <w:r w:rsidR="007F2394">
            <w:rPr>
              <w:b/>
              <w:bCs/>
              <w:color w:val="FFFFFF" w:themeColor="background1"/>
              <w:sz w:val="84"/>
              <w:szCs w:val="84"/>
            </w:rPr>
            <w:t>Marine pen fish farm seabed mixing zone</w:t>
          </w:r>
          <w:r w:rsidR="008B0B6B">
            <w:rPr>
              <w:b/>
              <w:bCs/>
              <w:color w:val="FFFFFF" w:themeColor="background1"/>
              <w:sz w:val="84"/>
              <w:szCs w:val="84"/>
            </w:rPr>
            <w:t>:</w:t>
          </w:r>
          <w:r w:rsidR="00D02904">
            <w:rPr>
              <w:b/>
              <w:bCs/>
              <w:color w:val="FFFFFF" w:themeColor="background1"/>
              <w:sz w:val="84"/>
              <w:szCs w:val="84"/>
            </w:rPr>
            <w:t xml:space="preserve"> </w:t>
          </w:r>
          <w:r w:rsidR="007F2394">
            <w:rPr>
              <w:b/>
              <w:bCs/>
              <w:color w:val="FFFFFF" w:themeColor="background1"/>
              <w:sz w:val="84"/>
              <w:szCs w:val="84"/>
            </w:rPr>
            <w:t xml:space="preserve">compliance assessment methodology </w:t>
          </w:r>
        </w:p>
        <w:p w14:paraId="431E4BF7" w14:textId="77777777" w:rsidR="008C1A73" w:rsidRPr="00CF7EFB" w:rsidRDefault="008C1A73" w:rsidP="00BB7C4B">
          <w:pPr>
            <w:spacing w:after="240"/>
            <w:rPr>
              <w:b/>
              <w:bCs/>
              <w:color w:val="FFFFFF" w:themeColor="background1"/>
              <w:sz w:val="84"/>
              <w:szCs w:val="84"/>
            </w:rPr>
          </w:pPr>
          <w:r>
            <w:br w:type="page"/>
          </w:r>
        </w:p>
      </w:sdtContent>
    </w:sdt>
    <w:p w14:paraId="0179628E" w14:textId="77777777" w:rsidR="00C12BCE" w:rsidRPr="00922818" w:rsidRDefault="00C12BCE" w:rsidP="00922818">
      <w:pPr>
        <w:pStyle w:val="Heading1"/>
        <w:numPr>
          <w:ilvl w:val="0"/>
          <w:numId w:val="22"/>
        </w:numPr>
        <w:rPr>
          <w:lang w:val="en-US"/>
        </w:rPr>
      </w:pPr>
      <w:bookmarkStart w:id="0" w:name="_Toc212108358"/>
      <w:r w:rsidRPr="00922818">
        <w:rPr>
          <w:lang w:val="en-US"/>
        </w:rPr>
        <w:lastRenderedPageBreak/>
        <w:t>Introduction</w:t>
      </w:r>
      <w:bookmarkEnd w:id="0"/>
    </w:p>
    <w:p w14:paraId="28C6A373" w14:textId="068DF5E6" w:rsidR="00C12BCE" w:rsidRPr="00B521C6" w:rsidRDefault="00C12BCE" w:rsidP="00B521C6">
      <w:pPr>
        <w:pStyle w:val="Heading3"/>
      </w:pPr>
      <w:r w:rsidRPr="00B521C6">
        <w:t>This document explains how the seabed mixing zone compliance is assessed.</w:t>
      </w:r>
      <w:r w:rsidR="008D0FA9">
        <w:t xml:space="preserve"> </w:t>
      </w:r>
      <w:r w:rsidRPr="00B521C6">
        <w:t>This information is provided for fish farm operators and other interested parties.</w:t>
      </w:r>
    </w:p>
    <w:p w14:paraId="67793FA7" w14:textId="56AC0B9C" w:rsidR="00C12BCE" w:rsidRDefault="00C12BCE" w:rsidP="00B521C6">
      <w:pPr>
        <w:pStyle w:val="Heading3"/>
      </w:pPr>
      <w:r>
        <w:t>SEPA assesses the mixing zone compliance following the authorisation of a fish farm and the subsequent collection and submission of survey data.</w:t>
      </w:r>
    </w:p>
    <w:p w14:paraId="318BDCF2" w14:textId="00592D13" w:rsidR="00C12BCE" w:rsidRDefault="00C12BCE" w:rsidP="00B521C6">
      <w:pPr>
        <w:pStyle w:val="Heading3"/>
      </w:pPr>
      <w:r w:rsidRPr="004157FD">
        <w:t>Further</w:t>
      </w:r>
      <w:r w:rsidRPr="00025481">
        <w:t xml:space="preserve"> information on </w:t>
      </w:r>
      <w:r>
        <w:t>designing m</w:t>
      </w:r>
      <w:r w:rsidRPr="00025481">
        <w:t xml:space="preserve">onitoring </w:t>
      </w:r>
      <w:r>
        <w:t xml:space="preserve">survey and provision of data </w:t>
      </w:r>
      <w:r w:rsidRPr="00025481">
        <w:t xml:space="preserve">is </w:t>
      </w:r>
      <w:r>
        <w:t>de</w:t>
      </w:r>
      <w:r w:rsidRPr="00025481">
        <w:t xml:space="preserve">tailed in </w:t>
      </w:r>
      <w:hyperlink r:id="rId10" w:anchor="anchor-environmentalmonitoringplan" w:history="1">
        <w:r w:rsidR="00D93246" w:rsidRPr="00BB7F52">
          <w:rPr>
            <w:rStyle w:val="Hyperlink"/>
          </w:rPr>
          <w:t>Designing an Environmental Monitoring Plan</w:t>
        </w:r>
      </w:hyperlink>
      <w:r w:rsidRPr="00025481">
        <w:t>.</w:t>
      </w:r>
    </w:p>
    <w:p w14:paraId="35BD386A" w14:textId="77777777" w:rsidR="00C52B0C" w:rsidRDefault="00C52B0C" w:rsidP="00BB7C4B">
      <w:pPr>
        <w:pStyle w:val="Heading1"/>
        <w:rPr>
          <w:lang w:val="en-US"/>
        </w:rPr>
      </w:pPr>
      <w:bookmarkStart w:id="1" w:name="_Toc212108359"/>
      <w:r>
        <w:rPr>
          <w:lang w:val="en-US"/>
        </w:rPr>
        <w:t>Assessment</w:t>
      </w:r>
      <w:bookmarkEnd w:id="1"/>
    </w:p>
    <w:p w14:paraId="372A12C6" w14:textId="29AAFFB0" w:rsidR="00C52B0C" w:rsidRPr="004157FD" w:rsidRDefault="00C52B0C" w:rsidP="00B521C6">
      <w:pPr>
        <w:pStyle w:val="Heading3"/>
      </w:pPr>
      <w:r w:rsidRPr="004157FD">
        <w:t xml:space="preserve">To assess mixing zone compliance, we compare the size of the </w:t>
      </w:r>
      <w:r w:rsidR="00287802" w:rsidRPr="004157FD">
        <w:t>permitted</w:t>
      </w:r>
      <w:r w:rsidRPr="004157FD">
        <w:t xml:space="preserve"> mixing zone against the estimated area of impact. </w:t>
      </w:r>
    </w:p>
    <w:p w14:paraId="641F0EB8" w14:textId="6F9AA516" w:rsidR="00C52B0C" w:rsidRDefault="00287802" w:rsidP="003C317E">
      <w:pPr>
        <w:pStyle w:val="Heading2"/>
      </w:pPr>
      <w:bookmarkStart w:id="2" w:name="_Toc212108360"/>
      <w:r>
        <w:t>Permitted</w:t>
      </w:r>
      <w:r w:rsidR="00C52B0C">
        <w:t xml:space="preserve"> </w:t>
      </w:r>
      <w:r w:rsidR="00783980">
        <w:t>m</w:t>
      </w:r>
      <w:r w:rsidR="00C52B0C">
        <w:t xml:space="preserve">ixing </w:t>
      </w:r>
      <w:r w:rsidR="00783980">
        <w:t>z</w:t>
      </w:r>
      <w:r w:rsidR="00C52B0C">
        <w:t>one</w:t>
      </w:r>
      <w:bookmarkEnd w:id="2"/>
    </w:p>
    <w:p w14:paraId="16848C0D" w14:textId="375182CC" w:rsidR="00C52B0C" w:rsidRPr="006259EA" w:rsidRDefault="00C52B0C" w:rsidP="00B521C6">
      <w:pPr>
        <w:pStyle w:val="Heading3"/>
      </w:pPr>
      <w:r w:rsidRPr="004157FD">
        <w:t>The permitted mixing zone is the area in which the seabed is permitted to be</w:t>
      </w:r>
      <w:r>
        <w:t xml:space="preserve"> below environmental standards.</w:t>
      </w:r>
    </w:p>
    <w:p w14:paraId="75FD9514" w14:textId="565063DE" w:rsidR="00C52B0C" w:rsidRDefault="00C52B0C" w:rsidP="00B521C6">
      <w:pPr>
        <w:pStyle w:val="Heading3"/>
        <w:rPr>
          <w:rFonts w:eastAsia="Calibri"/>
        </w:rPr>
      </w:pPr>
      <w:r w:rsidRPr="00DD5056">
        <w:rPr>
          <w:rFonts w:eastAsia="Calibri"/>
        </w:rPr>
        <w:t xml:space="preserve">It is </w:t>
      </w:r>
      <w:r w:rsidRPr="004157FD">
        <w:t>equivalent</w:t>
      </w:r>
      <w:r w:rsidRPr="00DD5056">
        <w:rPr>
          <w:rFonts w:eastAsia="Calibri"/>
        </w:rPr>
        <w:t xml:space="preserve"> to size of the non-overlapping area lying within 100 metres of pens in all directions. </w:t>
      </w:r>
    </w:p>
    <w:p w14:paraId="1C4D0F9D" w14:textId="6C072BA2" w:rsidR="00C52B0C" w:rsidRDefault="00C52B0C" w:rsidP="00B521C6">
      <w:pPr>
        <w:pStyle w:val="Heading3"/>
        <w:rPr>
          <w:rFonts w:eastAsia="Calibri"/>
        </w:rPr>
      </w:pPr>
      <w:r w:rsidRPr="00CF71ED">
        <w:t>The permitted area scales depending on the pen dimensions, the number of pens comprising</w:t>
      </w:r>
      <w:r w:rsidRPr="00DD5056">
        <w:rPr>
          <w:rFonts w:eastAsia="Calibri"/>
        </w:rPr>
        <w:t xml:space="preserve"> the farm</w:t>
      </w:r>
      <w:r>
        <w:rPr>
          <w:rFonts w:eastAsia="Calibri"/>
        </w:rPr>
        <w:t xml:space="preserve">, </w:t>
      </w:r>
      <w:r w:rsidRPr="00DD5056">
        <w:rPr>
          <w:rFonts w:eastAsia="Calibri"/>
        </w:rPr>
        <w:t>and their respective positioning</w:t>
      </w:r>
      <w:r>
        <w:rPr>
          <w:rFonts w:eastAsia="Calibri"/>
        </w:rPr>
        <w:t xml:space="preserve"> (see Figure 1)</w:t>
      </w:r>
      <w:r w:rsidRPr="00DD5056">
        <w:rPr>
          <w:rFonts w:eastAsia="Calibri"/>
        </w:rPr>
        <w:t>.</w:t>
      </w:r>
      <w:r>
        <w:rPr>
          <w:rFonts w:eastAsia="Calibri"/>
        </w:rPr>
        <w:t xml:space="preserve"> Therefore, the permitted area may vary; large farms have larger permitted areas and small farms, smaller permitted areas.</w:t>
      </w:r>
    </w:p>
    <w:p w14:paraId="47E44D86" w14:textId="77777777" w:rsidR="00BB32F8" w:rsidRDefault="00BB32F8">
      <w:pPr>
        <w:spacing w:line="240" w:lineRule="auto"/>
        <w:rPr>
          <w:rFonts w:cs="Arial"/>
          <w:b/>
          <w:bCs/>
          <w:color w:val="3C4741" w:themeColor="text1"/>
        </w:rPr>
      </w:pPr>
      <w:r>
        <w:rPr>
          <w:rFonts w:cs="Arial"/>
          <w:b/>
          <w:bCs/>
          <w:color w:val="3C4741" w:themeColor="text1"/>
        </w:rPr>
        <w:br w:type="page"/>
      </w:r>
    </w:p>
    <w:p w14:paraId="62E55425" w14:textId="30C9C701" w:rsidR="00D93246" w:rsidRPr="005F376D" w:rsidRDefault="00D93246" w:rsidP="004F163A">
      <w:pPr>
        <w:spacing w:after="240"/>
        <w:rPr>
          <w:rFonts w:cs="Arial"/>
          <w:b/>
          <w:bCs/>
        </w:rPr>
      </w:pPr>
      <w:r w:rsidRPr="005F376D">
        <w:rPr>
          <w:rFonts w:cs="Arial"/>
          <w:b/>
          <w:bCs/>
        </w:rPr>
        <w:lastRenderedPageBreak/>
        <w:t>Figure 1: A farm’s permitted mixing zone, based on a 100 m buffer projected from pen edges</w:t>
      </w:r>
    </w:p>
    <w:p w14:paraId="535CAA83" w14:textId="1B74636C" w:rsidR="00C52B0C" w:rsidRDefault="00C52B0C" w:rsidP="004F163A">
      <w:pPr>
        <w:pStyle w:val="ListParagraph"/>
        <w:spacing w:after="240"/>
        <w:ind w:left="0"/>
        <w:jc w:val="center"/>
        <w:rPr>
          <w:rFonts w:cs="Arial"/>
          <w:sz w:val="22"/>
          <w:szCs w:val="24"/>
        </w:rPr>
      </w:pPr>
      <w:r>
        <w:rPr>
          <w:rFonts w:cs="Arial"/>
          <w:b/>
          <w:bCs/>
          <w:noProof/>
          <w:color w:val="3C4741" w:themeColor="text1"/>
          <w:szCs w:val="24"/>
        </w:rPr>
        <w:drawing>
          <wp:inline distT="0" distB="0" distL="0" distR="0" wp14:anchorId="4F3B0190" wp14:editId="0A6F3708">
            <wp:extent cx="2335944" cy="2122999"/>
            <wp:effectExtent l="0" t="0" r="7620" b="0"/>
            <wp:docPr id="476021748" name="Picture 476021748" descr="A diagram showing a group of 12 fish farm pens surrounded equally on all sides by 100m buffer area representing the farm's permitted mixing z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21748" name="Picture 476021748" descr="A diagram showing a group of 12 fish farm pens surrounded equally on all sides by 100m buffer area representing the farm's permitted mixing zone.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9217" cy="2125973"/>
                    </a:xfrm>
                    <a:prstGeom prst="rect">
                      <a:avLst/>
                    </a:prstGeom>
                  </pic:spPr>
                </pic:pic>
              </a:graphicData>
            </a:graphic>
          </wp:inline>
        </w:drawing>
      </w:r>
    </w:p>
    <w:p w14:paraId="7E6EF419" w14:textId="1B74636C" w:rsidR="00C52B0C" w:rsidRDefault="00C52B0C" w:rsidP="003C317E">
      <w:pPr>
        <w:pStyle w:val="Heading2"/>
      </w:pPr>
      <w:bookmarkStart w:id="3" w:name="_Toc212108361"/>
      <w:r w:rsidRPr="004F163A">
        <w:t>Standards</w:t>
      </w:r>
      <w:bookmarkEnd w:id="3"/>
    </w:p>
    <w:p w14:paraId="01976F0D" w14:textId="0B755D26" w:rsidR="00C52B0C" w:rsidRDefault="00C52B0C" w:rsidP="00B521C6">
      <w:pPr>
        <w:pStyle w:val="Heading3"/>
      </w:pPr>
      <w:r>
        <w:t xml:space="preserve">Chemical or biological standards used to assess compliance are provided in the farm’s permit. These standards are </w:t>
      </w:r>
      <w:proofErr w:type="spellStart"/>
      <w:r>
        <w:t>Emamectin</w:t>
      </w:r>
      <w:proofErr w:type="spellEnd"/>
      <w:r>
        <w:t xml:space="preserve"> </w:t>
      </w:r>
      <w:r w:rsidRPr="009F3AAD">
        <w:t>benzoate</w:t>
      </w:r>
      <w:r>
        <w:t xml:space="preserve"> measured in nanogram per kg (ng/kg) or Infaunal Quality Index (IQI) ratio.</w:t>
      </w:r>
    </w:p>
    <w:p w14:paraId="298C04E4" w14:textId="506F32D8" w:rsidR="00C52B0C" w:rsidRDefault="00C52B0C" w:rsidP="00B521C6">
      <w:pPr>
        <w:pStyle w:val="Heading3"/>
      </w:pPr>
      <w:r>
        <w:t>IQ</w:t>
      </w:r>
      <w:r w:rsidR="00D93246">
        <w:t>I</w:t>
      </w:r>
      <w:r>
        <w:t xml:space="preserve"> results can be based on Infaunal analysis or bacterial eDNA predicted IQI values.</w:t>
      </w:r>
    </w:p>
    <w:p w14:paraId="6AAB6F5C" w14:textId="44704C83" w:rsidR="00C52B0C" w:rsidRDefault="00C52B0C" w:rsidP="003C317E">
      <w:pPr>
        <w:pStyle w:val="Heading2"/>
      </w:pPr>
      <w:bookmarkStart w:id="4" w:name="_Toc212108362"/>
      <w:r>
        <w:t xml:space="preserve">Monitoring </w:t>
      </w:r>
      <w:r w:rsidR="00BC7024">
        <w:t>d</w:t>
      </w:r>
      <w:r>
        <w:t>ata</w:t>
      </w:r>
      <w:bookmarkEnd w:id="4"/>
    </w:p>
    <w:p w14:paraId="4DDC0D7D" w14:textId="2ACD5435" w:rsidR="00C52B0C" w:rsidRDefault="00C52B0C" w:rsidP="00B521C6">
      <w:pPr>
        <w:pStyle w:val="Heading3"/>
      </w:pPr>
      <w:r>
        <w:t xml:space="preserve">The monitoring requirements are set out in </w:t>
      </w:r>
      <w:hyperlink r:id="rId12" w:anchor="anchor-environmentalmonitoringplan" w:history="1">
        <w:r w:rsidRPr="00977B77">
          <w:rPr>
            <w:rStyle w:val="Hyperlink"/>
          </w:rPr>
          <w:t>Designing an Environmental Monitoring Plan</w:t>
        </w:r>
      </w:hyperlink>
      <w:r>
        <w:t xml:space="preserve">. This usually consists of </w:t>
      </w:r>
      <w:r w:rsidR="00CB3B0F">
        <w:t>four</w:t>
      </w:r>
      <w:r w:rsidRPr="2F883A50">
        <w:t xml:space="preserve"> transects, each comprised of a minimum of </w:t>
      </w:r>
      <w:r w:rsidR="00CB3B0F">
        <w:t>seven</w:t>
      </w:r>
      <w:r w:rsidRPr="2F883A50">
        <w:t xml:space="preserve"> </w:t>
      </w:r>
      <w:r>
        <w:t xml:space="preserve">sampling </w:t>
      </w:r>
      <w:r w:rsidRPr="2F883A50">
        <w:t>stations, radiating out from the fish farm in different directions</w:t>
      </w:r>
      <w:r>
        <w:t xml:space="preserve">. </w:t>
      </w:r>
    </w:p>
    <w:p w14:paraId="0DFE51ED" w14:textId="2EA779C2" w:rsidR="00C52B0C" w:rsidRDefault="00C52B0C" w:rsidP="00B521C6">
      <w:pPr>
        <w:pStyle w:val="Heading3"/>
      </w:pPr>
      <w:r>
        <w:t xml:space="preserve">The mixing zone compliance may also be assessed in circumstances where a reduced number of stations or transects have been sampled or where the permitted mixing zone consists of </w:t>
      </w:r>
      <w:r w:rsidRPr="003F5D62">
        <w:t>multiple pen groups</w:t>
      </w:r>
      <w:r>
        <w:t xml:space="preserve">.  </w:t>
      </w:r>
    </w:p>
    <w:p w14:paraId="70999895" w14:textId="7E6EAB6A" w:rsidR="00C52B0C" w:rsidRDefault="00C52B0C" w:rsidP="003C317E">
      <w:pPr>
        <w:pStyle w:val="Heading2"/>
      </w:pPr>
      <w:bookmarkStart w:id="5" w:name="_Toc212108363"/>
      <w:r>
        <w:t xml:space="preserve">Estimate the </w:t>
      </w:r>
      <w:r w:rsidR="00BC7024">
        <w:t>a</w:t>
      </w:r>
      <w:r>
        <w:t xml:space="preserve">rea of </w:t>
      </w:r>
      <w:r w:rsidR="00BC7024">
        <w:t>i</w:t>
      </w:r>
      <w:r>
        <w:t>mpact</w:t>
      </w:r>
      <w:bookmarkEnd w:id="5"/>
    </w:p>
    <w:p w14:paraId="4F7F81C4" w14:textId="0F8237D1" w:rsidR="00C52B0C" w:rsidRPr="00960CCE" w:rsidRDefault="00C52B0C" w:rsidP="00B521C6">
      <w:pPr>
        <w:pStyle w:val="Heading3"/>
      </w:pPr>
      <w:r w:rsidRPr="00960CCE">
        <w:t xml:space="preserve">SEPA uses an </w:t>
      </w:r>
      <w:hyperlink r:id="rId13" w:history="1">
        <w:r w:rsidRPr="002C7330">
          <w:rPr>
            <w:rStyle w:val="Hyperlink"/>
          </w:rPr>
          <w:t>R package</w:t>
        </w:r>
      </w:hyperlink>
      <w:r w:rsidRPr="00960CCE">
        <w:t xml:space="preserve"> to calculate the estimated area of impact.</w:t>
      </w:r>
    </w:p>
    <w:p w14:paraId="69A21CEF" w14:textId="77777777" w:rsidR="00C52B0C" w:rsidRPr="000C73A0" w:rsidRDefault="00C52B0C" w:rsidP="00B521C6">
      <w:pPr>
        <w:pStyle w:val="Heading3"/>
      </w:pPr>
      <w:r>
        <w:t>There are two</w:t>
      </w:r>
      <w:r w:rsidRPr="000C73A0">
        <w:t xml:space="preserve"> </w:t>
      </w:r>
      <w:r>
        <w:t>methods</w:t>
      </w:r>
      <w:r w:rsidRPr="000C73A0">
        <w:t xml:space="preserve"> </w:t>
      </w:r>
      <w:r>
        <w:t>used to</w:t>
      </w:r>
      <w:r w:rsidRPr="000C73A0">
        <w:t xml:space="preserve"> </w:t>
      </w:r>
      <w:r>
        <w:t>estimate the area of impact:</w:t>
      </w:r>
    </w:p>
    <w:p w14:paraId="0B3CE9C6" w14:textId="77777777" w:rsidR="00C52B0C" w:rsidRPr="00EC1C6F" w:rsidRDefault="00C52B0C" w:rsidP="004F163A">
      <w:pPr>
        <w:pStyle w:val="ListParagraph"/>
        <w:numPr>
          <w:ilvl w:val="0"/>
          <w:numId w:val="30"/>
        </w:numPr>
        <w:spacing w:after="240"/>
        <w:ind w:left="1179" w:hanging="357"/>
        <w:rPr>
          <w:rFonts w:eastAsia="Arial"/>
        </w:rPr>
      </w:pPr>
      <w:r w:rsidRPr="00EC1C6F">
        <w:rPr>
          <w:b/>
          <w:bCs/>
        </w:rPr>
        <w:lastRenderedPageBreak/>
        <w:t>Interpolate</w:t>
      </w:r>
      <w:r>
        <w:t xml:space="preserve"> values from each station along a transect to estimate the distance the standard is reached</w:t>
      </w:r>
      <w:r w:rsidRPr="00751D34">
        <w:t>.</w:t>
      </w:r>
    </w:p>
    <w:p w14:paraId="3AE10874" w14:textId="77777777" w:rsidR="00C52B0C" w:rsidRPr="00EC1C6F" w:rsidRDefault="00C52B0C" w:rsidP="004F163A">
      <w:pPr>
        <w:pStyle w:val="ListParagraph"/>
        <w:numPr>
          <w:ilvl w:val="0"/>
          <w:numId w:val="30"/>
        </w:numPr>
        <w:spacing w:after="240"/>
        <w:ind w:left="1179" w:hanging="357"/>
        <w:rPr>
          <w:rFonts w:eastAsia="Arial"/>
        </w:rPr>
      </w:pPr>
      <w:r w:rsidRPr="00EC1C6F">
        <w:rPr>
          <w:b/>
          <w:bCs/>
        </w:rPr>
        <w:t>Reduced Analysis Rule</w:t>
      </w:r>
      <w:r>
        <w:t xml:space="preserve"> – Use the d</w:t>
      </w:r>
      <w:r w:rsidRPr="00751D34">
        <w:t xml:space="preserve">istance to the </w:t>
      </w:r>
      <w:r>
        <w:t xml:space="preserve">first of two consecutive </w:t>
      </w:r>
      <w:r w:rsidRPr="00751D34">
        <w:t>station</w:t>
      </w:r>
      <w:r>
        <w:t>s</w:t>
      </w:r>
      <w:r w:rsidRPr="00751D34">
        <w:t xml:space="preserve"> </w:t>
      </w:r>
      <w:r>
        <w:t>reaching the compliance standard.</w:t>
      </w:r>
    </w:p>
    <w:p w14:paraId="660E1478" w14:textId="77777777" w:rsidR="00C52B0C" w:rsidRDefault="00C52B0C" w:rsidP="00B9563E">
      <w:pPr>
        <w:pStyle w:val="Heading3"/>
      </w:pPr>
      <w:r>
        <w:t xml:space="preserve">The </w:t>
      </w:r>
      <w:r w:rsidRPr="005F33FE">
        <w:t xml:space="preserve">reduced </w:t>
      </w:r>
      <w:r>
        <w:t>analysis</w:t>
      </w:r>
      <w:r w:rsidRPr="005F33FE">
        <w:t xml:space="preserve"> rule</w:t>
      </w:r>
      <w:r>
        <w:t xml:space="preserve"> is automatically used</w:t>
      </w:r>
      <w:r w:rsidRPr="005F33FE">
        <w:t xml:space="preserve">, rather than </w:t>
      </w:r>
      <w:r>
        <w:t>interpolation</w:t>
      </w:r>
      <w:r w:rsidRPr="005F33FE">
        <w:t xml:space="preserve"> </w:t>
      </w:r>
      <w:r>
        <w:t xml:space="preserve">in </w:t>
      </w:r>
      <w:r w:rsidRPr="005F33FE">
        <w:t xml:space="preserve">cases where: </w:t>
      </w:r>
    </w:p>
    <w:p w14:paraId="453420A0" w14:textId="77777777" w:rsidR="00C52B0C" w:rsidRDefault="00C52B0C" w:rsidP="004F163A">
      <w:pPr>
        <w:pStyle w:val="ListParagraph"/>
        <w:numPr>
          <w:ilvl w:val="2"/>
          <w:numId w:val="32"/>
        </w:numPr>
        <w:spacing w:after="240"/>
        <w:ind w:left="1179" w:hanging="357"/>
      </w:pPr>
      <w:r w:rsidRPr="005F33FE">
        <w:t xml:space="preserve">insufficient stations have been analysed to </w:t>
      </w:r>
      <w:r>
        <w:t>interpolate values</w:t>
      </w:r>
      <w:r w:rsidRPr="005F33FE">
        <w:t xml:space="preserve">; or </w:t>
      </w:r>
    </w:p>
    <w:p w14:paraId="7BD47C94" w14:textId="77777777" w:rsidR="00C52B0C" w:rsidRPr="005F33FE" w:rsidRDefault="00C52B0C" w:rsidP="004F163A">
      <w:pPr>
        <w:pStyle w:val="ListParagraph"/>
        <w:numPr>
          <w:ilvl w:val="2"/>
          <w:numId w:val="32"/>
        </w:numPr>
        <w:spacing w:after="240"/>
        <w:ind w:left="1179" w:hanging="357"/>
      </w:pPr>
      <w:r w:rsidRPr="005F33FE">
        <w:t xml:space="preserve">sufficient stations have been analysed, but </w:t>
      </w:r>
      <w:r>
        <w:t xml:space="preserve">the model used for interpolation is </w:t>
      </w:r>
      <w:r w:rsidRPr="005F33FE">
        <w:t>of insufficient quality to use.</w:t>
      </w:r>
    </w:p>
    <w:p w14:paraId="21BC2D88" w14:textId="77777777" w:rsidR="00C52B0C" w:rsidRDefault="00C52B0C" w:rsidP="00B9563E">
      <w:pPr>
        <w:pStyle w:val="Heading3"/>
      </w:pPr>
      <w:r w:rsidRPr="00960CCE">
        <w:t>The two methods used to estimate the area of impact are described in more detail in the</w:t>
      </w:r>
      <w:r>
        <w:t xml:space="preserve"> following sections.</w:t>
      </w:r>
    </w:p>
    <w:p w14:paraId="554A8441" w14:textId="1ED52186" w:rsidR="00F64302" w:rsidRPr="00382714" w:rsidRDefault="00F64302" w:rsidP="004F163A">
      <w:pPr>
        <w:spacing w:after="240"/>
        <w:rPr>
          <w:rFonts w:cs="Arial"/>
          <w:b/>
          <w:bCs/>
        </w:rPr>
      </w:pPr>
      <w:r w:rsidRPr="00382714">
        <w:rPr>
          <w:rFonts w:cs="Arial"/>
          <w:b/>
          <w:bCs/>
        </w:rPr>
        <w:t>Figure 2: The estimated area of impact, based on monitoring data. Note that the area of impact may be offset from the farm’s centre</w:t>
      </w:r>
    </w:p>
    <w:p w14:paraId="4B2B864F" w14:textId="77777777" w:rsidR="00C52B0C" w:rsidRDefault="00C52B0C" w:rsidP="004F163A">
      <w:pPr>
        <w:pStyle w:val="ListParagraph"/>
        <w:spacing w:after="240"/>
        <w:ind w:left="0"/>
        <w:jc w:val="center"/>
        <w:rPr>
          <w:rFonts w:cs="Arial"/>
          <w:b/>
          <w:bCs/>
          <w:color w:val="3C4741" w:themeColor="text1"/>
          <w:szCs w:val="24"/>
        </w:rPr>
      </w:pPr>
      <w:r>
        <w:rPr>
          <w:rFonts w:cs="Arial"/>
          <w:b/>
          <w:bCs/>
          <w:noProof/>
          <w:color w:val="3C4741" w:themeColor="text1"/>
          <w:szCs w:val="24"/>
        </w:rPr>
        <w:drawing>
          <wp:inline distT="0" distB="0" distL="0" distR="0" wp14:anchorId="178082C4" wp14:editId="01B0321B">
            <wp:extent cx="2283005" cy="2083242"/>
            <wp:effectExtent l="0" t="0" r="3175" b="0"/>
            <wp:docPr id="840847368" name="Picture 840847368" descr="Diagram showing the estimated mixing zone based on monitoring data surrounding 12 pens in a grou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47368" name="Picture 840847368" descr="Diagram showing the estimated mixing zone based on monitoring data surrounding 12 pens in a group.&#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87394" cy="2087247"/>
                    </a:xfrm>
                    <a:prstGeom prst="rect">
                      <a:avLst/>
                    </a:prstGeom>
                  </pic:spPr>
                </pic:pic>
              </a:graphicData>
            </a:graphic>
          </wp:inline>
        </w:drawing>
      </w:r>
    </w:p>
    <w:p w14:paraId="3E5685AD" w14:textId="77777777" w:rsidR="00C52B0C" w:rsidRPr="0095013E" w:rsidRDefault="00C52B0C" w:rsidP="003C317E">
      <w:pPr>
        <w:pStyle w:val="Heading2"/>
      </w:pPr>
      <w:bookmarkStart w:id="6" w:name="_Toc212108364"/>
      <w:r>
        <w:t>I</w:t>
      </w:r>
      <w:r w:rsidRPr="0095013E">
        <w:t>nterpolation</w:t>
      </w:r>
      <w:bookmarkEnd w:id="6"/>
    </w:p>
    <w:p w14:paraId="1853131E" w14:textId="20B6B101" w:rsidR="00C52B0C" w:rsidRDefault="00C52B0C" w:rsidP="00B9563E">
      <w:pPr>
        <w:pStyle w:val="Heading3"/>
      </w:pPr>
      <w:r>
        <w:t xml:space="preserve">The interpolation approach can be used </w:t>
      </w:r>
      <w:r w:rsidRPr="2F883A50">
        <w:t xml:space="preserve">by collecting </w:t>
      </w:r>
      <w:r>
        <w:t xml:space="preserve">sampling </w:t>
      </w:r>
      <w:r w:rsidRPr="2F883A50">
        <w:t xml:space="preserve">data along a minimum of </w:t>
      </w:r>
      <w:r w:rsidR="007808BC">
        <w:t xml:space="preserve">four </w:t>
      </w:r>
      <w:r w:rsidRPr="2F883A50">
        <w:t xml:space="preserve">transects, each comprised of a minimum of </w:t>
      </w:r>
      <w:r w:rsidR="00CB3B0F">
        <w:t>seven</w:t>
      </w:r>
      <w:r w:rsidRPr="2F883A50">
        <w:t xml:space="preserve"> stations.</w:t>
      </w:r>
    </w:p>
    <w:p w14:paraId="46113480" w14:textId="77777777" w:rsidR="00C52B0C" w:rsidRDefault="00C52B0C" w:rsidP="00B9563E">
      <w:pPr>
        <w:pStyle w:val="Heading3"/>
      </w:pPr>
      <w:r>
        <w:t>The limited number of stations means that the estimate of this distance will be uncertain, to some extent. To allow us to measure the uncertainty, multiple n</w:t>
      </w:r>
      <w:r w:rsidRPr="00593A8E">
        <w:t>on-linear regression</w:t>
      </w:r>
      <w:r>
        <w:t xml:space="preserve">s are fitted </w:t>
      </w:r>
      <w:r w:rsidRPr="00593A8E">
        <w:t>to determine a plausible range of distances at which value</w:t>
      </w:r>
      <w:r>
        <w:t xml:space="preserve">s pass the quality standard. We then use this range of distances to provide </w:t>
      </w:r>
      <w:r w:rsidRPr="00593A8E">
        <w:t xml:space="preserve">a measure of uncertainty. </w:t>
      </w:r>
    </w:p>
    <w:p w14:paraId="1D17DABC" w14:textId="77777777" w:rsidR="00C52B0C" w:rsidRDefault="00C52B0C" w:rsidP="00B9563E">
      <w:pPr>
        <w:pStyle w:val="Heading3"/>
      </w:pPr>
      <w:r>
        <w:lastRenderedPageBreak/>
        <w:t>The distance to compliant status along each of the transects are used to infer the shape of the area of impact</w:t>
      </w:r>
      <w:r w:rsidRPr="2F883A50">
        <w:t xml:space="preserve">. </w:t>
      </w:r>
      <w:r>
        <w:t xml:space="preserve">The </w:t>
      </w:r>
      <w:r w:rsidRPr="6DCE4B04">
        <w:t xml:space="preserve">simplest and most flexible assumption for this shape is an ellipse. </w:t>
      </w:r>
      <w:r>
        <w:t>The ellipse is</w:t>
      </w:r>
      <w:r w:rsidRPr="6DCE4B04">
        <w:t xml:space="preserve"> consistent with the view that a farm’s discharge may be expected to spread further along the axis of the tidal flow </w:t>
      </w:r>
      <w:r>
        <w:t xml:space="preserve">rather </w:t>
      </w:r>
      <w:r w:rsidRPr="6DCE4B04">
        <w:t>than perpendicular to the flow.</w:t>
      </w:r>
    </w:p>
    <w:p w14:paraId="372F15AB" w14:textId="77777777" w:rsidR="00C52B0C" w:rsidRPr="000044C1" w:rsidRDefault="00C52B0C" w:rsidP="00B9563E">
      <w:pPr>
        <w:pStyle w:val="Heading3"/>
      </w:pPr>
      <w:r>
        <w:t>T</w:t>
      </w:r>
      <w:r w:rsidRPr="000044C1">
        <w:t>he final step is to take the fifth percentile (P</w:t>
      </w:r>
      <w:r w:rsidRPr="00025108">
        <w:rPr>
          <w:vertAlign w:val="subscript"/>
        </w:rPr>
        <w:t>5%</w:t>
      </w:r>
      <w:r w:rsidRPr="000044C1">
        <w:t xml:space="preserve">) </w:t>
      </w:r>
      <w:r>
        <w:t xml:space="preserve">of the predicted distributions of </w:t>
      </w:r>
      <w:r w:rsidRPr="000044C1">
        <w:t xml:space="preserve">distances/spatial positions </w:t>
      </w:r>
      <w:r>
        <w:t>along each transect where</w:t>
      </w:r>
      <w:r w:rsidRPr="000044C1">
        <w:t xml:space="preserve"> </w:t>
      </w:r>
      <w:r>
        <w:t>the standard is reached</w:t>
      </w:r>
      <w:r w:rsidRPr="000044C1">
        <w:t xml:space="preserve"> and </w:t>
      </w:r>
      <w:bookmarkStart w:id="7" w:name="_Hlk88832751"/>
      <w:r w:rsidRPr="000044C1">
        <w:t xml:space="preserve">construct </w:t>
      </w:r>
      <w:r>
        <w:t xml:space="preserve">an </w:t>
      </w:r>
      <w:r w:rsidRPr="000044C1">
        <w:t>ellipse enclos</w:t>
      </w:r>
      <w:r>
        <w:t>ing</w:t>
      </w:r>
      <w:r w:rsidRPr="000044C1">
        <w:t xml:space="preserve"> </w:t>
      </w:r>
      <w:r>
        <w:t xml:space="preserve">these </w:t>
      </w:r>
      <w:r w:rsidRPr="000044C1">
        <w:t xml:space="preserve">positions. </w:t>
      </w:r>
      <w:bookmarkEnd w:id="7"/>
      <w:r w:rsidRPr="000044C1">
        <w:t xml:space="preserve">Such an ellipse is known as a minimum spanning ellipse. We </w:t>
      </w:r>
      <w:r>
        <w:t xml:space="preserve">then </w:t>
      </w:r>
      <w:r w:rsidRPr="000044C1">
        <w:t xml:space="preserve">calculate the area of </w:t>
      </w:r>
      <w:r>
        <w:t xml:space="preserve">the </w:t>
      </w:r>
      <w:r w:rsidRPr="000044C1">
        <w:t>ellipse</w:t>
      </w:r>
      <w:r>
        <w:t xml:space="preserve"> to use as an estimated area of impact.</w:t>
      </w:r>
    </w:p>
    <w:p w14:paraId="245F23E1" w14:textId="77777777" w:rsidR="00C52B0C" w:rsidRDefault="00C52B0C" w:rsidP="00B9563E">
      <w:pPr>
        <w:pStyle w:val="Heading3"/>
      </w:pPr>
      <w:r w:rsidRPr="00232CF8">
        <w:t>Th</w:t>
      </w:r>
      <w:r>
        <w:t>e</w:t>
      </w:r>
      <w:r w:rsidRPr="00232CF8">
        <w:t xml:space="preserve"> </w:t>
      </w:r>
      <w:r w:rsidRPr="000044C1">
        <w:t>P</w:t>
      </w:r>
      <w:r w:rsidRPr="00025108">
        <w:rPr>
          <w:vertAlign w:val="subscript"/>
        </w:rPr>
        <w:t>5%</w:t>
      </w:r>
      <w:r>
        <w:t xml:space="preserve"> </w:t>
      </w:r>
      <w:r w:rsidRPr="00232CF8">
        <w:t>statistic</w:t>
      </w:r>
      <w:r>
        <w:t xml:space="preserve"> </w:t>
      </w:r>
      <w:r w:rsidRPr="00232CF8">
        <w:t xml:space="preserve">is consistent with </w:t>
      </w:r>
      <w:r>
        <w:t>SEPA</w:t>
      </w:r>
      <w:r w:rsidRPr="00232CF8">
        <w:t xml:space="preserve"> being 95% confident that a site has failed, before class</w:t>
      </w:r>
      <w:r>
        <w:t>ing</w:t>
      </w:r>
      <w:r w:rsidRPr="00232CF8">
        <w:t xml:space="preserve"> it as failing.</w:t>
      </w:r>
    </w:p>
    <w:p w14:paraId="70F031A6" w14:textId="77777777" w:rsidR="00C52B0C" w:rsidRDefault="00C52B0C" w:rsidP="00B9563E">
      <w:pPr>
        <w:pStyle w:val="Heading3"/>
      </w:pPr>
      <w:r>
        <w:t>A</w:t>
      </w:r>
      <w:r w:rsidRPr="000044C1">
        <w:t xml:space="preserve"> farm </w:t>
      </w:r>
      <w:r>
        <w:t xml:space="preserve">is </w:t>
      </w:r>
      <w:r w:rsidRPr="000044C1">
        <w:t xml:space="preserve">non-compliant with the mixing zone standard when the </w:t>
      </w:r>
      <w:r>
        <w:t xml:space="preserve">estimated area of impact </w:t>
      </w:r>
      <w:r w:rsidRPr="000044C1">
        <w:t>exceeds the permitted mixing zone.</w:t>
      </w:r>
    </w:p>
    <w:p w14:paraId="49AD8F03" w14:textId="6AD49133" w:rsidR="00C52B0C" w:rsidRPr="00A0419E" w:rsidRDefault="00C52B0C" w:rsidP="00B9563E">
      <w:pPr>
        <w:pStyle w:val="Heading3"/>
      </w:pPr>
      <w:r w:rsidRPr="007F3978">
        <w:rPr>
          <w:lang w:val="en-US"/>
        </w:rPr>
        <w:t>Section 3</w:t>
      </w:r>
      <w:r w:rsidR="00F90F50">
        <w:t xml:space="preserve"> </w:t>
      </w:r>
      <w:r w:rsidR="00D37303">
        <w:t>(the technical description)</w:t>
      </w:r>
      <w:r w:rsidRPr="00025108">
        <w:rPr>
          <w:lang w:val="en-US"/>
        </w:rPr>
        <w:t xml:space="preserve"> describes the </w:t>
      </w:r>
      <w:r w:rsidRPr="004157FD">
        <w:t>interpolation</w:t>
      </w:r>
      <w:r w:rsidRPr="00025108">
        <w:rPr>
          <w:lang w:val="en-US"/>
        </w:rPr>
        <w:t xml:space="preserve"> method in greater detail.</w:t>
      </w:r>
    </w:p>
    <w:p w14:paraId="22543A89" w14:textId="6632042C" w:rsidR="00C52B0C" w:rsidRDefault="00C52B0C" w:rsidP="003C317E">
      <w:pPr>
        <w:pStyle w:val="Heading2"/>
      </w:pPr>
      <w:bookmarkStart w:id="8" w:name="_Toc212108365"/>
      <w:r w:rsidRPr="005B756E">
        <w:t xml:space="preserve">Reduced </w:t>
      </w:r>
      <w:r w:rsidR="00D37303">
        <w:t>a</w:t>
      </w:r>
      <w:r w:rsidRPr="005B756E">
        <w:t>nalysis</w:t>
      </w:r>
      <w:bookmarkEnd w:id="8"/>
    </w:p>
    <w:p w14:paraId="14566872" w14:textId="5A00F281" w:rsidR="00C52B0C" w:rsidRDefault="00C52B0C" w:rsidP="00B9563E">
      <w:pPr>
        <w:pStyle w:val="Heading3"/>
      </w:pPr>
      <w:r w:rsidRPr="00B36FED">
        <w:t xml:space="preserve">The </w:t>
      </w:r>
      <w:r>
        <w:t>r</w:t>
      </w:r>
      <w:r w:rsidRPr="005B756E">
        <w:t xml:space="preserve">educed </w:t>
      </w:r>
      <w:r>
        <w:t>a</w:t>
      </w:r>
      <w:r w:rsidRPr="005B756E">
        <w:t xml:space="preserve">nalysis </w:t>
      </w:r>
      <w:r>
        <w:t>r</w:t>
      </w:r>
      <w:r w:rsidRPr="005B756E">
        <w:t xml:space="preserve">ule </w:t>
      </w:r>
      <w:r>
        <w:t xml:space="preserve">is used when </w:t>
      </w:r>
      <w:r w:rsidRPr="00751D34">
        <w:t xml:space="preserve">provided </w:t>
      </w:r>
      <w:r>
        <w:t>with</w:t>
      </w:r>
      <w:r w:rsidRPr="00751D34">
        <w:t xml:space="preserve"> </w:t>
      </w:r>
      <w:r>
        <w:t>fewer</w:t>
      </w:r>
      <w:r w:rsidRPr="00751D34">
        <w:t xml:space="preserve"> than </w:t>
      </w:r>
      <w:r w:rsidR="00981069">
        <w:t>six</w:t>
      </w:r>
      <w:r w:rsidRPr="00751D34">
        <w:t xml:space="preserve"> monitoring stations (excluding pen edge station) on the transect but include</w:t>
      </w:r>
      <w:r>
        <w:t>s</w:t>
      </w:r>
      <w:r w:rsidRPr="00751D34">
        <w:t xml:space="preserve"> a minimum </w:t>
      </w:r>
      <w:r>
        <w:t xml:space="preserve">of </w:t>
      </w:r>
      <w:r w:rsidR="00981069">
        <w:t>two</w:t>
      </w:r>
      <w:r>
        <w:t xml:space="preserve"> </w:t>
      </w:r>
      <w:r w:rsidRPr="00751D34">
        <w:t>monitoring station</w:t>
      </w:r>
      <w:r>
        <w:t>s</w:t>
      </w:r>
      <w:r w:rsidRPr="00751D34">
        <w:t xml:space="preserve"> </w:t>
      </w:r>
      <w:r>
        <w:t>at</w:t>
      </w:r>
      <w:r w:rsidRPr="00751D34">
        <w:t xml:space="preserve"> </w:t>
      </w:r>
      <w:r>
        <w:t>sufficient quality</w:t>
      </w:r>
      <w:r w:rsidRPr="00751D34">
        <w:t xml:space="preserve">. </w:t>
      </w:r>
    </w:p>
    <w:p w14:paraId="02807110" w14:textId="4A8D12D4" w:rsidR="00CC2961" w:rsidRPr="00CC2961" w:rsidRDefault="00C52B0C" w:rsidP="00B503F1">
      <w:pPr>
        <w:pStyle w:val="Heading3"/>
      </w:pPr>
      <w:r w:rsidRPr="00B36FED">
        <w:t xml:space="preserve">The </w:t>
      </w:r>
      <w:r>
        <w:t>r</w:t>
      </w:r>
      <w:r w:rsidRPr="005B756E">
        <w:t xml:space="preserve">educed </w:t>
      </w:r>
      <w:r>
        <w:t>a</w:t>
      </w:r>
      <w:r w:rsidRPr="005B756E">
        <w:t xml:space="preserve">nalysis </w:t>
      </w:r>
      <w:r>
        <w:t>r</w:t>
      </w:r>
      <w:r w:rsidRPr="005B756E">
        <w:t xml:space="preserve">ule </w:t>
      </w:r>
      <w:r w:rsidRPr="00B36FED">
        <w:t xml:space="preserve">method will normally produce a greater distance to </w:t>
      </w:r>
      <w:r>
        <w:t xml:space="preserve">passing standard </w:t>
      </w:r>
      <w:r w:rsidRPr="00B36FED">
        <w:t>than the interpolation method</w:t>
      </w:r>
      <w:r>
        <w:t xml:space="preserve"> and we expect the area of impact t</w:t>
      </w:r>
      <w:r w:rsidRPr="005F33FE">
        <w:t>o be precautionary.</w:t>
      </w:r>
    </w:p>
    <w:p w14:paraId="3F77DCA6" w14:textId="4DB78F0C" w:rsidR="00C52B0C" w:rsidRPr="00AF7C38" w:rsidRDefault="00C52B0C" w:rsidP="00BB7C4B">
      <w:pPr>
        <w:pStyle w:val="Heading1"/>
      </w:pPr>
      <w:bookmarkStart w:id="9" w:name="_3_Interpolation_Detailed"/>
      <w:bookmarkStart w:id="10" w:name="_Interpolation_Detailed_Description"/>
      <w:bookmarkStart w:id="11" w:name="_Toc212108366"/>
      <w:bookmarkEnd w:id="9"/>
      <w:bookmarkEnd w:id="10"/>
      <w:r>
        <w:rPr>
          <w:rStyle w:val="Heading1Char"/>
          <w:b/>
        </w:rPr>
        <w:t xml:space="preserve">Technical </w:t>
      </w:r>
      <w:r w:rsidR="00E061C3">
        <w:rPr>
          <w:rStyle w:val="Heading1Char"/>
          <w:b/>
        </w:rPr>
        <w:t>d</w:t>
      </w:r>
      <w:r w:rsidRPr="00AF7C38">
        <w:rPr>
          <w:rStyle w:val="Heading1Char"/>
          <w:b/>
        </w:rPr>
        <w:t>escription</w:t>
      </w:r>
      <w:bookmarkEnd w:id="11"/>
    </w:p>
    <w:p w14:paraId="7458AF6F" w14:textId="67962816" w:rsidR="00C52B0C" w:rsidRPr="00127D1D" w:rsidRDefault="00C52B0C" w:rsidP="00B9563E">
      <w:pPr>
        <w:pStyle w:val="Heading3"/>
      </w:pPr>
      <w:r>
        <w:t xml:space="preserve">This section provides detailed description of how the R package follows four key steps to </w:t>
      </w:r>
      <w:r w:rsidRPr="00127D1D">
        <w:t>estimat</w:t>
      </w:r>
      <w:r>
        <w:t>e</w:t>
      </w:r>
      <w:r w:rsidRPr="00127D1D">
        <w:t xml:space="preserve"> the</w:t>
      </w:r>
      <w:r>
        <w:t xml:space="preserve"> </w:t>
      </w:r>
      <w:r w:rsidRPr="00127D1D">
        <w:t>area of impact</w:t>
      </w:r>
      <w:r>
        <w:t>:</w:t>
      </w:r>
    </w:p>
    <w:p w14:paraId="094F1B15" w14:textId="1FF98769" w:rsidR="00C52B0C" w:rsidRPr="00127D1D" w:rsidRDefault="00C52B0C" w:rsidP="003C317E">
      <w:pPr>
        <w:pStyle w:val="Heading2"/>
      </w:pPr>
      <w:bookmarkStart w:id="12" w:name="_Toc212108367"/>
      <w:r w:rsidRPr="00127D1D">
        <w:lastRenderedPageBreak/>
        <w:t>Geospatial</w:t>
      </w:r>
      <w:bookmarkEnd w:id="12"/>
    </w:p>
    <w:p w14:paraId="3ACE9B84" w14:textId="77777777" w:rsidR="00C52B0C" w:rsidRPr="00025108" w:rsidRDefault="00C52B0C" w:rsidP="00B9563E">
      <w:pPr>
        <w:pStyle w:val="Heading3"/>
      </w:pPr>
      <w:r>
        <w:rPr>
          <w:lang w:val="en-US"/>
        </w:rPr>
        <w:t xml:space="preserve">This step </w:t>
      </w:r>
      <w:r w:rsidRPr="00025108">
        <w:t>calculates geospatial information for each transect which is used later in the method.</w:t>
      </w:r>
    </w:p>
    <w:p w14:paraId="2330FB36" w14:textId="77777777" w:rsidR="00C52B0C" w:rsidRPr="00232CF8" w:rsidRDefault="00C52B0C" w:rsidP="00B9563E">
      <w:pPr>
        <w:pStyle w:val="Heading3"/>
        <w:rPr>
          <w:lang w:val="en-US"/>
        </w:rPr>
      </w:pPr>
      <w:r w:rsidRPr="00025108">
        <w:t>The calculated fields include</w:t>
      </w:r>
      <w:r w:rsidRPr="00232CF8">
        <w:rPr>
          <w:lang w:val="en-US"/>
        </w:rPr>
        <w:t>:</w:t>
      </w:r>
    </w:p>
    <w:p w14:paraId="2921FB71" w14:textId="6511A492" w:rsidR="00C52B0C" w:rsidRPr="00BB7C4B" w:rsidRDefault="00C52B0C" w:rsidP="00BB7C4B">
      <w:pPr>
        <w:pStyle w:val="ListParagraph"/>
        <w:numPr>
          <w:ilvl w:val="0"/>
          <w:numId w:val="20"/>
        </w:numPr>
        <w:spacing w:after="240"/>
        <w:rPr>
          <w:rFonts w:cs="Arial"/>
          <w:lang w:val="en-US"/>
        </w:rPr>
      </w:pPr>
      <w:r w:rsidRPr="00BB7C4B">
        <w:rPr>
          <w:rFonts w:cs="Arial"/>
          <w:lang w:val="en-US"/>
        </w:rPr>
        <w:t xml:space="preserve">The bearing is calculated for each transect in the direction from the pen edge station to the </w:t>
      </w:r>
      <w:proofErr w:type="gramStart"/>
      <w:r w:rsidRPr="00BB7C4B">
        <w:rPr>
          <w:rFonts w:cs="Arial"/>
          <w:lang w:val="en-US"/>
        </w:rPr>
        <w:t>averaged</w:t>
      </w:r>
      <w:proofErr w:type="gramEnd"/>
      <w:r w:rsidRPr="00BB7C4B">
        <w:rPr>
          <w:rFonts w:cs="Arial"/>
          <w:lang w:val="en-US"/>
        </w:rPr>
        <w:t xml:space="preserve"> coordinates of the remaining stations</w:t>
      </w:r>
    </w:p>
    <w:p w14:paraId="17B7FA11" w14:textId="70E356BE" w:rsidR="00C52B0C" w:rsidRPr="00BB7C4B" w:rsidRDefault="00C52B0C" w:rsidP="00BB7C4B">
      <w:pPr>
        <w:pStyle w:val="ListParagraph"/>
        <w:numPr>
          <w:ilvl w:val="0"/>
          <w:numId w:val="20"/>
        </w:numPr>
        <w:spacing w:after="240"/>
        <w:rPr>
          <w:rFonts w:cs="Arial"/>
          <w:lang w:val="en-US"/>
        </w:rPr>
      </w:pPr>
      <w:r w:rsidRPr="00BB7C4B">
        <w:rPr>
          <w:rFonts w:cs="Arial"/>
          <w:lang w:val="en-US"/>
        </w:rPr>
        <w:t>Distances of each station from pen edge</w:t>
      </w:r>
    </w:p>
    <w:p w14:paraId="080113C1" w14:textId="2E03DBBD" w:rsidR="00C52B0C" w:rsidRPr="00BB7C4B" w:rsidRDefault="00C52B0C" w:rsidP="00BB7C4B">
      <w:pPr>
        <w:pStyle w:val="ListParagraph"/>
        <w:numPr>
          <w:ilvl w:val="0"/>
          <w:numId w:val="20"/>
        </w:numPr>
        <w:spacing w:after="240"/>
        <w:rPr>
          <w:rFonts w:cs="Arial"/>
          <w:lang w:val="en-US"/>
        </w:rPr>
      </w:pPr>
      <w:r w:rsidRPr="00BB7C4B">
        <w:rPr>
          <w:rFonts w:cs="Arial"/>
          <w:lang w:val="en-US"/>
        </w:rPr>
        <w:t>Spatial separation between stations</w:t>
      </w:r>
      <w:r w:rsidR="002B4446">
        <w:rPr>
          <w:rFonts w:cs="Arial"/>
          <w:lang w:val="en-US"/>
        </w:rPr>
        <w:t>.</w:t>
      </w:r>
    </w:p>
    <w:p w14:paraId="2C5F81B8" w14:textId="4225312F" w:rsidR="00C52B0C" w:rsidRPr="001052C8" w:rsidRDefault="00C52B0C" w:rsidP="003C317E">
      <w:pPr>
        <w:pStyle w:val="Heading2"/>
      </w:pPr>
      <w:bookmarkStart w:id="13" w:name="_Toc212108368"/>
      <w:r w:rsidRPr="009B5DDB">
        <w:t>Distances</w:t>
      </w:r>
      <w:bookmarkEnd w:id="13"/>
    </w:p>
    <w:p w14:paraId="670048EE" w14:textId="3E55D342" w:rsidR="00C52B0C" w:rsidRDefault="00C52B0C" w:rsidP="00B9563E">
      <w:pPr>
        <w:pStyle w:val="Heading3"/>
      </w:pPr>
      <w:r w:rsidRPr="00955496">
        <w:t xml:space="preserve">The goal </w:t>
      </w:r>
      <w:r>
        <w:t xml:space="preserve">of this step of the process </w:t>
      </w:r>
      <w:r w:rsidRPr="00955496">
        <w:t xml:space="preserve">is to use the monitoring </w:t>
      </w:r>
      <w:r>
        <w:t xml:space="preserve">data </w:t>
      </w:r>
      <w:r w:rsidRPr="00955496">
        <w:t xml:space="preserve">to estimate the distance along each transect at which the </w:t>
      </w:r>
      <w:r>
        <w:t>environmental standard is</w:t>
      </w:r>
      <w:r w:rsidRPr="00955496">
        <w:t xml:space="preserve"> attain</w:t>
      </w:r>
      <w:r>
        <w:t>ed</w:t>
      </w:r>
      <w:r w:rsidRPr="00955496">
        <w:t xml:space="preserve">. These distances are used later in the method to quantify a farm’s </w:t>
      </w:r>
      <w:r>
        <w:t>area of impact.</w:t>
      </w:r>
    </w:p>
    <w:p w14:paraId="10FAD18B" w14:textId="77777777" w:rsidR="00C52B0C" w:rsidRDefault="00C52B0C" w:rsidP="00B9563E">
      <w:pPr>
        <w:pStyle w:val="Heading3"/>
      </w:pPr>
      <w:r w:rsidRPr="00955496">
        <w:t xml:space="preserve">Although it may be reasonable to assume that true </w:t>
      </w:r>
      <w:r>
        <w:t>value changes</w:t>
      </w:r>
      <w:r w:rsidRPr="00955496">
        <w:t xml:space="preserve"> monotonically with distance from the farm, this is not always true of real-world data since all measurements are subject to random variation.</w:t>
      </w:r>
    </w:p>
    <w:p w14:paraId="01457760" w14:textId="77777777" w:rsidR="00C52B0C" w:rsidRDefault="00C52B0C" w:rsidP="00B9563E">
      <w:pPr>
        <w:pStyle w:val="Heading3"/>
      </w:pPr>
      <w:r w:rsidRPr="00955496">
        <w:t xml:space="preserve">The approach used here is to fit a non-linear model that adequately describes how the </w:t>
      </w:r>
      <w:r>
        <w:t xml:space="preserve">change </w:t>
      </w:r>
      <w:r w:rsidRPr="00955496">
        <w:t xml:space="preserve">with distance from the </w:t>
      </w:r>
      <w:r>
        <w:t>pen</w:t>
      </w:r>
      <w:r w:rsidRPr="00955496">
        <w:t xml:space="preserve"> edge along each transect.</w:t>
      </w:r>
      <w:r>
        <w:t xml:space="preserve"> Each transect is fitted separately.</w:t>
      </w:r>
    </w:p>
    <w:p w14:paraId="610141FD" w14:textId="77777777" w:rsidR="00C52B0C" w:rsidRDefault="00C52B0C" w:rsidP="00B9563E">
      <w:pPr>
        <w:pStyle w:val="Heading3"/>
      </w:pPr>
      <w:r w:rsidRPr="00955496">
        <w:t xml:space="preserve">This regression model can then be used to interpolate between observations and estimate the distance at which the </w:t>
      </w:r>
      <w:r>
        <w:t>value has reached the environmental standard</w:t>
      </w:r>
      <w:r w:rsidRPr="00955496">
        <w:t>.</w:t>
      </w:r>
    </w:p>
    <w:p w14:paraId="084D75E2" w14:textId="77777777" w:rsidR="00C52B0C" w:rsidRPr="00025108" w:rsidRDefault="00C52B0C" w:rsidP="00B9563E">
      <w:pPr>
        <w:pStyle w:val="Heading3"/>
        <w:rPr>
          <w:lang w:val="en-US"/>
        </w:rPr>
      </w:pPr>
      <w:r w:rsidRPr="00CC2961">
        <w:t>Firstly</w:t>
      </w:r>
      <w:r w:rsidRPr="00025108">
        <w:rPr>
          <w:lang w:val="en-US"/>
        </w:rPr>
        <w:t>, we calculate the distance to compliance along each transect based on the reduced analysis rule. We may use this distance in cases where the operator has explicitly chosen the reduced analysis approach to reduce analysis costs; it also acts as a useful fallback in cases where the data submitted is unsuitable for fitting regression models.</w:t>
      </w:r>
    </w:p>
    <w:p w14:paraId="1EB01E6B" w14:textId="16BF352E" w:rsidR="00C52B0C" w:rsidRPr="00025108" w:rsidRDefault="00C52B0C" w:rsidP="00B9563E">
      <w:pPr>
        <w:pStyle w:val="Heading3"/>
        <w:rPr>
          <w:lang w:val="en-US"/>
        </w:rPr>
      </w:pPr>
      <w:r w:rsidRPr="00025108">
        <w:rPr>
          <w:lang w:val="en-US"/>
        </w:rPr>
        <w:lastRenderedPageBreak/>
        <w:t xml:space="preserve">We </w:t>
      </w:r>
      <w:r w:rsidRPr="00CC2961">
        <w:t>fit</w:t>
      </w:r>
      <w:r w:rsidRPr="00025108">
        <w:rPr>
          <w:lang w:val="en-US"/>
        </w:rPr>
        <w:t xml:space="preserve"> an initial non-linear model to the data for reference purposes. We may supersede this first </w:t>
      </w:r>
      <w:r w:rsidRPr="004157FD">
        <w:t>attempt</w:t>
      </w:r>
      <w:r w:rsidRPr="00025108">
        <w:rPr>
          <w:lang w:val="en-US"/>
        </w:rPr>
        <w:t xml:space="preserve"> later in the process. Note, we use the </w:t>
      </w:r>
      <w:hyperlink r:id="rId15" w:history="1">
        <w:r w:rsidRPr="00025108">
          <w:rPr>
            <w:rStyle w:val="Hyperlink"/>
            <w:lang w:val="en-US"/>
          </w:rPr>
          <w:t>DRC package</w:t>
        </w:r>
      </w:hyperlink>
      <w:r w:rsidRPr="00025108">
        <w:rPr>
          <w:lang w:val="en-US"/>
        </w:rPr>
        <w:t xml:space="preserve"> to fit all models used in the interpolation process.</w:t>
      </w:r>
    </w:p>
    <w:p w14:paraId="658BB501" w14:textId="77777777" w:rsidR="00C52B0C" w:rsidRPr="00025108" w:rsidRDefault="00C52B0C" w:rsidP="00B9563E">
      <w:pPr>
        <w:pStyle w:val="Heading3"/>
        <w:rPr>
          <w:lang w:val="en-US"/>
        </w:rPr>
      </w:pPr>
      <w:r w:rsidRPr="00CC2961">
        <w:t>During</w:t>
      </w:r>
      <w:r w:rsidRPr="00025108">
        <w:rPr>
          <w:lang w:val="en-US"/>
        </w:rPr>
        <w:t xml:space="preserve"> the fitting of the non-linear model, the step also checks if a simpler, linear regression is a </w:t>
      </w:r>
      <w:r w:rsidRPr="004157FD">
        <w:t>better</w:t>
      </w:r>
      <w:r w:rsidRPr="00025108">
        <w:rPr>
          <w:lang w:val="en-US"/>
        </w:rPr>
        <w:t xml:space="preserve"> fit, this acts as an informal lack-of-fit test. Experience has shown that, for well-planned transects of appropriate length, it is highly unusual for a linear regression to out-perform a non-linear one. If it does, the package returns a warning to the output summary table.</w:t>
      </w:r>
    </w:p>
    <w:p w14:paraId="5E6B01CD" w14:textId="62EBA36F" w:rsidR="004F163A" w:rsidRPr="00DE10F4" w:rsidRDefault="001052C8" w:rsidP="004F163A">
      <w:pPr>
        <w:pStyle w:val="Heading3"/>
        <w:rPr>
          <w:lang w:val="en-US"/>
        </w:rPr>
      </w:pPr>
      <w:r w:rsidRPr="00025108">
        <w:rPr>
          <w:lang w:val="en-US"/>
        </w:rPr>
        <w:t xml:space="preserve">This step </w:t>
      </w:r>
      <w:r w:rsidRPr="00CC2961">
        <w:t>then</w:t>
      </w:r>
      <w:r w:rsidRPr="00025108">
        <w:rPr>
          <w:lang w:val="en-US"/>
        </w:rPr>
        <w:t xml:space="preserve"> compares three </w:t>
      </w:r>
      <w:r w:rsidRPr="004157FD">
        <w:t>alternative</w:t>
      </w:r>
      <w:r w:rsidRPr="00025108">
        <w:rPr>
          <w:lang w:val="en-US"/>
        </w:rPr>
        <w:t xml:space="preserve"> non-linear models to compare against each other.</w:t>
      </w:r>
    </w:p>
    <w:p w14:paraId="7A581E0B" w14:textId="75DC16DF" w:rsidR="001052C8" w:rsidRPr="004133B7" w:rsidRDefault="001052C8" w:rsidP="004F163A">
      <w:pPr>
        <w:pStyle w:val="BodyText1"/>
        <w:rPr>
          <w:rFonts w:eastAsia="Times New Roman"/>
          <w:b/>
          <w:bCs/>
        </w:rPr>
      </w:pPr>
      <w:r w:rsidRPr="004133B7">
        <w:rPr>
          <w:rFonts w:eastAsia="Times New Roman"/>
          <w:b/>
          <w:bCs/>
        </w:rPr>
        <w:t xml:space="preserve">Table </w:t>
      </w:r>
      <w:r>
        <w:rPr>
          <w:rFonts w:eastAsia="Times New Roman"/>
          <w:b/>
          <w:bCs/>
        </w:rPr>
        <w:t>1</w:t>
      </w:r>
      <w:r w:rsidRPr="004133B7">
        <w:rPr>
          <w:rFonts w:eastAsia="Times New Roman"/>
          <w:b/>
          <w:bCs/>
        </w:rPr>
        <w:t xml:space="preserve">: </w:t>
      </w:r>
      <w:r w:rsidRPr="00B139CC">
        <w:rPr>
          <w:b/>
          <w:bCs/>
        </w:rPr>
        <w:t>Formulation of models used. Note that x in all the parameterisations represents the distance from the pen edge</w:t>
      </w:r>
      <w:r w:rsidR="00482688">
        <w:rPr>
          <w:b/>
          <w:bCs/>
        </w:rPr>
        <w:t>.</w:t>
      </w:r>
    </w:p>
    <w:tbl>
      <w:tblPr>
        <w:tblW w:w="5000" w:type="pct"/>
        <w:tblCellMar>
          <w:left w:w="0" w:type="dxa"/>
          <w:right w:w="0" w:type="dxa"/>
        </w:tblCellMar>
        <w:tblLook w:val="04A0" w:firstRow="1" w:lastRow="0" w:firstColumn="1" w:lastColumn="0" w:noHBand="0" w:noVBand="1"/>
      </w:tblPr>
      <w:tblGrid>
        <w:gridCol w:w="3352"/>
        <w:gridCol w:w="4073"/>
        <w:gridCol w:w="2777"/>
      </w:tblGrid>
      <w:tr w:rsidR="001052C8" w:rsidRPr="00684F5A" w14:paraId="4CEBC127" w14:textId="77777777" w:rsidTr="004F163A">
        <w:trPr>
          <w:trHeight w:val="610"/>
          <w:tblHeader/>
        </w:trPr>
        <w:tc>
          <w:tcPr>
            <w:tcW w:w="1662"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2F4D4744" w14:textId="221C85E2" w:rsidR="001052C8" w:rsidRPr="00684F5A" w:rsidRDefault="001052C8">
            <w:pPr>
              <w:spacing w:before="120" w:after="24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Model</w:t>
            </w:r>
          </w:p>
        </w:tc>
        <w:tc>
          <w:tcPr>
            <w:tcW w:w="2015"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42B3BAB8" w14:textId="3B494AAE" w:rsidR="001052C8" w:rsidRPr="00684F5A" w:rsidRDefault="001052C8">
            <w:pPr>
              <w:spacing w:before="120" w:after="24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Parameterisation</w:t>
            </w:r>
          </w:p>
        </w:tc>
        <w:tc>
          <w:tcPr>
            <w:tcW w:w="1323"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040EF578" w14:textId="523B76A7" w:rsidR="001052C8" w:rsidRPr="00684F5A" w:rsidRDefault="001052C8">
            <w:pPr>
              <w:spacing w:before="120" w:after="24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N</w:t>
            </w:r>
            <w:r w:rsidR="008E2347">
              <w:rPr>
                <w:rFonts w:ascii="Arial" w:eastAsia="Times New Roman" w:hAnsi="Arial" w:cs="Arial"/>
                <w:b/>
                <w:bCs/>
                <w:color w:val="FFFFFF"/>
                <w:lang w:eastAsia="en-GB"/>
              </w:rPr>
              <w:t>umber</w:t>
            </w:r>
            <w:r>
              <w:rPr>
                <w:rFonts w:ascii="Arial" w:eastAsia="Times New Roman" w:hAnsi="Arial" w:cs="Arial"/>
                <w:b/>
                <w:bCs/>
                <w:color w:val="FFFFFF"/>
                <w:lang w:eastAsia="en-GB"/>
              </w:rPr>
              <w:t xml:space="preserve"> of parameters</w:t>
            </w:r>
          </w:p>
        </w:tc>
      </w:tr>
      <w:tr w:rsidR="001052C8" w:rsidRPr="00684F5A" w14:paraId="63161B86" w14:textId="77777777" w:rsidTr="004F163A">
        <w:trPr>
          <w:trHeight w:val="315"/>
        </w:trPr>
        <w:tc>
          <w:tcPr>
            <w:tcW w:w="1662"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B5DD6BA" w14:textId="26175C0B" w:rsidR="001052C8" w:rsidRPr="00684F5A" w:rsidRDefault="001052C8">
            <w:pPr>
              <w:spacing w:before="120" w:after="240" w:line="240" w:lineRule="auto"/>
              <w:jc w:val="center"/>
              <w:rPr>
                <w:rFonts w:ascii="Arial" w:eastAsia="Times New Roman" w:hAnsi="Arial" w:cs="Arial"/>
                <w:lang w:eastAsia="en-GB"/>
              </w:rPr>
            </w:pPr>
            <w:r w:rsidRPr="2F883A50">
              <w:rPr>
                <w:rFonts w:ascii="Arial" w:hAnsi="Arial" w:cs="Arial"/>
              </w:rPr>
              <w:t>Shifted Michaelis-Menten</w:t>
            </w:r>
          </w:p>
        </w:tc>
        <w:tc>
          <w:tcPr>
            <w:tcW w:w="2015"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A036414" w14:textId="2433C6CA" w:rsidR="001052C8" w:rsidRPr="00684F5A" w:rsidRDefault="001052C8">
            <w:pPr>
              <w:spacing w:before="120" w:after="240" w:line="240" w:lineRule="auto"/>
              <w:jc w:val="center"/>
              <w:rPr>
                <w:rFonts w:ascii="Arial" w:eastAsia="Times New Roman" w:hAnsi="Arial" w:cs="Arial"/>
                <w:lang w:eastAsia="en-GB"/>
              </w:rPr>
            </w:pPr>
            <m:oMathPara>
              <m:oMath>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=c+</m:t>
                </m:r>
                <m:f>
                  <m:fPr>
                    <m:ctrlPr>
                      <w:rPr>
                        <w:rFonts w:ascii="Cambria Math" w:hAnsi="Cambria Math" w:cs="Arial"/>
                        <w:i/>
                      </w:rPr>
                    </m:ctrlPr>
                  </m:fPr>
                  <m:num>
                    <m:r>
                      <w:rPr>
                        <w:rFonts w:ascii="Cambria Math" w:hAnsi="Cambria Math" w:cs="Arial"/>
                      </w:rPr>
                      <m:t>d-c</m:t>
                    </m:r>
                  </m:num>
                  <m:den>
                    <m:r>
                      <w:rPr>
                        <w:rFonts w:ascii="Cambria Math" w:hAnsi="Cambria Math" w:cs="Arial"/>
                      </w:rPr>
                      <m:t>1+(</m:t>
                    </m:r>
                    <m:f>
                      <m:fPr>
                        <m:type m:val="skw"/>
                        <m:ctrlPr>
                          <w:rPr>
                            <w:rFonts w:ascii="Cambria Math" w:hAnsi="Cambria Math" w:cs="Arial"/>
                            <w:i/>
                          </w:rPr>
                        </m:ctrlPr>
                      </m:fPr>
                      <m:num>
                        <m:r>
                          <w:rPr>
                            <w:rFonts w:ascii="Cambria Math" w:hAnsi="Cambria Math" w:cs="Arial"/>
                          </w:rPr>
                          <m:t>e</m:t>
                        </m:r>
                      </m:num>
                      <m:den>
                        <m:r>
                          <w:rPr>
                            <w:rFonts w:ascii="Cambria Math" w:hAnsi="Cambria Math" w:cs="Arial"/>
                          </w:rPr>
                          <m:t>x</m:t>
                        </m:r>
                      </m:den>
                    </m:f>
                    <m:r>
                      <w:rPr>
                        <w:rFonts w:ascii="Cambria Math" w:hAnsi="Cambria Math" w:cs="Arial"/>
                      </w:rPr>
                      <m:t>)</m:t>
                    </m:r>
                  </m:den>
                </m:f>
              </m:oMath>
            </m:oMathPara>
          </w:p>
        </w:tc>
        <w:tc>
          <w:tcPr>
            <w:tcW w:w="132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F232A2E" w14:textId="6932DC8C" w:rsidR="001052C8" w:rsidRPr="00684F5A" w:rsidRDefault="001052C8">
            <w:pPr>
              <w:spacing w:before="120" w:after="240" w:line="240" w:lineRule="auto"/>
              <w:jc w:val="center"/>
              <w:rPr>
                <w:rFonts w:ascii="Arial" w:eastAsia="Times New Roman" w:hAnsi="Arial" w:cs="Arial"/>
                <w:lang w:eastAsia="en-GB"/>
              </w:rPr>
            </w:pPr>
            <w:r>
              <w:rPr>
                <w:rFonts w:ascii="Arial" w:eastAsia="Times New Roman" w:hAnsi="Arial" w:cs="Arial"/>
                <w:lang w:eastAsia="en-GB"/>
              </w:rPr>
              <w:t>3</w:t>
            </w:r>
          </w:p>
        </w:tc>
      </w:tr>
      <w:tr w:rsidR="001052C8" w:rsidRPr="00684F5A" w14:paraId="23416221" w14:textId="77777777" w:rsidTr="004F163A">
        <w:trPr>
          <w:trHeight w:val="315"/>
        </w:trPr>
        <w:tc>
          <w:tcPr>
            <w:tcW w:w="1662"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0D45F67" w14:textId="7F95D93D" w:rsidR="001052C8" w:rsidRPr="2F883A50" w:rsidRDefault="001052C8">
            <w:pPr>
              <w:spacing w:before="120" w:after="240" w:line="240" w:lineRule="auto"/>
              <w:jc w:val="center"/>
              <w:rPr>
                <w:rFonts w:ascii="Arial" w:hAnsi="Arial" w:cs="Arial"/>
              </w:rPr>
            </w:pPr>
            <w:r w:rsidRPr="2F883A50">
              <w:rPr>
                <w:rFonts w:ascii="Arial" w:hAnsi="Arial" w:cs="Arial"/>
              </w:rPr>
              <w:t>Four-parameter</w:t>
            </w:r>
            <w:r>
              <w:rPr>
                <w:rFonts w:ascii="Arial" w:hAnsi="Arial" w:cs="Arial"/>
              </w:rPr>
              <w:t xml:space="preserve"> </w:t>
            </w:r>
            <w:r w:rsidRPr="2F883A50">
              <w:rPr>
                <w:rFonts w:ascii="Arial" w:hAnsi="Arial" w:cs="Arial"/>
              </w:rPr>
              <w:t>logistic</w:t>
            </w:r>
          </w:p>
        </w:tc>
        <w:tc>
          <w:tcPr>
            <w:tcW w:w="2015"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E5CC895" w14:textId="00B83F25" w:rsidR="001052C8" w:rsidRPr="00684F5A" w:rsidRDefault="001052C8">
            <w:pPr>
              <w:spacing w:before="120" w:after="240" w:line="240" w:lineRule="auto"/>
              <w:jc w:val="center"/>
              <w:rPr>
                <w:rFonts w:ascii="Arial" w:eastAsia="Times New Roman" w:hAnsi="Arial" w:cs="Arial"/>
                <w:lang w:eastAsia="en-GB"/>
              </w:rPr>
            </w:pPr>
            <m:oMathPara>
              <m:oMath>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=c+</m:t>
                </m:r>
                <m:f>
                  <m:fPr>
                    <m:ctrlPr>
                      <w:rPr>
                        <w:rFonts w:ascii="Cambria Math" w:hAnsi="Cambria Math" w:cs="Arial"/>
                        <w:i/>
                      </w:rPr>
                    </m:ctrlPr>
                  </m:fPr>
                  <m:num>
                    <m:r>
                      <w:rPr>
                        <w:rFonts w:ascii="Cambria Math" w:hAnsi="Cambria Math" w:cs="Arial"/>
                      </w:rPr>
                      <m:t>d-c</m:t>
                    </m:r>
                  </m:num>
                  <m:den>
                    <m:r>
                      <w:rPr>
                        <w:rFonts w:ascii="Cambria Math" w:hAnsi="Cambria Math" w:cs="Arial"/>
                      </w:rPr>
                      <m:t>1+</m:t>
                    </m:r>
                    <m:r>
                      <m:rPr>
                        <m:sty m:val="p"/>
                      </m:rPr>
                      <w:rPr>
                        <w:rFonts w:ascii="Cambria Math" w:hAnsi="Cambria Math" w:cs="Arial"/>
                      </w:rPr>
                      <m:t>exp⁡</m:t>
                    </m:r>
                    <m:r>
                      <w:rPr>
                        <w:rFonts w:ascii="Cambria Math" w:hAnsi="Cambria Math" w:cs="Arial"/>
                      </w:rPr>
                      <m:t>(-b</m:t>
                    </m:r>
                    <m:d>
                      <m:dPr>
                        <m:ctrlPr>
                          <w:rPr>
                            <w:rFonts w:ascii="Cambria Math" w:hAnsi="Cambria Math" w:cs="Arial"/>
                            <w:i/>
                          </w:rPr>
                        </m:ctrlPr>
                      </m:dPr>
                      <m:e>
                        <m:r>
                          <w:rPr>
                            <w:rFonts w:ascii="Cambria Math" w:hAnsi="Cambria Math" w:cs="Arial"/>
                          </w:rPr>
                          <m:t>x-</m:t>
                        </m:r>
                        <m:r>
                          <m:rPr>
                            <m:sty m:val="p"/>
                          </m:rPr>
                          <w:rPr>
                            <w:rFonts w:ascii="Cambria Math" w:hAnsi="Cambria Math" w:cs="Arial"/>
                          </w:rPr>
                          <m:t>e</m:t>
                        </m:r>
                      </m:e>
                    </m:d>
                    <m:r>
                      <w:rPr>
                        <w:rFonts w:ascii="Cambria Math" w:hAnsi="Cambria Math" w:cs="Arial"/>
                      </w:rPr>
                      <m:t>)</m:t>
                    </m:r>
                  </m:den>
                </m:f>
              </m:oMath>
            </m:oMathPara>
          </w:p>
        </w:tc>
        <w:tc>
          <w:tcPr>
            <w:tcW w:w="132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887F7FC" w14:textId="0419893B" w:rsidR="001052C8" w:rsidRDefault="001052C8">
            <w:pPr>
              <w:spacing w:before="120" w:after="240" w:line="240" w:lineRule="auto"/>
              <w:jc w:val="center"/>
              <w:rPr>
                <w:rFonts w:ascii="Arial" w:eastAsia="Times New Roman" w:hAnsi="Arial" w:cs="Arial"/>
                <w:lang w:eastAsia="en-GB"/>
              </w:rPr>
            </w:pPr>
            <w:r>
              <w:rPr>
                <w:rFonts w:ascii="Arial" w:eastAsia="Times New Roman" w:hAnsi="Arial" w:cs="Arial"/>
                <w:lang w:eastAsia="en-GB"/>
              </w:rPr>
              <w:t>4</w:t>
            </w:r>
          </w:p>
        </w:tc>
      </w:tr>
      <w:tr w:rsidR="001052C8" w:rsidRPr="00684F5A" w14:paraId="23836DD7" w14:textId="77777777" w:rsidTr="004F163A">
        <w:trPr>
          <w:trHeight w:val="315"/>
        </w:trPr>
        <w:tc>
          <w:tcPr>
            <w:tcW w:w="1662"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1F06545" w14:textId="2053AC86" w:rsidR="001052C8" w:rsidRPr="2F883A50" w:rsidRDefault="001052C8">
            <w:pPr>
              <w:spacing w:before="120" w:after="240" w:line="240" w:lineRule="auto"/>
              <w:jc w:val="center"/>
              <w:rPr>
                <w:rFonts w:ascii="Arial" w:hAnsi="Arial" w:cs="Arial"/>
              </w:rPr>
            </w:pPr>
            <w:r w:rsidRPr="2F883A50">
              <w:rPr>
                <w:rFonts w:ascii="Arial" w:hAnsi="Arial" w:cs="Arial"/>
              </w:rPr>
              <w:t>Five-parameter logistic</w:t>
            </w:r>
          </w:p>
        </w:tc>
        <w:tc>
          <w:tcPr>
            <w:tcW w:w="2015"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E6A057F" w14:textId="2CC95CE7" w:rsidR="001052C8" w:rsidRPr="00684F5A" w:rsidRDefault="001052C8">
            <w:pPr>
              <w:spacing w:before="120" w:after="240" w:line="240" w:lineRule="auto"/>
              <w:jc w:val="center"/>
              <w:rPr>
                <w:rFonts w:ascii="Arial" w:eastAsia="Times New Roman" w:hAnsi="Arial" w:cs="Arial"/>
                <w:lang w:eastAsia="en-GB"/>
              </w:rPr>
            </w:pPr>
            <m:oMathPara>
              <m:oMath>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=c+</m:t>
                </m:r>
                <m:f>
                  <m:fPr>
                    <m:ctrlPr>
                      <w:rPr>
                        <w:rFonts w:ascii="Cambria Math" w:hAnsi="Cambria Math" w:cs="Arial"/>
                        <w:i/>
                      </w:rPr>
                    </m:ctrlPr>
                  </m:fPr>
                  <m:num>
                    <m:r>
                      <w:rPr>
                        <w:rFonts w:ascii="Cambria Math" w:hAnsi="Cambria Math" w:cs="Arial"/>
                      </w:rPr>
                      <m:t>d-c</m:t>
                    </m:r>
                  </m:num>
                  <m:den>
                    <m:r>
                      <w:rPr>
                        <w:rFonts w:ascii="Cambria Math" w:hAnsi="Cambria Math" w:cs="Arial"/>
                      </w:rPr>
                      <m:t>(1+</m:t>
                    </m:r>
                    <m:r>
                      <m:rPr>
                        <m:sty m:val="p"/>
                      </m:rPr>
                      <w:rPr>
                        <w:rFonts w:ascii="Cambria Math" w:hAnsi="Cambria Math" w:cs="Arial"/>
                      </w:rPr>
                      <m:t>exp⁡</m:t>
                    </m:r>
                    <m:r>
                      <w:rPr>
                        <w:rFonts w:ascii="Cambria Math" w:hAnsi="Cambria Math" w:cs="Arial"/>
                      </w:rPr>
                      <m:t>(-b</m:t>
                    </m:r>
                    <m:d>
                      <m:dPr>
                        <m:ctrlPr>
                          <w:rPr>
                            <w:rFonts w:ascii="Cambria Math" w:hAnsi="Cambria Math" w:cs="Arial"/>
                            <w:i/>
                          </w:rPr>
                        </m:ctrlPr>
                      </m:dPr>
                      <m:e>
                        <m:r>
                          <w:rPr>
                            <w:rFonts w:ascii="Cambria Math" w:hAnsi="Cambria Math" w:cs="Arial"/>
                          </w:rPr>
                          <m:t>x-</m:t>
                        </m:r>
                        <m:r>
                          <m:rPr>
                            <m:sty m:val="p"/>
                          </m:rPr>
                          <w:rPr>
                            <w:rFonts w:ascii="Cambria Math" w:hAnsi="Cambria Math" w:cs="Arial"/>
                          </w:rPr>
                          <m:t>e</m:t>
                        </m:r>
                      </m:e>
                    </m:d>
                    <m:r>
                      <w:rPr>
                        <w:rFonts w:ascii="Cambria Math" w:hAnsi="Cambria Math" w:cs="Arial"/>
                      </w:rPr>
                      <m:t>))</m:t>
                    </m:r>
                    <m:r>
                      <w:rPr>
                        <w:rFonts w:ascii="Cambria Math" w:hAnsi="Cambria Math" w:cs="Arial"/>
                        <w:position w:val="6"/>
                      </w:rPr>
                      <m:t>f</m:t>
                    </m:r>
                  </m:den>
                </m:f>
              </m:oMath>
            </m:oMathPara>
          </w:p>
        </w:tc>
        <w:tc>
          <w:tcPr>
            <w:tcW w:w="132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461B5AD" w14:textId="62B251C8" w:rsidR="001052C8" w:rsidRDefault="001052C8">
            <w:pPr>
              <w:spacing w:before="120" w:after="240" w:line="240" w:lineRule="auto"/>
              <w:jc w:val="center"/>
              <w:rPr>
                <w:rFonts w:ascii="Arial" w:eastAsia="Times New Roman" w:hAnsi="Arial" w:cs="Arial"/>
                <w:lang w:eastAsia="en-GB"/>
              </w:rPr>
            </w:pPr>
            <w:r>
              <w:rPr>
                <w:rFonts w:ascii="Arial" w:eastAsia="Times New Roman" w:hAnsi="Arial" w:cs="Arial"/>
                <w:lang w:eastAsia="en-GB"/>
              </w:rPr>
              <w:t>5</w:t>
            </w:r>
          </w:p>
        </w:tc>
      </w:tr>
    </w:tbl>
    <w:p w14:paraId="6F66A374" w14:textId="77777777" w:rsidR="008E2347" w:rsidRDefault="008E2347" w:rsidP="004157FD">
      <w:pPr>
        <w:spacing w:after="240"/>
      </w:pPr>
    </w:p>
    <w:p w14:paraId="154E0A59" w14:textId="77777777" w:rsidR="00467AF0" w:rsidRPr="004157FD" w:rsidRDefault="00467AF0" w:rsidP="004157FD">
      <w:pPr>
        <w:spacing w:after="240"/>
        <w:rPr>
          <w:vanish/>
        </w:rPr>
      </w:pPr>
    </w:p>
    <w:p w14:paraId="56FA362C" w14:textId="389EB28F" w:rsidR="00C52B0C" w:rsidRDefault="00C52B0C" w:rsidP="00B9563E">
      <w:pPr>
        <w:pStyle w:val="Heading3"/>
      </w:pPr>
      <w:r w:rsidRPr="005F33FE">
        <w:t>For the purposes of model comparison and final selection, these models are ordered using the Akaike Information Criterion (AIC)</w:t>
      </w:r>
      <w:r w:rsidR="00CF5B79">
        <w:t xml:space="preserve"> as presented in </w:t>
      </w:r>
      <w:hyperlink r:id="rId16" w:history="1">
        <w:r w:rsidR="00CF5B79" w:rsidRPr="000C3B94">
          <w:rPr>
            <w:rStyle w:val="Hyperlink"/>
          </w:rPr>
          <w:t>Lambert 2018</w:t>
        </w:r>
      </w:hyperlink>
      <w:r w:rsidRPr="005F33FE">
        <w:t>. This metric is used to identify the best performing model overall.</w:t>
      </w:r>
    </w:p>
    <w:p w14:paraId="57FD27CD" w14:textId="77777777" w:rsidR="00C52B0C" w:rsidRPr="005F33FE" w:rsidRDefault="00C52B0C" w:rsidP="00B9563E">
      <w:pPr>
        <w:pStyle w:val="Heading3"/>
      </w:pPr>
      <w:r w:rsidRPr="005F33FE">
        <w:t>Since it is important to balance model complexity against parsimony, the best performing model is then compared against simpler models (with fewer parameters). If a simpler model does not perform significantly worse than the best fitting one (ΔAIC ≤ 10), this model is preferred.</w:t>
      </w:r>
    </w:p>
    <w:p w14:paraId="25ECB9F1" w14:textId="0620E41B" w:rsidR="00C52B0C" w:rsidRPr="005F33FE" w:rsidRDefault="00C52B0C" w:rsidP="00B9563E">
      <w:pPr>
        <w:pStyle w:val="Heading3"/>
      </w:pPr>
      <w:r w:rsidRPr="005F33FE">
        <w:lastRenderedPageBreak/>
        <w:t>When trying to estimate any quantity, it is important to adequately acknowledge uncertainty. It is accepted that different ways exist to quantify uncertainty around model fits. Resampling the residuals between the best-fit curve and monitoring data is the approach favoured here. This generates a series of new datasets to which the model can be refitted. This approach has the advantage of performing well on non-linear models fitted to a relatively small number of data points</w:t>
      </w:r>
      <w:r w:rsidR="001A1956">
        <w:t xml:space="preserve">, as described in </w:t>
      </w:r>
      <w:hyperlink r:id="rId17" w:history="1">
        <w:r w:rsidR="0050469E" w:rsidRPr="0050469E">
          <w:rPr>
            <w:rStyle w:val="Hyperlink"/>
          </w:rPr>
          <w:t>Ritz et al 2008</w:t>
        </w:r>
      </w:hyperlink>
      <w:r w:rsidR="0050469E">
        <w:t xml:space="preserve">. </w:t>
      </w:r>
    </w:p>
    <w:p w14:paraId="05A61D8F" w14:textId="61955116" w:rsidR="00C52B0C" w:rsidRDefault="00C52B0C" w:rsidP="00B9563E">
      <w:pPr>
        <w:pStyle w:val="Heading3"/>
      </w:pPr>
      <w:r w:rsidRPr="005F33FE">
        <w:t>Within the present context, this means that rather than relying on a single best-fit estimate for the distance</w:t>
      </w:r>
      <w:r>
        <w:t xml:space="preserve"> reaching the standard</w:t>
      </w:r>
      <w:r w:rsidRPr="005F33FE">
        <w:t>, we perform each regression multiple times on resampled data. This generates a series of curves, around the best-fit estimate (see Figure 3)</w:t>
      </w:r>
      <w:r w:rsidR="00085281">
        <w:t>.</w:t>
      </w:r>
    </w:p>
    <w:p w14:paraId="552C556D" w14:textId="77777777" w:rsidR="002C1104" w:rsidRDefault="002C1104">
      <w:pPr>
        <w:spacing w:line="240" w:lineRule="auto"/>
        <w:rPr>
          <w:b/>
          <w:bCs/>
        </w:rPr>
      </w:pPr>
      <w:r>
        <w:rPr>
          <w:b/>
          <w:bCs/>
        </w:rPr>
        <w:br w:type="page"/>
      </w:r>
    </w:p>
    <w:p w14:paraId="398954CF" w14:textId="25FAECB2" w:rsidR="00B72BE9" w:rsidRPr="00D02904" w:rsidRDefault="000F62C4" w:rsidP="00C64160">
      <w:pPr>
        <w:spacing w:after="240"/>
        <w:rPr>
          <w:b/>
          <w:bCs/>
        </w:rPr>
      </w:pPr>
      <w:r w:rsidRPr="00B139CC">
        <w:rPr>
          <w:b/>
          <w:bCs/>
        </w:rPr>
        <w:lastRenderedPageBreak/>
        <w:t>Figure 3: Approaches to interpolating between data points to determine distance(s) in this case showing where an IQI standard of 0.64 is reached. In (a), a single best-fit curve is fitted, which does not quantify the uncertainty around that fit. A single distance to IQI=0.64 is estimated (red, vertical line). In (b), the data are resampled to generate a series of curves (a spaghetti plot). These curves yield a region at which IQI is likely to reach 0.64 (grey, shaded area).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52B0C" w14:paraId="7E803167" w14:textId="77777777" w:rsidTr="000F62C4">
        <w:trPr>
          <w:jc w:val="center"/>
        </w:trPr>
        <w:tc>
          <w:tcPr>
            <w:tcW w:w="4508" w:type="dxa"/>
          </w:tcPr>
          <w:p w14:paraId="50C8A39B" w14:textId="45CFDDDF" w:rsidR="00977FB5" w:rsidRDefault="00C52B0C" w:rsidP="00977FB5">
            <w:pPr>
              <w:spacing w:after="240"/>
              <w:jc w:val="center"/>
              <w:rPr>
                <w:rFonts w:ascii="Arial" w:hAnsi="Arial" w:cs="Arial"/>
                <w:b/>
                <w:bCs/>
                <w:color w:val="3C4741" w:themeColor="text1"/>
                <w:sz w:val="24"/>
                <w:szCs w:val="24"/>
              </w:rPr>
            </w:pPr>
            <w:r>
              <w:rPr>
                <w:rFonts w:ascii="Arial" w:hAnsi="Arial" w:cs="Arial"/>
                <w:b/>
                <w:bCs/>
                <w:noProof/>
                <w:color w:val="3C4741" w:themeColor="text1"/>
              </w:rPr>
              <w:drawing>
                <wp:inline distT="0" distB="0" distL="0" distR="0" wp14:anchorId="09A264E5" wp14:editId="360564E2">
                  <wp:extent cx="2584800" cy="2149200"/>
                  <wp:effectExtent l="0" t="0" r="6350" b="0"/>
                  <wp:docPr id="39" name="Picture 39" descr="An example plot fitting a single regression curved line to values from 7 sampled stations. Distance on x axis and IQI value on y axis. A horizonal dashed line shows the best estimate of distance to where the IQI standard i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n example plot fitting a single regression curved line to values from 7 sampled stations. Distance on x axis and IQI value on y axis. A horizonal dashed line shows the best estimate of distance to where the IQI standard is reach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84800" cy="2149200"/>
                          </a:xfrm>
                          <a:prstGeom prst="rect">
                            <a:avLst/>
                          </a:prstGeom>
                        </pic:spPr>
                      </pic:pic>
                    </a:graphicData>
                  </a:graphic>
                </wp:inline>
              </w:drawing>
            </w:r>
          </w:p>
        </w:tc>
        <w:tc>
          <w:tcPr>
            <w:tcW w:w="4508" w:type="dxa"/>
          </w:tcPr>
          <w:p w14:paraId="3C39550A" w14:textId="77777777" w:rsidR="00C52B0C" w:rsidRDefault="00C52B0C" w:rsidP="00BB7C4B">
            <w:pPr>
              <w:spacing w:after="240"/>
              <w:jc w:val="center"/>
              <w:rPr>
                <w:rFonts w:ascii="Arial" w:hAnsi="Arial" w:cs="Arial"/>
                <w:b/>
                <w:bCs/>
                <w:color w:val="3C4741" w:themeColor="text1"/>
                <w:sz w:val="24"/>
                <w:szCs w:val="24"/>
              </w:rPr>
            </w:pPr>
            <w:r>
              <w:rPr>
                <w:noProof/>
              </w:rPr>
              <w:drawing>
                <wp:inline distT="0" distB="0" distL="0" distR="0" wp14:anchorId="07FBF4B7" wp14:editId="67E7D650">
                  <wp:extent cx="2588400" cy="2152800"/>
                  <wp:effectExtent l="0" t="0" r="2540" b="0"/>
                  <wp:docPr id="40" name="Picture 40" descr="An example spaghetti plot of 10 resample curves. Distance on x axis and IQI value on y axis. A horizonal dashed line shows the best estimate of distance to where the IQI standard i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n example spaghetti plot of 10 resample curves. Distance on x axis and IQI value on y axis. A horizonal dashed line shows the best estimate of distance to where the IQI standard is reached."/>
                          <pic:cNvPicPr/>
                        </pic:nvPicPr>
                        <pic:blipFill>
                          <a:blip r:embed="rId19">
                            <a:extLst>
                              <a:ext uri="{28A0092B-C50C-407E-A947-70E740481C1C}">
                                <a14:useLocalDpi xmlns:a14="http://schemas.microsoft.com/office/drawing/2010/main" val="0"/>
                              </a:ext>
                            </a:extLst>
                          </a:blip>
                          <a:stretch>
                            <a:fillRect/>
                          </a:stretch>
                        </pic:blipFill>
                        <pic:spPr>
                          <a:xfrm>
                            <a:off x="0" y="0"/>
                            <a:ext cx="2588400" cy="2152800"/>
                          </a:xfrm>
                          <a:prstGeom prst="rect">
                            <a:avLst/>
                          </a:prstGeom>
                        </pic:spPr>
                      </pic:pic>
                    </a:graphicData>
                  </a:graphic>
                </wp:inline>
              </w:drawing>
            </w:r>
          </w:p>
        </w:tc>
      </w:tr>
      <w:tr w:rsidR="00C52B0C" w14:paraId="4B08DF4D" w14:textId="77777777" w:rsidTr="000F62C4">
        <w:trPr>
          <w:jc w:val="center"/>
        </w:trPr>
        <w:tc>
          <w:tcPr>
            <w:tcW w:w="4508" w:type="dxa"/>
          </w:tcPr>
          <w:p w14:paraId="16F43548" w14:textId="77777777" w:rsidR="00C52B0C" w:rsidRDefault="00C52B0C" w:rsidP="00BB7C4B">
            <w:pPr>
              <w:spacing w:after="240"/>
              <w:jc w:val="center"/>
              <w:rPr>
                <w:rFonts w:ascii="Arial" w:hAnsi="Arial" w:cs="Arial"/>
                <w:b/>
                <w:bCs/>
                <w:color w:val="3C4741" w:themeColor="text1"/>
                <w:sz w:val="24"/>
                <w:szCs w:val="24"/>
              </w:rPr>
            </w:pPr>
            <w:r w:rsidRPr="001B28E3">
              <w:rPr>
                <w:rFonts w:ascii="Arial" w:hAnsi="Arial" w:cs="Arial"/>
                <w:b/>
                <w:bCs/>
                <w:sz w:val="24"/>
                <w:szCs w:val="24"/>
              </w:rPr>
              <w:t>(a)</w:t>
            </w:r>
          </w:p>
        </w:tc>
        <w:tc>
          <w:tcPr>
            <w:tcW w:w="4508" w:type="dxa"/>
          </w:tcPr>
          <w:p w14:paraId="31ACBE2F" w14:textId="77777777" w:rsidR="00C52B0C" w:rsidRPr="001B28E3" w:rsidRDefault="00C52B0C" w:rsidP="00BB7C4B">
            <w:pPr>
              <w:spacing w:after="240"/>
              <w:jc w:val="center"/>
              <w:rPr>
                <w:rFonts w:ascii="Arial" w:hAnsi="Arial" w:cs="Arial"/>
                <w:b/>
                <w:bCs/>
                <w:sz w:val="24"/>
                <w:szCs w:val="24"/>
              </w:rPr>
            </w:pPr>
            <w:r w:rsidRPr="001B28E3">
              <w:rPr>
                <w:rFonts w:ascii="Arial" w:hAnsi="Arial" w:cs="Arial"/>
                <w:b/>
                <w:bCs/>
                <w:sz w:val="24"/>
                <w:szCs w:val="24"/>
              </w:rPr>
              <w:t>(b)</w:t>
            </w:r>
          </w:p>
        </w:tc>
      </w:tr>
    </w:tbl>
    <w:p w14:paraId="2D4D3ADE" w14:textId="77777777" w:rsidR="000F62C4" w:rsidRDefault="000F62C4" w:rsidP="00BB7C4B">
      <w:pPr>
        <w:spacing w:after="240"/>
      </w:pPr>
    </w:p>
    <w:p w14:paraId="5C8A12BE" w14:textId="0400C9E0" w:rsidR="00C52B0C" w:rsidRDefault="00C52B0C" w:rsidP="00B9563E">
      <w:pPr>
        <w:pStyle w:val="Heading3"/>
      </w:pPr>
      <w:r>
        <w:t xml:space="preserve">Up to a 1000 </w:t>
      </w:r>
      <w:r w:rsidRPr="00254AD6">
        <w:t>resample</w:t>
      </w:r>
      <w:r>
        <w:t xml:space="preserve">s </w:t>
      </w:r>
      <w:r w:rsidRPr="00254AD6">
        <w:t>attempt</w:t>
      </w:r>
      <w:r>
        <w:t>s are made, when</w:t>
      </w:r>
      <w:r w:rsidRPr="00254AD6">
        <w:t xml:space="preserve"> 500 attempts are successfully fitted to the model</w:t>
      </w:r>
      <w:r>
        <w:t>,</w:t>
      </w:r>
      <w:r w:rsidRPr="00254AD6">
        <w:t xml:space="preserve"> an estimated distance can be modelled. If 500 resamples cannot be fitted, the model is not used. This allows the model to be fitted to 500 resamples in most situations and avoids unnecessary computation.</w:t>
      </w:r>
    </w:p>
    <w:p w14:paraId="37FDD78B" w14:textId="0108EF1F" w:rsidR="00C52B0C" w:rsidRDefault="00C52B0C" w:rsidP="00B9563E">
      <w:pPr>
        <w:pStyle w:val="Heading3"/>
      </w:pPr>
      <w:r w:rsidRPr="005F33FE">
        <w:t xml:space="preserve">The distance at which </w:t>
      </w:r>
      <w:r>
        <w:t>the values</w:t>
      </w:r>
      <w:r w:rsidRPr="005F33FE">
        <w:t xml:space="preserve"> on each of these curves reaches </w:t>
      </w:r>
      <w:r>
        <w:t>the standard</w:t>
      </w:r>
      <w:r w:rsidRPr="005F33FE">
        <w:t xml:space="preserve"> </w:t>
      </w:r>
      <w:r>
        <w:t>are</w:t>
      </w:r>
      <w:r w:rsidRPr="005F33FE">
        <w:t xml:space="preserve"> calculated. The result of this approach is a likelihood distribution </w:t>
      </w:r>
      <w:r>
        <w:t xml:space="preserve">(500 resamples) of the </w:t>
      </w:r>
      <w:r w:rsidRPr="005F33FE">
        <w:t>distance to</w:t>
      </w:r>
      <w:r>
        <w:t xml:space="preserve"> where</w:t>
      </w:r>
      <w:r w:rsidRPr="005F33FE">
        <w:t xml:space="preserve"> </w:t>
      </w:r>
      <w:r>
        <w:t>compliance standard is reached f</w:t>
      </w:r>
      <w:r w:rsidRPr="005F33FE">
        <w:t xml:space="preserve">or each transect (see Figure 4). </w:t>
      </w:r>
    </w:p>
    <w:p w14:paraId="4E8F3261" w14:textId="77777777" w:rsidR="002C1104" w:rsidRDefault="002C1104">
      <w:pPr>
        <w:spacing w:line="240" w:lineRule="auto"/>
        <w:rPr>
          <w:b/>
          <w:bCs/>
        </w:rPr>
      </w:pPr>
      <w:r>
        <w:rPr>
          <w:b/>
          <w:bCs/>
        </w:rPr>
        <w:br w:type="page"/>
      </w:r>
    </w:p>
    <w:p w14:paraId="2A4C9C77" w14:textId="20D60BCB" w:rsidR="000F62C4" w:rsidRPr="005F33FE" w:rsidRDefault="000F62C4" w:rsidP="00BB7C4B">
      <w:pPr>
        <w:spacing w:after="240"/>
      </w:pPr>
      <w:r w:rsidRPr="00B139CC">
        <w:rPr>
          <w:b/>
          <w:bCs/>
        </w:rPr>
        <w:lastRenderedPageBreak/>
        <w:t>Figure 4: Example of regression curves based on resampled data, and corresponding histogram of distances at where the IQI standard is reached (0.64).</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52B0C" w14:paraId="3EABF585" w14:textId="77777777" w:rsidTr="000F62C4">
        <w:trPr>
          <w:jc w:val="center"/>
        </w:trPr>
        <w:tc>
          <w:tcPr>
            <w:tcW w:w="4508" w:type="dxa"/>
          </w:tcPr>
          <w:p w14:paraId="2042C524" w14:textId="77777777" w:rsidR="00C52B0C" w:rsidRDefault="00C52B0C" w:rsidP="00BB7C4B">
            <w:pPr>
              <w:spacing w:after="240"/>
              <w:jc w:val="center"/>
              <w:rPr>
                <w:rFonts w:ascii="Arial" w:hAnsi="Arial" w:cs="Arial"/>
                <w:b/>
                <w:bCs/>
                <w:color w:val="3C4741" w:themeColor="text1"/>
                <w:sz w:val="24"/>
                <w:szCs w:val="24"/>
              </w:rPr>
            </w:pPr>
            <w:r>
              <w:rPr>
                <w:noProof/>
              </w:rPr>
              <w:drawing>
                <wp:inline distT="0" distB="0" distL="0" distR="0" wp14:anchorId="44159FFE" wp14:editId="0CA7A074">
                  <wp:extent cx="2588400" cy="2152800"/>
                  <wp:effectExtent l="0" t="0" r="2540" b="0"/>
                  <wp:docPr id="43" name="Picture 43" descr="An example spaghetti plot of 10 resample curves. Distance on x axis and IQI value on y axis. A horizonal dashed line shows the best estimate of distance to where the IQI standard i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n example spaghetti plot of 10 resample curves. Distance on x axis and IQI value on y axis. A horizonal dashed line shows the best estimate of distance to where the IQI standard is reached."/>
                          <pic:cNvPicPr/>
                        </pic:nvPicPr>
                        <pic:blipFill>
                          <a:blip r:embed="rId19">
                            <a:extLst>
                              <a:ext uri="{28A0092B-C50C-407E-A947-70E740481C1C}">
                                <a14:useLocalDpi xmlns:a14="http://schemas.microsoft.com/office/drawing/2010/main" val="0"/>
                              </a:ext>
                            </a:extLst>
                          </a:blip>
                          <a:stretch>
                            <a:fillRect/>
                          </a:stretch>
                        </pic:blipFill>
                        <pic:spPr>
                          <a:xfrm>
                            <a:off x="0" y="0"/>
                            <a:ext cx="2588400" cy="2152800"/>
                          </a:xfrm>
                          <a:prstGeom prst="rect">
                            <a:avLst/>
                          </a:prstGeom>
                        </pic:spPr>
                      </pic:pic>
                    </a:graphicData>
                  </a:graphic>
                </wp:inline>
              </w:drawing>
            </w:r>
          </w:p>
        </w:tc>
        <w:tc>
          <w:tcPr>
            <w:tcW w:w="4508" w:type="dxa"/>
          </w:tcPr>
          <w:p w14:paraId="3C91C128" w14:textId="77777777" w:rsidR="00C52B0C" w:rsidRDefault="00C52B0C" w:rsidP="00BB7C4B">
            <w:pPr>
              <w:spacing w:after="240"/>
              <w:jc w:val="center"/>
              <w:rPr>
                <w:rFonts w:ascii="Arial" w:hAnsi="Arial" w:cs="Arial"/>
                <w:b/>
                <w:bCs/>
                <w:color w:val="3C4741" w:themeColor="text1"/>
                <w:sz w:val="24"/>
                <w:szCs w:val="24"/>
              </w:rPr>
            </w:pPr>
            <w:r>
              <w:rPr>
                <w:rFonts w:ascii="Arial" w:hAnsi="Arial" w:cs="Arial"/>
                <w:b/>
                <w:bCs/>
                <w:noProof/>
                <w:color w:val="3C4741" w:themeColor="text1"/>
              </w:rPr>
              <w:drawing>
                <wp:inline distT="0" distB="0" distL="0" distR="0" wp14:anchorId="15C33911" wp14:editId="7D70FA1E">
                  <wp:extent cx="2304000" cy="2160000"/>
                  <wp:effectExtent l="0" t="0" r="0" b="0"/>
                  <wp:docPr id="55" name="Picture 55" descr="Histogram showing the range of distances to standards is reached based on 500 resampl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Histogram showing the range of distances to standards is reached based on 500 resamples&#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04000" cy="2160000"/>
                          </a:xfrm>
                          <a:prstGeom prst="rect">
                            <a:avLst/>
                          </a:prstGeom>
                        </pic:spPr>
                      </pic:pic>
                    </a:graphicData>
                  </a:graphic>
                </wp:inline>
              </w:drawing>
            </w:r>
          </w:p>
        </w:tc>
      </w:tr>
      <w:tr w:rsidR="00C52B0C" w14:paraId="1F20DEDD" w14:textId="77777777" w:rsidTr="000F62C4">
        <w:trPr>
          <w:jc w:val="center"/>
        </w:trPr>
        <w:tc>
          <w:tcPr>
            <w:tcW w:w="4508" w:type="dxa"/>
          </w:tcPr>
          <w:p w14:paraId="65F6CEEC" w14:textId="77777777" w:rsidR="00C52B0C" w:rsidRPr="00AE60D7" w:rsidRDefault="00C52B0C" w:rsidP="00BB7C4B">
            <w:pPr>
              <w:spacing w:after="240"/>
              <w:jc w:val="center"/>
              <w:rPr>
                <w:rFonts w:ascii="Arial" w:hAnsi="Arial" w:cs="Arial"/>
                <w:b/>
                <w:bCs/>
                <w:sz w:val="24"/>
                <w:szCs w:val="24"/>
              </w:rPr>
            </w:pPr>
            <w:r w:rsidRPr="00AE60D7">
              <w:rPr>
                <w:rFonts w:ascii="Arial" w:hAnsi="Arial" w:cs="Arial"/>
                <w:b/>
                <w:bCs/>
                <w:sz w:val="24"/>
                <w:szCs w:val="24"/>
              </w:rPr>
              <w:t>(a)</w:t>
            </w:r>
          </w:p>
        </w:tc>
        <w:tc>
          <w:tcPr>
            <w:tcW w:w="4508" w:type="dxa"/>
          </w:tcPr>
          <w:p w14:paraId="486D2B3F" w14:textId="77777777" w:rsidR="00C52B0C" w:rsidRPr="00AE60D7" w:rsidRDefault="00C52B0C" w:rsidP="00BB7C4B">
            <w:pPr>
              <w:spacing w:after="240"/>
              <w:jc w:val="center"/>
              <w:rPr>
                <w:rFonts w:ascii="Arial" w:hAnsi="Arial" w:cs="Arial"/>
                <w:b/>
                <w:bCs/>
                <w:sz w:val="24"/>
                <w:szCs w:val="24"/>
              </w:rPr>
            </w:pPr>
            <w:r w:rsidRPr="00AE60D7">
              <w:rPr>
                <w:rFonts w:ascii="Arial" w:hAnsi="Arial" w:cs="Arial"/>
                <w:b/>
                <w:bCs/>
                <w:sz w:val="24"/>
                <w:szCs w:val="24"/>
              </w:rPr>
              <w:t>(b)</w:t>
            </w:r>
          </w:p>
        </w:tc>
      </w:tr>
    </w:tbl>
    <w:p w14:paraId="57A3B975" w14:textId="77777777" w:rsidR="000F62C4" w:rsidRPr="00025108" w:rsidRDefault="000F62C4" w:rsidP="00025108">
      <w:pPr>
        <w:pStyle w:val="ListParagraph"/>
        <w:spacing w:after="240"/>
        <w:ind w:left="357"/>
      </w:pPr>
    </w:p>
    <w:p w14:paraId="267FAED5" w14:textId="49C9A3F5" w:rsidR="00C52B0C" w:rsidRPr="00025108" w:rsidRDefault="00C52B0C" w:rsidP="00B9563E">
      <w:pPr>
        <w:pStyle w:val="Heading3"/>
      </w:pPr>
      <w:r w:rsidRPr="00025108">
        <w:t xml:space="preserve">The package checks the percentage of these curves which reach the required standard. We ensure compliance and avoid ambiguity by ensuring 100% of curves reach compliance standard. </w:t>
      </w:r>
      <w:r w:rsidR="001C795A" w:rsidRPr="00025108">
        <w:t>If</w:t>
      </w:r>
      <w:r w:rsidRPr="00025108">
        <w:t xml:space="preserve"> </w:t>
      </w:r>
      <w:r w:rsidR="001C795A" w:rsidRPr="00025108">
        <w:t>fewer</w:t>
      </w:r>
      <w:r w:rsidRPr="00025108">
        <w:t xml:space="preserve"> than 100% of curves have reached compliance standard, we use reduced analysis rule for these transects.</w:t>
      </w:r>
    </w:p>
    <w:p w14:paraId="0B62F90C" w14:textId="6BBF74AE" w:rsidR="00C52B0C" w:rsidRDefault="00C52B0C" w:rsidP="00B9563E">
      <w:pPr>
        <w:pStyle w:val="Heading3"/>
        <w:rPr>
          <w:lang w:val="en-US"/>
        </w:rPr>
      </w:pPr>
      <w:r w:rsidRPr="00025108">
        <w:t xml:space="preserve">For ease of visualisation </w:t>
      </w:r>
      <w:r w:rsidR="00B00F44">
        <w:t>and</w:t>
      </w:r>
      <w:r w:rsidRPr="00025108">
        <w:t xml:space="preserve"> storage reasons, we summarize the resampled model fits to a single heatmap (see Figure 5), along with a distribution of estimated distances to compliance</w:t>
      </w:r>
      <w:r w:rsidRPr="00DA77AC">
        <w:rPr>
          <w:lang w:val="en-US"/>
        </w:rPr>
        <w:t>.</w:t>
      </w:r>
    </w:p>
    <w:p w14:paraId="3707A138" w14:textId="77777777" w:rsidR="002C1104" w:rsidRDefault="002C1104">
      <w:pPr>
        <w:spacing w:line="240" w:lineRule="auto"/>
        <w:rPr>
          <w:b/>
          <w:bCs/>
        </w:rPr>
      </w:pPr>
      <w:r>
        <w:rPr>
          <w:b/>
          <w:bCs/>
        </w:rPr>
        <w:br w:type="page"/>
      </w:r>
    </w:p>
    <w:p w14:paraId="753DFA76" w14:textId="668C7F97" w:rsidR="000F62C4" w:rsidRPr="00025108" w:rsidRDefault="000F62C4" w:rsidP="00025108">
      <w:pPr>
        <w:spacing w:after="240"/>
        <w:rPr>
          <w:lang w:val="en-US"/>
        </w:rPr>
      </w:pPr>
      <w:r w:rsidRPr="00025108">
        <w:rPr>
          <w:b/>
          <w:bCs/>
        </w:rPr>
        <w:lastRenderedPageBreak/>
        <w:t>Figure 5: Different ways of displaying results of probabilistic regression. In (a), each curve is displayed in a spaghetti plot. In (b), these curves are distilled down to a heatmap, where each hexagon is coloured by the number of curves which pass through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52B0C" w14:paraId="32E2CDD1" w14:textId="77777777">
        <w:tc>
          <w:tcPr>
            <w:tcW w:w="4508" w:type="dxa"/>
          </w:tcPr>
          <w:p w14:paraId="6EF908C3" w14:textId="77777777" w:rsidR="00C52B0C" w:rsidRDefault="00C52B0C" w:rsidP="00BB7C4B">
            <w:pPr>
              <w:spacing w:after="240"/>
              <w:jc w:val="center"/>
              <w:rPr>
                <w:rFonts w:ascii="Arial" w:hAnsi="Arial" w:cs="Arial"/>
                <w:b/>
                <w:bCs/>
                <w:color w:val="3C4741" w:themeColor="text1"/>
                <w:sz w:val="24"/>
                <w:szCs w:val="24"/>
              </w:rPr>
            </w:pPr>
            <w:r>
              <w:rPr>
                <w:rFonts w:ascii="Arial" w:hAnsi="Arial" w:cs="Arial"/>
                <w:b/>
                <w:bCs/>
                <w:noProof/>
                <w:color w:val="3C4741" w:themeColor="text1"/>
              </w:rPr>
              <w:drawing>
                <wp:inline distT="0" distB="0" distL="0" distR="0" wp14:anchorId="723852E5" wp14:editId="75D12116">
                  <wp:extent cx="2588400" cy="2152800"/>
                  <wp:effectExtent l="0" t="0" r="2540" b="0"/>
                  <wp:docPr id="44" name="Picture 44" descr="An example spaghetti plot of 10 resample curves. Distance on x axis and IQI value on y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n example spaghetti plot of 10 resample curves. Distance on x axis and IQI value on y axi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88400" cy="2152800"/>
                          </a:xfrm>
                          <a:prstGeom prst="rect">
                            <a:avLst/>
                          </a:prstGeom>
                        </pic:spPr>
                      </pic:pic>
                    </a:graphicData>
                  </a:graphic>
                </wp:inline>
              </w:drawing>
            </w:r>
          </w:p>
        </w:tc>
        <w:tc>
          <w:tcPr>
            <w:tcW w:w="4508" w:type="dxa"/>
          </w:tcPr>
          <w:p w14:paraId="62D22503" w14:textId="77777777" w:rsidR="00C52B0C" w:rsidRDefault="00C52B0C" w:rsidP="00BB7C4B">
            <w:pPr>
              <w:spacing w:after="240"/>
              <w:jc w:val="center"/>
              <w:rPr>
                <w:rFonts w:ascii="Arial" w:hAnsi="Arial" w:cs="Arial"/>
                <w:b/>
                <w:bCs/>
                <w:color w:val="3C4741" w:themeColor="text1"/>
                <w:sz w:val="24"/>
                <w:szCs w:val="24"/>
              </w:rPr>
            </w:pPr>
            <w:r>
              <w:rPr>
                <w:noProof/>
              </w:rPr>
              <w:drawing>
                <wp:inline distT="0" distB="0" distL="0" distR="0" wp14:anchorId="72EF399B" wp14:editId="5E81EFCF">
                  <wp:extent cx="2329200" cy="2160000"/>
                  <wp:effectExtent l="0" t="0" r="0" b="0"/>
                  <wp:docPr id="54" name="Picture 54" descr="An example hexagon heatmap plot coloured by the number of curves (resamples) passing through it. The plot displaying Distance on x axis and IQI value on y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n example hexagon heatmap plot coloured by the number of curves (resamples) passing through it. The plot displaying Distance on x axis and IQI value on y axis"/>
                          <pic:cNvPicPr/>
                        </pic:nvPicPr>
                        <pic:blipFill>
                          <a:blip r:embed="rId21">
                            <a:extLst>
                              <a:ext uri="{28A0092B-C50C-407E-A947-70E740481C1C}">
                                <a14:useLocalDpi xmlns:a14="http://schemas.microsoft.com/office/drawing/2010/main" val="0"/>
                              </a:ext>
                            </a:extLst>
                          </a:blip>
                          <a:stretch>
                            <a:fillRect/>
                          </a:stretch>
                        </pic:blipFill>
                        <pic:spPr>
                          <a:xfrm>
                            <a:off x="0" y="0"/>
                            <a:ext cx="2329200" cy="2160000"/>
                          </a:xfrm>
                          <a:prstGeom prst="rect">
                            <a:avLst/>
                          </a:prstGeom>
                        </pic:spPr>
                      </pic:pic>
                    </a:graphicData>
                  </a:graphic>
                </wp:inline>
              </w:drawing>
            </w:r>
          </w:p>
        </w:tc>
      </w:tr>
      <w:tr w:rsidR="00C52B0C" w14:paraId="67594C3C" w14:textId="77777777">
        <w:tc>
          <w:tcPr>
            <w:tcW w:w="4508" w:type="dxa"/>
          </w:tcPr>
          <w:p w14:paraId="41FE89B7" w14:textId="77777777" w:rsidR="00C52B0C" w:rsidRPr="00BA521C" w:rsidRDefault="00C52B0C" w:rsidP="00BB7C4B">
            <w:pPr>
              <w:spacing w:after="240"/>
              <w:jc w:val="center"/>
              <w:rPr>
                <w:rFonts w:ascii="Arial" w:hAnsi="Arial" w:cs="Arial"/>
                <w:b/>
                <w:bCs/>
                <w:sz w:val="24"/>
                <w:szCs w:val="24"/>
              </w:rPr>
            </w:pPr>
            <w:r w:rsidRPr="00BA521C">
              <w:rPr>
                <w:rFonts w:ascii="Arial" w:hAnsi="Arial" w:cs="Arial"/>
                <w:b/>
                <w:bCs/>
                <w:sz w:val="24"/>
                <w:szCs w:val="24"/>
              </w:rPr>
              <w:t>(a)</w:t>
            </w:r>
          </w:p>
        </w:tc>
        <w:tc>
          <w:tcPr>
            <w:tcW w:w="4508" w:type="dxa"/>
          </w:tcPr>
          <w:p w14:paraId="5CF6138F" w14:textId="77777777" w:rsidR="00C52B0C" w:rsidRPr="00BA521C" w:rsidRDefault="00C52B0C" w:rsidP="00BB7C4B">
            <w:pPr>
              <w:spacing w:after="240"/>
              <w:jc w:val="center"/>
              <w:rPr>
                <w:rFonts w:ascii="Arial" w:hAnsi="Arial" w:cs="Arial"/>
                <w:b/>
                <w:bCs/>
                <w:sz w:val="24"/>
                <w:szCs w:val="24"/>
              </w:rPr>
            </w:pPr>
            <w:r w:rsidRPr="00BA521C">
              <w:rPr>
                <w:rFonts w:ascii="Arial" w:hAnsi="Arial" w:cs="Arial"/>
                <w:b/>
                <w:bCs/>
                <w:sz w:val="24"/>
                <w:szCs w:val="24"/>
              </w:rPr>
              <w:t>(b)</w:t>
            </w:r>
          </w:p>
        </w:tc>
      </w:tr>
    </w:tbl>
    <w:p w14:paraId="285050B6" w14:textId="77777777" w:rsidR="00862659" w:rsidRDefault="00862659" w:rsidP="00BB7C4B">
      <w:pPr>
        <w:spacing w:after="240"/>
      </w:pPr>
    </w:p>
    <w:p w14:paraId="201E153C" w14:textId="3A56A04C" w:rsidR="00C52B0C" w:rsidRPr="005F33FE" w:rsidRDefault="00C52B0C" w:rsidP="00B9563E">
      <w:pPr>
        <w:pStyle w:val="Heading3"/>
      </w:pPr>
      <w:r w:rsidRPr="00025108">
        <w:t>It is important to note that the number of data points used to construct these non-linear models</w:t>
      </w:r>
      <w:r w:rsidRPr="005F33FE">
        <w:t xml:space="preserve"> is close to the lower limit of what is reasonable. This is a consequence of the challenges of acquiring and analysing samples. The placement of the stations must be carefully considered when the E</w:t>
      </w:r>
      <w:r>
        <w:t xml:space="preserve">nvironmental </w:t>
      </w:r>
      <w:r w:rsidRPr="005F33FE">
        <w:t>M</w:t>
      </w:r>
      <w:r>
        <w:t xml:space="preserve">onitoring </w:t>
      </w:r>
      <w:r w:rsidRPr="005F33FE">
        <w:t>P</w:t>
      </w:r>
      <w:r>
        <w:t>lan</w:t>
      </w:r>
      <w:r w:rsidRPr="005F33FE">
        <w:t xml:space="preserve"> is produced</w:t>
      </w:r>
      <w:r>
        <w:t>.</w:t>
      </w:r>
    </w:p>
    <w:p w14:paraId="5F9D2A5B" w14:textId="5C8C1BB7" w:rsidR="004D3E62" w:rsidRPr="004157FD" w:rsidRDefault="00C52B0C" w:rsidP="003C317E">
      <w:pPr>
        <w:pStyle w:val="Heading2"/>
      </w:pPr>
      <w:bookmarkStart w:id="14" w:name="_Toc212108369"/>
      <w:r w:rsidRPr="00EB7E69">
        <w:t xml:space="preserve">Breach </w:t>
      </w:r>
      <w:r w:rsidR="00440879">
        <w:t>c</w:t>
      </w:r>
      <w:r w:rsidRPr="00EB7E69">
        <w:t>oordinates</w:t>
      </w:r>
      <w:bookmarkEnd w:id="14"/>
    </w:p>
    <w:p w14:paraId="4594341D" w14:textId="1C22016B" w:rsidR="00C52B0C" w:rsidRDefault="00C52B0C" w:rsidP="00B9563E">
      <w:pPr>
        <w:pStyle w:val="Heading3"/>
      </w:pPr>
      <w:r w:rsidRPr="00232CF8">
        <w:t>This step takes the likelihood distributions, from the previous step, and transforms them into equivalent spatial coordinates</w:t>
      </w:r>
      <w:r w:rsidR="007F7EFE">
        <w:t xml:space="preserve"> (Figure 6)</w:t>
      </w:r>
      <w:r w:rsidRPr="00232CF8">
        <w:t>.</w:t>
      </w:r>
    </w:p>
    <w:p w14:paraId="61A02090" w14:textId="09CDE4D5" w:rsidR="00C52B0C" w:rsidRDefault="00C52B0C" w:rsidP="00B9563E">
      <w:pPr>
        <w:pStyle w:val="Heading3"/>
      </w:pPr>
      <w:r w:rsidRPr="00232CF8">
        <w:t xml:space="preserve">A single set of breach coordinates is attained by projecting from the pen edge station by one of the distances to </w:t>
      </w:r>
      <w:r>
        <w:t>compliance</w:t>
      </w:r>
      <w:r w:rsidRPr="00232CF8">
        <w:t xml:space="preserve"> along </w:t>
      </w:r>
      <w:r>
        <w:t>the bear</w:t>
      </w:r>
      <w:r w:rsidRPr="00232CF8">
        <w:t>ing for that transect.</w:t>
      </w:r>
    </w:p>
    <w:p w14:paraId="570E20F5" w14:textId="77777777" w:rsidR="00C52B0C" w:rsidRDefault="00C52B0C" w:rsidP="00B9563E">
      <w:pPr>
        <w:pStyle w:val="Heading3"/>
      </w:pPr>
      <w:r w:rsidRPr="00232CF8">
        <w:t xml:space="preserve">This is repeated for every distance to </w:t>
      </w:r>
      <w:r>
        <w:t>compliance</w:t>
      </w:r>
      <w:r w:rsidRPr="00232CF8">
        <w:t xml:space="preserve"> which forms the likelihood distribution.</w:t>
      </w:r>
    </w:p>
    <w:p w14:paraId="0173470E" w14:textId="1304A3B2" w:rsidR="00C52B0C" w:rsidRDefault="00C52B0C" w:rsidP="00B9563E">
      <w:pPr>
        <w:pStyle w:val="Heading3"/>
      </w:pPr>
      <w:r>
        <w:t>For each transect, the 5</w:t>
      </w:r>
      <w:r w:rsidR="00AD73B3" w:rsidRPr="004D3E62">
        <w:t>th</w:t>
      </w:r>
      <w:r w:rsidRPr="000044C1">
        <w:t xml:space="preserve"> percentile (P</w:t>
      </w:r>
      <w:r w:rsidRPr="004D3E62">
        <w:t>5%</w:t>
      </w:r>
      <w:r w:rsidRPr="000044C1">
        <w:t xml:space="preserve">) </w:t>
      </w:r>
      <w:r w:rsidR="00C4717B">
        <w:t xml:space="preserve">of these </w:t>
      </w:r>
      <w:r>
        <w:t>distance</w:t>
      </w:r>
      <w:r w:rsidR="0026627C">
        <w:t>s</w:t>
      </w:r>
      <w:r>
        <w:t xml:space="preserve"> are calculated. C</w:t>
      </w:r>
      <w:r w:rsidRPr="00232CF8">
        <w:t xml:space="preserve">onsistent with </w:t>
      </w:r>
      <w:r>
        <w:t>SEPA</w:t>
      </w:r>
      <w:r w:rsidRPr="00232CF8">
        <w:t xml:space="preserve"> being 95% confident </w:t>
      </w:r>
      <w:r>
        <w:t>in the estimate to breach distance.</w:t>
      </w:r>
    </w:p>
    <w:p w14:paraId="3E799D42" w14:textId="5A9F00AF" w:rsidR="00C52B0C" w:rsidRDefault="00C52B0C" w:rsidP="00B9563E">
      <w:pPr>
        <w:pStyle w:val="Heading3"/>
      </w:pPr>
      <w:r w:rsidRPr="00232CF8">
        <w:lastRenderedPageBreak/>
        <w:t xml:space="preserve">The result is a </w:t>
      </w:r>
      <w:r w:rsidR="000C69D1">
        <w:t xml:space="preserve">single </w:t>
      </w:r>
      <w:r w:rsidRPr="00232CF8">
        <w:t>set of spatial coordinates</w:t>
      </w:r>
      <w:r w:rsidR="00286B9F">
        <w:t xml:space="preserve"> </w:t>
      </w:r>
      <w:r w:rsidR="00AB311B">
        <w:t xml:space="preserve">indicating the </w:t>
      </w:r>
      <w:r w:rsidR="00AD73B3">
        <w:t>P</w:t>
      </w:r>
      <w:r w:rsidR="00F038BD" w:rsidRPr="00AD73B3">
        <w:rPr>
          <w:vertAlign w:val="subscript"/>
        </w:rPr>
        <w:t xml:space="preserve">5% </w:t>
      </w:r>
      <w:r w:rsidR="00F038BD">
        <w:t>distance</w:t>
      </w:r>
      <w:r w:rsidR="00AD73B3">
        <w:t xml:space="preserve"> from the pen edge</w:t>
      </w:r>
      <w:r w:rsidR="007F7EFE">
        <w:t xml:space="preserve"> for each transect</w:t>
      </w:r>
      <w:r w:rsidRPr="00232CF8">
        <w:t xml:space="preserve">, characterising the </w:t>
      </w:r>
      <w:r w:rsidR="007117DA">
        <w:t>boundar</w:t>
      </w:r>
      <w:r w:rsidR="004B1CE0">
        <w:t>y</w:t>
      </w:r>
      <w:r w:rsidRPr="00232CF8">
        <w:t xml:space="preserve"> in which </w:t>
      </w:r>
      <w:r>
        <w:t xml:space="preserve">the environmental standard </w:t>
      </w:r>
      <w:r w:rsidRPr="00232CF8">
        <w:t xml:space="preserve">is </w:t>
      </w:r>
      <w:r>
        <w:t>expect</w:t>
      </w:r>
      <w:r w:rsidRPr="00232CF8">
        <w:t>ed to be achieved</w:t>
      </w:r>
      <w:r>
        <w:t>.</w:t>
      </w:r>
    </w:p>
    <w:p w14:paraId="43551D45" w14:textId="6AD74603" w:rsidR="00287802" w:rsidRPr="00D9652D" w:rsidRDefault="00287802" w:rsidP="00BB7C4B">
      <w:pPr>
        <w:spacing w:after="240"/>
        <w:rPr>
          <w:rFonts w:cs="Arial"/>
          <w:lang w:val="en-US"/>
        </w:rPr>
      </w:pPr>
      <w:r w:rsidRPr="00B139CC">
        <w:rPr>
          <w:b/>
          <w:bCs/>
        </w:rPr>
        <w:t xml:space="preserve">Figure </w:t>
      </w:r>
      <w:r>
        <w:rPr>
          <w:b/>
          <w:bCs/>
        </w:rPr>
        <w:t>6</w:t>
      </w:r>
      <w:r w:rsidRPr="00B139CC">
        <w:rPr>
          <w:b/>
          <w:bCs/>
        </w:rPr>
        <w:t xml:space="preserve">: Conversion of (a) distances to compliance into (b) corresponding spatial coordinates. </w:t>
      </w:r>
      <w:r w:rsidR="00462F99">
        <w:rPr>
          <w:b/>
          <w:bCs/>
        </w:rPr>
        <w:t>Distribution of b</w:t>
      </w:r>
      <w:r w:rsidRPr="00B139CC">
        <w:rPr>
          <w:b/>
          <w:bCs/>
        </w:rPr>
        <w:t>reach positions are indicated by red dots, sized by frequency.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508"/>
      </w:tblGrid>
      <w:tr w:rsidR="00C52B0C" w14:paraId="27693494" w14:textId="77777777" w:rsidTr="00287802">
        <w:tc>
          <w:tcPr>
            <w:tcW w:w="4694" w:type="dxa"/>
          </w:tcPr>
          <w:p w14:paraId="49895817" w14:textId="77777777" w:rsidR="00C52B0C" w:rsidRDefault="00C52B0C" w:rsidP="00BB7C4B">
            <w:pPr>
              <w:spacing w:after="240"/>
              <w:jc w:val="center"/>
              <w:rPr>
                <w:rFonts w:ascii="Arial" w:hAnsi="Arial" w:cs="Arial"/>
                <w:b/>
                <w:bCs/>
                <w:color w:val="3C4741" w:themeColor="text1"/>
                <w:sz w:val="24"/>
                <w:szCs w:val="24"/>
              </w:rPr>
            </w:pPr>
            <w:r>
              <w:rPr>
                <w:rFonts w:ascii="Arial" w:hAnsi="Arial" w:cs="Arial"/>
                <w:b/>
                <w:bCs/>
                <w:noProof/>
                <w:color w:val="3C4741" w:themeColor="text1"/>
              </w:rPr>
              <w:drawing>
                <wp:inline distT="0" distB="0" distL="0" distR="0" wp14:anchorId="39D9C5D2" wp14:editId="7286D929">
                  <wp:extent cx="2844000" cy="2664000"/>
                  <wp:effectExtent l="0" t="0" r="0" b="0"/>
                  <wp:docPr id="56" name="Picture 56" descr="Histogram showing the distribution of 500 breach dis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Histogram showing the distribution of 500 breach distance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44000" cy="2664000"/>
                          </a:xfrm>
                          <a:prstGeom prst="rect">
                            <a:avLst/>
                          </a:prstGeom>
                        </pic:spPr>
                      </pic:pic>
                    </a:graphicData>
                  </a:graphic>
                </wp:inline>
              </w:drawing>
            </w:r>
          </w:p>
        </w:tc>
        <w:tc>
          <w:tcPr>
            <w:tcW w:w="4508" w:type="dxa"/>
          </w:tcPr>
          <w:p w14:paraId="35054D09" w14:textId="77777777" w:rsidR="00C52B0C" w:rsidRDefault="00C52B0C" w:rsidP="00BB7C4B">
            <w:pPr>
              <w:spacing w:after="240"/>
              <w:jc w:val="center"/>
              <w:rPr>
                <w:rFonts w:ascii="Arial" w:hAnsi="Arial" w:cs="Arial"/>
                <w:b/>
                <w:bCs/>
                <w:color w:val="3C4741" w:themeColor="text1"/>
                <w:sz w:val="24"/>
                <w:szCs w:val="24"/>
              </w:rPr>
            </w:pPr>
            <w:r>
              <w:rPr>
                <w:noProof/>
              </w:rPr>
              <w:drawing>
                <wp:inline distT="0" distB="0" distL="0" distR="0" wp14:anchorId="3A45EBDC" wp14:editId="27763B67">
                  <wp:extent cx="2646000" cy="2520000"/>
                  <wp:effectExtent l="0" t="0" r="2540" b="0"/>
                  <wp:docPr id="53" name="Picture 53" descr="Map showing breach points around a fish farm pens. The breach positions are indicated by red dots, sized by frequ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Map showing breach points around a fish farm pens. The breach positions are indicated by red dots, sized by frequency "/>
                          <pic:cNvPicPr/>
                        </pic:nvPicPr>
                        <pic:blipFill>
                          <a:blip r:embed="rId23">
                            <a:extLst>
                              <a:ext uri="{28A0092B-C50C-407E-A947-70E740481C1C}">
                                <a14:useLocalDpi xmlns:a14="http://schemas.microsoft.com/office/drawing/2010/main" val="0"/>
                              </a:ext>
                            </a:extLst>
                          </a:blip>
                          <a:stretch>
                            <a:fillRect/>
                          </a:stretch>
                        </pic:blipFill>
                        <pic:spPr>
                          <a:xfrm>
                            <a:off x="0" y="0"/>
                            <a:ext cx="2646000" cy="2520000"/>
                          </a:xfrm>
                          <a:prstGeom prst="rect">
                            <a:avLst/>
                          </a:prstGeom>
                        </pic:spPr>
                      </pic:pic>
                    </a:graphicData>
                  </a:graphic>
                </wp:inline>
              </w:drawing>
            </w:r>
          </w:p>
        </w:tc>
      </w:tr>
      <w:tr w:rsidR="00C52B0C" w14:paraId="65745F0F" w14:textId="77777777" w:rsidTr="00287802">
        <w:tc>
          <w:tcPr>
            <w:tcW w:w="4694" w:type="dxa"/>
          </w:tcPr>
          <w:p w14:paraId="0A12D13C" w14:textId="77777777" w:rsidR="00C52B0C" w:rsidRPr="006B46BA" w:rsidRDefault="00C52B0C" w:rsidP="00BB7C4B">
            <w:pPr>
              <w:spacing w:after="240"/>
              <w:jc w:val="center"/>
              <w:rPr>
                <w:rFonts w:ascii="Arial" w:hAnsi="Arial" w:cs="Arial"/>
                <w:b/>
                <w:bCs/>
                <w:sz w:val="24"/>
                <w:szCs w:val="24"/>
              </w:rPr>
            </w:pPr>
            <w:r w:rsidRPr="006B46BA">
              <w:rPr>
                <w:rFonts w:ascii="Arial" w:hAnsi="Arial" w:cs="Arial"/>
                <w:b/>
                <w:bCs/>
                <w:sz w:val="24"/>
                <w:szCs w:val="24"/>
              </w:rPr>
              <w:t>(a)</w:t>
            </w:r>
          </w:p>
        </w:tc>
        <w:tc>
          <w:tcPr>
            <w:tcW w:w="4508" w:type="dxa"/>
          </w:tcPr>
          <w:p w14:paraId="0EF19882" w14:textId="77777777" w:rsidR="00C52B0C" w:rsidRPr="006B46BA" w:rsidRDefault="00C52B0C" w:rsidP="00BB7C4B">
            <w:pPr>
              <w:spacing w:after="240"/>
              <w:jc w:val="center"/>
              <w:rPr>
                <w:rFonts w:ascii="Arial" w:hAnsi="Arial" w:cs="Arial"/>
                <w:b/>
                <w:bCs/>
                <w:sz w:val="24"/>
                <w:szCs w:val="24"/>
              </w:rPr>
            </w:pPr>
            <w:r w:rsidRPr="006B46BA">
              <w:rPr>
                <w:rFonts w:ascii="Arial" w:hAnsi="Arial" w:cs="Arial"/>
                <w:b/>
                <w:bCs/>
                <w:sz w:val="24"/>
                <w:szCs w:val="24"/>
              </w:rPr>
              <w:t>(b)</w:t>
            </w:r>
          </w:p>
        </w:tc>
      </w:tr>
    </w:tbl>
    <w:p w14:paraId="2AD37547" w14:textId="77777777" w:rsidR="00B9563E" w:rsidRDefault="00B9563E" w:rsidP="003C317E">
      <w:pPr>
        <w:pStyle w:val="Heading2"/>
      </w:pPr>
      <w:bookmarkStart w:id="15" w:name="_Toc212108370"/>
    </w:p>
    <w:p w14:paraId="5737B866" w14:textId="2500CD5F" w:rsidR="004D3E62" w:rsidRPr="004157FD" w:rsidRDefault="00C52B0C" w:rsidP="003C317E">
      <w:pPr>
        <w:pStyle w:val="Heading2"/>
      </w:pPr>
      <w:r w:rsidRPr="005F33FE">
        <w:t>Area</w:t>
      </w:r>
      <w:bookmarkEnd w:id="15"/>
    </w:p>
    <w:p w14:paraId="6F249130" w14:textId="54B8F910" w:rsidR="00C52B0C" w:rsidRDefault="00C52B0C" w:rsidP="00B9563E">
      <w:pPr>
        <w:pStyle w:val="Heading3"/>
      </w:pPr>
      <w:r w:rsidRPr="2F883A50">
        <w:t>The</w:t>
      </w:r>
      <w:r>
        <w:t xml:space="preserve"> estimated breach coordinates</w:t>
      </w:r>
      <w:r w:rsidRPr="00232CF8">
        <w:t xml:space="preserve"> </w:t>
      </w:r>
      <w:r>
        <w:t xml:space="preserve">are now </w:t>
      </w:r>
      <w:r w:rsidRPr="00232CF8">
        <w:t>use</w:t>
      </w:r>
      <w:r>
        <w:t>d</w:t>
      </w:r>
      <w:r w:rsidRPr="00232CF8">
        <w:t xml:space="preserve"> to quantify the </w:t>
      </w:r>
      <w:r>
        <w:t>area of impact.</w:t>
      </w:r>
      <w:r w:rsidRPr="00232CF8">
        <w:t xml:space="preserve"> </w:t>
      </w:r>
    </w:p>
    <w:p w14:paraId="659E2037" w14:textId="737EF7D6" w:rsidR="00862659" w:rsidRDefault="00C52B0C" w:rsidP="00B9563E">
      <w:pPr>
        <w:pStyle w:val="Heading3"/>
      </w:pPr>
      <w:r w:rsidRPr="2F883A50">
        <w:t>This</w:t>
      </w:r>
      <w:r>
        <w:t xml:space="preserve"> is accomplished</w:t>
      </w:r>
      <w:r w:rsidRPr="0062724F">
        <w:t xml:space="preserve"> by </w:t>
      </w:r>
      <w:r w:rsidRPr="00DB0FB6">
        <w:t>draw</w:t>
      </w:r>
      <w:r>
        <w:t>ing</w:t>
      </w:r>
      <w:r w:rsidRPr="00DB0FB6">
        <w:t xml:space="preserve"> the minimum spanning ellipse enclos</w:t>
      </w:r>
      <w:r>
        <w:t>ing</w:t>
      </w:r>
      <w:r w:rsidRPr="00DB0FB6">
        <w:t xml:space="preserve"> these</w:t>
      </w:r>
      <w:r>
        <w:t xml:space="preserve"> points</w:t>
      </w:r>
      <w:r w:rsidR="00680E0D">
        <w:t xml:space="preserve"> (Figure 7)</w:t>
      </w:r>
      <w:r w:rsidRPr="00DB0FB6">
        <w:t xml:space="preserve">. </w:t>
      </w:r>
      <w:r>
        <w:t xml:space="preserve">The area of the resulting ellipse is then </w:t>
      </w:r>
      <w:r w:rsidRPr="6DCE4B04">
        <w:t>calculated</w:t>
      </w:r>
      <w:r>
        <w:t xml:space="preserve"> providing an estimated area of impact.</w:t>
      </w:r>
    </w:p>
    <w:p w14:paraId="5AFA29EA" w14:textId="77777777" w:rsidR="00CB028E" w:rsidRDefault="00CB028E">
      <w:pPr>
        <w:spacing w:line="240" w:lineRule="auto"/>
        <w:rPr>
          <w:b/>
          <w:bCs/>
        </w:rPr>
      </w:pPr>
      <w:r>
        <w:rPr>
          <w:b/>
          <w:bCs/>
        </w:rPr>
        <w:br w:type="page"/>
      </w:r>
    </w:p>
    <w:p w14:paraId="5DEA08F8" w14:textId="0B04A206" w:rsidR="00287802" w:rsidRPr="00862659" w:rsidRDefault="00287802" w:rsidP="00BB7C4B">
      <w:pPr>
        <w:spacing w:after="240"/>
        <w:rPr>
          <w:b/>
          <w:bCs/>
        </w:rPr>
      </w:pPr>
      <w:r w:rsidRPr="00B139CC">
        <w:rPr>
          <w:b/>
          <w:bCs/>
        </w:rPr>
        <w:lastRenderedPageBreak/>
        <w:t xml:space="preserve">Figure </w:t>
      </w:r>
      <w:r>
        <w:rPr>
          <w:b/>
          <w:bCs/>
        </w:rPr>
        <w:t>7</w:t>
      </w:r>
      <w:r w:rsidRPr="00B139CC">
        <w:rPr>
          <w:b/>
          <w:bCs/>
        </w:rPr>
        <w:t xml:space="preserve">: </w:t>
      </w:r>
      <w:r w:rsidR="00E60B61">
        <w:rPr>
          <w:b/>
          <w:bCs/>
        </w:rPr>
        <w:t>E</w:t>
      </w:r>
      <w:r w:rsidRPr="00B139CC">
        <w:rPr>
          <w:b/>
          <w:bCs/>
        </w:rPr>
        <w:t xml:space="preserve">llipse </w:t>
      </w:r>
      <w:r>
        <w:rPr>
          <w:b/>
          <w:bCs/>
        </w:rPr>
        <w:t>area of impact</w:t>
      </w:r>
      <w:r w:rsidRPr="00B139CC">
        <w:rPr>
          <w:b/>
          <w:bCs/>
        </w:rPr>
        <w:t xml:space="preserve"> is shown, based on the best-fit regression results.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86"/>
      </w:tblGrid>
      <w:tr w:rsidR="00C52B0C" w14:paraId="7E5E4BF6" w14:textId="77777777" w:rsidTr="00B6323F">
        <w:trPr>
          <w:jc w:val="center"/>
        </w:trPr>
        <w:tc>
          <w:tcPr>
            <w:tcW w:w="4386" w:type="dxa"/>
          </w:tcPr>
          <w:p w14:paraId="5DEF4017" w14:textId="77777777" w:rsidR="00C52B0C" w:rsidRDefault="00C52B0C" w:rsidP="00BB7C4B">
            <w:pPr>
              <w:spacing w:after="240"/>
              <w:jc w:val="center"/>
              <w:rPr>
                <w:rFonts w:ascii="Arial" w:hAnsi="Arial" w:cs="Arial"/>
                <w:b/>
                <w:bCs/>
                <w:color w:val="3C4741" w:themeColor="text1"/>
                <w:sz w:val="24"/>
                <w:szCs w:val="24"/>
              </w:rPr>
            </w:pPr>
            <w:r>
              <w:rPr>
                <w:rFonts w:ascii="Arial" w:hAnsi="Arial" w:cs="Arial"/>
                <w:b/>
                <w:bCs/>
                <w:noProof/>
                <w:color w:val="3C4741" w:themeColor="text1"/>
              </w:rPr>
              <w:drawing>
                <wp:inline distT="0" distB="0" distL="0" distR="0" wp14:anchorId="7DD1A825" wp14:editId="6F2C8973">
                  <wp:extent cx="2646000" cy="2520000"/>
                  <wp:effectExtent l="0" t="0" r="2540" b="0"/>
                  <wp:docPr id="49" name="Picture 49" descr="Map showing indicative ellipse area (mixing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Map showing indicative ellipse area (mixing zon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46000" cy="2520000"/>
                          </a:xfrm>
                          <a:prstGeom prst="rect">
                            <a:avLst/>
                          </a:prstGeom>
                        </pic:spPr>
                      </pic:pic>
                    </a:graphicData>
                  </a:graphic>
                </wp:inline>
              </w:drawing>
            </w:r>
          </w:p>
        </w:tc>
      </w:tr>
    </w:tbl>
    <w:p w14:paraId="6F613A88" w14:textId="77777777" w:rsidR="00B6323F" w:rsidRDefault="00B6323F" w:rsidP="00B6323F">
      <w:pPr>
        <w:pStyle w:val="ListParagraph"/>
        <w:spacing w:after="240"/>
        <w:ind w:left="357"/>
      </w:pPr>
    </w:p>
    <w:p w14:paraId="075942B2" w14:textId="6C804899" w:rsidR="00CC2961" w:rsidRPr="00CC2961" w:rsidRDefault="00C52B0C" w:rsidP="00FD3FFA">
      <w:pPr>
        <w:pStyle w:val="Heading3"/>
      </w:pPr>
      <w:r>
        <w:t xml:space="preserve">We then compare estimated </w:t>
      </w:r>
      <w:r w:rsidRPr="00232CF8">
        <w:t>area</w:t>
      </w:r>
      <w:r>
        <w:t xml:space="preserve"> of impact </w:t>
      </w:r>
      <w:r w:rsidRPr="00232CF8">
        <w:t xml:space="preserve">against the permitted </w:t>
      </w:r>
      <w:r>
        <w:t>mixing zone</w:t>
      </w:r>
      <w:r w:rsidRPr="00232CF8">
        <w:t>.</w:t>
      </w:r>
      <w:r>
        <w:t xml:space="preserve"> If this observed</w:t>
      </w:r>
      <w:r w:rsidRPr="00085281">
        <w:rPr>
          <w:lang w:val="en-US"/>
        </w:rPr>
        <w:t xml:space="preserve"> </w:t>
      </w:r>
      <w:r w:rsidRPr="00232CF8">
        <w:t>area</w:t>
      </w:r>
      <w:r>
        <w:t xml:space="preserve"> is larger than what is permitted, SEPA can be confident that the site has failed to meet this standard.</w:t>
      </w:r>
    </w:p>
    <w:p w14:paraId="46F06852" w14:textId="0D4BBF69" w:rsidR="00C52B0C" w:rsidRPr="005F33FE" w:rsidRDefault="00C52B0C" w:rsidP="00BB7C4B">
      <w:pPr>
        <w:pStyle w:val="Heading1"/>
      </w:pPr>
      <w:bookmarkStart w:id="16" w:name="_Multiple_Pen_Group"/>
      <w:bookmarkStart w:id="17" w:name="_Toc212108371"/>
      <w:bookmarkEnd w:id="16"/>
      <w:r>
        <w:t>M</w:t>
      </w:r>
      <w:r w:rsidRPr="005F33FE">
        <w:t>ultiple</w:t>
      </w:r>
      <w:r w:rsidRPr="00A81234">
        <w:t xml:space="preserve"> </w:t>
      </w:r>
      <w:r w:rsidR="00440879">
        <w:t>p</w:t>
      </w:r>
      <w:r w:rsidRPr="00232CF8">
        <w:t xml:space="preserve">en </w:t>
      </w:r>
      <w:r w:rsidR="00440879">
        <w:t>g</w:t>
      </w:r>
      <w:r w:rsidRPr="00232CF8">
        <w:t xml:space="preserve">roup </w:t>
      </w:r>
      <w:r w:rsidR="00440879">
        <w:t>f</w:t>
      </w:r>
      <w:r w:rsidRPr="00232CF8">
        <w:t>arm</w:t>
      </w:r>
      <w:r>
        <w:t>s</w:t>
      </w:r>
      <w:bookmarkEnd w:id="17"/>
    </w:p>
    <w:p w14:paraId="0FDEF2E6" w14:textId="5BC2CAFE" w:rsidR="00C52B0C" w:rsidRDefault="00C52B0C" w:rsidP="00B9563E">
      <w:pPr>
        <w:pStyle w:val="Heading3"/>
      </w:pPr>
      <w:r>
        <w:t xml:space="preserve">A farm may be formed of </w:t>
      </w:r>
      <w:r w:rsidRPr="00232CF8">
        <w:t>multi-pen group</w:t>
      </w:r>
      <w:r>
        <w:t>s with monitoring data showing distinct areas of impact. To compare the total area of impact against the farm’s permitted mixing zone, these distinct areas of impact must be combined into single area.</w:t>
      </w:r>
    </w:p>
    <w:p w14:paraId="7719249D" w14:textId="54D57044" w:rsidR="00C52B0C" w:rsidRPr="00232CF8" w:rsidRDefault="00C52B0C" w:rsidP="00B9563E">
      <w:pPr>
        <w:pStyle w:val="Heading3"/>
      </w:pPr>
      <w:r w:rsidRPr="00232CF8">
        <w:t>To calculate a</w:t>
      </w:r>
      <w:r>
        <w:t>n area of impact</w:t>
      </w:r>
      <w:r w:rsidRPr="00232CF8">
        <w:t xml:space="preserve">, the approach described in </w:t>
      </w:r>
      <w:r w:rsidRPr="00217F96">
        <w:t>Section 3</w:t>
      </w:r>
      <w:r w:rsidRPr="00232CF8">
        <w:t xml:space="preserve"> can be adapted for use with multiple ellipses, such that: </w:t>
      </w:r>
    </w:p>
    <w:p w14:paraId="53673A09" w14:textId="12F9F366" w:rsidR="00C12BCE" w:rsidRPr="00C12BCE" w:rsidRDefault="00C52B0C" w:rsidP="00B9563E">
      <w:pPr>
        <w:pStyle w:val="Heading3"/>
      </w:pPr>
      <w:r>
        <w:t>E</w:t>
      </w:r>
      <w:r w:rsidRPr="00232CF8">
        <w:t xml:space="preserve">llipses are dissolved to form </w:t>
      </w:r>
      <w:r>
        <w:t xml:space="preserve">a </w:t>
      </w:r>
      <w:r w:rsidRPr="00232CF8">
        <w:t>single polygon</w:t>
      </w:r>
      <w:r>
        <w:t xml:space="preserve"> representing the combined </w:t>
      </w:r>
      <w:r w:rsidRPr="004D3E62">
        <w:rPr>
          <w:lang w:val="en-US"/>
        </w:rPr>
        <w:t>P</w:t>
      </w:r>
      <w:r w:rsidRPr="004D3E62">
        <w:rPr>
          <w:vertAlign w:val="subscript"/>
          <w:lang w:val="en-US"/>
        </w:rPr>
        <w:t xml:space="preserve">5% </w:t>
      </w:r>
      <w:r>
        <w:t>estimated a</w:t>
      </w:r>
      <w:r w:rsidRPr="00232CF8">
        <w:t xml:space="preserve">rea </w:t>
      </w:r>
      <w:r>
        <w:t>of impact.</w:t>
      </w:r>
    </w:p>
    <w:p w14:paraId="7338F98C" w14:textId="77777777" w:rsidR="00287802" w:rsidRDefault="00287802">
      <w:pPr>
        <w:spacing w:line="240" w:lineRule="auto"/>
        <w:rPr>
          <w:rFonts w:eastAsia="Times New Roman"/>
          <w:sz w:val="32"/>
          <w:szCs w:val="32"/>
        </w:rPr>
      </w:pPr>
      <w:r>
        <w:rPr>
          <w:rFonts w:eastAsia="Times New Roman"/>
          <w:sz w:val="32"/>
          <w:szCs w:val="32"/>
        </w:rPr>
        <w:br w:type="page"/>
      </w:r>
    </w:p>
    <w:p w14:paraId="128F031F" w14:textId="5D8C878C" w:rsidR="00E326A4" w:rsidRPr="0014258C" w:rsidRDefault="00E326A4" w:rsidP="0014258C">
      <w:pPr>
        <w:pStyle w:val="BodyText1"/>
        <w:rPr>
          <w:rFonts w:ascii="Arial" w:eastAsia="Times New Roman" w:hAnsi="Arial" w:cs="Arial"/>
          <w:b/>
          <w:color w:val="016574"/>
          <w:sz w:val="32"/>
          <w:szCs w:val="32"/>
        </w:rPr>
      </w:pPr>
      <w:r w:rsidRPr="0014258C">
        <w:rPr>
          <w:rFonts w:eastAsia="Times New Roman"/>
          <w:sz w:val="32"/>
          <w:szCs w:val="32"/>
        </w:rPr>
        <w:lastRenderedPageBreak/>
        <w:t>If you would like this document in an accessible format, such as large print, audio recording or braille, please contact SEPA by emailing </w:t>
      </w:r>
      <w:hyperlink r:id="rId25" w:tgtFrame="_blank" w:tooltip="mailto:equalities@sepa.org.uk" w:history="1">
        <w:r w:rsidRPr="0014258C">
          <w:rPr>
            <w:rFonts w:eastAsia="Times New Roman"/>
            <w:color w:val="016574" w:themeColor="hyperlink"/>
            <w:sz w:val="32"/>
            <w:szCs w:val="32"/>
            <w:u w:val="single"/>
          </w:rPr>
          <w:t>equalities@sepa.org.uk</w:t>
        </w:r>
      </w:hyperlink>
      <w:r w:rsidRPr="0014258C">
        <w:rPr>
          <w:rFonts w:eastAsia="Times New Roman"/>
          <w:sz w:val="32"/>
          <w:szCs w:val="32"/>
        </w:rPr>
        <w:t xml:space="preserve"> </w:t>
      </w:r>
    </w:p>
    <w:p w14:paraId="137776EF" w14:textId="77777777" w:rsidR="006243FF" w:rsidRPr="00E67C75" w:rsidRDefault="006243FF" w:rsidP="00BB7C4B">
      <w:pPr>
        <w:pStyle w:val="BodyText1"/>
        <w:rPr>
          <w:color w:val="6E7571" w:themeColor="text2"/>
          <w:sz w:val="32"/>
          <w:szCs w:val="32"/>
          <w:u w:val="single"/>
        </w:rPr>
      </w:pPr>
    </w:p>
    <w:sectPr w:rsidR="006243FF" w:rsidRPr="00E67C75" w:rsidSect="006A6137">
      <w:headerReference w:type="even" r:id="rId26"/>
      <w:headerReference w:type="default" r:id="rId27"/>
      <w:footerReference w:type="even" r:id="rId28"/>
      <w:footerReference w:type="default" r:id="rId29"/>
      <w:headerReference w:type="first" r:id="rId30"/>
      <w:footerReference w:type="first" r:id="rId31"/>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0EC9" w14:textId="77777777" w:rsidR="005A10FA" w:rsidRDefault="005A10FA" w:rsidP="00660C79">
      <w:pPr>
        <w:spacing w:line="240" w:lineRule="auto"/>
      </w:pPr>
      <w:r>
        <w:separator/>
      </w:r>
    </w:p>
  </w:endnote>
  <w:endnote w:type="continuationSeparator" w:id="0">
    <w:p w14:paraId="3674CBD3" w14:textId="77777777" w:rsidR="005A10FA" w:rsidRDefault="005A10FA" w:rsidP="00660C79">
      <w:pPr>
        <w:spacing w:line="240" w:lineRule="auto"/>
      </w:pPr>
      <w:r>
        <w:continuationSeparator/>
      </w:r>
    </w:p>
  </w:endnote>
  <w:endnote w:type="continuationNotice" w:id="1">
    <w:p w14:paraId="0317408E" w14:textId="77777777" w:rsidR="005A10FA" w:rsidRDefault="005A10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DD13" w14:textId="4F54B8EB" w:rsidR="00EC6A73" w:rsidRDefault="00123A1E">
    <w:pPr>
      <w:pStyle w:val="Footer"/>
      <w:framePr w:wrap="none" w:vAnchor="text" w:hAnchor="margin" w:xAlign="right" w:y="1"/>
      <w:rPr>
        <w:rStyle w:val="PageNumber"/>
      </w:rPr>
    </w:pPr>
    <w:r>
      <w:rPr>
        <w:noProof/>
      </w:rPr>
      <mc:AlternateContent>
        <mc:Choice Requires="wps">
          <w:drawing>
            <wp:anchor distT="0" distB="0" distL="0" distR="0" simplePos="0" relativeHeight="251675655" behindDoc="0" locked="0" layoutInCell="1" allowOverlap="1" wp14:anchorId="00470038" wp14:editId="18FD1A2C">
              <wp:simplePos x="635" y="635"/>
              <wp:positionH relativeFrom="page">
                <wp:align>center</wp:align>
              </wp:positionH>
              <wp:positionV relativeFrom="page">
                <wp:align>bottom</wp:align>
              </wp:positionV>
              <wp:extent cx="518795" cy="422910"/>
              <wp:effectExtent l="0" t="0" r="14605" b="0"/>
              <wp:wrapNone/>
              <wp:docPr id="1689729067"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36982B5" w14:textId="71C8364A"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470038"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756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36982B5" w14:textId="71C8364A"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3A59FE37"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297A556E"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2C2172"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09FD" w14:textId="30CEF6CA" w:rsidR="00EC6A73" w:rsidRDefault="00123A1E" w:rsidP="00917BB1">
    <w:pPr>
      <w:pStyle w:val="Footer"/>
      <w:ind w:right="360"/>
    </w:pPr>
    <w:r>
      <w:rPr>
        <w:noProof/>
      </w:rPr>
      <mc:AlternateContent>
        <mc:Choice Requires="wps">
          <w:drawing>
            <wp:anchor distT="0" distB="0" distL="0" distR="0" simplePos="0" relativeHeight="251676679" behindDoc="0" locked="0" layoutInCell="1" allowOverlap="1" wp14:anchorId="0EDE66AC" wp14:editId="48AD68EE">
              <wp:simplePos x="533400" y="9716770"/>
              <wp:positionH relativeFrom="page">
                <wp:align>center</wp:align>
              </wp:positionH>
              <wp:positionV relativeFrom="page">
                <wp:align>bottom</wp:align>
              </wp:positionV>
              <wp:extent cx="518795" cy="422910"/>
              <wp:effectExtent l="0" t="0" r="14605" b="0"/>
              <wp:wrapNone/>
              <wp:docPr id="310617663"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6B4728A" w14:textId="739AE8AE"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DE66AC"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766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26B4728A" w14:textId="739AE8AE"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v:textbox>
              <w10:wrap anchorx="page" anchory="page"/>
            </v:shape>
          </w:pict>
        </mc:Fallback>
      </mc:AlternateContent>
    </w:r>
  </w:p>
  <w:p w14:paraId="25DC2BD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02CF5611" wp14:editId="138004F2">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F21D81"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0A89C2FA"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209A053" w14:textId="77777777" w:rsidR="00917BB1" w:rsidRDefault="00917BB1" w:rsidP="00917BB1">
    <w:pPr>
      <w:pStyle w:val="Footer"/>
      <w:ind w:right="360"/>
    </w:pPr>
    <w:r>
      <w:rPr>
        <w:noProof/>
      </w:rPr>
      <w:drawing>
        <wp:inline distT="0" distB="0" distL="0" distR="0" wp14:anchorId="4DF81F20" wp14:editId="52004B0C">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6E2F" w14:textId="77EF388B" w:rsidR="00751749" w:rsidRDefault="00123A1E">
    <w:pPr>
      <w:pStyle w:val="Footer"/>
    </w:pPr>
    <w:r>
      <w:rPr>
        <w:noProof/>
      </w:rPr>
      <mc:AlternateContent>
        <mc:Choice Requires="wps">
          <w:drawing>
            <wp:anchor distT="0" distB="0" distL="0" distR="0" simplePos="0" relativeHeight="251674631" behindDoc="0" locked="0" layoutInCell="1" allowOverlap="1" wp14:anchorId="2F5923DC" wp14:editId="1FF64095">
              <wp:simplePos x="533400" y="10160000"/>
              <wp:positionH relativeFrom="page">
                <wp:align>center</wp:align>
              </wp:positionH>
              <wp:positionV relativeFrom="page">
                <wp:align>bottom</wp:align>
              </wp:positionV>
              <wp:extent cx="518795" cy="422910"/>
              <wp:effectExtent l="0" t="0" r="14605" b="0"/>
              <wp:wrapNone/>
              <wp:docPr id="759722469"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F04C564" w14:textId="551580F1"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5923DC"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746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F04C564" w14:textId="551580F1"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37FCF" w14:textId="77777777" w:rsidR="005A10FA" w:rsidRDefault="005A10FA" w:rsidP="00660C79">
      <w:pPr>
        <w:spacing w:line="240" w:lineRule="auto"/>
      </w:pPr>
      <w:r>
        <w:separator/>
      </w:r>
    </w:p>
  </w:footnote>
  <w:footnote w:type="continuationSeparator" w:id="0">
    <w:p w14:paraId="3CA39345" w14:textId="77777777" w:rsidR="005A10FA" w:rsidRDefault="005A10FA" w:rsidP="00660C79">
      <w:pPr>
        <w:spacing w:line="240" w:lineRule="auto"/>
      </w:pPr>
      <w:r>
        <w:continuationSeparator/>
      </w:r>
    </w:p>
  </w:footnote>
  <w:footnote w:type="continuationNotice" w:id="1">
    <w:p w14:paraId="72385F5D" w14:textId="77777777" w:rsidR="005A10FA" w:rsidRDefault="005A10F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777E" w14:textId="4011A520" w:rsidR="00751749" w:rsidRDefault="00123A1E">
    <w:pPr>
      <w:pStyle w:val="Header"/>
    </w:pPr>
    <w:r>
      <w:rPr>
        <w:noProof/>
      </w:rPr>
      <mc:AlternateContent>
        <mc:Choice Requires="wps">
          <w:drawing>
            <wp:anchor distT="0" distB="0" distL="0" distR="0" simplePos="0" relativeHeight="251672583" behindDoc="0" locked="0" layoutInCell="1" allowOverlap="1" wp14:anchorId="7FF88BE6" wp14:editId="05A029D7">
              <wp:simplePos x="635" y="635"/>
              <wp:positionH relativeFrom="page">
                <wp:align>center</wp:align>
              </wp:positionH>
              <wp:positionV relativeFrom="page">
                <wp:align>top</wp:align>
              </wp:positionV>
              <wp:extent cx="518795" cy="422910"/>
              <wp:effectExtent l="0" t="0" r="14605" b="15240"/>
              <wp:wrapNone/>
              <wp:docPr id="6569361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38BB106" w14:textId="1112F3D9"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F88BE6"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7258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338BB106" w14:textId="1112F3D9"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5557" w14:textId="65D1907F" w:rsidR="008D113C" w:rsidRPr="00917BB1" w:rsidRDefault="00123A1E"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73607" behindDoc="0" locked="0" layoutInCell="1" allowOverlap="1" wp14:anchorId="33A14875" wp14:editId="6A51CA5E">
              <wp:simplePos x="533400" y="504825"/>
              <wp:positionH relativeFrom="page">
                <wp:align>center</wp:align>
              </wp:positionH>
              <wp:positionV relativeFrom="page">
                <wp:align>top</wp:align>
              </wp:positionV>
              <wp:extent cx="518795" cy="422910"/>
              <wp:effectExtent l="0" t="0" r="14605" b="15240"/>
              <wp:wrapNone/>
              <wp:docPr id="739862009"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754735D" w14:textId="0DDA8251"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A14875"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7360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4754735D" w14:textId="0DDA8251"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v:textbox>
              <w10:wrap anchorx="page" anchory="page"/>
            </v:shape>
          </w:pict>
        </mc:Fallback>
      </mc:AlternateContent>
    </w:r>
    <w:r w:rsidR="00380CDF" w:rsidRPr="00380CDF">
      <w:rPr>
        <w:color w:val="6E7571" w:themeColor="text2"/>
      </w:rPr>
      <w:t>Marine pen fish farm seabed mixing zone: compliance assessment methodology</w:t>
    </w:r>
  </w:p>
  <w:p w14:paraId="3566CEEF"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63EB90F9" wp14:editId="5686FC0B">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0776F8"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BC58" w14:textId="26493833" w:rsidR="00751749" w:rsidRDefault="00123A1E">
    <w:pPr>
      <w:pStyle w:val="Header"/>
    </w:pPr>
    <w:r>
      <w:rPr>
        <w:noProof/>
      </w:rPr>
      <mc:AlternateContent>
        <mc:Choice Requires="wps">
          <w:drawing>
            <wp:anchor distT="0" distB="0" distL="0" distR="0" simplePos="0" relativeHeight="251671559" behindDoc="0" locked="0" layoutInCell="1" allowOverlap="1" wp14:anchorId="61FDB0AE" wp14:editId="720341C7">
              <wp:simplePos x="533400" y="508000"/>
              <wp:positionH relativeFrom="page">
                <wp:align>center</wp:align>
              </wp:positionH>
              <wp:positionV relativeFrom="page">
                <wp:align>top</wp:align>
              </wp:positionV>
              <wp:extent cx="518795" cy="422910"/>
              <wp:effectExtent l="0" t="0" r="14605" b="15240"/>
              <wp:wrapNone/>
              <wp:docPr id="202987519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A9FABF9" w14:textId="6A9541E0"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FDB0AE"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715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4A9FABF9" w14:textId="6A9541E0" w:rsidR="00123A1E" w:rsidRPr="00123A1E" w:rsidRDefault="00123A1E" w:rsidP="00123A1E">
                    <w:pPr>
                      <w:rPr>
                        <w:rFonts w:ascii="Aptos" w:eastAsia="Aptos" w:hAnsi="Aptos" w:cs="Aptos"/>
                        <w:noProof/>
                        <w:color w:val="0000FF"/>
                        <w:sz w:val="20"/>
                        <w:szCs w:val="20"/>
                      </w:rPr>
                    </w:pPr>
                    <w:r w:rsidRPr="00123A1E">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52933"/>
    <w:multiLevelType w:val="multilevel"/>
    <w:tmpl w:val="9B34867A"/>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065E6701"/>
    <w:multiLevelType w:val="hybridMultilevel"/>
    <w:tmpl w:val="D0746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6A0BC2"/>
    <w:multiLevelType w:val="hybridMultilevel"/>
    <w:tmpl w:val="6E4A864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0F5C7C23"/>
    <w:multiLevelType w:val="multilevel"/>
    <w:tmpl w:val="B7969322"/>
    <w:lvl w:ilvl="0">
      <w:start w:val="1"/>
      <w:numFmt w:val="decimal"/>
      <w:pStyle w:val="Heading1"/>
      <w:lvlText w:val="%1"/>
      <w:lvlJc w:val="left"/>
      <w:pPr>
        <w:ind w:left="432" w:hanging="432"/>
      </w:pPr>
    </w:lvl>
    <w:lvl w:ilvl="1">
      <w:start w:val="1"/>
      <w:numFmt w:val="decimal"/>
      <w:pStyle w:val="Heading3"/>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14E5C87"/>
    <w:multiLevelType w:val="multilevel"/>
    <w:tmpl w:val="5B3C8008"/>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5"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4045C9"/>
    <w:multiLevelType w:val="hybridMultilevel"/>
    <w:tmpl w:val="16CE4D4C"/>
    <w:lvl w:ilvl="0" w:tplc="1B781118">
      <w:start w:val="1"/>
      <w:numFmt w:val="decimal"/>
      <w:lvlText w:val="%1."/>
      <w:lvlJc w:val="left"/>
      <w:pPr>
        <w:ind w:left="720" w:hanging="360"/>
      </w:pPr>
      <w:rPr>
        <w:rFonts w:ascii="Arial" w:hAnsi="Aria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CFD2B2A"/>
    <w:multiLevelType w:val="hybridMultilevel"/>
    <w:tmpl w:val="D1E493C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AC2A80"/>
    <w:multiLevelType w:val="hybridMultilevel"/>
    <w:tmpl w:val="D99E35E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D67B19"/>
    <w:multiLevelType w:val="hybridMultilevel"/>
    <w:tmpl w:val="928C83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214854"/>
    <w:multiLevelType w:val="hybridMultilevel"/>
    <w:tmpl w:val="1F428FB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17C62AD"/>
    <w:multiLevelType w:val="hybridMultilevel"/>
    <w:tmpl w:val="CB9CCC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4518A1"/>
    <w:multiLevelType w:val="multilevel"/>
    <w:tmpl w:val="5B3C8008"/>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3" w15:restartNumberingAfterBreak="0">
    <w:nsid w:val="486E64DF"/>
    <w:multiLevelType w:val="multilevel"/>
    <w:tmpl w:val="5B3C8008"/>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4" w15:restartNumberingAfterBreak="0">
    <w:nsid w:val="4AEC131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6D2380"/>
    <w:multiLevelType w:val="multilevel"/>
    <w:tmpl w:val="5B3C8008"/>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6" w15:restartNumberingAfterBreak="0">
    <w:nsid w:val="55543968"/>
    <w:multiLevelType w:val="hybridMultilevel"/>
    <w:tmpl w:val="96BAD8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8D20AE"/>
    <w:multiLevelType w:val="multilevel"/>
    <w:tmpl w:val="5B3C8008"/>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8" w15:restartNumberingAfterBreak="0">
    <w:nsid w:val="590010AA"/>
    <w:multiLevelType w:val="multilevel"/>
    <w:tmpl w:val="5B3C8008"/>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9" w15:restartNumberingAfterBreak="0">
    <w:nsid w:val="657B7849"/>
    <w:multiLevelType w:val="multilevel"/>
    <w:tmpl w:val="5B3C8008"/>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0" w15:restartNumberingAfterBreak="0">
    <w:nsid w:val="65AB0CAD"/>
    <w:multiLevelType w:val="hybridMultilevel"/>
    <w:tmpl w:val="E250AD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FA630C"/>
    <w:multiLevelType w:val="hybridMultilevel"/>
    <w:tmpl w:val="6A7C97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08106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AA7568"/>
    <w:multiLevelType w:val="multilevel"/>
    <w:tmpl w:val="0EE2422E"/>
    <w:lvl w:ilvl="0">
      <w:start w:val="1"/>
      <w:numFmt w:val="decimal"/>
      <w:lvlText w:val="%1."/>
      <w:lvlJc w:val="left"/>
      <w:pPr>
        <w:ind w:left="360" w:hanging="360"/>
      </w:pPr>
      <w:rPr>
        <w:rFonts w:hint="default"/>
        <w:sz w:val="22"/>
      </w:rPr>
    </w:lvl>
    <w:lvl w:ilvl="1">
      <w:start w:val="1"/>
      <w:numFmt w:val="decimal"/>
      <w:suff w:val="space"/>
      <w:lvlText w:val="%1.%2."/>
      <w:lvlJc w:val="left"/>
      <w:pPr>
        <w:ind w:left="357" w:hanging="357"/>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5" w15:restartNumberingAfterBreak="0">
    <w:nsid w:val="78790A5A"/>
    <w:multiLevelType w:val="multilevel"/>
    <w:tmpl w:val="9AA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32"/>
  </w:num>
  <w:num w:numId="12" w16cid:durableId="791052000">
    <w:abstractNumId w:val="15"/>
  </w:num>
  <w:num w:numId="13" w16cid:durableId="593785568">
    <w:abstractNumId w:val="35"/>
  </w:num>
  <w:num w:numId="14" w16cid:durableId="408814161">
    <w:abstractNumId w:val="20"/>
  </w:num>
  <w:num w:numId="15" w16cid:durableId="1603689209">
    <w:abstractNumId w:val="26"/>
  </w:num>
  <w:num w:numId="16" w16cid:durableId="1651519801">
    <w:abstractNumId w:val="16"/>
  </w:num>
  <w:num w:numId="17" w16cid:durableId="1004210900">
    <w:abstractNumId w:val="12"/>
  </w:num>
  <w:num w:numId="18" w16cid:durableId="343673168">
    <w:abstractNumId w:val="30"/>
  </w:num>
  <w:num w:numId="19" w16cid:durableId="39716148">
    <w:abstractNumId w:val="21"/>
  </w:num>
  <w:num w:numId="20" w16cid:durableId="361979459">
    <w:abstractNumId w:val="11"/>
  </w:num>
  <w:num w:numId="21" w16cid:durableId="154422684">
    <w:abstractNumId w:val="13"/>
  </w:num>
  <w:num w:numId="22" w16cid:durableId="13973888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3338170">
    <w:abstractNumId w:val="13"/>
  </w:num>
  <w:num w:numId="24" w16cid:durableId="1955745403">
    <w:abstractNumId w:val="13"/>
  </w:num>
  <w:num w:numId="25" w16cid:durableId="240677019">
    <w:abstractNumId w:val="13"/>
  </w:num>
  <w:num w:numId="26" w16cid:durableId="188227375">
    <w:abstractNumId w:val="13"/>
  </w:num>
  <w:num w:numId="27" w16cid:durableId="1870332578">
    <w:abstractNumId w:val="19"/>
  </w:num>
  <w:num w:numId="28" w16cid:durableId="555970056">
    <w:abstractNumId w:val="10"/>
  </w:num>
  <w:num w:numId="29" w16cid:durableId="686100960">
    <w:abstractNumId w:val="33"/>
  </w:num>
  <w:num w:numId="30" w16cid:durableId="465196273">
    <w:abstractNumId w:val="18"/>
  </w:num>
  <w:num w:numId="31" w16cid:durableId="797259431">
    <w:abstractNumId w:val="17"/>
  </w:num>
  <w:num w:numId="32" w16cid:durableId="1832792420">
    <w:abstractNumId w:val="34"/>
  </w:num>
  <w:num w:numId="33" w16cid:durableId="37820694">
    <w:abstractNumId w:val="14"/>
  </w:num>
  <w:num w:numId="34" w16cid:durableId="598291738">
    <w:abstractNumId w:val="27"/>
  </w:num>
  <w:num w:numId="35" w16cid:durableId="726535114">
    <w:abstractNumId w:val="29"/>
  </w:num>
  <w:num w:numId="36" w16cid:durableId="1901357648">
    <w:abstractNumId w:val="25"/>
  </w:num>
  <w:num w:numId="37" w16cid:durableId="2014604613">
    <w:abstractNumId w:val="22"/>
  </w:num>
  <w:num w:numId="38" w16cid:durableId="250621125">
    <w:abstractNumId w:val="23"/>
  </w:num>
  <w:num w:numId="39" w16cid:durableId="1702247219">
    <w:abstractNumId w:val="28"/>
  </w:num>
  <w:num w:numId="40" w16cid:durableId="2000621500">
    <w:abstractNumId w:val="24"/>
  </w:num>
  <w:num w:numId="41" w16cid:durableId="106891579">
    <w:abstractNumId w:val="10"/>
  </w:num>
  <w:num w:numId="42" w16cid:durableId="1214001461">
    <w:abstractNumId w:val="10"/>
  </w:num>
  <w:num w:numId="43" w16cid:durableId="247348454">
    <w:abstractNumId w:val="10"/>
  </w:num>
  <w:num w:numId="44" w16cid:durableId="1812282580">
    <w:abstractNumId w:val="10"/>
  </w:num>
  <w:num w:numId="45" w16cid:durableId="1191645513">
    <w:abstractNumId w:val="10"/>
  </w:num>
  <w:num w:numId="46" w16cid:durableId="15842971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394"/>
    <w:rsid w:val="00006129"/>
    <w:rsid w:val="000107F2"/>
    <w:rsid w:val="00016A8F"/>
    <w:rsid w:val="00024669"/>
    <w:rsid w:val="00025108"/>
    <w:rsid w:val="0003257F"/>
    <w:rsid w:val="00032829"/>
    <w:rsid w:val="00040561"/>
    <w:rsid w:val="00070937"/>
    <w:rsid w:val="00070D7D"/>
    <w:rsid w:val="00085281"/>
    <w:rsid w:val="000A4EF0"/>
    <w:rsid w:val="000B2CCF"/>
    <w:rsid w:val="000B64AF"/>
    <w:rsid w:val="000B7559"/>
    <w:rsid w:val="000C1B83"/>
    <w:rsid w:val="000C3B94"/>
    <w:rsid w:val="000C46EF"/>
    <w:rsid w:val="000C69D1"/>
    <w:rsid w:val="000E0D15"/>
    <w:rsid w:val="000E2A79"/>
    <w:rsid w:val="000F62C4"/>
    <w:rsid w:val="001052C8"/>
    <w:rsid w:val="00105F31"/>
    <w:rsid w:val="00120AC1"/>
    <w:rsid w:val="00123A1E"/>
    <w:rsid w:val="00124A82"/>
    <w:rsid w:val="00131485"/>
    <w:rsid w:val="00136B67"/>
    <w:rsid w:val="0014258C"/>
    <w:rsid w:val="00153EA0"/>
    <w:rsid w:val="001556DB"/>
    <w:rsid w:val="001618BE"/>
    <w:rsid w:val="0017656E"/>
    <w:rsid w:val="00195183"/>
    <w:rsid w:val="001A0B88"/>
    <w:rsid w:val="001A1956"/>
    <w:rsid w:val="001B28E3"/>
    <w:rsid w:val="001C60ED"/>
    <w:rsid w:val="001C6D4D"/>
    <w:rsid w:val="001C795A"/>
    <w:rsid w:val="001D6417"/>
    <w:rsid w:val="001D7837"/>
    <w:rsid w:val="001E4E9F"/>
    <w:rsid w:val="001F060D"/>
    <w:rsid w:val="001F1151"/>
    <w:rsid w:val="001F4300"/>
    <w:rsid w:val="002043BF"/>
    <w:rsid w:val="00217F96"/>
    <w:rsid w:val="00220D51"/>
    <w:rsid w:val="00224694"/>
    <w:rsid w:val="002324D4"/>
    <w:rsid w:val="00236552"/>
    <w:rsid w:val="00245A13"/>
    <w:rsid w:val="0026627C"/>
    <w:rsid w:val="0027169B"/>
    <w:rsid w:val="00276DF4"/>
    <w:rsid w:val="00281BB1"/>
    <w:rsid w:val="00281E07"/>
    <w:rsid w:val="00283DFE"/>
    <w:rsid w:val="00286B9F"/>
    <w:rsid w:val="00287802"/>
    <w:rsid w:val="00290B1F"/>
    <w:rsid w:val="00297A73"/>
    <w:rsid w:val="002B4446"/>
    <w:rsid w:val="002C1104"/>
    <w:rsid w:val="002C7330"/>
    <w:rsid w:val="002D23AE"/>
    <w:rsid w:val="002F7315"/>
    <w:rsid w:val="0030096D"/>
    <w:rsid w:val="0030376C"/>
    <w:rsid w:val="00305C16"/>
    <w:rsid w:val="00314337"/>
    <w:rsid w:val="00317618"/>
    <w:rsid w:val="003250D4"/>
    <w:rsid w:val="00362D04"/>
    <w:rsid w:val="0036331B"/>
    <w:rsid w:val="00373803"/>
    <w:rsid w:val="00380CDF"/>
    <w:rsid w:val="00382714"/>
    <w:rsid w:val="00394726"/>
    <w:rsid w:val="003A69EB"/>
    <w:rsid w:val="003C26D2"/>
    <w:rsid w:val="003C317E"/>
    <w:rsid w:val="003D2EAC"/>
    <w:rsid w:val="003F03A0"/>
    <w:rsid w:val="003F5384"/>
    <w:rsid w:val="003F5D62"/>
    <w:rsid w:val="004046D9"/>
    <w:rsid w:val="00406E23"/>
    <w:rsid w:val="004073BC"/>
    <w:rsid w:val="0041098C"/>
    <w:rsid w:val="004133B7"/>
    <w:rsid w:val="00415548"/>
    <w:rsid w:val="004157FD"/>
    <w:rsid w:val="00425966"/>
    <w:rsid w:val="00433EC8"/>
    <w:rsid w:val="004347D2"/>
    <w:rsid w:val="00440879"/>
    <w:rsid w:val="00444AA1"/>
    <w:rsid w:val="00462F99"/>
    <w:rsid w:val="00463421"/>
    <w:rsid w:val="00466CB6"/>
    <w:rsid w:val="00467AF0"/>
    <w:rsid w:val="00467DDB"/>
    <w:rsid w:val="00482688"/>
    <w:rsid w:val="00484AAC"/>
    <w:rsid w:val="00492386"/>
    <w:rsid w:val="004A2E5C"/>
    <w:rsid w:val="004A65A9"/>
    <w:rsid w:val="004B1CE0"/>
    <w:rsid w:val="004B79BB"/>
    <w:rsid w:val="004D3E62"/>
    <w:rsid w:val="004D6C5C"/>
    <w:rsid w:val="004E1575"/>
    <w:rsid w:val="004E1952"/>
    <w:rsid w:val="004F163A"/>
    <w:rsid w:val="004F46FA"/>
    <w:rsid w:val="004F54CF"/>
    <w:rsid w:val="0050469E"/>
    <w:rsid w:val="00516B9C"/>
    <w:rsid w:val="00544BC4"/>
    <w:rsid w:val="00551162"/>
    <w:rsid w:val="00551989"/>
    <w:rsid w:val="005546BA"/>
    <w:rsid w:val="00555FDD"/>
    <w:rsid w:val="0057464B"/>
    <w:rsid w:val="005758CC"/>
    <w:rsid w:val="00587EA6"/>
    <w:rsid w:val="00595B22"/>
    <w:rsid w:val="005A10FA"/>
    <w:rsid w:val="005A355E"/>
    <w:rsid w:val="005D1213"/>
    <w:rsid w:val="005E38F9"/>
    <w:rsid w:val="005E7B3F"/>
    <w:rsid w:val="005F376D"/>
    <w:rsid w:val="00610893"/>
    <w:rsid w:val="00612586"/>
    <w:rsid w:val="006243FF"/>
    <w:rsid w:val="00624805"/>
    <w:rsid w:val="006349F1"/>
    <w:rsid w:val="00642F76"/>
    <w:rsid w:val="00643315"/>
    <w:rsid w:val="00660C79"/>
    <w:rsid w:val="00680E0D"/>
    <w:rsid w:val="00681279"/>
    <w:rsid w:val="00684F5A"/>
    <w:rsid w:val="00690415"/>
    <w:rsid w:val="006A5B64"/>
    <w:rsid w:val="006A6137"/>
    <w:rsid w:val="006B46BA"/>
    <w:rsid w:val="006C409E"/>
    <w:rsid w:val="006C5542"/>
    <w:rsid w:val="006D100D"/>
    <w:rsid w:val="006D16CE"/>
    <w:rsid w:val="006E1903"/>
    <w:rsid w:val="006E1C64"/>
    <w:rsid w:val="006F67EF"/>
    <w:rsid w:val="00703110"/>
    <w:rsid w:val="007117DA"/>
    <w:rsid w:val="00725053"/>
    <w:rsid w:val="00737998"/>
    <w:rsid w:val="007404EA"/>
    <w:rsid w:val="00741F5C"/>
    <w:rsid w:val="00750799"/>
    <w:rsid w:val="00751749"/>
    <w:rsid w:val="0075279F"/>
    <w:rsid w:val="00760695"/>
    <w:rsid w:val="00766DB0"/>
    <w:rsid w:val="00767F72"/>
    <w:rsid w:val="00776453"/>
    <w:rsid w:val="007777DA"/>
    <w:rsid w:val="007808BC"/>
    <w:rsid w:val="00780AA7"/>
    <w:rsid w:val="00783980"/>
    <w:rsid w:val="007865BA"/>
    <w:rsid w:val="007A5C33"/>
    <w:rsid w:val="007B1078"/>
    <w:rsid w:val="007B667C"/>
    <w:rsid w:val="007C3F12"/>
    <w:rsid w:val="007D441B"/>
    <w:rsid w:val="007D613D"/>
    <w:rsid w:val="007E630E"/>
    <w:rsid w:val="007F2394"/>
    <w:rsid w:val="007F3978"/>
    <w:rsid w:val="007F7EFE"/>
    <w:rsid w:val="00801105"/>
    <w:rsid w:val="008056C8"/>
    <w:rsid w:val="00811881"/>
    <w:rsid w:val="0081689C"/>
    <w:rsid w:val="00817C0F"/>
    <w:rsid w:val="00823445"/>
    <w:rsid w:val="00844714"/>
    <w:rsid w:val="00861B46"/>
    <w:rsid w:val="00862659"/>
    <w:rsid w:val="00876BDF"/>
    <w:rsid w:val="008948E8"/>
    <w:rsid w:val="008B0B6B"/>
    <w:rsid w:val="008C1A73"/>
    <w:rsid w:val="008D0FA9"/>
    <w:rsid w:val="008D113C"/>
    <w:rsid w:val="008D376F"/>
    <w:rsid w:val="008E2347"/>
    <w:rsid w:val="00901763"/>
    <w:rsid w:val="009119E7"/>
    <w:rsid w:val="00911B06"/>
    <w:rsid w:val="00917BB1"/>
    <w:rsid w:val="00922818"/>
    <w:rsid w:val="0092691F"/>
    <w:rsid w:val="00931AC9"/>
    <w:rsid w:val="00960CCE"/>
    <w:rsid w:val="00963558"/>
    <w:rsid w:val="009730ED"/>
    <w:rsid w:val="00975D21"/>
    <w:rsid w:val="00977B77"/>
    <w:rsid w:val="00977FB5"/>
    <w:rsid w:val="00980531"/>
    <w:rsid w:val="00981069"/>
    <w:rsid w:val="00986BEE"/>
    <w:rsid w:val="00991E94"/>
    <w:rsid w:val="0099486A"/>
    <w:rsid w:val="009A240D"/>
    <w:rsid w:val="009B5DDB"/>
    <w:rsid w:val="009C5F29"/>
    <w:rsid w:val="009D357C"/>
    <w:rsid w:val="00A25785"/>
    <w:rsid w:val="00A27FE2"/>
    <w:rsid w:val="00A54BBA"/>
    <w:rsid w:val="00A56DE0"/>
    <w:rsid w:val="00A60B0B"/>
    <w:rsid w:val="00A73AD3"/>
    <w:rsid w:val="00A8465C"/>
    <w:rsid w:val="00A84BAD"/>
    <w:rsid w:val="00A9349C"/>
    <w:rsid w:val="00A9501B"/>
    <w:rsid w:val="00AA7CD6"/>
    <w:rsid w:val="00AB24BF"/>
    <w:rsid w:val="00AB311B"/>
    <w:rsid w:val="00AC5923"/>
    <w:rsid w:val="00AD0CA2"/>
    <w:rsid w:val="00AD73B3"/>
    <w:rsid w:val="00AE068C"/>
    <w:rsid w:val="00AE43E6"/>
    <w:rsid w:val="00AE5F9C"/>
    <w:rsid w:val="00AE60D7"/>
    <w:rsid w:val="00B00F44"/>
    <w:rsid w:val="00B025DB"/>
    <w:rsid w:val="00B07847"/>
    <w:rsid w:val="00B46E48"/>
    <w:rsid w:val="00B521C6"/>
    <w:rsid w:val="00B54CF4"/>
    <w:rsid w:val="00B61613"/>
    <w:rsid w:val="00B6216F"/>
    <w:rsid w:val="00B63086"/>
    <w:rsid w:val="00B630A9"/>
    <w:rsid w:val="00B6323F"/>
    <w:rsid w:val="00B66238"/>
    <w:rsid w:val="00B72BE9"/>
    <w:rsid w:val="00B770A2"/>
    <w:rsid w:val="00B9563E"/>
    <w:rsid w:val="00BA521C"/>
    <w:rsid w:val="00BA6FD4"/>
    <w:rsid w:val="00BB32F8"/>
    <w:rsid w:val="00BB7C4B"/>
    <w:rsid w:val="00BB7F52"/>
    <w:rsid w:val="00BC3239"/>
    <w:rsid w:val="00BC7024"/>
    <w:rsid w:val="00BD6C59"/>
    <w:rsid w:val="00BE0655"/>
    <w:rsid w:val="00BE11A8"/>
    <w:rsid w:val="00BE2613"/>
    <w:rsid w:val="00C0079D"/>
    <w:rsid w:val="00C12BCE"/>
    <w:rsid w:val="00C33C86"/>
    <w:rsid w:val="00C4717B"/>
    <w:rsid w:val="00C51C0E"/>
    <w:rsid w:val="00C52B0C"/>
    <w:rsid w:val="00C55EE9"/>
    <w:rsid w:val="00C569B9"/>
    <w:rsid w:val="00C61E5C"/>
    <w:rsid w:val="00C64160"/>
    <w:rsid w:val="00C76F04"/>
    <w:rsid w:val="00C84445"/>
    <w:rsid w:val="00CB028E"/>
    <w:rsid w:val="00CB0A5E"/>
    <w:rsid w:val="00CB3B0F"/>
    <w:rsid w:val="00CC1240"/>
    <w:rsid w:val="00CC2961"/>
    <w:rsid w:val="00CD348B"/>
    <w:rsid w:val="00CD6AC0"/>
    <w:rsid w:val="00CE4D4C"/>
    <w:rsid w:val="00CE69AF"/>
    <w:rsid w:val="00CF5B79"/>
    <w:rsid w:val="00CF71ED"/>
    <w:rsid w:val="00CF7EFB"/>
    <w:rsid w:val="00D02904"/>
    <w:rsid w:val="00D223E8"/>
    <w:rsid w:val="00D30573"/>
    <w:rsid w:val="00D35448"/>
    <w:rsid w:val="00D37303"/>
    <w:rsid w:val="00D406D0"/>
    <w:rsid w:val="00D51AD1"/>
    <w:rsid w:val="00D62664"/>
    <w:rsid w:val="00D62837"/>
    <w:rsid w:val="00D73987"/>
    <w:rsid w:val="00D8158C"/>
    <w:rsid w:val="00D846DB"/>
    <w:rsid w:val="00D86D6E"/>
    <w:rsid w:val="00D93246"/>
    <w:rsid w:val="00D97BA8"/>
    <w:rsid w:val="00DB7777"/>
    <w:rsid w:val="00DC0DEE"/>
    <w:rsid w:val="00DC6D84"/>
    <w:rsid w:val="00DE10F4"/>
    <w:rsid w:val="00DF0877"/>
    <w:rsid w:val="00E03437"/>
    <w:rsid w:val="00E061C3"/>
    <w:rsid w:val="00E108CE"/>
    <w:rsid w:val="00E11A56"/>
    <w:rsid w:val="00E16DB8"/>
    <w:rsid w:val="00E22DC6"/>
    <w:rsid w:val="00E301B1"/>
    <w:rsid w:val="00E326A4"/>
    <w:rsid w:val="00E45CBE"/>
    <w:rsid w:val="00E60B61"/>
    <w:rsid w:val="00E67C75"/>
    <w:rsid w:val="00E75983"/>
    <w:rsid w:val="00E75A86"/>
    <w:rsid w:val="00E96945"/>
    <w:rsid w:val="00E97184"/>
    <w:rsid w:val="00EA4376"/>
    <w:rsid w:val="00EA733A"/>
    <w:rsid w:val="00EC04A5"/>
    <w:rsid w:val="00EC1C6F"/>
    <w:rsid w:val="00EC1F6F"/>
    <w:rsid w:val="00EC6A73"/>
    <w:rsid w:val="00ED202F"/>
    <w:rsid w:val="00ED2369"/>
    <w:rsid w:val="00EE6C29"/>
    <w:rsid w:val="00F038BD"/>
    <w:rsid w:val="00F07048"/>
    <w:rsid w:val="00F14C38"/>
    <w:rsid w:val="00F35B6A"/>
    <w:rsid w:val="00F377BA"/>
    <w:rsid w:val="00F4378B"/>
    <w:rsid w:val="00F64302"/>
    <w:rsid w:val="00F72274"/>
    <w:rsid w:val="00F76228"/>
    <w:rsid w:val="00F7634B"/>
    <w:rsid w:val="00F76B86"/>
    <w:rsid w:val="00F86282"/>
    <w:rsid w:val="00F865F4"/>
    <w:rsid w:val="00F90F50"/>
    <w:rsid w:val="00F91215"/>
    <w:rsid w:val="00FA3CD3"/>
    <w:rsid w:val="00FC2043"/>
    <w:rsid w:val="00FD6D51"/>
    <w:rsid w:val="00FE1324"/>
    <w:rsid w:val="00FF30F5"/>
    <w:rsid w:val="00FF5D5A"/>
    <w:rsid w:val="00FF5FCC"/>
    <w:rsid w:val="1D66B4A6"/>
    <w:rsid w:val="208CC894"/>
    <w:rsid w:val="64367E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FB7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autoRedefine/>
    <w:uiPriority w:val="9"/>
    <w:qFormat/>
    <w:rsid w:val="004133B7"/>
    <w:pPr>
      <w:keepNext/>
      <w:keepLines/>
      <w:numPr>
        <w:numId w:val="21"/>
      </w:numPr>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autoRedefine/>
    <w:uiPriority w:val="9"/>
    <w:unhideWhenUsed/>
    <w:qFormat/>
    <w:rsid w:val="003C317E"/>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BodyText1"/>
    <w:next w:val="Normal"/>
    <w:link w:val="Heading3Char"/>
    <w:autoRedefine/>
    <w:uiPriority w:val="9"/>
    <w:unhideWhenUsed/>
    <w:qFormat/>
    <w:rsid w:val="00B521C6"/>
    <w:pPr>
      <w:numPr>
        <w:ilvl w:val="1"/>
        <w:numId w:val="21"/>
      </w:numPr>
      <w:outlineLvl w:val="2"/>
    </w:pPr>
  </w:style>
  <w:style w:type="paragraph" w:styleId="Heading4">
    <w:name w:val="heading 4"/>
    <w:basedOn w:val="Normal"/>
    <w:next w:val="Normal"/>
    <w:link w:val="Heading4Char"/>
    <w:uiPriority w:val="9"/>
    <w:unhideWhenUsed/>
    <w:qFormat/>
    <w:rsid w:val="004133B7"/>
    <w:pPr>
      <w:keepNext/>
      <w:keepLines/>
      <w:numPr>
        <w:ilvl w:val="3"/>
        <w:numId w:val="21"/>
      </w:numPr>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numPr>
        <w:ilvl w:val="4"/>
        <w:numId w:val="21"/>
      </w:numPr>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uiPriority w:val="9"/>
    <w:semiHidden/>
    <w:unhideWhenUsed/>
    <w:qFormat/>
    <w:rsid w:val="00922818"/>
    <w:pPr>
      <w:keepNext/>
      <w:keepLines/>
      <w:numPr>
        <w:ilvl w:val="5"/>
        <w:numId w:val="21"/>
      </w:numPr>
      <w:spacing w:before="40"/>
      <w:outlineLvl w:val="5"/>
    </w:pPr>
    <w:rPr>
      <w:rFonts w:asciiTheme="majorHAnsi" w:eastAsiaTheme="majorEastAsia" w:hAnsiTheme="majorHAnsi" w:cstheme="majorBidi"/>
      <w:color w:val="003139" w:themeColor="accent1" w:themeShade="7F"/>
    </w:rPr>
  </w:style>
  <w:style w:type="paragraph" w:styleId="Heading7">
    <w:name w:val="heading 7"/>
    <w:basedOn w:val="Normal"/>
    <w:next w:val="Normal"/>
    <w:link w:val="Heading7Char"/>
    <w:uiPriority w:val="9"/>
    <w:semiHidden/>
    <w:unhideWhenUsed/>
    <w:qFormat/>
    <w:rsid w:val="00922818"/>
    <w:pPr>
      <w:keepNext/>
      <w:keepLines/>
      <w:numPr>
        <w:ilvl w:val="6"/>
        <w:numId w:val="21"/>
      </w:numPr>
      <w:spacing w:before="40"/>
      <w:outlineLvl w:val="6"/>
    </w:pPr>
    <w:rPr>
      <w:rFonts w:asciiTheme="majorHAnsi" w:eastAsiaTheme="majorEastAsia" w:hAnsiTheme="majorHAnsi" w:cstheme="majorBidi"/>
      <w:i/>
      <w:iCs/>
      <w:color w:val="003139" w:themeColor="accent1" w:themeShade="7F"/>
    </w:rPr>
  </w:style>
  <w:style w:type="paragraph" w:styleId="Heading8">
    <w:name w:val="heading 8"/>
    <w:basedOn w:val="Normal"/>
    <w:next w:val="Normal"/>
    <w:link w:val="Heading8Char"/>
    <w:uiPriority w:val="9"/>
    <w:semiHidden/>
    <w:unhideWhenUsed/>
    <w:qFormat/>
    <w:rsid w:val="00922818"/>
    <w:pPr>
      <w:keepNext/>
      <w:keepLines/>
      <w:numPr>
        <w:ilvl w:val="7"/>
        <w:numId w:val="21"/>
      </w:numPr>
      <w:spacing w:before="40"/>
      <w:outlineLvl w:val="7"/>
    </w:pPr>
    <w:rPr>
      <w:rFonts w:asciiTheme="majorHAnsi" w:eastAsiaTheme="majorEastAsia" w:hAnsiTheme="majorHAnsi" w:cstheme="majorBidi"/>
      <w:color w:val="56665D" w:themeColor="text1" w:themeTint="D8"/>
      <w:sz w:val="21"/>
      <w:szCs w:val="21"/>
    </w:rPr>
  </w:style>
  <w:style w:type="paragraph" w:styleId="Heading9">
    <w:name w:val="heading 9"/>
    <w:basedOn w:val="Normal"/>
    <w:next w:val="Normal"/>
    <w:link w:val="Heading9Char"/>
    <w:uiPriority w:val="9"/>
    <w:semiHidden/>
    <w:unhideWhenUsed/>
    <w:qFormat/>
    <w:rsid w:val="00922818"/>
    <w:pPr>
      <w:keepNext/>
      <w:keepLines/>
      <w:numPr>
        <w:ilvl w:val="8"/>
        <w:numId w:val="21"/>
      </w:numPr>
      <w:spacing w:before="40"/>
      <w:outlineLvl w:val="8"/>
    </w:pPr>
    <w:rPr>
      <w:rFonts w:asciiTheme="majorHAnsi" w:eastAsiaTheme="majorEastAsia" w:hAnsiTheme="majorHAnsi" w:cstheme="majorBidi"/>
      <w:i/>
      <w:iCs/>
      <w:color w:val="5666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3C317E"/>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B521C6"/>
    <w:rPr>
      <w:rFonts w:eastAsiaTheme="minorEastAsia"/>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NormalWeb">
    <w:name w:val="Normal (Web)"/>
    <w:basedOn w:val="Normal"/>
    <w:uiPriority w:val="99"/>
    <w:semiHidden/>
    <w:unhideWhenUsed/>
    <w:rsid w:val="004E1575"/>
    <w:pPr>
      <w:spacing w:before="100" w:beforeAutospacing="1" w:after="100" w:afterAutospacing="1" w:line="240" w:lineRule="auto"/>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C12BCE"/>
    <w:pPr>
      <w:overflowPunct w:val="0"/>
      <w:autoSpaceDE w:val="0"/>
      <w:autoSpaceDN w:val="0"/>
      <w:adjustRightInd w:val="0"/>
      <w:spacing w:line="240" w:lineRule="auto"/>
      <w:textAlignment w:val="baseline"/>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C12BCE"/>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C12BCE"/>
    <w:rPr>
      <w:vertAlign w:val="superscript"/>
    </w:rPr>
  </w:style>
  <w:style w:type="character" w:styleId="CommentReference">
    <w:name w:val="annotation reference"/>
    <w:basedOn w:val="DefaultParagraphFont"/>
    <w:uiPriority w:val="99"/>
    <w:unhideWhenUsed/>
    <w:rsid w:val="00C12BCE"/>
    <w:rPr>
      <w:sz w:val="16"/>
      <w:szCs w:val="16"/>
    </w:rPr>
  </w:style>
  <w:style w:type="paragraph" w:styleId="CommentText">
    <w:name w:val="annotation text"/>
    <w:basedOn w:val="Normal"/>
    <w:link w:val="CommentTextChar"/>
    <w:uiPriority w:val="99"/>
    <w:unhideWhenUsed/>
    <w:rsid w:val="00C12BCE"/>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C12BCE"/>
    <w:rPr>
      <w:sz w:val="20"/>
      <w:szCs w:val="20"/>
    </w:rPr>
  </w:style>
  <w:style w:type="paragraph" w:styleId="ListParagraph">
    <w:name w:val="List Paragraph"/>
    <w:basedOn w:val="Normal"/>
    <w:uiPriority w:val="34"/>
    <w:qFormat/>
    <w:rsid w:val="00C52B0C"/>
    <w:pPr>
      <w:overflowPunct w:val="0"/>
      <w:autoSpaceDE w:val="0"/>
      <w:autoSpaceDN w:val="0"/>
      <w:adjustRightInd w:val="0"/>
      <w:spacing w:after="200"/>
      <w:ind w:left="720"/>
      <w:contextualSpacing/>
      <w:textAlignment w:val="baseline"/>
    </w:pPr>
    <w:rPr>
      <w:rFonts w:ascii="Arial" w:eastAsia="Times New Roman" w:hAnsi="Arial" w:cs="Times New Roman"/>
      <w:szCs w:val="20"/>
    </w:rPr>
  </w:style>
  <w:style w:type="table" w:styleId="TableGrid">
    <w:name w:val="Table Grid"/>
    <w:aliases w:val="Table-Simple"/>
    <w:basedOn w:val="TableNormal"/>
    <w:uiPriority w:val="39"/>
    <w:rsid w:val="00C52B0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52B0C"/>
    <w:rPr>
      <w:color w:val="016574" w:themeColor="followedHyperlink"/>
      <w:u w:val="single"/>
    </w:rPr>
  </w:style>
  <w:style w:type="character" w:customStyle="1" w:styleId="Heading6Char">
    <w:name w:val="Heading 6 Char"/>
    <w:basedOn w:val="DefaultParagraphFont"/>
    <w:link w:val="Heading6"/>
    <w:uiPriority w:val="9"/>
    <w:semiHidden/>
    <w:rsid w:val="00922818"/>
    <w:rPr>
      <w:rFonts w:asciiTheme="majorHAnsi" w:eastAsiaTheme="majorEastAsia" w:hAnsiTheme="majorHAnsi" w:cstheme="majorBidi"/>
      <w:color w:val="003139" w:themeColor="accent1" w:themeShade="7F"/>
    </w:rPr>
  </w:style>
  <w:style w:type="character" w:customStyle="1" w:styleId="Heading7Char">
    <w:name w:val="Heading 7 Char"/>
    <w:basedOn w:val="DefaultParagraphFont"/>
    <w:link w:val="Heading7"/>
    <w:uiPriority w:val="9"/>
    <w:semiHidden/>
    <w:rsid w:val="00922818"/>
    <w:rPr>
      <w:rFonts w:asciiTheme="majorHAnsi" w:eastAsiaTheme="majorEastAsia" w:hAnsiTheme="majorHAnsi" w:cstheme="majorBidi"/>
      <w:i/>
      <w:iCs/>
      <w:color w:val="003139" w:themeColor="accent1" w:themeShade="7F"/>
    </w:rPr>
  </w:style>
  <w:style w:type="character" w:customStyle="1" w:styleId="Heading8Char">
    <w:name w:val="Heading 8 Char"/>
    <w:basedOn w:val="DefaultParagraphFont"/>
    <w:link w:val="Heading8"/>
    <w:uiPriority w:val="9"/>
    <w:semiHidden/>
    <w:rsid w:val="00922818"/>
    <w:rPr>
      <w:rFonts w:asciiTheme="majorHAnsi" w:eastAsiaTheme="majorEastAsia" w:hAnsiTheme="majorHAnsi" w:cstheme="majorBidi"/>
      <w:color w:val="56665D" w:themeColor="text1" w:themeTint="D8"/>
      <w:sz w:val="21"/>
      <w:szCs w:val="21"/>
    </w:rPr>
  </w:style>
  <w:style w:type="character" w:customStyle="1" w:styleId="Heading9Char">
    <w:name w:val="Heading 9 Char"/>
    <w:basedOn w:val="DefaultParagraphFont"/>
    <w:link w:val="Heading9"/>
    <w:uiPriority w:val="9"/>
    <w:semiHidden/>
    <w:rsid w:val="00922818"/>
    <w:rPr>
      <w:rFonts w:asciiTheme="majorHAnsi" w:eastAsiaTheme="majorEastAsia" w:hAnsiTheme="majorHAnsi" w:cstheme="majorBidi"/>
      <w:i/>
      <w:iCs/>
      <w:color w:val="56665D" w:themeColor="text1" w:themeTint="D8"/>
      <w:sz w:val="21"/>
      <w:szCs w:val="21"/>
    </w:rPr>
  </w:style>
  <w:style w:type="paragraph" w:styleId="CommentSubject">
    <w:name w:val="annotation subject"/>
    <w:basedOn w:val="CommentText"/>
    <w:next w:val="CommentText"/>
    <w:link w:val="CommentSubjectChar"/>
    <w:uiPriority w:val="99"/>
    <w:semiHidden/>
    <w:unhideWhenUsed/>
    <w:rsid w:val="00EC04A5"/>
    <w:rPr>
      <w:rFonts w:eastAsiaTheme="minorEastAsia"/>
      <w:b/>
      <w:bCs/>
    </w:rPr>
  </w:style>
  <w:style w:type="character" w:customStyle="1" w:styleId="CommentSubjectChar">
    <w:name w:val="Comment Subject Char"/>
    <w:basedOn w:val="CommentTextChar"/>
    <w:link w:val="CommentSubject"/>
    <w:uiPriority w:val="99"/>
    <w:semiHidden/>
    <w:rsid w:val="00EC04A5"/>
    <w:rPr>
      <w:rFonts w:eastAsiaTheme="minorEastAsia"/>
      <w:b/>
      <w:bCs/>
      <w:sz w:val="20"/>
      <w:szCs w:val="20"/>
    </w:rPr>
  </w:style>
  <w:style w:type="character" w:styleId="Mention">
    <w:name w:val="Mention"/>
    <w:basedOn w:val="DefaultParagraphFont"/>
    <w:uiPriority w:val="99"/>
    <w:unhideWhenUsed/>
    <w:rsid w:val="00CE4D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aquaMetrics/kraken" TargetMode="External"/><Relationship Id="rId18" Type="http://schemas.openxmlformats.org/officeDocument/2006/relationships/image" Target="media/image5.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beta.sepa.scot/topics/water/aquaculture/pre-application/" TargetMode="External"/><Relationship Id="rId17" Type="http://schemas.openxmlformats.org/officeDocument/2006/relationships/hyperlink" Target="https://link.springer.com/book/10.1007/978-0-387-09616-2" TargetMode="External"/><Relationship Id="rId25" Type="http://schemas.openxmlformats.org/officeDocument/2006/relationships/hyperlink" Target="mailto:equalities@sepa.org.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tes.math.rutgers.edu/~zeilberg/EM20/Lambert.pdf" TargetMode="External"/><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371/journal.pone.0146021" TargetMode="External"/><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hyperlink" Target="https://beta.sepa.scot/topics/water/aquaculture/pre-application/" TargetMode="External"/><Relationship Id="rId19" Type="http://schemas.openxmlformats.org/officeDocument/2006/relationships/image" Target="media/image6.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2082</Words>
  <Characters>11871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2026-09-18T11:48:00Z</dcterms:created>
  <dcterms:modified xsi:type="dcterms:W3CDTF">2026-09-21T09:57:00Z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78fd6ffd,3ea67b2,2c1965f9</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2d4871e5,64b7382b,1283a63f</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2026-09-21T09:57:10Z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8849a85c-89cb-4de1-9bb8-936b5e80d8d2</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