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1923907"/>
        <w:docPartObj>
          <w:docPartGallery w:val="Cover Pages"/>
          <w:docPartUnique/>
        </w:docPartObj>
      </w:sdtPr>
      <w:sdtEndPr/>
      <w:sdtContent>
        <w:p w14:paraId="050BE9BE" w14:textId="77777777" w:rsidR="004073BC" w:rsidRDefault="00F72274" w:rsidP="00F72274">
          <w:r>
            <w:rPr>
              <w:noProof/>
            </w:rPr>
            <w:drawing>
              <wp:anchor distT="0" distB="0" distL="114300" distR="114300" simplePos="0" relativeHeight="251658241" behindDoc="1" locked="0" layoutInCell="1" allowOverlap="1" wp14:anchorId="7D33EC4B" wp14:editId="11C292A5">
                <wp:simplePos x="0" y="0"/>
                <wp:positionH relativeFrom="column">
                  <wp:posOffset>-532765</wp:posOffset>
                </wp:positionH>
                <wp:positionV relativeFrom="paragraph">
                  <wp:posOffset>-730250</wp:posOffset>
                </wp:positionV>
                <wp:extent cx="7559645" cy="10888345"/>
                <wp:effectExtent l="0" t="0" r="3810" b="825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2700" cy="10892746"/>
                        </a:xfrm>
                        <a:prstGeom prst="rect">
                          <a:avLst/>
                        </a:prstGeom>
                      </pic:spPr>
                    </pic:pic>
                  </a:graphicData>
                </a:graphic>
                <wp14:sizeRelH relativeFrom="page">
                  <wp14:pctWidth>0</wp14:pctWidth>
                </wp14:sizeRelH>
                <wp14:sizeRelV relativeFrom="page">
                  <wp14:pctHeight>0</wp14:pctHeight>
                </wp14:sizeRelV>
              </wp:anchor>
            </w:drawing>
          </w:r>
          <w:r w:rsidR="00CF7EFB">
            <w:rPr>
              <w:noProof/>
            </w:rPr>
            <w:drawing>
              <wp:inline distT="0" distB="0" distL="0" distR="0" wp14:anchorId="65E5337E" wp14:editId="79192AF2">
                <wp:extent cx="3194973" cy="803275"/>
                <wp:effectExtent l="0" t="0" r="5715"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58380" cy="844358"/>
                        </a:xfrm>
                        <a:prstGeom prst="rect">
                          <a:avLst/>
                        </a:prstGeom>
                      </pic:spPr>
                    </pic:pic>
                  </a:graphicData>
                </a:graphic>
              </wp:inline>
            </w:drawing>
          </w:r>
        </w:p>
        <w:p w14:paraId="3512C73C" w14:textId="77777777" w:rsidR="004073BC" w:rsidRDefault="004073BC" w:rsidP="008C1A73"/>
        <w:p w14:paraId="2C721EE4" w14:textId="77777777" w:rsidR="004073BC" w:rsidRDefault="004073BC" w:rsidP="008C1A73"/>
        <w:p w14:paraId="3117DF5B" w14:textId="77777777" w:rsidR="004073BC" w:rsidRDefault="004073BC" w:rsidP="008C1A73"/>
        <w:p w14:paraId="7BE06751" w14:textId="77777777" w:rsidR="004073BC" w:rsidRDefault="004073BC" w:rsidP="008C1A73"/>
        <w:p w14:paraId="6AE896A5" w14:textId="77777777" w:rsidR="004073BC" w:rsidRDefault="004073BC" w:rsidP="008C1A73"/>
        <w:p w14:paraId="1E4C6867" w14:textId="6689B3B1" w:rsidR="00801105" w:rsidRPr="00B2320B" w:rsidRDefault="00281BB1" w:rsidP="00801105">
          <w:pPr>
            <w:rPr>
              <w:b/>
              <w:bCs/>
              <w:color w:val="83968C" w:themeColor="text1" w:themeTint="99"/>
              <w:sz w:val="84"/>
              <w:szCs w:val="84"/>
            </w:rPr>
          </w:pPr>
          <w:r>
            <w:rPr>
              <w:noProof/>
            </w:rPr>
            <mc:AlternateContent>
              <mc:Choice Requires="wps">
                <w:drawing>
                  <wp:anchor distT="0" distB="0" distL="114300" distR="114300" simplePos="0" relativeHeight="251658240" behindDoc="0" locked="1" layoutInCell="1" allowOverlap="1" wp14:anchorId="545BE8CB" wp14:editId="39AFA690">
                    <wp:simplePos x="0" y="0"/>
                    <wp:positionH relativeFrom="column">
                      <wp:posOffset>124460</wp:posOffset>
                    </wp:positionH>
                    <wp:positionV relativeFrom="paragraph">
                      <wp:posOffset>6335395</wp:posOffset>
                    </wp:positionV>
                    <wp:extent cx="4308475" cy="228600"/>
                    <wp:effectExtent l="0" t="0" r="0" b="0"/>
                    <wp:wrapNone/>
                    <wp:docPr id="3"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08475" cy="228600"/>
                            </a:xfrm>
                            <a:prstGeom prst="rect">
                              <a:avLst/>
                            </a:prstGeom>
                            <a:noFill/>
                            <a:ln w="6350">
                              <a:noFill/>
                            </a:ln>
                          </wps:spPr>
                          <wps:txbx>
                            <w:txbxContent>
                              <w:p w14:paraId="7FC0009A" w14:textId="7CE1898A" w:rsidR="00281BB1" w:rsidRPr="009A240D" w:rsidRDefault="000402C8" w:rsidP="00281BB1">
                                <w:pPr>
                                  <w:pStyle w:val="BodyText1"/>
                                  <w:rPr>
                                    <w:color w:val="FFFFFF" w:themeColor="background1"/>
                                  </w:rPr>
                                </w:pPr>
                                <w:r>
                                  <w:rPr>
                                    <w:color w:val="FFFFFF" w:themeColor="background1"/>
                                  </w:rPr>
                                  <w:t xml:space="preserve">August </w:t>
                                </w:r>
                                <w:r w:rsidR="00BE2334">
                                  <w:rPr>
                                    <w:color w:val="FFFFFF" w:themeColor="background1"/>
                                  </w:rPr>
                                  <w:t>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5BE8CB" id="_x0000_t202" coordsize="21600,21600" o:spt="202" path="m,l,21600r21600,l21600,xe">
                    <v:stroke joinstyle="miter"/>
                    <v:path gradientshapeok="t" o:connecttype="rect"/>
                  </v:shapetype>
                  <v:shape id="Text Box 3" o:spid="_x0000_s1026" type="#_x0000_t202" alt="&quot;&quot;" style="position:absolute;margin-left:9.8pt;margin-top:498.85pt;width:339.2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" filled="f" stroked="f" strokeweight=".5pt">
                    <v:textbox inset="0,0,0,0">
                      <w:txbxContent>
                        <w:p w14:paraId="7FC0009A" w14:textId="7CE1898A" w:rsidR="00281BB1" w:rsidRPr="009A240D" w:rsidRDefault="000402C8" w:rsidP="00281BB1">
                          <w:pPr>
                            <w:pStyle w:val="BodyText1"/>
                            <w:rPr>
                              <w:color w:val="FFFFFF" w:themeColor="background1"/>
                            </w:rPr>
                          </w:pPr>
                          <w:r>
                            <w:rPr>
                              <w:color w:val="FFFFFF" w:themeColor="background1"/>
                            </w:rPr>
                            <w:t xml:space="preserve">August </w:t>
                          </w:r>
                          <w:r w:rsidR="00BE2334">
                            <w:rPr>
                              <w:color w:val="FFFFFF" w:themeColor="background1"/>
                            </w:rPr>
                            <w:t>2026</w:t>
                          </w:r>
                        </w:p>
                      </w:txbxContent>
                    </v:textbox>
                    <w10:anchorlock/>
                  </v:shape>
                </w:pict>
              </mc:Fallback>
            </mc:AlternateContent>
          </w:r>
          <w:r w:rsidR="007D244E" w:rsidRPr="00B2320B">
            <w:rPr>
              <w:b/>
              <w:bCs/>
              <w:color w:val="83968C" w:themeColor="text1" w:themeTint="99"/>
              <w:sz w:val="84"/>
              <w:szCs w:val="84"/>
            </w:rPr>
            <w:t>SEPA guidance on best practicable means for monitoring NORM contaminated items</w:t>
          </w:r>
        </w:p>
        <w:p w14:paraId="744E062A" w14:textId="77777777" w:rsidR="008C1A73" w:rsidRPr="00CF7EFB" w:rsidRDefault="008C1A73" w:rsidP="00CF7EFB">
          <w:pPr>
            <w:rPr>
              <w:b/>
              <w:bCs/>
              <w:color w:val="FFFFFF" w:themeColor="background1"/>
              <w:sz w:val="84"/>
              <w:szCs w:val="84"/>
            </w:rPr>
          </w:pPr>
          <w:r>
            <w:br w:type="page"/>
          </w:r>
        </w:p>
      </w:sdtContent>
    </w:sdt>
    <w:p w14:paraId="08F09539" w14:textId="77777777" w:rsidR="00EE36F9" w:rsidRPr="00796E8D" w:rsidRDefault="00EE36F9" w:rsidP="000C354A">
      <w:pPr>
        <w:spacing w:after="240" w:line="240" w:lineRule="auto"/>
        <w:rPr>
          <w:color w:val="016574"/>
          <w:sz w:val="32"/>
          <w:szCs w:val="32"/>
        </w:rPr>
      </w:pPr>
      <w:r w:rsidRPr="00796E8D">
        <w:rPr>
          <w:color w:val="016574"/>
          <w:sz w:val="32"/>
          <w:szCs w:val="32"/>
        </w:rPr>
        <w:lastRenderedPageBreak/>
        <w:t>Document Control</w:t>
      </w:r>
    </w:p>
    <w:tbl>
      <w:tblPr>
        <w:tblStyle w:val="TableGrid"/>
        <w:tblW w:w="0" w:type="auto"/>
        <w:tblLook w:val="04A0" w:firstRow="1" w:lastRow="0" w:firstColumn="1" w:lastColumn="0" w:noHBand="0" w:noVBand="1"/>
      </w:tblPr>
      <w:tblGrid>
        <w:gridCol w:w="2972"/>
        <w:gridCol w:w="7240"/>
      </w:tblGrid>
      <w:tr w:rsidR="00EE36F9" w:rsidRPr="00796E8D" w14:paraId="4858B252" w14:textId="77777777">
        <w:tc>
          <w:tcPr>
            <w:tcW w:w="2972" w:type="dxa"/>
            <w:vAlign w:val="center"/>
          </w:tcPr>
          <w:p w14:paraId="6547725E" w14:textId="77777777" w:rsidR="00EE36F9" w:rsidRPr="00796E8D" w:rsidRDefault="00EE36F9">
            <w:pPr>
              <w:spacing w:before="120" w:after="120"/>
            </w:pPr>
            <w:r w:rsidRPr="00796E8D">
              <w:t>Title</w:t>
            </w:r>
          </w:p>
        </w:tc>
        <w:tc>
          <w:tcPr>
            <w:tcW w:w="7240" w:type="dxa"/>
            <w:vAlign w:val="center"/>
          </w:tcPr>
          <w:p w14:paraId="00FB6B86" w14:textId="776F1CBA" w:rsidR="00EE36F9" w:rsidRPr="00796E8D" w:rsidRDefault="00EE36F9">
            <w:pPr>
              <w:spacing w:before="120" w:after="120"/>
            </w:pPr>
            <w:r>
              <w:t>SEPA guidance on best practicable means for monitoring NORM contaminated items</w:t>
            </w:r>
          </w:p>
        </w:tc>
      </w:tr>
      <w:tr w:rsidR="00EE36F9" w:rsidRPr="00796E8D" w14:paraId="64C88EF2" w14:textId="77777777">
        <w:tc>
          <w:tcPr>
            <w:tcW w:w="2972" w:type="dxa"/>
            <w:vAlign w:val="center"/>
          </w:tcPr>
          <w:p w14:paraId="32D7FB82" w14:textId="13E038DC" w:rsidR="00EE36F9" w:rsidRPr="00796E8D" w:rsidRDefault="00EE36F9">
            <w:pPr>
              <w:spacing w:before="120" w:after="120"/>
            </w:pPr>
            <w:r>
              <w:t>Reference</w:t>
            </w:r>
          </w:p>
        </w:tc>
        <w:tc>
          <w:tcPr>
            <w:tcW w:w="7240" w:type="dxa"/>
            <w:vAlign w:val="center"/>
          </w:tcPr>
          <w:p w14:paraId="22D87335" w14:textId="5B180119" w:rsidR="00EE36F9" w:rsidRDefault="00F10257">
            <w:pPr>
              <w:spacing w:before="120" w:after="120"/>
            </w:pPr>
            <w:r>
              <w:t>RS-G-0</w:t>
            </w:r>
            <w:r w:rsidR="001C1514">
              <w:t>46</w:t>
            </w:r>
          </w:p>
        </w:tc>
      </w:tr>
      <w:tr w:rsidR="00EE36F9" w:rsidRPr="00796E8D" w14:paraId="159A39CF" w14:textId="77777777">
        <w:tc>
          <w:tcPr>
            <w:tcW w:w="2972" w:type="dxa"/>
            <w:vAlign w:val="center"/>
          </w:tcPr>
          <w:p w14:paraId="0DBDC7F0" w14:textId="77777777" w:rsidR="00EE36F9" w:rsidRPr="00796E8D" w:rsidRDefault="00EE36F9">
            <w:pPr>
              <w:spacing w:before="120" w:after="120"/>
            </w:pPr>
            <w:r w:rsidRPr="00796E8D">
              <w:t>Version</w:t>
            </w:r>
          </w:p>
        </w:tc>
        <w:tc>
          <w:tcPr>
            <w:tcW w:w="7240" w:type="dxa"/>
            <w:vAlign w:val="center"/>
          </w:tcPr>
          <w:p w14:paraId="44AC0074" w14:textId="4107903F" w:rsidR="00EE36F9" w:rsidRPr="00796E8D" w:rsidRDefault="00EE36F9">
            <w:pPr>
              <w:spacing w:before="120" w:after="120"/>
            </w:pPr>
            <w:r>
              <w:t>1</w:t>
            </w:r>
          </w:p>
        </w:tc>
      </w:tr>
      <w:tr w:rsidR="00EE36F9" w:rsidRPr="00796E8D" w14:paraId="154869A0" w14:textId="77777777">
        <w:tc>
          <w:tcPr>
            <w:tcW w:w="2972" w:type="dxa"/>
            <w:vAlign w:val="center"/>
          </w:tcPr>
          <w:p w14:paraId="58A8819B" w14:textId="77777777" w:rsidR="00EE36F9" w:rsidRPr="00796E8D" w:rsidRDefault="00EE36F9">
            <w:pPr>
              <w:spacing w:before="120" w:after="120"/>
            </w:pPr>
            <w:r w:rsidRPr="00796E8D">
              <w:t>Approved by</w:t>
            </w:r>
          </w:p>
        </w:tc>
        <w:tc>
          <w:tcPr>
            <w:tcW w:w="7240" w:type="dxa"/>
            <w:vAlign w:val="center"/>
          </w:tcPr>
          <w:p w14:paraId="5380F51E" w14:textId="77777777" w:rsidR="00EE36F9" w:rsidRPr="00796E8D" w:rsidRDefault="00EE36F9">
            <w:pPr>
              <w:spacing w:before="120" w:after="120"/>
            </w:pPr>
            <w:r w:rsidRPr="00796E8D">
              <w:t>RASRAP</w:t>
            </w:r>
          </w:p>
        </w:tc>
      </w:tr>
      <w:tr w:rsidR="00EE36F9" w:rsidRPr="00796E8D" w14:paraId="54AC0F47" w14:textId="77777777">
        <w:tc>
          <w:tcPr>
            <w:tcW w:w="2972" w:type="dxa"/>
            <w:vAlign w:val="center"/>
          </w:tcPr>
          <w:p w14:paraId="1608DDEB" w14:textId="77777777" w:rsidR="00EE36F9" w:rsidRPr="00796E8D" w:rsidRDefault="00EE36F9">
            <w:pPr>
              <w:spacing w:before="120" w:after="120"/>
            </w:pPr>
            <w:r w:rsidRPr="00796E8D">
              <w:t>Date approved</w:t>
            </w:r>
          </w:p>
        </w:tc>
        <w:tc>
          <w:tcPr>
            <w:tcW w:w="7240" w:type="dxa"/>
            <w:vAlign w:val="center"/>
          </w:tcPr>
          <w:p w14:paraId="6D363C16" w14:textId="7EF6D981" w:rsidR="00EE36F9" w:rsidRPr="00796E8D" w:rsidRDefault="00E26E8C">
            <w:pPr>
              <w:spacing w:before="120" w:after="120"/>
            </w:pPr>
            <w:r>
              <w:t>05 August 2026</w:t>
            </w:r>
          </w:p>
        </w:tc>
      </w:tr>
    </w:tbl>
    <w:p w14:paraId="67D2F739" w14:textId="77777777" w:rsidR="00EE36F9" w:rsidRPr="00796E8D" w:rsidRDefault="00EE36F9" w:rsidP="00EE36F9">
      <w:pPr>
        <w:spacing w:after="240"/>
        <w:rPr>
          <w:color w:val="6E7571" w:themeColor="text2"/>
          <w:sz w:val="32"/>
          <w:szCs w:val="32"/>
          <w:u w:val="single"/>
        </w:rPr>
      </w:pPr>
    </w:p>
    <w:p w14:paraId="45663798" w14:textId="77777777" w:rsidR="00455155" w:rsidRDefault="00455155" w:rsidP="0045707F">
      <w:pPr>
        <w:spacing w:after="240"/>
        <w:ind w:right="28"/>
      </w:pPr>
    </w:p>
    <w:p w14:paraId="3A0AAD78" w14:textId="77777777" w:rsidR="00EE36F9" w:rsidRDefault="00EE36F9" w:rsidP="0045707F">
      <w:pPr>
        <w:spacing w:after="240"/>
        <w:ind w:right="28"/>
      </w:pPr>
    </w:p>
    <w:p w14:paraId="0E6E9C7E" w14:textId="77777777" w:rsidR="00EE36F9" w:rsidRDefault="00EE36F9" w:rsidP="0045707F">
      <w:pPr>
        <w:spacing w:after="240"/>
        <w:ind w:right="28"/>
      </w:pPr>
    </w:p>
    <w:p w14:paraId="6ED6128D" w14:textId="77777777" w:rsidR="00EE36F9" w:rsidRPr="0045707F" w:rsidRDefault="00EE36F9" w:rsidP="00EE36F9">
      <w:pPr>
        <w:pStyle w:val="BodyText1"/>
        <w:rPr>
          <w:rFonts w:eastAsia="Times New Roman"/>
          <w:sz w:val="32"/>
          <w:szCs w:val="32"/>
        </w:rPr>
      </w:pPr>
      <w:r>
        <w:rPr>
          <w:rFonts w:eastAsia="Times New Roman"/>
          <w:sz w:val="32"/>
          <w:szCs w:val="32"/>
        </w:rPr>
        <w:t>I</w:t>
      </w:r>
      <w:r w:rsidRPr="00D366C4">
        <w:rPr>
          <w:rFonts w:eastAsia="Times New Roman"/>
          <w:sz w:val="32"/>
          <w:szCs w:val="32"/>
        </w:rPr>
        <w:t>f you would like this document in an accessible format, such as large print, audio recording or braille, please contact SEPA by emailing </w:t>
      </w:r>
      <w:hyperlink r:id="rId10" w:tgtFrame="_blank" w:tooltip="mailto:equalities@sepa.org.uk" w:history="1">
        <w:r w:rsidRPr="00D366C4">
          <w:rPr>
            <w:rFonts w:eastAsia="Times New Roman"/>
            <w:color w:val="016574" w:themeColor="hyperlink"/>
            <w:sz w:val="32"/>
            <w:szCs w:val="32"/>
            <w:u w:val="single"/>
          </w:rPr>
          <w:t>equalities@sepa.org.uk</w:t>
        </w:r>
      </w:hyperlink>
      <w:r w:rsidRPr="00D366C4">
        <w:rPr>
          <w:rFonts w:eastAsia="Times New Roman"/>
          <w:sz w:val="32"/>
          <w:szCs w:val="32"/>
        </w:rPr>
        <w:t xml:space="preserve"> </w:t>
      </w:r>
    </w:p>
    <w:p w14:paraId="402141D5" w14:textId="078CFA8D" w:rsidR="00455155" w:rsidRDefault="00455155" w:rsidP="0045707F">
      <w:pPr>
        <w:spacing w:after="240"/>
        <w:ind w:right="28"/>
      </w:pPr>
      <w:r>
        <w:br w:type="page"/>
      </w:r>
    </w:p>
    <w:p w14:paraId="0FADF26E" w14:textId="6DA47578" w:rsidR="00827EFA" w:rsidRDefault="001951A4" w:rsidP="0045707F">
      <w:pPr>
        <w:spacing w:after="240"/>
        <w:ind w:right="28"/>
      </w:pPr>
      <w:r w:rsidRPr="001951A4">
        <w:lastRenderedPageBreak/>
        <w:t xml:space="preserve">Conditions A.7.1, A.7.2 and B.1.1 of the Standard Conditions for radioactive substances activities made under the Environmental Authorisations (Scotland) Regulations 2018 (EASR) </w:t>
      </w:r>
      <w:r w:rsidR="007D244E">
        <w:t xml:space="preserve">require that </w:t>
      </w:r>
      <w:r w:rsidR="001620BA">
        <w:t xml:space="preserve">authorised persons </w:t>
      </w:r>
      <w:r w:rsidR="007D244E">
        <w:t xml:space="preserve">use </w:t>
      </w:r>
      <w:r w:rsidR="003C7139">
        <w:t>Best Practicable Means (</w:t>
      </w:r>
      <w:r w:rsidR="007D244E">
        <w:t>BPM</w:t>
      </w:r>
      <w:r w:rsidR="003C7139">
        <w:t>)</w:t>
      </w:r>
      <w:r w:rsidR="007D244E">
        <w:t xml:space="preserve"> to undertake monitoring.</w:t>
      </w:r>
      <w:r w:rsidR="0045707F">
        <w:t xml:space="preserve"> </w:t>
      </w:r>
      <w:r w:rsidR="006E4940">
        <w:t xml:space="preserve">Appropriate </w:t>
      </w:r>
      <w:r w:rsidR="00173628">
        <w:t>m</w:t>
      </w:r>
      <w:r w:rsidR="00F35960">
        <w:t xml:space="preserve">onitoring </w:t>
      </w:r>
      <w:r w:rsidR="00E63CED">
        <w:t xml:space="preserve">should be undertaken to segregate </w:t>
      </w:r>
      <w:r w:rsidR="001D2820">
        <w:t>items where radioactive substances have been identified from</w:t>
      </w:r>
      <w:r w:rsidR="00CA637C">
        <w:t xml:space="preserve"> items </w:t>
      </w:r>
      <w:r w:rsidR="008B700D">
        <w:t xml:space="preserve">that are </w:t>
      </w:r>
      <w:r w:rsidR="000402C8">
        <w:t>known to have not been part of the production cycle</w:t>
      </w:r>
      <w:r w:rsidR="00A03CBE">
        <w:t>.</w:t>
      </w:r>
      <w:r w:rsidR="001D2820">
        <w:t xml:space="preserve"> </w:t>
      </w:r>
      <w:r w:rsidR="00C76FD5">
        <w:t>All items that have been in contact with production fluids</w:t>
      </w:r>
      <w:r w:rsidR="00D36C3F">
        <w:t xml:space="preserve"> should be considered </w:t>
      </w:r>
      <w:r w:rsidR="0054704D">
        <w:t xml:space="preserve">as potentially </w:t>
      </w:r>
      <w:r w:rsidR="00A1501D">
        <w:t xml:space="preserve">contaminated with </w:t>
      </w:r>
      <w:r w:rsidR="00C65F99">
        <w:t>Naturally Occurring Radioactive Material (</w:t>
      </w:r>
      <w:r w:rsidR="0054704D">
        <w:t>NORM</w:t>
      </w:r>
      <w:r w:rsidR="00C65F99">
        <w:t>)</w:t>
      </w:r>
      <w:r w:rsidR="00682888">
        <w:t>.</w:t>
      </w:r>
      <w:r w:rsidR="00C457AA">
        <w:t xml:space="preserve"> </w:t>
      </w:r>
      <w:r w:rsidR="00217DD3">
        <w:t xml:space="preserve">Consigning </w:t>
      </w:r>
      <w:r w:rsidR="00B912AB">
        <w:t xml:space="preserve">all items to an authorised site without </w:t>
      </w:r>
      <w:r w:rsidR="000B4ACD">
        <w:t xml:space="preserve">taking </w:t>
      </w:r>
      <w:r w:rsidR="00814D7D">
        <w:t xml:space="preserve">all reasonably practicable measures to </w:t>
      </w:r>
      <w:r w:rsidR="00B912AB">
        <w:t>monitor</w:t>
      </w:r>
      <w:r w:rsidR="007C5191">
        <w:t xml:space="preserve"> </w:t>
      </w:r>
      <w:r w:rsidR="00217DD3">
        <w:t>and segregat</w:t>
      </w:r>
      <w:r w:rsidR="00814D7D">
        <w:t>e</w:t>
      </w:r>
      <w:r w:rsidR="00217DD3">
        <w:t xml:space="preserve"> </w:t>
      </w:r>
      <w:r w:rsidR="00B912AB">
        <w:t xml:space="preserve">is deemed a failure to comply with </w:t>
      </w:r>
      <w:r w:rsidR="009B6E93">
        <w:t>standard conditions</w:t>
      </w:r>
      <w:r w:rsidR="008E505B">
        <w:t xml:space="preserve"> A.7.</w:t>
      </w:r>
      <w:r w:rsidR="00217DD3">
        <w:t>1</w:t>
      </w:r>
      <w:r w:rsidR="008E505B">
        <w:t xml:space="preserve"> and</w:t>
      </w:r>
      <w:r w:rsidR="009B6E93">
        <w:t xml:space="preserve"> B.2.2</w:t>
      </w:r>
      <w:r w:rsidR="008E7E99">
        <w:t>.</w:t>
      </w:r>
    </w:p>
    <w:p w14:paraId="773A07FC" w14:textId="018D2A47" w:rsidR="007D244E" w:rsidRDefault="00C50C09" w:rsidP="0045707F">
      <w:pPr>
        <w:spacing w:after="240"/>
        <w:ind w:right="28"/>
      </w:pPr>
      <w:r w:rsidRPr="00C50C09">
        <w:t>S</w:t>
      </w:r>
      <w:r w:rsidRPr="00AF34B2">
        <w:t>EPA requested the NORM monitoring methodologies used by industry in 2019, and following review, provided a letter to all authorised persons setting out our guidance. This document captures the guidance provided in that letter</w:t>
      </w:r>
      <w:r>
        <w:rPr>
          <w:i/>
          <w:iCs/>
        </w:rPr>
        <w:t xml:space="preserve">. </w:t>
      </w:r>
      <w:r w:rsidR="007D244E">
        <w:t xml:space="preserve">Whilst it is not for SEPA to approve any method(s) for characterisation of NORM </w:t>
      </w:r>
      <w:r w:rsidR="00CE7E64">
        <w:t>contamination,</w:t>
      </w:r>
      <w:r w:rsidR="007D244E">
        <w:t xml:space="preserve"> we would expect </w:t>
      </w:r>
      <w:r w:rsidR="00480381">
        <w:t xml:space="preserve">you to consult your RWA regarding </w:t>
      </w:r>
      <w:r w:rsidR="007D244E">
        <w:t>monitoring methodologies to consider the following parameters:</w:t>
      </w:r>
    </w:p>
    <w:p w14:paraId="62140AFC" w14:textId="04A223D1" w:rsidR="00CA7F36" w:rsidRDefault="00CA7F36" w:rsidP="00EB1D8B">
      <w:pPr>
        <w:pStyle w:val="BodyText1"/>
        <w:rPr>
          <w:b/>
          <w:bCs/>
        </w:rPr>
      </w:pPr>
      <w:bookmarkStart w:id="0" w:name="_Hlk135317066"/>
      <w:r>
        <w:rPr>
          <w:rFonts w:ascii="Arial" w:eastAsia="Times New Roman" w:hAnsi="Arial" w:cs="Arial"/>
          <w:b/>
          <w:bCs/>
          <w:color w:val="016574"/>
          <w:lang w:eastAsia="en-GB"/>
        </w:rPr>
        <w:t xml:space="preserve">Parameter: </w:t>
      </w:r>
      <w:r w:rsidRPr="00BF2A11">
        <w:rPr>
          <w:b/>
          <w:bCs/>
        </w:rPr>
        <w:t xml:space="preserve">Instrument type </w:t>
      </w:r>
      <w:r>
        <w:rPr>
          <w:b/>
          <w:bCs/>
        </w:rPr>
        <w:t>(potentially multiple)</w:t>
      </w:r>
    </w:p>
    <w:p w14:paraId="7211013B" w14:textId="3F5652E5" w:rsidR="00CA7F36" w:rsidRDefault="00CA7F36" w:rsidP="00EB1D8B">
      <w:pPr>
        <w:pStyle w:val="BodyText1"/>
      </w:pPr>
      <w:r>
        <w:rPr>
          <w:rFonts w:ascii="Arial" w:eastAsia="Times New Roman" w:hAnsi="Arial" w:cs="Arial"/>
          <w:b/>
          <w:bCs/>
          <w:color w:val="016574"/>
          <w:lang w:eastAsia="en-GB"/>
        </w:rPr>
        <w:t xml:space="preserve">Guidance: </w:t>
      </w:r>
      <w:r>
        <w:t>The available instruments should be capable of detecting NORM radionuclides, i.e. Ra-226, Ra-228, Po-210, Pb-210, under the full range of conditions typically encountered offshore and onshore, e.g. from wet sludges to dry gas deposits</w:t>
      </w:r>
      <w:r w:rsidR="0045707F">
        <w:t xml:space="preserve"> </w:t>
      </w:r>
    </w:p>
    <w:p w14:paraId="24696EC7" w14:textId="33724A27" w:rsidR="00CA7F36" w:rsidRDefault="00CA7F36" w:rsidP="00EB1D8B">
      <w:pPr>
        <w:pStyle w:val="BodyText1"/>
        <w:rPr>
          <w:b/>
          <w:bCs/>
        </w:rPr>
      </w:pPr>
      <w:r>
        <w:rPr>
          <w:rFonts w:ascii="Arial" w:eastAsia="Times New Roman" w:hAnsi="Arial" w:cs="Arial"/>
          <w:b/>
          <w:bCs/>
          <w:color w:val="016574"/>
          <w:lang w:eastAsia="en-GB"/>
        </w:rPr>
        <w:t xml:space="preserve">Parameter: </w:t>
      </w:r>
      <w:r w:rsidRPr="0087137E">
        <w:rPr>
          <w:b/>
          <w:bCs/>
        </w:rPr>
        <w:t>Probe selection</w:t>
      </w:r>
    </w:p>
    <w:p w14:paraId="33935789" w14:textId="3128E347" w:rsidR="00CA7F36" w:rsidRDefault="00CA7F36" w:rsidP="00EB1D8B">
      <w:pPr>
        <w:pStyle w:val="BodyText1"/>
      </w:pPr>
      <w:r>
        <w:rPr>
          <w:rFonts w:ascii="Arial" w:eastAsia="Times New Roman" w:hAnsi="Arial" w:cs="Arial"/>
          <w:b/>
          <w:bCs/>
          <w:color w:val="016574"/>
          <w:lang w:eastAsia="en-GB"/>
        </w:rPr>
        <w:t xml:space="preserve">Guidance: </w:t>
      </w:r>
      <w:r w:rsidRPr="00D44F29">
        <w:t xml:space="preserve">The sensitivity </w:t>
      </w:r>
      <w:r w:rsidR="00F177BB">
        <w:t>a</w:t>
      </w:r>
      <w:r w:rsidR="007C5191">
        <w:t>long with</w:t>
      </w:r>
      <w:r w:rsidR="00F177BB">
        <w:t xml:space="preserve"> probe </w:t>
      </w:r>
      <w:r w:rsidR="00D82677">
        <w:t xml:space="preserve">type and </w:t>
      </w:r>
      <w:r>
        <w:t xml:space="preserve">size should </w:t>
      </w:r>
      <w:r w:rsidRPr="00D44F29">
        <w:t xml:space="preserve">be appropriate for the purpose i.e. </w:t>
      </w:r>
      <w:r>
        <w:t>limits of detection need to be at or below the concentration of radionuclides for NORM industrial activities (EASR Table 1, Schedule 8).</w:t>
      </w:r>
    </w:p>
    <w:p w14:paraId="13EA4E72" w14:textId="4F778EDA" w:rsidR="00CA7F36" w:rsidRPr="008613CE" w:rsidRDefault="00CA7F36" w:rsidP="00EB1D8B">
      <w:pPr>
        <w:pStyle w:val="BodyText1"/>
        <w:rPr>
          <w:rFonts w:ascii="Arial" w:eastAsia="Times New Roman" w:hAnsi="Arial" w:cs="Arial"/>
          <w:b/>
          <w:bCs/>
          <w:lang w:eastAsia="en-GB"/>
        </w:rPr>
      </w:pPr>
      <w:r>
        <w:rPr>
          <w:rFonts w:ascii="Arial" w:eastAsia="Times New Roman" w:hAnsi="Arial" w:cs="Arial"/>
          <w:b/>
          <w:bCs/>
          <w:color w:val="016574"/>
          <w:lang w:eastAsia="en-GB"/>
        </w:rPr>
        <w:t xml:space="preserve">Parameter: </w:t>
      </w:r>
      <w:r w:rsidRPr="0087137E">
        <w:rPr>
          <w:b/>
          <w:bCs/>
        </w:rPr>
        <w:t>Monitoring speed</w:t>
      </w:r>
    </w:p>
    <w:p w14:paraId="2ADEFE58" w14:textId="53533359" w:rsidR="00CA7F36" w:rsidRDefault="00CA7F36" w:rsidP="00EB1D8B">
      <w:pPr>
        <w:pStyle w:val="BodyText1"/>
      </w:pPr>
      <w:r>
        <w:rPr>
          <w:rFonts w:ascii="Arial" w:eastAsia="Times New Roman" w:hAnsi="Arial" w:cs="Arial"/>
          <w:b/>
          <w:bCs/>
          <w:color w:val="016574"/>
          <w:lang w:eastAsia="en-GB"/>
        </w:rPr>
        <w:t>Guidance:</w:t>
      </w:r>
      <w:r w:rsidRPr="00CA7F36">
        <w:t xml:space="preserve"> </w:t>
      </w:r>
      <w:r w:rsidRPr="002B45D0">
        <w:t xml:space="preserve">The method should consider how the probe head speed </w:t>
      </w:r>
      <w:r>
        <w:t>a</w:t>
      </w:r>
      <w:r w:rsidRPr="002B45D0">
        <w:t>ffects the limits of detection.</w:t>
      </w:r>
    </w:p>
    <w:p w14:paraId="4207A376" w14:textId="1C4FA1B1" w:rsidR="00CA7F36" w:rsidRPr="008613CE" w:rsidRDefault="00CA7F36" w:rsidP="00CA7F36">
      <w:pPr>
        <w:pStyle w:val="BodyText1"/>
        <w:rPr>
          <w:rFonts w:ascii="Arial" w:eastAsia="Times New Roman" w:hAnsi="Arial" w:cs="Arial"/>
          <w:b/>
          <w:bCs/>
          <w:lang w:eastAsia="en-GB"/>
        </w:rPr>
      </w:pPr>
      <w:r>
        <w:rPr>
          <w:rFonts w:ascii="Arial" w:eastAsia="Times New Roman" w:hAnsi="Arial" w:cs="Arial"/>
          <w:b/>
          <w:bCs/>
          <w:color w:val="016574"/>
          <w:lang w:eastAsia="en-GB"/>
        </w:rPr>
        <w:t xml:space="preserve">Parameter: </w:t>
      </w:r>
      <w:r w:rsidRPr="0087137E">
        <w:rPr>
          <w:b/>
          <w:bCs/>
        </w:rPr>
        <w:t>Height of monitoring above material</w:t>
      </w:r>
    </w:p>
    <w:p w14:paraId="3A16BF68" w14:textId="58FB362B" w:rsidR="00CA7F36" w:rsidRPr="00EB1D8B" w:rsidRDefault="00CA7F36" w:rsidP="00CA7F36">
      <w:pPr>
        <w:pStyle w:val="BodyText1"/>
        <w:rPr>
          <w:rFonts w:eastAsia="Arial"/>
          <w:b/>
          <w:bCs/>
        </w:rPr>
      </w:pPr>
      <w:r>
        <w:rPr>
          <w:rFonts w:ascii="Arial" w:eastAsia="Times New Roman" w:hAnsi="Arial" w:cs="Arial"/>
          <w:b/>
          <w:bCs/>
          <w:color w:val="016574"/>
          <w:lang w:eastAsia="en-GB"/>
        </w:rPr>
        <w:lastRenderedPageBreak/>
        <w:t xml:space="preserve">Guidance: </w:t>
      </w:r>
      <w:r w:rsidRPr="002B45D0">
        <w:t xml:space="preserve">The method should consider how the probe head </w:t>
      </w:r>
      <w:r>
        <w:t>height above the item a</w:t>
      </w:r>
      <w:r w:rsidRPr="002B45D0">
        <w:t>ffects the limits of detection.</w:t>
      </w:r>
    </w:p>
    <w:p w14:paraId="15B9D4F2" w14:textId="743D5F7A" w:rsidR="00CA7F36" w:rsidRPr="008613CE" w:rsidRDefault="00CA7F36" w:rsidP="00CA7F36">
      <w:pPr>
        <w:pStyle w:val="BodyText1"/>
        <w:rPr>
          <w:rFonts w:ascii="Arial" w:eastAsia="Times New Roman" w:hAnsi="Arial" w:cs="Arial"/>
          <w:b/>
          <w:bCs/>
          <w:lang w:eastAsia="en-GB"/>
        </w:rPr>
      </w:pPr>
      <w:r>
        <w:rPr>
          <w:rFonts w:ascii="Arial" w:eastAsia="Times New Roman" w:hAnsi="Arial" w:cs="Arial"/>
          <w:b/>
          <w:bCs/>
          <w:color w:val="016574"/>
          <w:lang w:eastAsia="en-GB"/>
        </w:rPr>
        <w:t xml:space="preserve">Parameter: </w:t>
      </w:r>
      <w:r w:rsidRPr="0087137E">
        <w:rPr>
          <w:b/>
          <w:bCs/>
        </w:rPr>
        <w:t>Integration time</w:t>
      </w:r>
    </w:p>
    <w:p w14:paraId="152B0B6D" w14:textId="1897C594" w:rsidR="00CA7F36" w:rsidRDefault="00CA7F36" w:rsidP="00CA7F36">
      <w:pPr>
        <w:pStyle w:val="BodyText1"/>
      </w:pPr>
      <w:r>
        <w:rPr>
          <w:rFonts w:ascii="Arial" w:eastAsia="Times New Roman" w:hAnsi="Arial" w:cs="Arial"/>
          <w:b/>
          <w:bCs/>
          <w:color w:val="016574"/>
          <w:lang w:eastAsia="en-GB"/>
        </w:rPr>
        <w:t xml:space="preserve">Guidance: </w:t>
      </w:r>
      <w:r w:rsidRPr="002B45D0">
        <w:t xml:space="preserve">The method should consider how the </w:t>
      </w:r>
      <w:r>
        <w:t>integration time</w:t>
      </w:r>
      <w:r w:rsidRPr="002B45D0">
        <w:t xml:space="preserve"> </w:t>
      </w:r>
      <w:r>
        <w:t>(in seconds) a</w:t>
      </w:r>
      <w:r w:rsidRPr="002B45D0">
        <w:t>ffects the limits of detection.</w:t>
      </w:r>
    </w:p>
    <w:p w14:paraId="2F622153" w14:textId="7CF3B65E" w:rsidR="00CA7F36" w:rsidRPr="008613CE" w:rsidRDefault="00CA7F36" w:rsidP="00CA7F36">
      <w:pPr>
        <w:pStyle w:val="BodyText1"/>
        <w:rPr>
          <w:rFonts w:ascii="Arial" w:eastAsia="Times New Roman" w:hAnsi="Arial" w:cs="Arial"/>
          <w:b/>
          <w:bCs/>
          <w:lang w:eastAsia="en-GB"/>
        </w:rPr>
      </w:pPr>
      <w:r>
        <w:rPr>
          <w:rFonts w:ascii="Arial" w:eastAsia="Times New Roman" w:hAnsi="Arial" w:cs="Arial"/>
          <w:b/>
          <w:bCs/>
          <w:color w:val="016574"/>
          <w:lang w:eastAsia="en-GB"/>
        </w:rPr>
        <w:t xml:space="preserve">Parameter: </w:t>
      </w:r>
      <w:r w:rsidRPr="0087137E">
        <w:rPr>
          <w:b/>
          <w:bCs/>
        </w:rPr>
        <w:t>The monitoring environment</w:t>
      </w:r>
      <w:r>
        <w:rPr>
          <w:b/>
          <w:bCs/>
        </w:rPr>
        <w:t xml:space="preserve"> and background</w:t>
      </w:r>
      <w:r w:rsidRPr="0087137E">
        <w:rPr>
          <w:b/>
          <w:bCs/>
        </w:rPr>
        <w:t xml:space="preserve"> variability</w:t>
      </w:r>
    </w:p>
    <w:p w14:paraId="62A546FD" w14:textId="1BD528C2" w:rsidR="00CA7F36" w:rsidRPr="00EB1D8B" w:rsidRDefault="00CA7F36" w:rsidP="00CA7F36">
      <w:pPr>
        <w:pStyle w:val="BodyText1"/>
        <w:rPr>
          <w:rFonts w:eastAsia="Arial"/>
          <w:b/>
          <w:bCs/>
        </w:rPr>
      </w:pPr>
      <w:r>
        <w:rPr>
          <w:rFonts w:ascii="Arial" w:eastAsia="Times New Roman" w:hAnsi="Arial" w:cs="Arial"/>
          <w:b/>
          <w:bCs/>
          <w:color w:val="016574"/>
          <w:lang w:eastAsia="en-GB"/>
        </w:rPr>
        <w:t>Guidance:</w:t>
      </w:r>
      <w:r w:rsidR="0045707F">
        <w:rPr>
          <w:rFonts w:ascii="Arial" w:eastAsia="Times New Roman" w:hAnsi="Arial" w:cs="Arial"/>
          <w:b/>
          <w:bCs/>
          <w:color w:val="016574"/>
          <w:lang w:eastAsia="en-GB"/>
        </w:rPr>
        <w:t xml:space="preserve"> </w:t>
      </w:r>
      <w:r w:rsidR="0045707F">
        <w:t>Multiple background measurements should be taken prior to any monitoring of potentially contaminated items. Monitoring should be undertaken where the background is as stable as possible and taking account of other nearby sources of radiation and shielding effects. Ideally, monitoring should be undertaken in low background areas.</w:t>
      </w:r>
    </w:p>
    <w:p w14:paraId="79A14FF1" w14:textId="485FB539" w:rsidR="00CA7F36" w:rsidRPr="008613CE" w:rsidRDefault="00CA7F36" w:rsidP="00CA7F36">
      <w:pPr>
        <w:pStyle w:val="BodyText1"/>
        <w:rPr>
          <w:rFonts w:ascii="Arial" w:eastAsia="Times New Roman" w:hAnsi="Arial" w:cs="Arial"/>
          <w:b/>
          <w:bCs/>
          <w:lang w:eastAsia="en-GB"/>
        </w:rPr>
      </w:pPr>
      <w:r>
        <w:rPr>
          <w:rFonts w:ascii="Arial" w:eastAsia="Times New Roman" w:hAnsi="Arial" w:cs="Arial"/>
          <w:b/>
          <w:bCs/>
          <w:color w:val="016574"/>
          <w:lang w:eastAsia="en-GB"/>
        </w:rPr>
        <w:t>Parameter:</w:t>
      </w:r>
      <w:r w:rsidR="0045707F">
        <w:rPr>
          <w:rFonts w:ascii="Arial" w:eastAsia="Times New Roman" w:hAnsi="Arial" w:cs="Arial"/>
          <w:b/>
          <w:bCs/>
          <w:color w:val="016574"/>
          <w:lang w:eastAsia="en-GB"/>
        </w:rPr>
        <w:t xml:space="preserve"> </w:t>
      </w:r>
      <w:r w:rsidR="0045707F">
        <w:rPr>
          <w:b/>
          <w:bCs/>
        </w:rPr>
        <w:t>Monitoring Locations (item)</w:t>
      </w:r>
    </w:p>
    <w:p w14:paraId="3C84D04E" w14:textId="52F447A5" w:rsidR="00CA7F36" w:rsidRPr="00EB1D8B" w:rsidRDefault="00CA7F36" w:rsidP="00CA7F36">
      <w:pPr>
        <w:pStyle w:val="BodyText1"/>
        <w:rPr>
          <w:rFonts w:eastAsia="Arial"/>
          <w:b/>
          <w:bCs/>
        </w:rPr>
      </w:pPr>
      <w:r>
        <w:rPr>
          <w:rFonts w:ascii="Arial" w:eastAsia="Times New Roman" w:hAnsi="Arial" w:cs="Arial"/>
          <w:b/>
          <w:bCs/>
          <w:color w:val="016574"/>
          <w:lang w:eastAsia="en-GB"/>
        </w:rPr>
        <w:t>Guidance:</w:t>
      </w:r>
      <w:r w:rsidR="0045707F">
        <w:rPr>
          <w:rFonts w:ascii="Arial" w:eastAsia="Times New Roman" w:hAnsi="Arial" w:cs="Arial"/>
          <w:b/>
          <w:bCs/>
          <w:color w:val="016574"/>
          <w:lang w:eastAsia="en-GB"/>
        </w:rPr>
        <w:t xml:space="preserve"> </w:t>
      </w:r>
      <w:r w:rsidR="0045707F" w:rsidRPr="00CC0A84">
        <w:t>All accessible areas should be monitored. Where access is not possible</w:t>
      </w:r>
      <w:r w:rsidR="00111FD1">
        <w:t>,</w:t>
      </w:r>
      <w:r w:rsidR="0045707F" w:rsidRPr="00CC0A84">
        <w:t xml:space="preserve"> the item should be considered potentially radioactive until it can be demonstrated otherwise</w:t>
      </w:r>
      <w:r w:rsidR="00F317F1">
        <w:t>.</w:t>
      </w:r>
    </w:p>
    <w:p w14:paraId="4E380EA3" w14:textId="555347BD" w:rsidR="00CA7F36" w:rsidRPr="00EF45BF" w:rsidRDefault="00CA7F36" w:rsidP="00CA7F36">
      <w:pPr>
        <w:pStyle w:val="BodyText1"/>
        <w:rPr>
          <w:rFonts w:ascii="Arial" w:eastAsia="Times New Roman" w:hAnsi="Arial" w:cs="Arial"/>
          <w:b/>
          <w:bCs/>
          <w:lang w:eastAsia="en-GB"/>
        </w:rPr>
      </w:pPr>
      <w:r>
        <w:rPr>
          <w:rFonts w:ascii="Arial" w:eastAsia="Times New Roman" w:hAnsi="Arial" w:cs="Arial"/>
          <w:b/>
          <w:bCs/>
          <w:color w:val="016574"/>
          <w:lang w:eastAsia="en-GB"/>
        </w:rPr>
        <w:t>Parameter:</w:t>
      </w:r>
      <w:r w:rsidR="0045707F">
        <w:rPr>
          <w:rFonts w:ascii="Arial" w:eastAsia="Times New Roman" w:hAnsi="Arial" w:cs="Arial"/>
          <w:b/>
          <w:bCs/>
          <w:color w:val="016574"/>
          <w:lang w:eastAsia="en-GB"/>
        </w:rPr>
        <w:t xml:space="preserve"> </w:t>
      </w:r>
      <w:r w:rsidR="0045707F" w:rsidRPr="0087137E">
        <w:rPr>
          <w:b/>
          <w:bCs/>
        </w:rPr>
        <w:t>Degree of confidence in the methodology used</w:t>
      </w:r>
    </w:p>
    <w:p w14:paraId="579655EF" w14:textId="1F9BA0FD" w:rsidR="00CA7F36" w:rsidRPr="00EB1D8B" w:rsidRDefault="00CA7F36" w:rsidP="00CA7F36">
      <w:pPr>
        <w:pStyle w:val="BodyText1"/>
        <w:rPr>
          <w:rFonts w:eastAsia="Arial"/>
          <w:b/>
          <w:bCs/>
        </w:rPr>
      </w:pPr>
      <w:r>
        <w:rPr>
          <w:rFonts w:ascii="Arial" w:eastAsia="Times New Roman" w:hAnsi="Arial" w:cs="Arial"/>
          <w:b/>
          <w:bCs/>
          <w:color w:val="016574"/>
          <w:lang w:eastAsia="en-GB"/>
        </w:rPr>
        <w:t>Guidance:</w:t>
      </w:r>
      <w:r w:rsidR="0045707F">
        <w:rPr>
          <w:rFonts w:ascii="Arial" w:eastAsia="Times New Roman" w:hAnsi="Arial" w:cs="Arial"/>
          <w:b/>
          <w:bCs/>
          <w:color w:val="016574"/>
          <w:lang w:eastAsia="en-GB"/>
        </w:rPr>
        <w:t xml:space="preserve"> </w:t>
      </w:r>
      <w:r w:rsidR="0045707F" w:rsidRPr="001901FD">
        <w:t>The method should quantify the uncertainty in</w:t>
      </w:r>
      <w:r w:rsidR="0045707F">
        <w:t xml:space="preserve"> all parameters used </w:t>
      </w:r>
      <w:r w:rsidR="00CE7E64">
        <w:t>to</w:t>
      </w:r>
      <w:r w:rsidR="0045707F">
        <w:t xml:space="preserve"> determine the confidence in the measurement result. The measurement results should then be related to the characterisation of the item(s).</w:t>
      </w:r>
    </w:p>
    <w:p w14:paraId="3D6BA00B" w14:textId="28F3D982" w:rsidR="00CA7F36" w:rsidRPr="008613CE" w:rsidRDefault="00CA7F36" w:rsidP="00CA7F36">
      <w:pPr>
        <w:pStyle w:val="BodyText1"/>
        <w:rPr>
          <w:rFonts w:ascii="Arial" w:eastAsia="Times New Roman" w:hAnsi="Arial" w:cs="Arial"/>
          <w:b/>
          <w:bCs/>
          <w:lang w:eastAsia="en-GB"/>
        </w:rPr>
      </w:pPr>
      <w:r>
        <w:rPr>
          <w:rFonts w:ascii="Arial" w:eastAsia="Times New Roman" w:hAnsi="Arial" w:cs="Arial"/>
          <w:b/>
          <w:bCs/>
          <w:color w:val="016574"/>
          <w:lang w:eastAsia="en-GB"/>
        </w:rPr>
        <w:t>Parameter:</w:t>
      </w:r>
      <w:r w:rsidR="0045707F">
        <w:rPr>
          <w:rFonts w:ascii="Arial" w:eastAsia="Times New Roman" w:hAnsi="Arial" w:cs="Arial"/>
          <w:b/>
          <w:bCs/>
          <w:color w:val="016574"/>
          <w:lang w:eastAsia="en-GB"/>
        </w:rPr>
        <w:t xml:space="preserve"> </w:t>
      </w:r>
      <w:r w:rsidR="0045707F">
        <w:rPr>
          <w:b/>
          <w:bCs/>
        </w:rPr>
        <w:t>Monitoring Records</w:t>
      </w:r>
    </w:p>
    <w:p w14:paraId="7539FB0C" w14:textId="6B13EC20" w:rsidR="0045707F" w:rsidRDefault="00CA7F36" w:rsidP="0045707F">
      <w:pPr>
        <w:spacing w:after="240"/>
      </w:pPr>
      <w:r>
        <w:rPr>
          <w:rFonts w:ascii="Arial" w:eastAsia="Times New Roman" w:hAnsi="Arial" w:cs="Arial"/>
          <w:b/>
          <w:bCs/>
          <w:color w:val="016574"/>
          <w:lang w:eastAsia="en-GB"/>
        </w:rPr>
        <w:t>Guidance:</w:t>
      </w:r>
      <w:r w:rsidR="0045707F">
        <w:rPr>
          <w:rFonts w:ascii="Arial" w:eastAsia="Times New Roman" w:hAnsi="Arial" w:cs="Arial"/>
          <w:b/>
          <w:bCs/>
          <w:color w:val="016574"/>
          <w:lang w:eastAsia="en-GB"/>
        </w:rPr>
        <w:t xml:space="preserve"> </w:t>
      </w:r>
      <w:r w:rsidR="0045707F" w:rsidRPr="00A662E1">
        <w:t>Information should be kept on the background used</w:t>
      </w:r>
      <w:r w:rsidR="0045707F">
        <w:t>/measured,</w:t>
      </w:r>
      <w:r w:rsidR="0045707F" w:rsidRPr="00A662E1">
        <w:t xml:space="preserve"> the monitor</w:t>
      </w:r>
      <w:r w:rsidR="0045707F">
        <w:t>/probe type,</w:t>
      </w:r>
      <w:r w:rsidR="0045707F" w:rsidRPr="00A662E1">
        <w:t xml:space="preserve"> calibration, </w:t>
      </w:r>
      <w:r w:rsidR="004C0D15">
        <w:t xml:space="preserve">the monitor/probe </w:t>
      </w:r>
      <w:r w:rsidR="002B0CD1">
        <w:t>pre-use</w:t>
      </w:r>
      <w:r w:rsidR="00AC06D9">
        <w:t xml:space="preserve"> and post-use</w:t>
      </w:r>
      <w:r w:rsidR="002B0CD1">
        <w:t xml:space="preserve"> response check</w:t>
      </w:r>
      <w:r w:rsidR="00CC3B4D">
        <w:t xml:space="preserve"> against</w:t>
      </w:r>
      <w:r w:rsidR="007B603F">
        <w:t xml:space="preserve"> a source of known activity</w:t>
      </w:r>
      <w:r w:rsidR="00AC06D9">
        <w:t xml:space="preserve"> </w:t>
      </w:r>
      <w:r w:rsidR="00B92E89">
        <w:t xml:space="preserve">responding </w:t>
      </w:r>
      <w:r w:rsidR="00AC06D9">
        <w:t>within known parameters</w:t>
      </w:r>
      <w:r w:rsidR="002B0CD1">
        <w:t>,</w:t>
      </w:r>
      <w:r w:rsidR="00065628">
        <w:t xml:space="preserve"> </w:t>
      </w:r>
      <w:r w:rsidR="0045707F" w:rsidRPr="00A662E1">
        <w:t>surveyor, locations</w:t>
      </w:r>
      <w:r w:rsidR="0045707F">
        <w:t xml:space="preserve"> on the item</w:t>
      </w:r>
      <w:r w:rsidR="0045707F" w:rsidRPr="00A662E1">
        <w:t xml:space="preserve"> monitored</w:t>
      </w:r>
      <w:r w:rsidR="0045707F">
        <w:t>,</w:t>
      </w:r>
      <w:r w:rsidR="0045707F" w:rsidRPr="00A662E1">
        <w:t xml:space="preserve"> </w:t>
      </w:r>
      <w:r w:rsidR="0045707F">
        <w:t>r</w:t>
      </w:r>
      <w:r w:rsidR="0045707F" w:rsidRPr="00A662E1">
        <w:t>esults of the monitoring</w:t>
      </w:r>
      <w:r w:rsidR="00F70E29">
        <w:t>, date and time of monitoring</w:t>
      </w:r>
      <w:r w:rsidR="0045707F" w:rsidRPr="00A662E1">
        <w:t xml:space="preserve"> and </w:t>
      </w:r>
      <w:r w:rsidR="0045707F">
        <w:t>the</w:t>
      </w:r>
      <w:r w:rsidR="0045707F" w:rsidRPr="00A662E1">
        <w:t xml:space="preserve"> resultant classification of item</w:t>
      </w:r>
      <w:r w:rsidR="0045707F">
        <w:t>s</w:t>
      </w:r>
      <w:r w:rsidR="0045707F" w:rsidRPr="00A662E1">
        <w:t>.</w:t>
      </w:r>
    </w:p>
    <w:p w14:paraId="64E7A740" w14:textId="3CDF54D2" w:rsidR="00CA7F36" w:rsidRPr="00EB1D8B" w:rsidRDefault="0045707F" w:rsidP="0045707F">
      <w:pPr>
        <w:pStyle w:val="BodyText1"/>
        <w:rPr>
          <w:rFonts w:eastAsia="Arial"/>
          <w:b/>
          <w:bCs/>
        </w:rPr>
      </w:pPr>
      <w:r>
        <w:t>Across the monitoring, sampling, storage and waste transfer records It should be possible to tie any item identified as NORM contaminated through to eventual transfers offsite for cleaning/disposal.</w:t>
      </w:r>
    </w:p>
    <w:bookmarkEnd w:id="0"/>
    <w:p w14:paraId="4127E47D" w14:textId="6322AA52" w:rsidR="00382BF8" w:rsidRPr="0045707F" w:rsidRDefault="00382BF8" w:rsidP="00382BF8">
      <w:pPr>
        <w:spacing w:line="240" w:lineRule="auto"/>
        <w:rPr>
          <w:rFonts w:ascii="Arial" w:eastAsia="Times New Roman" w:hAnsi="Arial" w:cs="Arial"/>
          <w:bCs/>
          <w:szCs w:val="22"/>
        </w:rPr>
      </w:pPr>
    </w:p>
    <w:p w14:paraId="653CAA49" w14:textId="1D17F98A" w:rsidR="00CA7F36" w:rsidRDefault="00266E0D" w:rsidP="00455155">
      <w:pPr>
        <w:spacing w:after="240"/>
        <w:ind w:right="28"/>
      </w:pPr>
      <w:r>
        <w:t>It is not possible through monitoring alone to determine whether radioactive substances are in or out of scope of EASR. Therefore, i</w:t>
      </w:r>
      <w:r w:rsidR="00CA7F36">
        <w:t xml:space="preserve">n addition to the parameters </w:t>
      </w:r>
      <w:r w:rsidR="00455155">
        <w:t>above</w:t>
      </w:r>
      <w:r w:rsidR="00CA7F36">
        <w:t>, it is expected that monitoring will be supported by laboratory analysis of representative samples.</w:t>
      </w:r>
      <w:r w:rsidR="0045707F">
        <w:t xml:space="preserve"> </w:t>
      </w:r>
      <w:r w:rsidR="00CA7F36">
        <w:t>This analysis should include as a minima Ra</w:t>
      </w:r>
      <w:r w:rsidR="005315C2">
        <w:noBreakHyphen/>
      </w:r>
      <w:r w:rsidR="00CA7F36">
        <w:t>228, Ra-226, Po-210 and Pb-210, with limits of detection specified to assess whether it is in or out of scope of EASR.</w:t>
      </w:r>
      <w:r w:rsidR="0045707F">
        <w:t xml:space="preserve"> </w:t>
      </w:r>
      <w:r w:rsidR="00CA7F36">
        <w:t>Where assumptions are made on radionuclide equilibria, this should be verified with empirical data.</w:t>
      </w:r>
      <w:r w:rsidR="0045707F">
        <w:t xml:space="preserve"> </w:t>
      </w:r>
      <w:r w:rsidR="00CA7F36">
        <w:t>The laboratory undertaking the analysis should be suitably accredited. The results of the laboratory analysis should be compared to the monitoring results and the method reviewed as required.</w:t>
      </w:r>
    </w:p>
    <w:p w14:paraId="1925FCD8" w14:textId="3DB0A091" w:rsidR="00CA7F36" w:rsidRDefault="00CA7F36" w:rsidP="00455155">
      <w:pPr>
        <w:spacing w:after="240"/>
        <w:ind w:right="28"/>
      </w:pPr>
      <w:r>
        <w:t>Authorised persons should review their methodologies for NORM monitoring and characterisation to ensure it provides the necessary underpinning evidence to support demonstration of compliance.</w:t>
      </w:r>
    </w:p>
    <w:p w14:paraId="7A00728E" w14:textId="77777777" w:rsidR="00CA7F36" w:rsidRDefault="00CA7F36" w:rsidP="00455155">
      <w:pPr>
        <w:spacing w:after="240"/>
        <w:ind w:right="28"/>
      </w:pPr>
      <w:r>
        <w:t>SEPA will review monitoring and characterisation as part of routine inspections.</w:t>
      </w:r>
    </w:p>
    <w:p w14:paraId="35624AF3" w14:textId="77777777" w:rsidR="00FD0775" w:rsidRDefault="00FD0775" w:rsidP="00455155">
      <w:pPr>
        <w:spacing w:after="240"/>
        <w:ind w:right="28"/>
      </w:pPr>
    </w:p>
    <w:p w14:paraId="7AB45CAC" w14:textId="290ADCA9" w:rsidR="00135B2B" w:rsidRDefault="00EA620A" w:rsidP="0075113C">
      <w:pPr>
        <w:pStyle w:val="Heading2"/>
      </w:pPr>
      <w:r>
        <w:t>Disclaimer</w:t>
      </w:r>
    </w:p>
    <w:p w14:paraId="64CF2A6C" w14:textId="55272B45" w:rsidR="00FD0775" w:rsidRPr="0051452A" w:rsidRDefault="00FD0775" w:rsidP="00FD0775">
      <w:pPr>
        <w:spacing w:after="240"/>
        <w:ind w:right="28"/>
        <w:rPr>
          <w:rFonts w:eastAsia="Arial" w:cs="Arial"/>
          <w:szCs w:val="22"/>
        </w:rPr>
      </w:pPr>
      <w:r w:rsidRPr="0051452A">
        <w:rPr>
          <w:rFonts w:eastAsia="Arial" w:cs="Arial"/>
          <w:szCs w:val="22"/>
        </w:rPr>
        <w:t xml:space="preserve">This guidance is based on the law as it stood when the guidance was published. </w:t>
      </w:r>
    </w:p>
    <w:p w14:paraId="333162DA" w14:textId="6025DD82" w:rsidR="00FD0775" w:rsidRPr="0051452A" w:rsidRDefault="00FD0775" w:rsidP="00FD0775">
      <w:pPr>
        <w:spacing w:after="240"/>
        <w:ind w:right="28"/>
        <w:rPr>
          <w:rFonts w:eastAsia="Arial" w:cs="Arial"/>
          <w:szCs w:val="22"/>
        </w:rPr>
      </w:pPr>
      <w:r w:rsidRPr="0051452A">
        <w:rPr>
          <w:rFonts w:eastAsia="Arial" w:cs="Arial"/>
          <w:szCs w:val="22"/>
        </w:rPr>
        <w:t xml:space="preserve">Whilst every effort has been made to ensure the accuracy of this guidance, SEPA gives no warranty, covenant or undertaking (express or implied) regarding the fitness for purpose of, or any error, omission or discrepancy in this guidance. Reliance on its contents and the contents of any websites that are linked to or from this guidance is entirely at the user’s own risk. SEPA is not liable for any loss or damage that may come from using this guidance. This includes: </w:t>
      </w:r>
    </w:p>
    <w:p w14:paraId="08AA0843" w14:textId="77777777" w:rsidR="00FD0775" w:rsidRPr="0051452A" w:rsidRDefault="00FD0775" w:rsidP="00FD0775">
      <w:pPr>
        <w:numPr>
          <w:ilvl w:val="0"/>
          <w:numId w:val="14"/>
        </w:numPr>
        <w:spacing w:after="240"/>
        <w:ind w:right="28"/>
        <w:rPr>
          <w:rFonts w:eastAsia="Arial" w:cs="Arial"/>
          <w:szCs w:val="22"/>
        </w:rPr>
      </w:pPr>
      <w:r w:rsidRPr="0051452A">
        <w:rPr>
          <w:rFonts w:eastAsia="Arial" w:cs="Arial"/>
          <w:szCs w:val="22"/>
        </w:rPr>
        <w:t>any direct, indirect and consequential losses</w:t>
      </w:r>
    </w:p>
    <w:p w14:paraId="1D69D12E" w14:textId="71FEB316" w:rsidR="00FD0775" w:rsidRPr="0051452A" w:rsidRDefault="00FD0775" w:rsidP="00AF34B2">
      <w:pPr>
        <w:numPr>
          <w:ilvl w:val="0"/>
          <w:numId w:val="14"/>
        </w:numPr>
        <w:spacing w:after="240"/>
        <w:ind w:right="28"/>
        <w:rPr>
          <w:rFonts w:eastAsia="Arial" w:cs="Arial"/>
          <w:szCs w:val="22"/>
        </w:rPr>
      </w:pPr>
      <w:r w:rsidRPr="0051452A">
        <w:rPr>
          <w:rFonts w:eastAsia="Arial" w:cs="Arial"/>
          <w:szCs w:val="22"/>
        </w:rPr>
        <w:t>any loss or damage caused by civil wrongs, breach of contract or otherwise</w:t>
      </w:r>
    </w:p>
    <w:p w14:paraId="730260B2" w14:textId="69C0F6FA" w:rsidR="00CA7F36" w:rsidRPr="0051452A" w:rsidRDefault="00FD0775" w:rsidP="00455155">
      <w:pPr>
        <w:spacing w:after="240"/>
        <w:ind w:right="28"/>
        <w:rPr>
          <w:rFonts w:eastAsia="Arial" w:cs="Arial"/>
          <w:szCs w:val="22"/>
        </w:rPr>
      </w:pPr>
      <w:r w:rsidRPr="0051452A">
        <w:rPr>
          <w:rFonts w:eastAsia="Arial" w:cs="Arial"/>
          <w:szCs w:val="22"/>
        </w:rPr>
        <w:t>SEPA reserves the right to depart from this guidance and take appropriate action as it considers necessary or appropriate. Applicants and authorised persons are responsible for ensuring that they are compliant with the law. If necessary, independent legal / specialist advice should be sought.</w:t>
      </w:r>
    </w:p>
    <w:sectPr w:rsidR="00CA7F36" w:rsidRPr="0051452A" w:rsidSect="005775C1">
      <w:headerReference w:type="even" r:id="rId11"/>
      <w:headerReference w:type="default" r:id="rId12"/>
      <w:footerReference w:type="even" r:id="rId13"/>
      <w:footerReference w:type="default" r:id="rId14"/>
      <w:headerReference w:type="first" r:id="rId15"/>
      <w:footerReference w:type="first" r:id="rId16"/>
      <w:pgSz w:w="11900" w:h="16840"/>
      <w:pgMar w:top="839" w:right="839" w:bottom="839" w:left="839" w:header="794"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05EDA" w14:textId="77777777" w:rsidR="00EC05CA" w:rsidRDefault="00EC05CA" w:rsidP="00660C79">
      <w:pPr>
        <w:spacing w:line="240" w:lineRule="auto"/>
      </w:pPr>
      <w:r>
        <w:separator/>
      </w:r>
    </w:p>
  </w:endnote>
  <w:endnote w:type="continuationSeparator" w:id="0">
    <w:p w14:paraId="66A96F2F" w14:textId="77777777" w:rsidR="00EC05CA" w:rsidRDefault="00EC05CA" w:rsidP="00660C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0B10F" w14:textId="20B5023F" w:rsidR="00EC6A73" w:rsidRDefault="00B2320B">
    <w:pPr>
      <w:pStyle w:val="Footer"/>
      <w:framePr w:wrap="none" w:vAnchor="text" w:hAnchor="margin" w:xAlign="right" w:y="1"/>
      <w:rPr>
        <w:rStyle w:val="PageNumber"/>
      </w:rPr>
    </w:pPr>
    <w:r>
      <w:rPr>
        <w:noProof/>
      </w:rPr>
      <mc:AlternateContent>
        <mc:Choice Requires="wps">
          <w:drawing>
            <wp:anchor distT="0" distB="0" distL="0" distR="0" simplePos="0" relativeHeight="251669511" behindDoc="0" locked="0" layoutInCell="1" allowOverlap="1" wp14:anchorId="5B23E960" wp14:editId="69A32D06">
              <wp:simplePos x="635" y="635"/>
              <wp:positionH relativeFrom="page">
                <wp:align>center</wp:align>
              </wp:positionH>
              <wp:positionV relativeFrom="page">
                <wp:align>bottom</wp:align>
              </wp:positionV>
              <wp:extent cx="518795" cy="422910"/>
              <wp:effectExtent l="0" t="0" r="14605" b="0"/>
              <wp:wrapNone/>
              <wp:docPr id="1109994381"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6AFA9AD2" w14:textId="2B12493A" w:rsidR="00B2320B" w:rsidRPr="00B2320B" w:rsidRDefault="00B2320B" w:rsidP="00B2320B">
                          <w:pPr>
                            <w:rPr>
                              <w:rFonts w:ascii="Aptos" w:eastAsia="Aptos" w:hAnsi="Aptos" w:cs="Aptos"/>
                              <w:noProof/>
                              <w:color w:val="0000FF"/>
                              <w:sz w:val="20"/>
                              <w:szCs w:val="20"/>
                            </w:rPr>
                          </w:pPr>
                          <w:r w:rsidRPr="00B2320B">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23E960" id="_x0000_t202" coordsize="21600,21600" o:spt="202" path="m,l,21600r21600,l21600,xe">
              <v:stroke joinstyle="miter"/>
              <v:path gradientshapeok="t" o:connecttype="rect"/>
            </v:shapetype>
            <v:shape id="Text Box 14" o:spid="_x0000_s1029" type="#_x0000_t202" alt="OFFICIAL" style="position:absolute;margin-left:0;margin-top:0;width:40.85pt;height:33.3pt;z-index:25166951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" filled="f" stroked="f">
              <v:fill o:detectmouseclick="t"/>
              <v:textbox style="mso-fit-shape-to-text:t" inset="0,0,0,15pt">
                <w:txbxContent>
                  <w:p w14:paraId="6AFA9AD2" w14:textId="2B12493A" w:rsidR="00B2320B" w:rsidRPr="00B2320B" w:rsidRDefault="00B2320B" w:rsidP="00B2320B">
                    <w:pPr>
                      <w:rPr>
                        <w:rFonts w:ascii="Aptos" w:eastAsia="Aptos" w:hAnsi="Aptos" w:cs="Aptos"/>
                        <w:noProof/>
                        <w:color w:val="0000FF"/>
                        <w:sz w:val="20"/>
                        <w:szCs w:val="20"/>
                      </w:rPr>
                    </w:pPr>
                    <w:r w:rsidRPr="00B2320B">
                      <w:rPr>
                        <w:rFonts w:ascii="Aptos" w:eastAsia="Aptos" w:hAnsi="Aptos" w:cs="Aptos"/>
                        <w:noProof/>
                        <w:color w:val="0000FF"/>
                        <w:sz w:val="20"/>
                        <w:szCs w:val="20"/>
                      </w:rPr>
                      <w:t>OFFICIAL</w:t>
                    </w:r>
                  </w:p>
                </w:txbxContent>
              </v:textbox>
              <w10:wrap anchorx="page" anchory="page"/>
            </v:shape>
          </w:pict>
        </mc:Fallback>
      </mc:AlternateContent>
    </w:r>
  </w:p>
  <w:sdt>
    <w:sdtPr>
      <w:rPr>
        <w:rStyle w:val="PageNumber"/>
      </w:rPr>
      <w:id w:val="236994185"/>
      <w:docPartObj>
        <w:docPartGallery w:val="Page Numbers (Bottom of Page)"/>
        <w:docPartUnique/>
      </w:docPartObj>
    </w:sdtPr>
    <w:sdtEndPr>
      <w:rPr>
        <w:rStyle w:val="PageNumber"/>
      </w:rPr>
    </w:sdtEndPr>
    <w:sdtContent>
      <w:p w14:paraId="78F567B5" w14:textId="77777777" w:rsidR="00EC6A73" w:rsidRDefault="00EC6A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49717889"/>
      <w:docPartObj>
        <w:docPartGallery w:val="Page Numbers (Bottom of Page)"/>
        <w:docPartUnique/>
      </w:docPartObj>
    </w:sdtPr>
    <w:sdtEndPr>
      <w:rPr>
        <w:rStyle w:val="PageNumber"/>
      </w:rPr>
    </w:sdtEndPr>
    <w:sdtContent>
      <w:p w14:paraId="79989418" w14:textId="77777777"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D765AF8" w14:textId="77777777" w:rsidR="00917BB1" w:rsidRDefault="00917BB1" w:rsidP="00917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DDCF5" w14:textId="77A4124F" w:rsidR="00EC6A73" w:rsidRDefault="00B2320B" w:rsidP="00917BB1">
    <w:pPr>
      <w:pStyle w:val="Footer"/>
      <w:ind w:right="360"/>
    </w:pPr>
    <w:r>
      <w:rPr>
        <w:noProof/>
      </w:rPr>
      <mc:AlternateContent>
        <mc:Choice Requires="wps">
          <w:drawing>
            <wp:anchor distT="0" distB="0" distL="0" distR="0" simplePos="0" relativeHeight="251670535" behindDoc="0" locked="0" layoutInCell="1" allowOverlap="1" wp14:anchorId="6C5F69BE" wp14:editId="6B23A05C">
              <wp:simplePos x="635" y="635"/>
              <wp:positionH relativeFrom="page">
                <wp:align>center</wp:align>
              </wp:positionH>
              <wp:positionV relativeFrom="page">
                <wp:align>bottom</wp:align>
              </wp:positionV>
              <wp:extent cx="518795" cy="422910"/>
              <wp:effectExtent l="0" t="0" r="14605" b="0"/>
              <wp:wrapNone/>
              <wp:docPr id="1619313075"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7B12DC49" w14:textId="1D99D9CD" w:rsidR="00B2320B" w:rsidRPr="00B2320B" w:rsidRDefault="00B2320B" w:rsidP="00B2320B">
                          <w:pPr>
                            <w:rPr>
                              <w:rFonts w:ascii="Aptos" w:eastAsia="Aptos" w:hAnsi="Aptos" w:cs="Aptos"/>
                              <w:noProof/>
                              <w:color w:val="0000FF"/>
                              <w:sz w:val="20"/>
                              <w:szCs w:val="20"/>
                            </w:rPr>
                          </w:pPr>
                          <w:r w:rsidRPr="00B2320B">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5F69BE" id="_x0000_t202" coordsize="21600,21600" o:spt="202" path="m,l,21600r21600,l21600,xe">
              <v:stroke joinstyle="miter"/>
              <v:path gradientshapeok="t" o:connecttype="rect"/>
            </v:shapetype>
            <v:shape id="Text Box 15" o:spid="_x0000_s1030" type="#_x0000_t202" alt="OFFICIAL" style="position:absolute;margin-left:0;margin-top:0;width:40.85pt;height:33.3pt;z-index:25167053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" filled="f" stroked="f">
              <v:fill o:detectmouseclick="t"/>
              <v:textbox style="mso-fit-shape-to-text:t" inset="0,0,0,15pt">
                <w:txbxContent>
                  <w:p w14:paraId="7B12DC49" w14:textId="1D99D9CD" w:rsidR="00B2320B" w:rsidRPr="00B2320B" w:rsidRDefault="00B2320B" w:rsidP="00B2320B">
                    <w:pPr>
                      <w:rPr>
                        <w:rFonts w:ascii="Aptos" w:eastAsia="Aptos" w:hAnsi="Aptos" w:cs="Aptos"/>
                        <w:noProof/>
                        <w:color w:val="0000FF"/>
                        <w:sz w:val="20"/>
                        <w:szCs w:val="20"/>
                      </w:rPr>
                    </w:pPr>
                    <w:r w:rsidRPr="00B2320B">
                      <w:rPr>
                        <w:rFonts w:ascii="Aptos" w:eastAsia="Aptos" w:hAnsi="Aptos" w:cs="Aptos"/>
                        <w:noProof/>
                        <w:color w:val="0000FF"/>
                        <w:sz w:val="20"/>
                        <w:szCs w:val="20"/>
                      </w:rPr>
                      <w:t>OFFICIAL</w:t>
                    </w:r>
                  </w:p>
                </w:txbxContent>
              </v:textbox>
              <w10:wrap anchorx="page" anchory="page"/>
            </v:shape>
          </w:pict>
        </mc:Fallback>
      </mc:AlternateContent>
    </w:r>
  </w:p>
  <w:p w14:paraId="312290C6" w14:textId="77777777" w:rsidR="00917BB1" w:rsidRDefault="000E0D15" w:rsidP="00917BB1">
    <w:pPr>
      <w:pStyle w:val="Footer"/>
      <w:ind w:right="360"/>
    </w:pPr>
    <w:r>
      <w:rPr>
        <w:noProof/>
      </w:rPr>
      <mc:AlternateContent>
        <mc:Choice Requires="wps">
          <w:drawing>
            <wp:anchor distT="0" distB="0" distL="114300" distR="114300" simplePos="0" relativeHeight="251658241" behindDoc="0" locked="0" layoutInCell="1" allowOverlap="1" wp14:anchorId="02CF5611" wp14:editId="6C18E2D2">
              <wp:simplePos x="0" y="0"/>
              <wp:positionH relativeFrom="column">
                <wp:posOffset>23826</wp:posOffset>
              </wp:positionH>
              <wp:positionV relativeFrom="paragraph">
                <wp:posOffset>74240</wp:posOffset>
              </wp:positionV>
              <wp:extent cx="6466840" cy="0"/>
              <wp:effectExtent l="0" t="0" r="1016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14="http://schemas.microsoft.com/office/drawing/2010/main" xmlns:pic="http://schemas.openxmlformats.org/drawingml/2006/picture" xmlns:adec="http://schemas.microsoft.com/office/drawing/2017/decorative" xmlns:aclsh="http://schemas.microsoft.com/office/drawing/2020/classificationShape" xmlns:a="http://schemas.openxmlformats.org/drawingml/2006/main">
          <w:pict>
            <v:line id="Straight Connector 10" style="position:absolute;z-index:251660288;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016574 [3205]" strokeweight=".5pt" from="1.9pt,5.85pt" to="511.1pt,5.85pt" w14:anchorId="17F79F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v:stroke joinstyle="miter"/>
            </v:line>
          </w:pict>
        </mc:Fallback>
      </mc:AlternateContent>
    </w:r>
  </w:p>
  <w:sdt>
    <w:sdtPr>
      <w:rPr>
        <w:rStyle w:val="PageNumber"/>
      </w:rPr>
      <w:id w:val="-1560629883"/>
      <w:docPartObj>
        <w:docPartGallery w:val="Page Numbers (Bottom of Page)"/>
        <w:docPartUnique/>
      </w:docPartObj>
    </w:sdtPr>
    <w:sdtEndPr>
      <w:rPr>
        <w:rStyle w:val="PageNumber"/>
      </w:rPr>
    </w:sdtEndPr>
    <w:sdtContent>
      <w:p w14:paraId="1618D9BE" w14:textId="77777777" w:rsidR="00EC6A73" w:rsidRDefault="00EC6A73" w:rsidP="00EC6A73">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2661162" w14:textId="77777777" w:rsidR="00917BB1" w:rsidRDefault="00917BB1" w:rsidP="00917BB1">
    <w:pPr>
      <w:pStyle w:val="Footer"/>
      <w:ind w:right="360"/>
    </w:pPr>
    <w:r>
      <w:rPr>
        <w:noProof/>
      </w:rPr>
      <w:drawing>
        <wp:inline distT="0" distB="0" distL="0" distR="0" wp14:anchorId="4DF81F20" wp14:editId="709AAE2F">
          <wp:extent cx="1007167" cy="265044"/>
          <wp:effectExtent l="0" t="0" r="0" b="1905"/>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8626C" w14:textId="44C30A84" w:rsidR="00EF03D8" w:rsidRDefault="00B2320B">
    <w:pPr>
      <w:pStyle w:val="Footer"/>
    </w:pPr>
    <w:r>
      <w:rPr>
        <w:noProof/>
      </w:rPr>
      <mc:AlternateContent>
        <mc:Choice Requires="wps">
          <w:drawing>
            <wp:anchor distT="0" distB="0" distL="0" distR="0" simplePos="0" relativeHeight="251668487" behindDoc="0" locked="0" layoutInCell="1" allowOverlap="1" wp14:anchorId="09774957" wp14:editId="701D11FA">
              <wp:simplePos x="635" y="635"/>
              <wp:positionH relativeFrom="page">
                <wp:align>center</wp:align>
              </wp:positionH>
              <wp:positionV relativeFrom="page">
                <wp:align>bottom</wp:align>
              </wp:positionV>
              <wp:extent cx="518795" cy="422910"/>
              <wp:effectExtent l="0" t="0" r="14605" b="0"/>
              <wp:wrapNone/>
              <wp:docPr id="1107233516"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3D55422C" w14:textId="0AD85593" w:rsidR="00B2320B" w:rsidRPr="00B2320B" w:rsidRDefault="00B2320B" w:rsidP="00B2320B">
                          <w:pPr>
                            <w:rPr>
                              <w:rFonts w:ascii="Aptos" w:eastAsia="Aptos" w:hAnsi="Aptos" w:cs="Aptos"/>
                              <w:noProof/>
                              <w:color w:val="0000FF"/>
                              <w:sz w:val="20"/>
                              <w:szCs w:val="20"/>
                            </w:rPr>
                          </w:pPr>
                          <w:r w:rsidRPr="00B2320B">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9774957" id="_x0000_t202" coordsize="21600,21600" o:spt="202" path="m,l,21600r21600,l21600,xe">
              <v:stroke joinstyle="miter"/>
              <v:path gradientshapeok="t" o:connecttype="rect"/>
            </v:shapetype>
            <v:shape id="Text Box 13" o:spid="_x0000_s1032" type="#_x0000_t202" alt="OFFICIAL" style="position:absolute;margin-left:0;margin-top:0;width:40.85pt;height:33.3pt;z-index:25166848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" filled="f" stroked="f">
              <v:fill o:detectmouseclick="t"/>
              <v:textbox style="mso-fit-shape-to-text:t" inset="0,0,0,15pt">
                <w:txbxContent>
                  <w:p w14:paraId="3D55422C" w14:textId="0AD85593" w:rsidR="00B2320B" w:rsidRPr="00B2320B" w:rsidRDefault="00B2320B" w:rsidP="00B2320B">
                    <w:pPr>
                      <w:rPr>
                        <w:rFonts w:ascii="Aptos" w:eastAsia="Aptos" w:hAnsi="Aptos" w:cs="Aptos"/>
                        <w:noProof/>
                        <w:color w:val="0000FF"/>
                        <w:sz w:val="20"/>
                        <w:szCs w:val="20"/>
                      </w:rPr>
                    </w:pPr>
                    <w:r w:rsidRPr="00B2320B">
                      <w:rPr>
                        <w:rFonts w:ascii="Aptos" w:eastAsia="Aptos" w:hAnsi="Aptos" w:cs="Aptos"/>
                        <w:noProof/>
                        <w:color w:val="0000FF"/>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BC1F9" w14:textId="77777777" w:rsidR="00EC05CA" w:rsidRDefault="00EC05CA" w:rsidP="00660C79">
      <w:pPr>
        <w:spacing w:line="240" w:lineRule="auto"/>
      </w:pPr>
      <w:r>
        <w:separator/>
      </w:r>
    </w:p>
  </w:footnote>
  <w:footnote w:type="continuationSeparator" w:id="0">
    <w:p w14:paraId="7970AB45" w14:textId="77777777" w:rsidR="00EC05CA" w:rsidRDefault="00EC05CA" w:rsidP="00660C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7C4E5" w14:textId="3F77943E" w:rsidR="00EF03D8" w:rsidRDefault="00B2320B">
    <w:pPr>
      <w:pStyle w:val="Header"/>
    </w:pPr>
    <w:r>
      <w:rPr>
        <w:noProof/>
      </w:rPr>
      <mc:AlternateContent>
        <mc:Choice Requires="wps">
          <w:drawing>
            <wp:anchor distT="0" distB="0" distL="0" distR="0" simplePos="0" relativeHeight="251666439" behindDoc="0" locked="0" layoutInCell="1" allowOverlap="1" wp14:anchorId="697EF699" wp14:editId="22603CB7">
              <wp:simplePos x="635" y="635"/>
              <wp:positionH relativeFrom="page">
                <wp:align>center</wp:align>
              </wp:positionH>
              <wp:positionV relativeFrom="page">
                <wp:align>top</wp:align>
              </wp:positionV>
              <wp:extent cx="518795" cy="422910"/>
              <wp:effectExtent l="0" t="0" r="14605" b="15240"/>
              <wp:wrapNone/>
              <wp:docPr id="826027919"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62AB3E1E" w14:textId="5E7AF3F1" w:rsidR="00B2320B" w:rsidRPr="00B2320B" w:rsidRDefault="00B2320B" w:rsidP="00B2320B">
                          <w:pPr>
                            <w:rPr>
                              <w:rFonts w:ascii="Aptos" w:eastAsia="Aptos" w:hAnsi="Aptos" w:cs="Aptos"/>
                              <w:noProof/>
                              <w:color w:val="0000FF"/>
                              <w:sz w:val="20"/>
                              <w:szCs w:val="20"/>
                            </w:rPr>
                          </w:pPr>
                          <w:r w:rsidRPr="00B2320B">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7EF699" id="_x0000_t202" coordsize="21600,21600" o:spt="202" path="m,l,21600r21600,l21600,xe">
              <v:stroke joinstyle="miter"/>
              <v:path gradientshapeok="t" o:connecttype="rect"/>
            </v:shapetype>
            <v:shape id="Text Box 11" o:spid="_x0000_s1027" type="#_x0000_t202" alt="OFFICIAL" style="position:absolute;margin-left:0;margin-top:0;width:40.85pt;height:33.3pt;z-index:25166643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" filled="f" stroked="f">
              <v:fill o:detectmouseclick="t"/>
              <v:textbox style="mso-fit-shape-to-text:t" inset="0,15pt,0,0">
                <w:txbxContent>
                  <w:p w14:paraId="62AB3E1E" w14:textId="5E7AF3F1" w:rsidR="00B2320B" w:rsidRPr="00B2320B" w:rsidRDefault="00B2320B" w:rsidP="00B2320B">
                    <w:pPr>
                      <w:rPr>
                        <w:rFonts w:ascii="Aptos" w:eastAsia="Aptos" w:hAnsi="Aptos" w:cs="Aptos"/>
                        <w:noProof/>
                        <w:color w:val="0000FF"/>
                        <w:sz w:val="20"/>
                        <w:szCs w:val="20"/>
                      </w:rPr>
                    </w:pPr>
                    <w:r w:rsidRPr="00B2320B">
                      <w:rPr>
                        <w:rFonts w:ascii="Aptos" w:eastAsia="Aptos" w:hAnsi="Aptos" w:cs="Aptos"/>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439C1" w14:textId="3B2E6832" w:rsidR="008D113C" w:rsidRPr="00917BB1" w:rsidRDefault="00B2320B" w:rsidP="008D113C">
    <w:pPr>
      <w:pStyle w:val="BodyText1"/>
      <w:spacing w:line="240" w:lineRule="auto"/>
      <w:jc w:val="right"/>
      <w:rPr>
        <w:color w:val="6E7571" w:themeColor="text2"/>
      </w:rPr>
    </w:pPr>
    <w:r>
      <w:rPr>
        <w:noProof/>
        <w:color w:val="6E7571" w:themeColor="text2"/>
      </w:rPr>
      <mc:AlternateContent>
        <mc:Choice Requires="wps">
          <w:drawing>
            <wp:anchor distT="0" distB="0" distL="0" distR="0" simplePos="0" relativeHeight="251667463" behindDoc="0" locked="0" layoutInCell="1" allowOverlap="1" wp14:anchorId="7E6009AC" wp14:editId="589E5EDC">
              <wp:simplePos x="635" y="635"/>
              <wp:positionH relativeFrom="page">
                <wp:align>center</wp:align>
              </wp:positionH>
              <wp:positionV relativeFrom="page">
                <wp:align>top</wp:align>
              </wp:positionV>
              <wp:extent cx="518795" cy="422910"/>
              <wp:effectExtent l="0" t="0" r="14605" b="15240"/>
              <wp:wrapNone/>
              <wp:docPr id="1823194976"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0EB6273F" w14:textId="7D0C4731" w:rsidR="00B2320B" w:rsidRPr="00B2320B" w:rsidRDefault="00B2320B" w:rsidP="00B2320B">
                          <w:pPr>
                            <w:rPr>
                              <w:rFonts w:ascii="Aptos" w:eastAsia="Aptos" w:hAnsi="Aptos" w:cs="Aptos"/>
                              <w:noProof/>
                              <w:color w:val="0000FF"/>
                              <w:sz w:val="20"/>
                              <w:szCs w:val="20"/>
                            </w:rPr>
                          </w:pPr>
                          <w:r w:rsidRPr="00B2320B">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6009AC" id="_x0000_t202" coordsize="21600,21600" o:spt="202" path="m,l,21600r21600,l21600,xe">
              <v:stroke joinstyle="miter"/>
              <v:path gradientshapeok="t" o:connecttype="rect"/>
            </v:shapetype>
            <v:shape id="Text Box 12" o:spid="_x0000_s1028" type="#_x0000_t202" alt="OFFICIAL" style="position:absolute;left:0;text-align:left;margin-left:0;margin-top:0;width:40.85pt;height:33.3pt;z-index:25166746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" filled="f" stroked="f">
              <v:fill o:detectmouseclick="t"/>
              <v:textbox style="mso-fit-shape-to-text:t" inset="0,15pt,0,0">
                <w:txbxContent>
                  <w:p w14:paraId="0EB6273F" w14:textId="7D0C4731" w:rsidR="00B2320B" w:rsidRPr="00B2320B" w:rsidRDefault="00B2320B" w:rsidP="00B2320B">
                    <w:pPr>
                      <w:rPr>
                        <w:rFonts w:ascii="Aptos" w:eastAsia="Aptos" w:hAnsi="Aptos" w:cs="Aptos"/>
                        <w:noProof/>
                        <w:color w:val="0000FF"/>
                        <w:sz w:val="20"/>
                        <w:szCs w:val="20"/>
                      </w:rPr>
                    </w:pPr>
                    <w:r w:rsidRPr="00B2320B">
                      <w:rPr>
                        <w:rFonts w:ascii="Aptos" w:eastAsia="Aptos" w:hAnsi="Aptos" w:cs="Aptos"/>
                        <w:noProof/>
                        <w:color w:val="0000FF"/>
                        <w:sz w:val="20"/>
                        <w:szCs w:val="20"/>
                      </w:rPr>
                      <w:t>OFFICIAL</w:t>
                    </w:r>
                  </w:p>
                </w:txbxContent>
              </v:textbox>
              <w10:wrap anchorx="page" anchory="page"/>
            </v:shape>
          </w:pict>
        </mc:Fallback>
      </mc:AlternateContent>
    </w:r>
    <w:r w:rsidR="00BE2334">
      <w:rPr>
        <w:color w:val="6E7571" w:themeColor="text2"/>
      </w:rPr>
      <w:t>SEPA guidance on best practicable means for monitoring NORM contaminated items</w:t>
    </w:r>
  </w:p>
  <w:p w14:paraId="5D889494" w14:textId="77777777" w:rsidR="008D113C" w:rsidRDefault="007D441B" w:rsidP="008D113C">
    <w:pPr>
      <w:pStyle w:val="BodyText1"/>
      <w:jc w:val="right"/>
    </w:pPr>
    <w:r>
      <w:rPr>
        <w:noProof/>
      </w:rPr>
      <mc:AlternateContent>
        <mc:Choice Requires="wps">
          <w:drawing>
            <wp:anchor distT="0" distB="0" distL="114300" distR="114300" simplePos="0" relativeHeight="251658240" behindDoc="0" locked="0" layoutInCell="1" allowOverlap="1" wp14:anchorId="63EB90F9" wp14:editId="4CF19CCA">
              <wp:simplePos x="0" y="0"/>
              <wp:positionH relativeFrom="column">
                <wp:posOffset>23826</wp:posOffset>
              </wp:positionH>
              <wp:positionV relativeFrom="paragraph">
                <wp:posOffset>89176</wp:posOffset>
              </wp:positionV>
              <wp:extent cx="6467061" cy="0"/>
              <wp:effectExtent l="0" t="0" r="10160" b="1270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7061"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dec="http://schemas.microsoft.com/office/drawing/2017/decorative" xmlns:aclsh="http://schemas.microsoft.com/office/drawing/2020/classificationShape" xmlns:a="http://schemas.openxmlformats.org/drawingml/2006/main">
          <w:pict>
            <v:line id="Straight Connector 7"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016574 [3205]" strokeweight=".5pt" from="1.9pt,7pt" to="511.1pt,7pt" w14:anchorId="3E5CC4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">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6EB32" w14:textId="0C1B1961" w:rsidR="00EF03D8" w:rsidRDefault="00B2320B">
    <w:pPr>
      <w:pStyle w:val="Header"/>
    </w:pPr>
    <w:r>
      <w:rPr>
        <w:noProof/>
      </w:rPr>
      <mc:AlternateContent>
        <mc:Choice Requires="wps">
          <w:drawing>
            <wp:anchor distT="0" distB="0" distL="0" distR="0" simplePos="0" relativeHeight="251665415" behindDoc="0" locked="0" layoutInCell="1" allowOverlap="1" wp14:anchorId="06A95098" wp14:editId="688EC7C5">
              <wp:simplePos x="635" y="635"/>
              <wp:positionH relativeFrom="page">
                <wp:align>center</wp:align>
              </wp:positionH>
              <wp:positionV relativeFrom="page">
                <wp:align>top</wp:align>
              </wp:positionV>
              <wp:extent cx="518795" cy="422910"/>
              <wp:effectExtent l="0" t="0" r="14605" b="15240"/>
              <wp:wrapNone/>
              <wp:docPr id="1533609109"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26829C33" w14:textId="7BAF1921" w:rsidR="00B2320B" w:rsidRPr="00B2320B" w:rsidRDefault="00B2320B" w:rsidP="00B2320B">
                          <w:pPr>
                            <w:rPr>
                              <w:rFonts w:ascii="Aptos" w:eastAsia="Aptos" w:hAnsi="Aptos" w:cs="Aptos"/>
                              <w:noProof/>
                              <w:color w:val="0000FF"/>
                              <w:sz w:val="20"/>
                              <w:szCs w:val="20"/>
                            </w:rPr>
                          </w:pPr>
                          <w:r w:rsidRPr="00B2320B">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A95098" id="_x0000_t202" coordsize="21600,21600" o:spt="202" path="m,l,21600r21600,l21600,xe">
              <v:stroke joinstyle="miter"/>
              <v:path gradientshapeok="t" o:connecttype="rect"/>
            </v:shapetype>
            <v:shape id="Text Box 10" o:spid="_x0000_s1031" type="#_x0000_t202" alt="OFFICIAL" style="position:absolute;margin-left:0;margin-top:0;width:40.85pt;height:33.3pt;z-index:25166541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" filled="f" stroked="f">
              <v:fill o:detectmouseclick="t"/>
              <v:textbox style="mso-fit-shape-to-text:t" inset="0,15pt,0,0">
                <w:txbxContent>
                  <w:p w14:paraId="26829C33" w14:textId="7BAF1921" w:rsidR="00B2320B" w:rsidRPr="00B2320B" w:rsidRDefault="00B2320B" w:rsidP="00B2320B">
                    <w:pPr>
                      <w:rPr>
                        <w:rFonts w:ascii="Aptos" w:eastAsia="Aptos" w:hAnsi="Aptos" w:cs="Aptos"/>
                        <w:noProof/>
                        <w:color w:val="0000FF"/>
                        <w:sz w:val="20"/>
                        <w:szCs w:val="20"/>
                      </w:rPr>
                    </w:pPr>
                    <w:r w:rsidRPr="00B2320B">
                      <w:rPr>
                        <w:rFonts w:ascii="Aptos" w:eastAsia="Aptos" w:hAnsi="Aptos" w:cs="Aptos"/>
                        <w:noProof/>
                        <w:color w:val="0000FF"/>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FB4D5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F0C0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DC6C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EC9F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9FCAA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AA22D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E624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0C93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01E39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2E56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32A94"/>
    <w:multiLevelType w:val="hybridMultilevel"/>
    <w:tmpl w:val="3E04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B63916"/>
    <w:multiLevelType w:val="hybridMultilevel"/>
    <w:tmpl w:val="7F28CA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ABA2D0C"/>
    <w:multiLevelType w:val="hybridMultilevel"/>
    <w:tmpl w:val="B1801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5C1647"/>
    <w:multiLevelType w:val="multilevel"/>
    <w:tmpl w:val="A790B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36991833">
    <w:abstractNumId w:val="0"/>
  </w:num>
  <w:num w:numId="2" w16cid:durableId="2105566417">
    <w:abstractNumId w:val="1"/>
  </w:num>
  <w:num w:numId="3" w16cid:durableId="1805927877">
    <w:abstractNumId w:val="2"/>
  </w:num>
  <w:num w:numId="4" w16cid:durableId="905798264">
    <w:abstractNumId w:val="3"/>
  </w:num>
  <w:num w:numId="5" w16cid:durableId="1414813136">
    <w:abstractNumId w:val="8"/>
  </w:num>
  <w:num w:numId="6" w16cid:durableId="79523064">
    <w:abstractNumId w:val="4"/>
  </w:num>
  <w:num w:numId="7" w16cid:durableId="1085418359">
    <w:abstractNumId w:val="5"/>
  </w:num>
  <w:num w:numId="8" w16cid:durableId="500970126">
    <w:abstractNumId w:val="6"/>
  </w:num>
  <w:num w:numId="9" w16cid:durableId="683829009">
    <w:abstractNumId w:val="7"/>
  </w:num>
  <w:num w:numId="10" w16cid:durableId="2124495314">
    <w:abstractNumId w:val="9"/>
  </w:num>
  <w:num w:numId="11" w16cid:durableId="998923060">
    <w:abstractNumId w:val="12"/>
  </w:num>
  <w:num w:numId="12" w16cid:durableId="381441349">
    <w:abstractNumId w:val="10"/>
  </w:num>
  <w:num w:numId="13" w16cid:durableId="1900898286">
    <w:abstractNumId w:val="13"/>
  </w:num>
  <w:num w:numId="14" w16cid:durableId="17262969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44E"/>
    <w:rsid w:val="00023A93"/>
    <w:rsid w:val="00032829"/>
    <w:rsid w:val="000402C8"/>
    <w:rsid w:val="00040561"/>
    <w:rsid w:val="00042423"/>
    <w:rsid w:val="0005789F"/>
    <w:rsid w:val="00057A5F"/>
    <w:rsid w:val="00065628"/>
    <w:rsid w:val="000677FB"/>
    <w:rsid w:val="00070937"/>
    <w:rsid w:val="00073858"/>
    <w:rsid w:val="000A365B"/>
    <w:rsid w:val="000B4ACD"/>
    <w:rsid w:val="000B7559"/>
    <w:rsid w:val="000C354A"/>
    <w:rsid w:val="000E0D15"/>
    <w:rsid w:val="000F1E05"/>
    <w:rsid w:val="00105F31"/>
    <w:rsid w:val="00107F9D"/>
    <w:rsid w:val="00111FD1"/>
    <w:rsid w:val="00133688"/>
    <w:rsid w:val="00134D80"/>
    <w:rsid w:val="00135B2B"/>
    <w:rsid w:val="00135EAD"/>
    <w:rsid w:val="001620BA"/>
    <w:rsid w:val="00173628"/>
    <w:rsid w:val="00181572"/>
    <w:rsid w:val="00186D98"/>
    <w:rsid w:val="001951A4"/>
    <w:rsid w:val="001A296D"/>
    <w:rsid w:val="001A4808"/>
    <w:rsid w:val="001C0D9B"/>
    <w:rsid w:val="001C1514"/>
    <w:rsid w:val="001C57F1"/>
    <w:rsid w:val="001D2820"/>
    <w:rsid w:val="001E0F65"/>
    <w:rsid w:val="00212B43"/>
    <w:rsid w:val="00217DD3"/>
    <w:rsid w:val="002214C9"/>
    <w:rsid w:val="00236552"/>
    <w:rsid w:val="00264099"/>
    <w:rsid w:val="00266E0D"/>
    <w:rsid w:val="00281BB1"/>
    <w:rsid w:val="00290B1F"/>
    <w:rsid w:val="00295135"/>
    <w:rsid w:val="002B0CD1"/>
    <w:rsid w:val="002B1704"/>
    <w:rsid w:val="002B74A8"/>
    <w:rsid w:val="002C62BA"/>
    <w:rsid w:val="002E4ED1"/>
    <w:rsid w:val="0030096D"/>
    <w:rsid w:val="00311649"/>
    <w:rsid w:val="00316B4E"/>
    <w:rsid w:val="00317618"/>
    <w:rsid w:val="003419A7"/>
    <w:rsid w:val="00353416"/>
    <w:rsid w:val="00382BF8"/>
    <w:rsid w:val="00396557"/>
    <w:rsid w:val="003C1BB1"/>
    <w:rsid w:val="003C46DD"/>
    <w:rsid w:val="003C7139"/>
    <w:rsid w:val="003D2007"/>
    <w:rsid w:val="003F5384"/>
    <w:rsid w:val="004005CE"/>
    <w:rsid w:val="004073BC"/>
    <w:rsid w:val="0041560E"/>
    <w:rsid w:val="00444AA1"/>
    <w:rsid w:val="004459E9"/>
    <w:rsid w:val="00455155"/>
    <w:rsid w:val="0045707F"/>
    <w:rsid w:val="00480381"/>
    <w:rsid w:val="004A7C09"/>
    <w:rsid w:val="004C0D15"/>
    <w:rsid w:val="004C7ECD"/>
    <w:rsid w:val="004D314A"/>
    <w:rsid w:val="004F59E9"/>
    <w:rsid w:val="00504BD3"/>
    <w:rsid w:val="0051452A"/>
    <w:rsid w:val="00531199"/>
    <w:rsid w:val="005315C2"/>
    <w:rsid w:val="00532B34"/>
    <w:rsid w:val="00537079"/>
    <w:rsid w:val="00537559"/>
    <w:rsid w:val="0054704D"/>
    <w:rsid w:val="00551989"/>
    <w:rsid w:val="005775C1"/>
    <w:rsid w:val="00596BD0"/>
    <w:rsid w:val="005A355E"/>
    <w:rsid w:val="005B0429"/>
    <w:rsid w:val="005B6547"/>
    <w:rsid w:val="005C5101"/>
    <w:rsid w:val="005D1213"/>
    <w:rsid w:val="005D5854"/>
    <w:rsid w:val="005E3EDF"/>
    <w:rsid w:val="00612B21"/>
    <w:rsid w:val="006243FF"/>
    <w:rsid w:val="006324AB"/>
    <w:rsid w:val="00644225"/>
    <w:rsid w:val="00660C79"/>
    <w:rsid w:val="00664C6A"/>
    <w:rsid w:val="00672E19"/>
    <w:rsid w:val="00682888"/>
    <w:rsid w:val="00686284"/>
    <w:rsid w:val="006D16CE"/>
    <w:rsid w:val="006D1BEF"/>
    <w:rsid w:val="006E4940"/>
    <w:rsid w:val="006F1D3C"/>
    <w:rsid w:val="00703A2E"/>
    <w:rsid w:val="00704E53"/>
    <w:rsid w:val="00707500"/>
    <w:rsid w:val="00713952"/>
    <w:rsid w:val="00734148"/>
    <w:rsid w:val="0073636D"/>
    <w:rsid w:val="00737B88"/>
    <w:rsid w:val="0075113C"/>
    <w:rsid w:val="007672C6"/>
    <w:rsid w:val="00783343"/>
    <w:rsid w:val="00785E79"/>
    <w:rsid w:val="007931E2"/>
    <w:rsid w:val="007A0041"/>
    <w:rsid w:val="007B4A36"/>
    <w:rsid w:val="007B603F"/>
    <w:rsid w:val="007C3F12"/>
    <w:rsid w:val="007C4467"/>
    <w:rsid w:val="007C5191"/>
    <w:rsid w:val="007D0111"/>
    <w:rsid w:val="007D244E"/>
    <w:rsid w:val="007D3DA3"/>
    <w:rsid w:val="007D441B"/>
    <w:rsid w:val="007F7A25"/>
    <w:rsid w:val="00801105"/>
    <w:rsid w:val="00814D7D"/>
    <w:rsid w:val="008164F2"/>
    <w:rsid w:val="008170B9"/>
    <w:rsid w:val="0082471D"/>
    <w:rsid w:val="00826BE3"/>
    <w:rsid w:val="00827EFA"/>
    <w:rsid w:val="00833DF8"/>
    <w:rsid w:val="0083489A"/>
    <w:rsid w:val="00843560"/>
    <w:rsid w:val="008613CE"/>
    <w:rsid w:val="00861B46"/>
    <w:rsid w:val="00871C6E"/>
    <w:rsid w:val="0087476A"/>
    <w:rsid w:val="008A0B77"/>
    <w:rsid w:val="008B54DB"/>
    <w:rsid w:val="008B700D"/>
    <w:rsid w:val="008C1A73"/>
    <w:rsid w:val="008C35BE"/>
    <w:rsid w:val="008D0D24"/>
    <w:rsid w:val="008D113C"/>
    <w:rsid w:val="008D376F"/>
    <w:rsid w:val="008E505B"/>
    <w:rsid w:val="008E7E99"/>
    <w:rsid w:val="008F02A1"/>
    <w:rsid w:val="0091618A"/>
    <w:rsid w:val="00917BB1"/>
    <w:rsid w:val="009209DF"/>
    <w:rsid w:val="009242F4"/>
    <w:rsid w:val="00951017"/>
    <w:rsid w:val="00960349"/>
    <w:rsid w:val="00961D82"/>
    <w:rsid w:val="00963F38"/>
    <w:rsid w:val="00972529"/>
    <w:rsid w:val="00972856"/>
    <w:rsid w:val="0097531C"/>
    <w:rsid w:val="00975D21"/>
    <w:rsid w:val="00980531"/>
    <w:rsid w:val="009821DF"/>
    <w:rsid w:val="009A240D"/>
    <w:rsid w:val="009B6E93"/>
    <w:rsid w:val="009E5783"/>
    <w:rsid w:val="00A03CBE"/>
    <w:rsid w:val="00A148AB"/>
    <w:rsid w:val="00A1501D"/>
    <w:rsid w:val="00A53D52"/>
    <w:rsid w:val="00A754A7"/>
    <w:rsid w:val="00A9349C"/>
    <w:rsid w:val="00AC06D9"/>
    <w:rsid w:val="00AE068C"/>
    <w:rsid w:val="00AF1855"/>
    <w:rsid w:val="00AF34B2"/>
    <w:rsid w:val="00AF4CBA"/>
    <w:rsid w:val="00B00397"/>
    <w:rsid w:val="00B051A4"/>
    <w:rsid w:val="00B2320B"/>
    <w:rsid w:val="00B32DCB"/>
    <w:rsid w:val="00B46E48"/>
    <w:rsid w:val="00B54CF4"/>
    <w:rsid w:val="00B57F88"/>
    <w:rsid w:val="00B65E25"/>
    <w:rsid w:val="00B720B0"/>
    <w:rsid w:val="00B8680E"/>
    <w:rsid w:val="00B912AB"/>
    <w:rsid w:val="00B92E89"/>
    <w:rsid w:val="00BC61F0"/>
    <w:rsid w:val="00BE2334"/>
    <w:rsid w:val="00BF6BBC"/>
    <w:rsid w:val="00C04498"/>
    <w:rsid w:val="00C0478F"/>
    <w:rsid w:val="00C124B1"/>
    <w:rsid w:val="00C37F99"/>
    <w:rsid w:val="00C419DB"/>
    <w:rsid w:val="00C457AA"/>
    <w:rsid w:val="00C50C09"/>
    <w:rsid w:val="00C569B9"/>
    <w:rsid w:val="00C65F99"/>
    <w:rsid w:val="00C76FD5"/>
    <w:rsid w:val="00C86786"/>
    <w:rsid w:val="00CA4ABA"/>
    <w:rsid w:val="00CA637C"/>
    <w:rsid w:val="00CA7F36"/>
    <w:rsid w:val="00CB0D8E"/>
    <w:rsid w:val="00CB17BC"/>
    <w:rsid w:val="00CC3B4D"/>
    <w:rsid w:val="00CD6AC0"/>
    <w:rsid w:val="00CE7E64"/>
    <w:rsid w:val="00CF7EFB"/>
    <w:rsid w:val="00D270C8"/>
    <w:rsid w:val="00D35448"/>
    <w:rsid w:val="00D366C4"/>
    <w:rsid w:val="00D36C3F"/>
    <w:rsid w:val="00D663DB"/>
    <w:rsid w:val="00D731F8"/>
    <w:rsid w:val="00D75160"/>
    <w:rsid w:val="00D82677"/>
    <w:rsid w:val="00D873CE"/>
    <w:rsid w:val="00D90E64"/>
    <w:rsid w:val="00D93720"/>
    <w:rsid w:val="00D93CB4"/>
    <w:rsid w:val="00DC1653"/>
    <w:rsid w:val="00DC5A86"/>
    <w:rsid w:val="00E11A56"/>
    <w:rsid w:val="00E26E8C"/>
    <w:rsid w:val="00E2739E"/>
    <w:rsid w:val="00E470D5"/>
    <w:rsid w:val="00E63CED"/>
    <w:rsid w:val="00E6475C"/>
    <w:rsid w:val="00E66FE6"/>
    <w:rsid w:val="00E67C75"/>
    <w:rsid w:val="00E75C84"/>
    <w:rsid w:val="00E8699A"/>
    <w:rsid w:val="00EA4413"/>
    <w:rsid w:val="00EA620A"/>
    <w:rsid w:val="00EB1D8B"/>
    <w:rsid w:val="00EC05CA"/>
    <w:rsid w:val="00EC6A73"/>
    <w:rsid w:val="00EE36F9"/>
    <w:rsid w:val="00EE6099"/>
    <w:rsid w:val="00EF03D8"/>
    <w:rsid w:val="00EF45BF"/>
    <w:rsid w:val="00F033EB"/>
    <w:rsid w:val="00F07048"/>
    <w:rsid w:val="00F10257"/>
    <w:rsid w:val="00F112DC"/>
    <w:rsid w:val="00F11A44"/>
    <w:rsid w:val="00F177BB"/>
    <w:rsid w:val="00F317F1"/>
    <w:rsid w:val="00F35960"/>
    <w:rsid w:val="00F70E29"/>
    <w:rsid w:val="00F72274"/>
    <w:rsid w:val="00F8548B"/>
    <w:rsid w:val="00F87992"/>
    <w:rsid w:val="00FA16DF"/>
    <w:rsid w:val="00FD0775"/>
    <w:rsid w:val="00FD2363"/>
    <w:rsid w:val="00FE1E85"/>
    <w:rsid w:val="00FE325E"/>
    <w:rsid w:val="00FF094E"/>
    <w:rsid w:val="00FF5D5A"/>
    <w:rsid w:val="34307C49"/>
    <w:rsid w:val="58AD2209"/>
    <w:rsid w:val="611B01D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4CF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552"/>
    <w:pPr>
      <w:spacing w:line="360" w:lineRule="auto"/>
    </w:pPr>
    <w:rPr>
      <w:rFonts w:eastAsiaTheme="minorEastAsia"/>
    </w:rPr>
  </w:style>
  <w:style w:type="paragraph" w:styleId="Heading1">
    <w:name w:val="heading 1"/>
    <w:basedOn w:val="Normal"/>
    <w:next w:val="Normal"/>
    <w:link w:val="Heading1Char"/>
    <w:uiPriority w:val="9"/>
    <w:qFormat/>
    <w:rsid w:val="00644225"/>
    <w:pPr>
      <w:keepNext/>
      <w:keepLines/>
      <w:spacing w:after="240" w:line="240" w:lineRule="auto"/>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644225"/>
    <w:pPr>
      <w:keepNext/>
      <w:keepLines/>
      <w:spacing w:after="240" w:line="240" w:lineRule="auto"/>
      <w:outlineLvl w:val="1"/>
    </w:pPr>
    <w:rPr>
      <w:rFonts w:asciiTheme="majorHAnsi" w:eastAsiaTheme="majorEastAsia" w:hAnsiTheme="majorHAnsi" w:cstheme="majorBidi"/>
      <w:b/>
      <w:color w:val="016574" w:themeColor="accent2"/>
      <w:sz w:val="32"/>
      <w:szCs w:val="26"/>
    </w:rPr>
  </w:style>
  <w:style w:type="paragraph" w:styleId="Heading3">
    <w:name w:val="heading 3"/>
    <w:basedOn w:val="Normal"/>
    <w:next w:val="Normal"/>
    <w:link w:val="Heading3Char"/>
    <w:uiPriority w:val="9"/>
    <w:unhideWhenUsed/>
    <w:qFormat/>
    <w:rsid w:val="00644225"/>
    <w:pPr>
      <w:keepNext/>
      <w:keepLines/>
      <w:spacing w:after="240" w:line="240" w:lineRule="auto"/>
      <w:outlineLvl w:val="2"/>
    </w:pPr>
    <w:rPr>
      <w:rFonts w:asciiTheme="majorHAnsi" w:eastAsiaTheme="majorEastAsia" w:hAnsiTheme="majorHAnsi" w:cstheme="majorBidi"/>
      <w:b/>
      <w:sz w:val="28"/>
    </w:rPr>
  </w:style>
  <w:style w:type="paragraph" w:styleId="Heading4">
    <w:name w:val="heading 4"/>
    <w:basedOn w:val="Normal"/>
    <w:next w:val="Normal"/>
    <w:link w:val="Heading4Char"/>
    <w:uiPriority w:val="9"/>
    <w:unhideWhenUsed/>
    <w:qFormat/>
    <w:rsid w:val="00644225"/>
    <w:pPr>
      <w:keepNext/>
      <w:keepLines/>
      <w:spacing w:after="240" w:line="240" w:lineRule="auto"/>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unhideWhenUsed/>
    <w:qFormat/>
    <w:rsid w:val="00105F31"/>
    <w:pPr>
      <w:keepNext/>
      <w:keepLines/>
      <w:spacing w:before="40"/>
      <w:outlineLvl w:val="4"/>
    </w:pPr>
    <w:rPr>
      <w:rFonts w:asciiTheme="majorHAnsi" w:eastAsiaTheme="majorEastAsia" w:hAnsiTheme="majorHAnsi" w:cstheme="majorBidi"/>
      <w:color w:val="004B5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644225"/>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644225"/>
    <w:rPr>
      <w:rFonts w:asciiTheme="majorHAnsi" w:eastAsiaTheme="majorEastAsia" w:hAnsiTheme="majorHAnsi" w:cstheme="majorBidi"/>
      <w:b/>
      <w:color w:val="016574" w:themeColor="accent2"/>
      <w:sz w:val="32"/>
      <w:szCs w:val="26"/>
    </w:rPr>
  </w:style>
  <w:style w:type="character" w:customStyle="1" w:styleId="Heading3Char">
    <w:name w:val="Heading 3 Char"/>
    <w:basedOn w:val="DefaultParagraphFont"/>
    <w:link w:val="Heading3"/>
    <w:uiPriority w:val="9"/>
    <w:rsid w:val="00644225"/>
    <w:rPr>
      <w:rFonts w:asciiTheme="majorHAnsi" w:eastAsiaTheme="majorEastAsia" w:hAnsiTheme="majorHAnsi" w:cstheme="majorBidi"/>
      <w:b/>
      <w:sz w:val="28"/>
    </w:rPr>
  </w:style>
  <w:style w:type="character" w:customStyle="1" w:styleId="Heading4Char">
    <w:name w:val="Heading 4 Char"/>
    <w:basedOn w:val="DefaultParagraphFont"/>
    <w:link w:val="Heading4"/>
    <w:uiPriority w:val="9"/>
    <w:rsid w:val="00644225"/>
    <w:rPr>
      <w:rFonts w:asciiTheme="majorHAnsi" w:eastAsiaTheme="majorEastAsia" w:hAnsiTheme="majorHAnsi" w:cstheme="majorBidi"/>
      <w:b/>
      <w:iCs/>
    </w:rPr>
  </w:style>
  <w:style w:type="paragraph" w:customStyle="1" w:styleId="BodyText1">
    <w:name w:val="Body Text1"/>
    <w:basedOn w:val="Normal"/>
    <w:qFormat/>
    <w:rsid w:val="00212B43"/>
    <w:pPr>
      <w:spacing w:after="240"/>
    </w:pPr>
  </w:style>
  <w:style w:type="character" w:customStyle="1" w:styleId="Heading5Char">
    <w:name w:val="Heading 5 Char"/>
    <w:basedOn w:val="DefaultParagraphFont"/>
    <w:link w:val="Heading5"/>
    <w:uiPriority w:val="9"/>
    <w:semiHidden/>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rsid w:val="00B54CF4"/>
    <w:rPr>
      <w:color w:val="016574" w:themeColor="hyperlink"/>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paragraph" w:styleId="NormalWeb">
    <w:name w:val="Normal (Web)"/>
    <w:basedOn w:val="Normal"/>
    <w:uiPriority w:val="99"/>
    <w:semiHidden/>
    <w:unhideWhenUsed/>
    <w:rsid w:val="00703A2E"/>
    <w:pPr>
      <w:spacing w:before="100" w:beforeAutospacing="1" w:after="100" w:afterAutospacing="1" w:line="240" w:lineRule="auto"/>
    </w:pPr>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EE36F9"/>
    <w:rPr>
      <w:sz w:val="16"/>
      <w:szCs w:val="16"/>
    </w:rPr>
  </w:style>
  <w:style w:type="paragraph" w:styleId="CommentText">
    <w:name w:val="annotation text"/>
    <w:basedOn w:val="Normal"/>
    <w:link w:val="CommentTextChar"/>
    <w:uiPriority w:val="99"/>
    <w:unhideWhenUsed/>
    <w:rsid w:val="00EE36F9"/>
    <w:pPr>
      <w:spacing w:after="160" w:line="240" w:lineRule="auto"/>
    </w:pPr>
    <w:rPr>
      <w:rFonts w:eastAsiaTheme="minorHAnsi"/>
      <w:sz w:val="20"/>
      <w:szCs w:val="20"/>
    </w:rPr>
  </w:style>
  <w:style w:type="character" w:customStyle="1" w:styleId="CommentTextChar">
    <w:name w:val="Comment Text Char"/>
    <w:basedOn w:val="DefaultParagraphFont"/>
    <w:link w:val="CommentText"/>
    <w:uiPriority w:val="99"/>
    <w:rsid w:val="00EE36F9"/>
    <w:rPr>
      <w:sz w:val="20"/>
      <w:szCs w:val="20"/>
    </w:rPr>
  </w:style>
  <w:style w:type="table" w:styleId="TableGrid">
    <w:name w:val="Table Grid"/>
    <w:basedOn w:val="TableNormal"/>
    <w:uiPriority w:val="39"/>
    <w:rsid w:val="00EE36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783343"/>
    <w:pPr>
      <w:spacing w:after="0"/>
    </w:pPr>
    <w:rPr>
      <w:rFonts w:eastAsiaTheme="minorEastAsia"/>
      <w:b/>
      <w:bCs/>
    </w:rPr>
  </w:style>
  <w:style w:type="character" w:customStyle="1" w:styleId="CommentSubjectChar">
    <w:name w:val="Comment Subject Char"/>
    <w:basedOn w:val="CommentTextChar"/>
    <w:link w:val="CommentSubject"/>
    <w:uiPriority w:val="99"/>
    <w:semiHidden/>
    <w:rsid w:val="00783343"/>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4590073">
      <w:bodyDiv w:val="1"/>
      <w:marLeft w:val="0"/>
      <w:marRight w:val="0"/>
      <w:marTop w:val="0"/>
      <w:marBottom w:val="0"/>
      <w:divBdr>
        <w:top w:val="none" w:sz="0" w:space="0" w:color="auto"/>
        <w:left w:val="none" w:sz="0" w:space="0" w:color="auto"/>
        <w:bottom w:val="none" w:sz="0" w:space="0" w:color="auto"/>
        <w:right w:val="none" w:sz="0" w:space="0" w:color="auto"/>
      </w:divBdr>
    </w:div>
    <w:div w:id="1527594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equalities@sepa.org.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7F31A-B833-E843-8908-CCA74EDF6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929</Words>
  <Characters>5298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2026-08-13T08:35:00Z</dcterms:created>
  <dcterms:modified xsi:type="dcterms:W3CDTF">2026-08-13T08:36:00Z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5b690495,313c2f8f,6cabbf60</vt:lpwstr>
  </property>
  <property fmtid="{D5CDD505-2E9C-101B-9397-08002B2CF9AE}" pid="3" name="ClassificationContentMarkingHeaderFontProps">
    <vt:lpwstr>#0000ff,10,Aptos</vt:lpwstr>
  </property>
  <property fmtid="{D5CDD505-2E9C-101B-9397-08002B2CF9AE}" pid="4" name="ClassificationContentMarkingHeaderText">
    <vt:lpwstr>OFFICIAL</vt:lpwstr>
  </property>
  <property fmtid="{D5CDD505-2E9C-101B-9397-08002B2CF9AE}" pid="5" name="ClassificationContentMarkingFooterShapeIds">
    <vt:lpwstr>41ff0aec,42292b8d,6084c1b3</vt:lpwstr>
  </property>
  <property fmtid="{D5CDD505-2E9C-101B-9397-08002B2CF9AE}" pid="6" name="ClassificationContentMarkingFooterFontProps">
    <vt:lpwstr>#0000ff,10,Aptos</vt:lpwstr>
  </property>
  <property fmtid="{D5CDD505-2E9C-101B-9397-08002B2CF9AE}" pid="7" name="ClassificationContentMarkingFooterText">
    <vt:lpwstr>OFFICIAL</vt:lpwstr>
  </property>
  <property fmtid="{D5CDD505-2E9C-101B-9397-08002B2CF9AE}" pid="8" name="MSIP_Label_ea4fd52f-9814-4cae-aa53-0ea7b16cd381_Enabled">
    <vt:lpwstr>true</vt:lpwstr>
  </property>
  <property fmtid="{D5CDD505-2E9C-101B-9397-08002B2CF9AE}" pid="9" name="MSIP_Label_ea4fd52f-9814-4cae-aa53-0ea7b16cd381_SetDate">
    <vt:lpwstr>2026-08-13T08:36:05Z</vt:lpwstr>
  </property>
  <property fmtid="{D5CDD505-2E9C-101B-9397-08002B2CF9AE}" pid="10" name="MSIP_Label_ea4fd52f-9814-4cae-aa53-0ea7b16cd381_Method">
    <vt:lpwstr>Privileged</vt:lpwstr>
  </property>
  <property fmtid="{D5CDD505-2E9C-101B-9397-08002B2CF9AE}" pid="11" name="MSIP_Label_ea4fd52f-9814-4cae-aa53-0ea7b16cd381_Name">
    <vt:lpwstr>Official General</vt:lpwstr>
  </property>
  <property fmtid="{D5CDD505-2E9C-101B-9397-08002B2CF9AE}" pid="12" name="MSIP_Label_ea4fd52f-9814-4cae-aa53-0ea7b16cd381_SiteId">
    <vt:lpwstr>5cf26d65-cf46-4c72-ba82-7577d9c2d7ab</vt:lpwstr>
  </property>
  <property fmtid="{D5CDD505-2E9C-101B-9397-08002B2CF9AE}" pid="13" name="MSIP_Label_ea4fd52f-9814-4cae-aa53-0ea7b16cd381_ActionId">
    <vt:lpwstr>af70ed3d-0b75-4f35-8e96-deb80044fdfc</vt:lpwstr>
  </property>
  <property fmtid="{D5CDD505-2E9C-101B-9397-08002B2CF9AE}" pid="14" name="MSIP_Label_ea4fd52f-9814-4cae-aa53-0ea7b16cd381_ContentBits">
    <vt:lpwstr>3</vt:lpwstr>
  </property>
  <property fmtid="{D5CDD505-2E9C-101B-9397-08002B2CF9AE}" pid="15" name="MSIP_Label_ea4fd52f-9814-4cae-aa53-0ea7b16cd381_Tag">
    <vt:lpwstr>10, 0, 1, 1</vt:lpwstr>
  </property>
</Properties>
</file>