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408C" w14:textId="77777777" w:rsidR="00232469" w:rsidRPr="00E15FBB" w:rsidRDefault="00232469" w:rsidP="00614F02">
      <w:pPr>
        <w:overflowPunct/>
        <w:autoSpaceDE/>
        <w:autoSpaceDN/>
        <w:adjustRightInd/>
        <w:spacing w:after="240" w:line="360" w:lineRule="auto"/>
        <w:textAlignment w:val="auto"/>
        <w:rPr>
          <w:rFonts w:eastAsia="MS PGothic"/>
          <w:sz w:val="24"/>
          <w:szCs w:val="24"/>
        </w:rPr>
      </w:pPr>
      <w:r w:rsidRPr="00E15FBB">
        <w:rPr>
          <w:rFonts w:eastAsia="MS PGothic"/>
          <w:noProof/>
          <w:sz w:val="24"/>
          <w:szCs w:val="24"/>
        </w:rPr>
        <w:drawing>
          <wp:inline distT="0" distB="0" distL="0" distR="0" wp14:anchorId="4CB726D1" wp14:editId="29590C80">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40E1A51" w14:textId="1B0CBFA7" w:rsidR="00232469" w:rsidRPr="00E15FBB" w:rsidRDefault="00480CC8" w:rsidP="00614F02">
      <w:pPr>
        <w:keepNext/>
        <w:keepLines/>
        <w:overflowPunct/>
        <w:autoSpaceDE/>
        <w:autoSpaceDN/>
        <w:adjustRightInd/>
        <w:spacing w:after="240" w:line="276" w:lineRule="auto"/>
        <w:textAlignment w:val="auto"/>
        <w:outlineLvl w:val="0"/>
        <w:rPr>
          <w:rFonts w:eastAsia="MS PGothic"/>
          <w:b/>
          <w:color w:val="016574"/>
          <w:sz w:val="40"/>
          <w:szCs w:val="32"/>
        </w:rPr>
      </w:pPr>
      <w:r>
        <w:rPr>
          <w:rFonts w:eastAsia="MS PGothic"/>
          <w:b/>
          <w:color w:val="016574"/>
          <w:sz w:val="40"/>
          <w:szCs w:val="32"/>
        </w:rPr>
        <w:t>A</w:t>
      </w:r>
      <w:r w:rsidR="00C62A4F">
        <w:rPr>
          <w:rFonts w:eastAsia="MS PGothic"/>
          <w:b/>
          <w:color w:val="016574"/>
          <w:sz w:val="40"/>
          <w:szCs w:val="32"/>
        </w:rPr>
        <w:t xml:space="preserve">gency Board </w:t>
      </w:r>
      <w:r w:rsidR="007754DA" w:rsidRPr="00E15FBB">
        <w:rPr>
          <w:rFonts w:eastAsia="MS PGothic"/>
          <w:b/>
          <w:color w:val="016574"/>
          <w:sz w:val="40"/>
          <w:szCs w:val="32"/>
        </w:rPr>
        <w:t xml:space="preserve">meeting </w:t>
      </w:r>
    </w:p>
    <w:p w14:paraId="6C147EFF" w14:textId="660C16F8" w:rsidR="00232469" w:rsidRPr="00E15FBB" w:rsidRDefault="00C62A4F" w:rsidP="2E94C281">
      <w:pPr>
        <w:keepNext/>
        <w:keepLines/>
        <w:overflowPunct/>
        <w:autoSpaceDE/>
        <w:autoSpaceDN/>
        <w:adjustRightInd/>
        <w:spacing w:after="240" w:line="276" w:lineRule="auto"/>
        <w:textAlignment w:val="auto"/>
        <w:outlineLvl w:val="1"/>
        <w:rPr>
          <w:rFonts w:eastAsia="MS PGothic"/>
          <w:b/>
          <w:bCs/>
          <w:color w:val="016574"/>
          <w:sz w:val="32"/>
          <w:szCs w:val="32"/>
        </w:rPr>
      </w:pPr>
      <w:r>
        <w:rPr>
          <w:rFonts w:eastAsia="MS PGothic"/>
          <w:b/>
          <w:bCs/>
          <w:color w:val="016574"/>
          <w:sz w:val="32"/>
          <w:szCs w:val="32"/>
        </w:rPr>
        <w:t>30</w:t>
      </w:r>
      <w:r w:rsidR="0010101E" w:rsidRPr="286D958D">
        <w:rPr>
          <w:rFonts w:eastAsia="MS PGothic"/>
          <w:b/>
          <w:bCs/>
          <w:color w:val="016574"/>
          <w:sz w:val="32"/>
          <w:szCs w:val="32"/>
        </w:rPr>
        <w:t xml:space="preserve"> </w:t>
      </w:r>
      <w:r w:rsidR="25251398" w:rsidRPr="286D958D">
        <w:rPr>
          <w:rFonts w:eastAsia="MS PGothic"/>
          <w:b/>
          <w:bCs/>
          <w:color w:val="016574"/>
          <w:sz w:val="32"/>
          <w:szCs w:val="32"/>
        </w:rPr>
        <w:t>June</w:t>
      </w:r>
      <w:r w:rsidR="0010101E" w:rsidRPr="286D958D">
        <w:rPr>
          <w:rFonts w:eastAsia="MS PGothic"/>
          <w:b/>
          <w:bCs/>
          <w:color w:val="016574"/>
          <w:sz w:val="32"/>
          <w:szCs w:val="32"/>
        </w:rPr>
        <w:t xml:space="preserve"> 202</w:t>
      </w:r>
      <w:r w:rsidR="22D38012" w:rsidRPr="286D958D">
        <w:rPr>
          <w:rFonts w:eastAsia="MS PGothic"/>
          <w:b/>
          <w:bCs/>
          <w:color w:val="016574"/>
          <w:sz w:val="32"/>
          <w:szCs w:val="32"/>
        </w:rPr>
        <w:t>6</w:t>
      </w:r>
    </w:p>
    <w:p w14:paraId="6958FA37" w14:textId="77777777" w:rsidR="00232469" w:rsidRPr="00E15FBB" w:rsidRDefault="00232469" w:rsidP="00614F02">
      <w:pPr>
        <w:tabs>
          <w:tab w:val="center" w:pos="4513"/>
          <w:tab w:val="right" w:pos="9026"/>
        </w:tabs>
        <w:overflowPunct/>
        <w:autoSpaceDE/>
        <w:autoSpaceDN/>
        <w:adjustRightInd/>
        <w:spacing w:after="240"/>
        <w:ind w:right="360"/>
        <w:textAlignment w:val="auto"/>
        <w:rPr>
          <w:rFonts w:eastAsia="MS PGothic"/>
          <w:sz w:val="24"/>
          <w:szCs w:val="24"/>
        </w:rPr>
      </w:pPr>
      <w:r w:rsidRPr="00E15FBB">
        <w:rPr>
          <w:rFonts w:eastAsia="MS PGothic"/>
          <w:noProof/>
          <w:sz w:val="24"/>
          <w:szCs w:val="24"/>
        </w:rPr>
        <mc:AlternateContent>
          <mc:Choice Requires="wps">
            <w:drawing>
              <wp:anchor distT="0" distB="0" distL="114300" distR="114300" simplePos="0" relativeHeight="251658240" behindDoc="0" locked="0" layoutInCell="1" allowOverlap="1" wp14:anchorId="5841458B" wp14:editId="5B15C46E">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7CF9A69A">
              <v:line id="Straight Connector 1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strokeweight=".5pt" from="1.9pt,5.85pt" to="511.1pt,5.85pt" w14:anchorId="506A3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">
                <v:stroke joinstyle="miter"/>
              </v:line>
            </w:pict>
          </mc:Fallback>
        </mc:AlternateContent>
      </w:r>
    </w:p>
    <w:p w14:paraId="1583FA4E" w14:textId="29A6DDBA" w:rsidR="00232469" w:rsidRPr="00E15FBB" w:rsidRDefault="0010101E" w:rsidP="2E94C281">
      <w:pPr>
        <w:keepNext/>
        <w:keepLines/>
        <w:overflowPunct/>
        <w:autoSpaceDE/>
        <w:autoSpaceDN/>
        <w:adjustRightInd/>
        <w:spacing w:after="240" w:line="276" w:lineRule="auto"/>
        <w:textAlignment w:val="auto"/>
        <w:outlineLvl w:val="0"/>
        <w:rPr>
          <w:rFonts w:eastAsia="MS PGothic"/>
          <w:b/>
          <w:bCs/>
          <w:color w:val="016574"/>
          <w:sz w:val="40"/>
          <w:szCs w:val="40"/>
        </w:rPr>
      </w:pPr>
      <w:r w:rsidRPr="2E94C281">
        <w:rPr>
          <w:rFonts w:eastAsia="MS PGothic"/>
          <w:b/>
          <w:bCs/>
          <w:color w:val="016574"/>
          <w:sz w:val="40"/>
          <w:szCs w:val="40"/>
        </w:rPr>
        <w:t>Annual</w:t>
      </w:r>
      <w:r w:rsidR="00232469" w:rsidRPr="2E94C281">
        <w:rPr>
          <w:rFonts w:eastAsia="MS PGothic"/>
          <w:b/>
          <w:bCs/>
          <w:color w:val="016574"/>
          <w:sz w:val="40"/>
          <w:szCs w:val="40"/>
        </w:rPr>
        <w:t xml:space="preserve"> Review of Risk</w:t>
      </w:r>
      <w:r w:rsidR="00024819" w:rsidRPr="2E94C281">
        <w:rPr>
          <w:rFonts w:eastAsia="MS PGothic"/>
          <w:b/>
          <w:bCs/>
          <w:color w:val="016574"/>
          <w:sz w:val="40"/>
          <w:szCs w:val="40"/>
        </w:rPr>
        <w:t xml:space="preserve"> Management</w:t>
      </w:r>
      <w:r w:rsidR="00232469" w:rsidRPr="2E94C281">
        <w:rPr>
          <w:rFonts w:eastAsia="MS PGothic"/>
          <w:b/>
          <w:bCs/>
          <w:color w:val="016574"/>
          <w:sz w:val="40"/>
          <w:szCs w:val="40"/>
        </w:rPr>
        <w:t xml:space="preserve"> 202</w:t>
      </w:r>
      <w:r w:rsidR="31E897CF" w:rsidRPr="2E94C281">
        <w:rPr>
          <w:rFonts w:eastAsia="MS PGothic"/>
          <w:b/>
          <w:bCs/>
          <w:color w:val="016574"/>
          <w:sz w:val="40"/>
          <w:szCs w:val="40"/>
        </w:rPr>
        <w:t>5</w:t>
      </w:r>
      <w:r w:rsidR="00232469" w:rsidRPr="2E94C281">
        <w:rPr>
          <w:rFonts w:eastAsia="MS PGothic"/>
          <w:b/>
          <w:bCs/>
          <w:color w:val="016574"/>
          <w:sz w:val="40"/>
          <w:szCs w:val="40"/>
        </w:rPr>
        <w:t>-202</w:t>
      </w:r>
      <w:r w:rsidR="114B0BB6" w:rsidRPr="2E94C281">
        <w:rPr>
          <w:rFonts w:eastAsia="MS PGothic"/>
          <w:b/>
          <w:bCs/>
          <w:color w:val="016574"/>
          <w:sz w:val="40"/>
          <w:szCs w:val="40"/>
        </w:rPr>
        <w:t>6</w:t>
      </w:r>
    </w:p>
    <w:p w14:paraId="03265283" w14:textId="2316FF19" w:rsidR="00232469" w:rsidRPr="00E15FBB" w:rsidRDefault="00232469" w:rsidP="00614F02">
      <w:pPr>
        <w:keepNext/>
        <w:keepLines/>
        <w:overflowPunct/>
        <w:autoSpaceDE/>
        <w:autoSpaceDN/>
        <w:adjustRightInd/>
        <w:spacing w:after="240" w:line="276" w:lineRule="auto"/>
        <w:textAlignment w:val="auto"/>
        <w:outlineLvl w:val="2"/>
        <w:rPr>
          <w:rFonts w:eastAsia="MS PGothic"/>
          <w:b/>
          <w:color w:val="016574"/>
          <w:sz w:val="28"/>
          <w:szCs w:val="24"/>
        </w:rPr>
      </w:pPr>
      <w:r w:rsidRPr="00E15FBB">
        <w:rPr>
          <w:rFonts w:eastAsia="MS PGothic"/>
          <w:b/>
          <w:sz w:val="28"/>
          <w:szCs w:val="24"/>
        </w:rPr>
        <w:t xml:space="preserve">Purpose: </w:t>
      </w:r>
    </w:p>
    <w:p w14:paraId="7E20F288" w14:textId="6629CD6B" w:rsidR="0080403A" w:rsidRDefault="00232469" w:rsidP="00614F02">
      <w:pPr>
        <w:keepNext/>
        <w:keepLines/>
        <w:overflowPunct/>
        <w:autoSpaceDE/>
        <w:autoSpaceDN/>
        <w:adjustRightInd/>
        <w:spacing w:after="240" w:line="360" w:lineRule="auto"/>
        <w:textAlignment w:val="auto"/>
        <w:outlineLvl w:val="2"/>
        <w:rPr>
          <w:rFonts w:eastAsia="MS PGothic"/>
          <w:sz w:val="24"/>
          <w:szCs w:val="24"/>
        </w:rPr>
      </w:pPr>
      <w:r w:rsidRPr="286D958D">
        <w:rPr>
          <w:rFonts w:eastAsia="MS PGothic"/>
          <w:sz w:val="24"/>
          <w:szCs w:val="24"/>
        </w:rPr>
        <w:t xml:space="preserve">The purpose of this report is to </w:t>
      </w:r>
      <w:r w:rsidR="00F31F60" w:rsidRPr="286D958D">
        <w:rPr>
          <w:rFonts w:eastAsia="MS PGothic"/>
          <w:sz w:val="24"/>
          <w:szCs w:val="24"/>
        </w:rPr>
        <w:t>review</w:t>
      </w:r>
      <w:r w:rsidRPr="286D958D">
        <w:rPr>
          <w:rFonts w:eastAsia="MS PGothic"/>
          <w:sz w:val="24"/>
          <w:szCs w:val="24"/>
        </w:rPr>
        <w:t xml:space="preserve"> the</w:t>
      </w:r>
      <w:r w:rsidR="00B36064">
        <w:rPr>
          <w:rFonts w:eastAsia="MS PGothic"/>
          <w:sz w:val="24"/>
          <w:szCs w:val="24"/>
        </w:rPr>
        <w:t xml:space="preserve"> improvements</w:t>
      </w:r>
      <w:r w:rsidR="003E49EC" w:rsidRPr="286D958D">
        <w:rPr>
          <w:rFonts w:eastAsia="MS PGothic"/>
          <w:sz w:val="24"/>
          <w:szCs w:val="24"/>
        </w:rPr>
        <w:t xml:space="preserve"> to risk management </w:t>
      </w:r>
      <w:r w:rsidR="00531870" w:rsidRPr="286D958D">
        <w:rPr>
          <w:rFonts w:eastAsia="MS PGothic"/>
          <w:sz w:val="24"/>
          <w:szCs w:val="24"/>
        </w:rPr>
        <w:t>over the last financial year April 202</w:t>
      </w:r>
      <w:r w:rsidR="6D215AF5" w:rsidRPr="286D958D">
        <w:rPr>
          <w:rFonts w:eastAsia="MS PGothic"/>
          <w:sz w:val="24"/>
          <w:szCs w:val="24"/>
        </w:rPr>
        <w:t>5</w:t>
      </w:r>
      <w:r w:rsidR="00531870" w:rsidRPr="286D958D">
        <w:rPr>
          <w:rFonts w:eastAsia="MS PGothic"/>
          <w:sz w:val="24"/>
          <w:szCs w:val="24"/>
        </w:rPr>
        <w:t xml:space="preserve"> to March 202</w:t>
      </w:r>
      <w:r w:rsidR="5829736B" w:rsidRPr="286D958D">
        <w:rPr>
          <w:rFonts w:eastAsia="MS PGothic"/>
          <w:sz w:val="24"/>
          <w:szCs w:val="24"/>
        </w:rPr>
        <w:t>6</w:t>
      </w:r>
      <w:r w:rsidRPr="286D958D">
        <w:rPr>
          <w:rFonts w:eastAsia="MS PGothic"/>
          <w:sz w:val="24"/>
          <w:szCs w:val="24"/>
        </w:rPr>
        <w:t xml:space="preserve">. </w:t>
      </w:r>
      <w:r w:rsidR="1A756518" w:rsidRPr="286D958D">
        <w:rPr>
          <w:rFonts w:eastAsia="MS PGothic"/>
          <w:sz w:val="24"/>
          <w:szCs w:val="24"/>
        </w:rPr>
        <w:t xml:space="preserve">This report is a look back and sets out the </w:t>
      </w:r>
      <w:r w:rsidR="00814528" w:rsidRPr="286D958D">
        <w:rPr>
          <w:rFonts w:eastAsia="MS PGothic"/>
          <w:sz w:val="24"/>
          <w:szCs w:val="24"/>
        </w:rPr>
        <w:t xml:space="preserve">transformational </w:t>
      </w:r>
      <w:r w:rsidR="1A756518" w:rsidRPr="286D958D">
        <w:rPr>
          <w:rFonts w:eastAsia="MS PGothic"/>
          <w:sz w:val="24"/>
          <w:szCs w:val="24"/>
        </w:rPr>
        <w:t xml:space="preserve">change to the management of </w:t>
      </w:r>
      <w:r w:rsidR="078B4B11" w:rsidRPr="286D958D">
        <w:rPr>
          <w:rFonts w:eastAsia="MS PGothic"/>
          <w:sz w:val="24"/>
          <w:szCs w:val="24"/>
        </w:rPr>
        <w:t>risk</w:t>
      </w:r>
      <w:r w:rsidR="1A756518" w:rsidRPr="286D958D">
        <w:rPr>
          <w:rFonts w:eastAsia="MS PGothic"/>
          <w:sz w:val="24"/>
          <w:szCs w:val="24"/>
        </w:rPr>
        <w:t xml:space="preserve"> in SEPA during the period</w:t>
      </w:r>
      <w:r w:rsidR="003E49EC" w:rsidRPr="286D958D">
        <w:rPr>
          <w:rFonts w:eastAsia="MS PGothic"/>
          <w:sz w:val="24"/>
          <w:szCs w:val="24"/>
        </w:rPr>
        <w:t>.</w:t>
      </w:r>
    </w:p>
    <w:p w14:paraId="5252729B" w14:textId="6C2CC55B" w:rsidR="00CE5146" w:rsidRDefault="0080403A" w:rsidP="00614F02">
      <w:pPr>
        <w:keepNext/>
        <w:keepLines/>
        <w:overflowPunct/>
        <w:autoSpaceDE/>
        <w:autoSpaceDN/>
        <w:adjustRightInd/>
        <w:spacing w:after="240" w:line="360" w:lineRule="auto"/>
        <w:textAlignment w:val="auto"/>
        <w:outlineLvl w:val="2"/>
        <w:rPr>
          <w:rFonts w:eastAsia="MS PGothic"/>
          <w:sz w:val="24"/>
          <w:szCs w:val="24"/>
        </w:rPr>
      </w:pPr>
      <w:r w:rsidRPr="0080403A">
        <w:rPr>
          <w:rFonts w:eastAsia="MS PGothic"/>
          <w:sz w:val="24"/>
          <w:szCs w:val="24"/>
        </w:rPr>
        <w:t>This report was approved for submission to the Agency Board by the Audit, Risk and Assurance Committee at their meeting on </w:t>
      </w:r>
      <w:r w:rsidR="00C62A4F">
        <w:rPr>
          <w:rFonts w:eastAsia="MS PGothic"/>
          <w:sz w:val="24"/>
          <w:szCs w:val="24"/>
        </w:rPr>
        <w:t>16</w:t>
      </w:r>
      <w:r w:rsidRPr="0080403A">
        <w:rPr>
          <w:rFonts w:eastAsia="MS PGothic"/>
          <w:sz w:val="24"/>
          <w:szCs w:val="24"/>
        </w:rPr>
        <w:t> </w:t>
      </w:r>
      <w:r w:rsidR="00C62A4F">
        <w:rPr>
          <w:rFonts w:eastAsia="MS PGothic"/>
          <w:sz w:val="24"/>
          <w:szCs w:val="24"/>
        </w:rPr>
        <w:t>June</w:t>
      </w:r>
      <w:r w:rsidRPr="0080403A">
        <w:rPr>
          <w:rFonts w:eastAsia="MS PGothic"/>
          <w:sz w:val="24"/>
          <w:szCs w:val="24"/>
        </w:rPr>
        <w:t xml:space="preserve"> 202</w:t>
      </w:r>
      <w:r w:rsidR="00C62A4F">
        <w:rPr>
          <w:rFonts w:eastAsia="MS PGothic"/>
          <w:sz w:val="24"/>
          <w:szCs w:val="24"/>
        </w:rPr>
        <w:t>6</w:t>
      </w:r>
      <w:r w:rsidRPr="0080403A">
        <w:rPr>
          <w:rFonts w:eastAsia="MS PGothic"/>
          <w:sz w:val="24"/>
          <w:szCs w:val="24"/>
        </w:rPr>
        <w:t xml:space="preserve">. A summary of the principal risk register can be found </w:t>
      </w:r>
      <w:r w:rsidR="00184349">
        <w:rPr>
          <w:rFonts w:eastAsia="MS PGothic"/>
          <w:sz w:val="24"/>
          <w:szCs w:val="24"/>
        </w:rPr>
        <w:t>on</w:t>
      </w:r>
      <w:r w:rsidR="007E641F">
        <w:rPr>
          <w:rFonts w:eastAsia="MS PGothic"/>
          <w:sz w:val="24"/>
          <w:szCs w:val="24"/>
        </w:rPr>
        <w:t xml:space="preserve"> page 1 of the report</w:t>
      </w:r>
      <w:r w:rsidRPr="0080403A">
        <w:rPr>
          <w:rFonts w:eastAsia="MS PGothic"/>
          <w:sz w:val="24"/>
          <w:szCs w:val="24"/>
        </w:rPr>
        <w:t xml:space="preserve">. For additional details on principal risks, Board members should refer to the Audit, Risk and Assurance Committee paper from </w:t>
      </w:r>
      <w:r w:rsidR="007E641F">
        <w:rPr>
          <w:rFonts w:eastAsia="MS PGothic"/>
          <w:sz w:val="24"/>
          <w:szCs w:val="24"/>
        </w:rPr>
        <w:t>16</w:t>
      </w:r>
      <w:r w:rsidRPr="0080403A">
        <w:rPr>
          <w:rFonts w:eastAsia="MS PGothic"/>
          <w:sz w:val="24"/>
          <w:szCs w:val="24"/>
        </w:rPr>
        <w:t> </w:t>
      </w:r>
      <w:r w:rsidR="007E641F">
        <w:rPr>
          <w:rFonts w:eastAsia="MS PGothic"/>
          <w:sz w:val="24"/>
          <w:szCs w:val="24"/>
        </w:rPr>
        <w:t>June 2026</w:t>
      </w:r>
      <w:r w:rsidRPr="0080403A">
        <w:rPr>
          <w:rFonts w:eastAsia="MS PGothic"/>
          <w:sz w:val="24"/>
          <w:szCs w:val="24"/>
        </w:rPr>
        <w:t>.  </w:t>
      </w:r>
    </w:p>
    <w:p w14:paraId="0654C934" w14:textId="77777777" w:rsidR="005626D0" w:rsidRPr="00E15FBB" w:rsidRDefault="005626D0" w:rsidP="00614F02">
      <w:pPr>
        <w:keepNext/>
        <w:keepLines/>
        <w:overflowPunct/>
        <w:autoSpaceDE/>
        <w:autoSpaceDN/>
        <w:adjustRightInd/>
        <w:spacing w:after="240" w:line="360" w:lineRule="auto"/>
        <w:textAlignment w:val="auto"/>
        <w:outlineLvl w:val="2"/>
        <w:rPr>
          <w:rFonts w:eastAsia="MS PGothic"/>
          <w:sz w:val="24"/>
          <w:szCs w:val="24"/>
        </w:rPr>
      </w:pPr>
    </w:p>
    <w:p w14:paraId="32C6B5DB" w14:textId="1E30C78B" w:rsidR="00232469" w:rsidRPr="00A16DE2" w:rsidRDefault="00232469" w:rsidP="00614F02">
      <w:pPr>
        <w:keepNext/>
        <w:keepLines/>
        <w:overflowPunct/>
        <w:autoSpaceDE/>
        <w:autoSpaceDN/>
        <w:adjustRightInd/>
        <w:spacing w:after="240" w:line="276" w:lineRule="auto"/>
        <w:textAlignment w:val="auto"/>
        <w:outlineLvl w:val="2"/>
        <w:rPr>
          <w:rFonts w:eastAsia="MS PGothic"/>
          <w:b/>
          <w:color w:val="016574"/>
          <w:sz w:val="28"/>
          <w:szCs w:val="24"/>
        </w:rPr>
      </w:pPr>
      <w:r w:rsidRPr="00A16DE2">
        <w:rPr>
          <w:rFonts w:eastAsia="MS PGothic"/>
          <w:b/>
          <w:sz w:val="28"/>
          <w:szCs w:val="24"/>
        </w:rPr>
        <w:t xml:space="preserve">Recommendations: </w:t>
      </w:r>
    </w:p>
    <w:p w14:paraId="4592D699" w14:textId="7757C26F" w:rsidR="001571B0" w:rsidRPr="00A16DE2" w:rsidRDefault="007D21DA" w:rsidP="00020B7E">
      <w:pPr>
        <w:overflowPunct/>
        <w:autoSpaceDE/>
        <w:autoSpaceDN/>
        <w:adjustRightInd/>
        <w:spacing w:after="240" w:line="360" w:lineRule="auto"/>
        <w:textAlignment w:val="auto"/>
        <w:rPr>
          <w:rFonts w:eastAsia="MS PGothic"/>
          <w:sz w:val="24"/>
          <w:szCs w:val="24"/>
        </w:rPr>
      </w:pPr>
      <w:r>
        <w:rPr>
          <w:rFonts w:eastAsia="MS PGothic"/>
          <w:sz w:val="24"/>
          <w:szCs w:val="24"/>
        </w:rPr>
        <w:t xml:space="preserve">The </w:t>
      </w:r>
      <w:r w:rsidR="003906FC">
        <w:rPr>
          <w:rFonts w:eastAsia="MS PGothic"/>
          <w:sz w:val="24"/>
          <w:szCs w:val="24"/>
        </w:rPr>
        <w:t>Agency Board</w:t>
      </w:r>
      <w:r w:rsidR="001571B0" w:rsidRPr="00A16DE2">
        <w:rPr>
          <w:rFonts w:eastAsia="MS PGothic"/>
          <w:sz w:val="24"/>
          <w:szCs w:val="24"/>
        </w:rPr>
        <w:t xml:space="preserve"> is asked to:</w:t>
      </w:r>
    </w:p>
    <w:p w14:paraId="3B49AE65" w14:textId="33BB1086" w:rsidR="00AB706C" w:rsidRDefault="007D21DA" w:rsidP="00AB706C">
      <w:pPr>
        <w:numPr>
          <w:ilvl w:val="0"/>
          <w:numId w:val="15"/>
        </w:numPr>
        <w:overflowPunct/>
        <w:autoSpaceDE/>
        <w:autoSpaceDN/>
        <w:adjustRightInd/>
        <w:spacing w:after="240" w:line="360" w:lineRule="auto"/>
        <w:textAlignment w:val="auto"/>
        <w:rPr>
          <w:rFonts w:eastAsia="MS PGothic"/>
          <w:sz w:val="24"/>
          <w:szCs w:val="24"/>
        </w:rPr>
      </w:pPr>
      <w:r>
        <w:rPr>
          <w:rFonts w:eastAsia="MS PGothic"/>
          <w:b/>
          <w:bCs/>
          <w:sz w:val="24"/>
          <w:szCs w:val="24"/>
        </w:rPr>
        <w:t>R</w:t>
      </w:r>
      <w:r w:rsidR="00DF45B6" w:rsidRPr="000D30B5">
        <w:rPr>
          <w:rFonts w:eastAsia="MS PGothic"/>
          <w:b/>
          <w:bCs/>
          <w:sz w:val="24"/>
          <w:szCs w:val="24"/>
        </w:rPr>
        <w:t xml:space="preserve">eview and </w:t>
      </w:r>
      <w:r w:rsidR="003056BD" w:rsidRPr="000D30B5">
        <w:rPr>
          <w:rFonts w:eastAsia="MS PGothic"/>
          <w:b/>
          <w:bCs/>
          <w:sz w:val="24"/>
          <w:szCs w:val="24"/>
        </w:rPr>
        <w:t>note</w:t>
      </w:r>
      <w:r w:rsidR="00DF45B6" w:rsidRPr="000D30B5">
        <w:rPr>
          <w:rFonts w:eastAsia="MS PGothic"/>
          <w:sz w:val="24"/>
          <w:szCs w:val="24"/>
        </w:rPr>
        <w:t xml:space="preserve"> the </w:t>
      </w:r>
      <w:r w:rsidR="00E15FBB" w:rsidRPr="000D30B5">
        <w:rPr>
          <w:rFonts w:eastAsia="MS PGothic"/>
          <w:sz w:val="24"/>
          <w:szCs w:val="24"/>
        </w:rPr>
        <w:t>annual</w:t>
      </w:r>
      <w:r w:rsidR="00DF45B6" w:rsidRPr="000D30B5">
        <w:rPr>
          <w:rFonts w:eastAsia="MS PGothic"/>
          <w:sz w:val="24"/>
          <w:szCs w:val="24"/>
        </w:rPr>
        <w:t xml:space="preserve"> review of risk management </w:t>
      </w:r>
      <w:r w:rsidR="003056BD" w:rsidRPr="000D30B5">
        <w:rPr>
          <w:rFonts w:eastAsia="MS PGothic"/>
          <w:sz w:val="24"/>
          <w:szCs w:val="24"/>
        </w:rPr>
        <w:t>2025-2026</w:t>
      </w:r>
      <w:r>
        <w:rPr>
          <w:rFonts w:eastAsia="MS PGothic"/>
          <w:sz w:val="24"/>
          <w:szCs w:val="24"/>
        </w:rPr>
        <w:t>.</w:t>
      </w:r>
    </w:p>
    <w:p w14:paraId="60073072" w14:textId="7C165C5E" w:rsidR="00C825EC" w:rsidRPr="00AB706C" w:rsidRDefault="007D21DA" w:rsidP="00AB706C">
      <w:pPr>
        <w:numPr>
          <w:ilvl w:val="0"/>
          <w:numId w:val="15"/>
        </w:numPr>
        <w:overflowPunct/>
        <w:autoSpaceDE/>
        <w:autoSpaceDN/>
        <w:adjustRightInd/>
        <w:spacing w:after="240" w:line="360" w:lineRule="auto"/>
        <w:textAlignment w:val="auto"/>
        <w:rPr>
          <w:rFonts w:eastAsia="MS PGothic"/>
          <w:sz w:val="24"/>
          <w:szCs w:val="24"/>
        </w:rPr>
      </w:pPr>
      <w:r>
        <w:rPr>
          <w:rFonts w:eastAsia="MS PGothic"/>
          <w:b/>
          <w:bCs/>
          <w:sz w:val="24"/>
          <w:szCs w:val="24"/>
        </w:rPr>
        <w:t>N</w:t>
      </w:r>
      <w:r w:rsidR="00C825EC" w:rsidRPr="00AB706C">
        <w:rPr>
          <w:rFonts w:eastAsia="MS PGothic"/>
          <w:b/>
          <w:bCs/>
          <w:sz w:val="24"/>
          <w:szCs w:val="24"/>
        </w:rPr>
        <w:t>ote</w:t>
      </w:r>
      <w:r w:rsidR="00C825EC" w:rsidRPr="00AB706C">
        <w:rPr>
          <w:rFonts w:eastAsia="MS PGothic"/>
          <w:sz w:val="24"/>
          <w:szCs w:val="24"/>
        </w:rPr>
        <w:t xml:space="preserve"> that an in-depth discussion took place at the Audit, Risk and Assurance Committee </w:t>
      </w:r>
      <w:r w:rsidR="004E2F5B">
        <w:rPr>
          <w:rFonts w:eastAsia="MS PGothic"/>
          <w:sz w:val="24"/>
          <w:szCs w:val="24"/>
        </w:rPr>
        <w:t xml:space="preserve">(ARAC) </w:t>
      </w:r>
      <w:r w:rsidR="00C825EC" w:rsidRPr="00AB706C">
        <w:rPr>
          <w:rFonts w:eastAsia="MS PGothic"/>
          <w:sz w:val="24"/>
          <w:szCs w:val="24"/>
        </w:rPr>
        <w:t>regarding principal risks 1 and 2 which were at a point in time in Q4 (January - March) 2025-2026.  This discussion centred on the climate post-election, emerging clarity around public service reform, SEPA’s ability to react, and if the residual risk score of risks 1 and 2 reflected SEPA's preparedness to respond at pace to a changing environment.  </w:t>
      </w:r>
    </w:p>
    <w:p w14:paraId="0EDA6879" w14:textId="3D48E8A2" w:rsidR="00C825EC" w:rsidRPr="00C825EC" w:rsidRDefault="00C825EC" w:rsidP="001D3AF5">
      <w:pPr>
        <w:keepNext/>
        <w:keepLines/>
        <w:overflowPunct/>
        <w:autoSpaceDE/>
        <w:autoSpaceDN/>
        <w:adjustRightInd/>
        <w:spacing w:after="240" w:line="360" w:lineRule="auto"/>
        <w:textAlignment w:val="auto"/>
        <w:outlineLvl w:val="2"/>
        <w:rPr>
          <w:rFonts w:eastAsia="MS PGothic"/>
          <w:sz w:val="24"/>
          <w:szCs w:val="24"/>
        </w:rPr>
      </w:pPr>
      <w:r w:rsidRPr="00C825EC">
        <w:rPr>
          <w:rFonts w:eastAsia="MS PGothic"/>
          <w:sz w:val="24"/>
          <w:szCs w:val="24"/>
        </w:rPr>
        <w:lastRenderedPageBreak/>
        <w:t>In addition, there was recognition that several of the risks have a higher residual risk score, with an amber RAG status, which could be perceived as a challenge to our ability to adapt to the pace of change. </w:t>
      </w:r>
    </w:p>
    <w:p w14:paraId="0A385ABB" w14:textId="67FEBED2" w:rsidR="00C825EC" w:rsidRDefault="00C825EC" w:rsidP="001D3AF5">
      <w:pPr>
        <w:keepNext/>
        <w:keepLines/>
        <w:overflowPunct/>
        <w:autoSpaceDE/>
        <w:autoSpaceDN/>
        <w:adjustRightInd/>
        <w:spacing w:after="240" w:line="360" w:lineRule="auto"/>
        <w:textAlignment w:val="auto"/>
        <w:outlineLvl w:val="2"/>
        <w:rPr>
          <w:rFonts w:eastAsia="MS PGothic"/>
          <w:sz w:val="24"/>
          <w:szCs w:val="24"/>
        </w:rPr>
      </w:pPr>
      <w:r w:rsidRPr="00C825EC">
        <w:rPr>
          <w:rFonts w:eastAsia="MS PGothic"/>
          <w:sz w:val="24"/>
          <w:szCs w:val="24"/>
        </w:rPr>
        <w:t>The Chief Executive and Deputy Chief Executive gave additional assurance during the meeting to support the context within risks 1 and 2 which position well SEPA as being prepared in the context of public service reform.</w:t>
      </w:r>
    </w:p>
    <w:p w14:paraId="15C9AAD4" w14:textId="77777777" w:rsidR="001D3AF5" w:rsidRPr="00C825EC" w:rsidRDefault="001D3AF5" w:rsidP="001D3AF5">
      <w:pPr>
        <w:keepNext/>
        <w:keepLines/>
        <w:overflowPunct/>
        <w:autoSpaceDE/>
        <w:autoSpaceDN/>
        <w:adjustRightInd/>
        <w:spacing w:after="240" w:line="360" w:lineRule="auto"/>
        <w:textAlignment w:val="auto"/>
        <w:outlineLvl w:val="2"/>
        <w:rPr>
          <w:rFonts w:eastAsia="MS PGothic"/>
          <w:sz w:val="24"/>
          <w:szCs w:val="24"/>
        </w:rPr>
      </w:pPr>
    </w:p>
    <w:p w14:paraId="76EABA65" w14:textId="326D873B" w:rsidR="00232469" w:rsidRPr="007503D1" w:rsidRDefault="00232469" w:rsidP="2E94C281">
      <w:pPr>
        <w:spacing w:after="240" w:line="360" w:lineRule="auto"/>
        <w:rPr>
          <w:rFonts w:eastAsia="MS PGothic"/>
          <w:sz w:val="24"/>
          <w:szCs w:val="24"/>
        </w:rPr>
      </w:pPr>
      <w:r w:rsidRPr="2E94C281">
        <w:rPr>
          <w:rFonts w:eastAsia="MS PGothic"/>
          <w:b/>
          <w:bCs/>
          <w:sz w:val="28"/>
          <w:szCs w:val="28"/>
        </w:rPr>
        <w:t xml:space="preserve">Author: </w:t>
      </w:r>
      <w:r w:rsidRPr="2E94C281">
        <w:rPr>
          <w:rFonts w:eastAsia="MS PGothic"/>
          <w:sz w:val="24"/>
          <w:szCs w:val="24"/>
        </w:rPr>
        <w:t xml:space="preserve"> </w:t>
      </w:r>
      <w:r w:rsidR="713BBC32" w:rsidRPr="2E94C281">
        <w:rPr>
          <w:rFonts w:eastAsia="MS PGothic"/>
          <w:sz w:val="24"/>
          <w:szCs w:val="24"/>
        </w:rPr>
        <w:t>Alanna Sloan</w:t>
      </w:r>
      <w:r w:rsidRPr="2E94C281">
        <w:rPr>
          <w:rFonts w:eastAsia="MS PGothic"/>
          <w:sz w:val="24"/>
          <w:szCs w:val="24"/>
        </w:rPr>
        <w:t xml:space="preserve">, </w:t>
      </w:r>
      <w:r w:rsidR="00DB0DA1" w:rsidRPr="2E94C281">
        <w:rPr>
          <w:rFonts w:eastAsia="MS PGothic"/>
          <w:sz w:val="24"/>
          <w:szCs w:val="24"/>
        </w:rPr>
        <w:t>Assurance and Risk</w:t>
      </w:r>
      <w:r w:rsidR="0D2256FE" w:rsidRPr="2E94C281">
        <w:rPr>
          <w:rFonts w:eastAsia="MS PGothic"/>
          <w:sz w:val="24"/>
          <w:szCs w:val="24"/>
        </w:rPr>
        <w:t xml:space="preserve"> Manager</w:t>
      </w:r>
      <w:r w:rsidR="00431AF2">
        <w:rPr>
          <w:rFonts w:eastAsia="MS PGothic"/>
          <w:sz w:val="24"/>
          <w:szCs w:val="24"/>
        </w:rPr>
        <w:t>, Assurance and Risk</w:t>
      </w:r>
    </w:p>
    <w:p w14:paraId="25FDBAF7" w14:textId="08CD2B42" w:rsidR="00232469" w:rsidRPr="007503D1" w:rsidRDefault="00902B1A" w:rsidP="00614F02">
      <w:pPr>
        <w:overflowPunct/>
        <w:autoSpaceDE/>
        <w:autoSpaceDN/>
        <w:adjustRightInd/>
        <w:spacing w:after="240" w:line="360" w:lineRule="auto"/>
        <w:textAlignment w:val="auto"/>
        <w:rPr>
          <w:rFonts w:eastAsia="MS PGothic"/>
          <w:sz w:val="24"/>
          <w:szCs w:val="24"/>
        </w:rPr>
      </w:pPr>
      <w:r w:rsidRPr="13E91E83">
        <w:rPr>
          <w:rFonts w:eastAsia="MS PGothic"/>
          <w:b/>
          <w:bCs/>
          <w:sz w:val="28"/>
          <w:szCs w:val="28"/>
        </w:rPr>
        <w:t>C</w:t>
      </w:r>
      <w:r w:rsidR="007D21DA">
        <w:rPr>
          <w:rFonts w:eastAsia="MS PGothic"/>
          <w:b/>
          <w:bCs/>
          <w:sz w:val="28"/>
          <w:szCs w:val="28"/>
        </w:rPr>
        <w:t xml:space="preserve">orporate </w:t>
      </w:r>
      <w:r w:rsidRPr="13E91E83">
        <w:rPr>
          <w:rFonts w:eastAsia="MS PGothic"/>
          <w:b/>
          <w:bCs/>
          <w:sz w:val="28"/>
          <w:szCs w:val="28"/>
        </w:rPr>
        <w:t>L</w:t>
      </w:r>
      <w:r w:rsidR="007D21DA">
        <w:rPr>
          <w:rFonts w:eastAsia="MS PGothic"/>
          <w:b/>
          <w:bCs/>
          <w:sz w:val="28"/>
          <w:szCs w:val="28"/>
        </w:rPr>
        <w:t xml:space="preserve">eadership </w:t>
      </w:r>
      <w:r w:rsidRPr="13E91E83">
        <w:rPr>
          <w:rFonts w:eastAsia="MS PGothic"/>
          <w:b/>
          <w:bCs/>
          <w:sz w:val="28"/>
          <w:szCs w:val="28"/>
        </w:rPr>
        <w:t>T</w:t>
      </w:r>
      <w:r w:rsidR="007D21DA">
        <w:rPr>
          <w:rFonts w:eastAsia="MS PGothic"/>
          <w:b/>
          <w:bCs/>
          <w:sz w:val="28"/>
          <w:szCs w:val="28"/>
        </w:rPr>
        <w:t>eam</w:t>
      </w:r>
      <w:r w:rsidR="009A1299" w:rsidRPr="13E91E83">
        <w:rPr>
          <w:rFonts w:eastAsia="MS PGothic"/>
          <w:b/>
          <w:bCs/>
          <w:sz w:val="28"/>
          <w:szCs w:val="28"/>
        </w:rPr>
        <w:t xml:space="preserve"> </w:t>
      </w:r>
      <w:r w:rsidR="00232469" w:rsidRPr="13E91E83">
        <w:rPr>
          <w:rFonts w:eastAsia="MS PGothic"/>
          <w:b/>
          <w:bCs/>
          <w:sz w:val="28"/>
          <w:szCs w:val="28"/>
        </w:rPr>
        <w:t>Sponsor</w:t>
      </w:r>
      <w:r w:rsidR="00232469" w:rsidRPr="007503D1">
        <w:rPr>
          <w:rFonts w:eastAsia="MS PGothic"/>
          <w:b/>
          <w:bCs/>
          <w:color w:val="000000"/>
          <w:sz w:val="24"/>
          <w:szCs w:val="24"/>
          <w:shd w:val="clear" w:color="auto" w:fill="FFFFFF"/>
        </w:rPr>
        <w:t xml:space="preserve">: </w:t>
      </w:r>
      <w:r w:rsidR="00232469" w:rsidRPr="007503D1">
        <w:rPr>
          <w:rFonts w:eastAsia="MS PGothic"/>
          <w:sz w:val="24"/>
          <w:szCs w:val="24"/>
        </w:rPr>
        <w:t xml:space="preserve">Kirsty-Louise Campbell, </w:t>
      </w:r>
      <w:r w:rsidR="024EB87D" w:rsidRPr="007503D1">
        <w:rPr>
          <w:rFonts w:eastAsia="MS PGothic"/>
          <w:sz w:val="24"/>
          <w:szCs w:val="24"/>
        </w:rPr>
        <w:t xml:space="preserve">Deputy Chief Executive </w:t>
      </w:r>
    </w:p>
    <w:p w14:paraId="11FA5C64" w14:textId="7A2E103F" w:rsidR="00232469" w:rsidRPr="007503D1" w:rsidRDefault="00232469" w:rsidP="00614F02">
      <w:pPr>
        <w:overflowPunct/>
        <w:autoSpaceDE/>
        <w:autoSpaceDN/>
        <w:adjustRightInd/>
        <w:spacing w:after="240" w:line="360" w:lineRule="auto"/>
        <w:textAlignment w:val="auto"/>
        <w:rPr>
          <w:rFonts w:eastAsia="MS PGothic"/>
          <w:color w:val="000000"/>
          <w:sz w:val="24"/>
          <w:szCs w:val="24"/>
          <w:shd w:val="clear" w:color="auto" w:fill="FFFFFF"/>
        </w:rPr>
      </w:pPr>
      <w:r w:rsidRPr="2E94C281">
        <w:rPr>
          <w:rFonts w:eastAsia="MS PGothic"/>
          <w:b/>
          <w:bCs/>
          <w:sz w:val="28"/>
          <w:szCs w:val="28"/>
        </w:rPr>
        <w:t>Date:</w:t>
      </w:r>
      <w:r w:rsidRPr="007503D1">
        <w:rPr>
          <w:rFonts w:eastAsia="MS PGothic"/>
          <w:color w:val="000000"/>
          <w:sz w:val="24"/>
          <w:szCs w:val="24"/>
          <w:shd w:val="clear" w:color="auto" w:fill="FFFFFF"/>
        </w:rPr>
        <w:t xml:space="preserve"> </w:t>
      </w:r>
      <w:r w:rsidR="00794C45">
        <w:rPr>
          <w:rFonts w:eastAsia="MS PGothic"/>
          <w:color w:val="000000"/>
          <w:sz w:val="24"/>
          <w:szCs w:val="24"/>
          <w:shd w:val="clear" w:color="auto" w:fill="FFFFFF"/>
        </w:rPr>
        <w:t>1</w:t>
      </w:r>
      <w:r w:rsidR="009C11E5">
        <w:rPr>
          <w:rFonts w:eastAsia="MS PGothic"/>
          <w:color w:val="000000"/>
          <w:sz w:val="24"/>
          <w:szCs w:val="24"/>
          <w:shd w:val="clear" w:color="auto" w:fill="FFFFFF"/>
        </w:rPr>
        <w:t>9</w:t>
      </w:r>
      <w:r w:rsidR="007503D1" w:rsidRPr="007503D1">
        <w:rPr>
          <w:rFonts w:eastAsia="MS PGothic"/>
          <w:color w:val="000000"/>
          <w:sz w:val="24"/>
          <w:szCs w:val="24"/>
          <w:shd w:val="clear" w:color="auto" w:fill="FFFFFF"/>
        </w:rPr>
        <w:t xml:space="preserve"> </w:t>
      </w:r>
      <w:r w:rsidR="004E238B">
        <w:rPr>
          <w:rFonts w:eastAsia="MS PGothic"/>
          <w:color w:val="000000"/>
          <w:sz w:val="24"/>
          <w:szCs w:val="24"/>
          <w:shd w:val="clear" w:color="auto" w:fill="FFFFFF"/>
        </w:rPr>
        <w:t>June</w:t>
      </w:r>
      <w:r w:rsidR="007503D1" w:rsidRPr="007503D1">
        <w:rPr>
          <w:rFonts w:eastAsia="MS PGothic"/>
          <w:color w:val="000000"/>
          <w:sz w:val="24"/>
          <w:szCs w:val="24"/>
          <w:shd w:val="clear" w:color="auto" w:fill="FFFFFF"/>
        </w:rPr>
        <w:t xml:space="preserve"> 202</w:t>
      </w:r>
      <w:r w:rsidR="460DFA42" w:rsidRPr="007503D1">
        <w:rPr>
          <w:rFonts w:eastAsia="MS PGothic"/>
          <w:color w:val="000000"/>
          <w:sz w:val="24"/>
          <w:szCs w:val="24"/>
          <w:shd w:val="clear" w:color="auto" w:fill="FFFFFF"/>
        </w:rPr>
        <w:t>6</w:t>
      </w:r>
    </w:p>
    <w:p w14:paraId="74551AFF" w14:textId="77777777" w:rsidR="007B4338" w:rsidRPr="0010101E" w:rsidRDefault="007B4338" w:rsidP="00614F02">
      <w:pPr>
        <w:overflowPunct/>
        <w:autoSpaceDE/>
        <w:autoSpaceDN/>
        <w:adjustRightInd/>
        <w:spacing w:after="240"/>
        <w:textAlignment w:val="auto"/>
        <w:rPr>
          <w:b/>
          <w:highlight w:val="yellow"/>
        </w:rPr>
        <w:sectPr w:rsidR="007B4338" w:rsidRPr="0010101E" w:rsidSect="00180539">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09" w:footer="709" w:gutter="0"/>
          <w:cols w:space="708"/>
          <w:docGrid w:linePitch="360"/>
        </w:sectPr>
      </w:pPr>
    </w:p>
    <w:p w14:paraId="7FC05B68" w14:textId="0D38BB98" w:rsidR="006A642D" w:rsidRPr="007503D1" w:rsidRDefault="00E66B1F" w:rsidP="00614F02">
      <w:pPr>
        <w:spacing w:after="240"/>
        <w:rPr>
          <w:color w:val="0070C0"/>
        </w:rPr>
      </w:pPr>
      <w:r w:rsidRPr="007503D1">
        <w:rPr>
          <w:rFonts w:eastAsia="MS PGothic"/>
          <w:noProof/>
          <w:sz w:val="24"/>
          <w:szCs w:val="24"/>
        </w:rPr>
        <w:lastRenderedPageBreak/>
        <w:drawing>
          <wp:inline distT="0" distB="0" distL="0" distR="0" wp14:anchorId="6105CF38" wp14:editId="36EB7DEC">
            <wp:extent cx="3067200" cy="770400"/>
            <wp:effectExtent l="0" t="0" r="0" b="4445"/>
            <wp:docPr id="826145713" name="Picture 826145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7E467784" w14:textId="74F81B3E" w:rsidR="005350F4" w:rsidRPr="00C97CD5" w:rsidRDefault="005350F4" w:rsidP="005350F4">
      <w:pPr>
        <w:keepNext/>
        <w:keepLines/>
        <w:overflowPunct/>
        <w:autoSpaceDE/>
        <w:autoSpaceDN/>
        <w:adjustRightInd/>
        <w:spacing w:after="240" w:line="259" w:lineRule="auto"/>
        <w:textAlignment w:val="auto"/>
        <w:outlineLvl w:val="0"/>
        <w:rPr>
          <w:rFonts w:ascii="Aptos Display" w:eastAsia="Times New Roman" w:hAnsi="Aptos Display" w:cs="Times New Roman"/>
          <w:b/>
          <w:bCs/>
          <w:color w:val="0F4761"/>
          <w:kern w:val="2"/>
          <w:sz w:val="40"/>
          <w:szCs w:val="40"/>
          <w14:ligatures w14:val="standardContextual"/>
        </w:rPr>
      </w:pPr>
      <w:bookmarkStart w:id="0" w:name="_Toc176784313"/>
      <w:bookmarkStart w:id="1" w:name="App2"/>
      <w:r w:rsidRPr="00C97CD5">
        <w:rPr>
          <w:rFonts w:ascii="Aptos Display" w:eastAsia="Times New Roman" w:hAnsi="Aptos Display" w:cs="Times New Roman"/>
          <w:b/>
          <w:bCs/>
          <w:color w:val="0F4761"/>
          <w:kern w:val="2"/>
          <w:sz w:val="40"/>
          <w:szCs w:val="40"/>
          <w14:ligatures w14:val="standardContextual"/>
        </w:rPr>
        <w:t xml:space="preserve">Summary </w:t>
      </w:r>
      <w:bookmarkEnd w:id="0"/>
      <w:r w:rsidRPr="00C97CD5">
        <w:rPr>
          <w:rFonts w:ascii="Aptos Display" w:eastAsia="Times New Roman" w:hAnsi="Aptos Display" w:cs="Times New Roman"/>
          <w:b/>
          <w:bCs/>
          <w:color w:val="0F4761"/>
          <w:kern w:val="2"/>
          <w:sz w:val="40"/>
          <w:szCs w:val="40"/>
          <w14:ligatures w14:val="standardContextual"/>
        </w:rPr>
        <w:t>Principal Risk Register</w:t>
      </w:r>
    </w:p>
    <w:tbl>
      <w:tblPr>
        <w:tblStyle w:val="TableGrid17"/>
        <w:tblW w:w="4275" w:type="pct"/>
        <w:tblLayout w:type="fixed"/>
        <w:tblLook w:val="04A0" w:firstRow="1" w:lastRow="0" w:firstColumn="1" w:lastColumn="0" w:noHBand="0" w:noVBand="1"/>
        <w:tblCaption w:val="principal risk register summary table"/>
        <w:tblDescription w:val="a table condensing the information contained in the dashboards from the pages that follow. Information contained in table is the risk description with the colour coded inherent and residual risk scores, owner and risk category for each one. All information contained in this table is repeated with additional detail in the corresponding risk dashboard for each risk. &#10;"/>
      </w:tblPr>
      <w:tblGrid>
        <w:gridCol w:w="6401"/>
        <w:gridCol w:w="1832"/>
        <w:gridCol w:w="1851"/>
        <w:gridCol w:w="2019"/>
        <w:gridCol w:w="1514"/>
        <w:gridCol w:w="2688"/>
        <w:gridCol w:w="2814"/>
      </w:tblGrid>
      <w:tr w:rsidR="00B41A65" w:rsidRPr="00C97CD5" w14:paraId="1D643D89" w14:textId="77777777" w:rsidTr="00186036">
        <w:trPr>
          <w:trHeight w:val="142"/>
        </w:trPr>
        <w:tc>
          <w:tcPr>
            <w:tcW w:w="1674" w:type="pct"/>
            <w:shd w:val="clear" w:color="auto" w:fill="016574"/>
            <w:vAlign w:val="center"/>
          </w:tcPr>
          <w:bookmarkEnd w:id="1"/>
          <w:p w14:paraId="13CE6F47" w14:textId="2652764A" w:rsidR="00B41A65" w:rsidRPr="00186036" w:rsidRDefault="00344EF1" w:rsidP="00186036">
            <w:pPr>
              <w:overflowPunct/>
              <w:autoSpaceDE/>
              <w:autoSpaceDN/>
              <w:adjustRightInd/>
              <w:spacing w:after="240"/>
              <w:jc w:val="center"/>
              <w:textAlignment w:val="auto"/>
              <w:rPr>
                <w:rFonts w:eastAsia="Aptos"/>
                <w:b/>
                <w:bCs/>
                <w:color w:val="FFFFFF"/>
                <w:sz w:val="28"/>
                <w:szCs w:val="28"/>
              </w:rPr>
            </w:pPr>
            <w:r w:rsidRPr="00186036">
              <w:rPr>
                <w:rFonts w:eastAsia="Aptos"/>
                <w:b/>
                <w:bCs/>
                <w:color w:val="FFFFFF"/>
              </w:rPr>
              <w:t>Principal Risk T</w:t>
            </w:r>
            <w:r w:rsidR="00186036" w:rsidRPr="00186036">
              <w:rPr>
                <w:rFonts w:eastAsia="Aptos"/>
                <w:b/>
                <w:bCs/>
                <w:color w:val="FFFFFF"/>
              </w:rPr>
              <w:t>itle</w:t>
            </w:r>
          </w:p>
        </w:tc>
        <w:tc>
          <w:tcPr>
            <w:tcW w:w="479" w:type="pct"/>
            <w:shd w:val="clear" w:color="auto" w:fill="016574"/>
            <w:vAlign w:val="center"/>
          </w:tcPr>
          <w:p w14:paraId="47C80D03" w14:textId="569C3832" w:rsidR="00B41A65" w:rsidRPr="00CD2D21" w:rsidRDefault="00CD2D21" w:rsidP="00186036">
            <w:pPr>
              <w:overflowPunct/>
              <w:autoSpaceDE/>
              <w:autoSpaceDN/>
              <w:adjustRightInd/>
              <w:spacing w:after="240"/>
              <w:jc w:val="center"/>
              <w:textAlignment w:val="auto"/>
              <w:rPr>
                <w:rFonts w:eastAsia="Aptos"/>
                <w:b/>
                <w:bCs/>
                <w:color w:val="FFFFFF"/>
              </w:rPr>
            </w:pPr>
            <w:r w:rsidRPr="00CD2D21">
              <w:rPr>
                <w:rFonts w:eastAsia="Aptos"/>
                <w:b/>
                <w:bCs/>
                <w:color w:val="FFFFFF"/>
              </w:rPr>
              <w:t>Inherent Rating</w:t>
            </w:r>
          </w:p>
          <w:p w14:paraId="6F19FD71" w14:textId="12648787" w:rsidR="00CD2D21" w:rsidRPr="00CD2D21" w:rsidRDefault="00CD2D21" w:rsidP="00186036">
            <w:pPr>
              <w:overflowPunct/>
              <w:autoSpaceDE/>
              <w:autoSpaceDN/>
              <w:adjustRightInd/>
              <w:spacing w:after="240"/>
              <w:jc w:val="center"/>
              <w:textAlignment w:val="auto"/>
              <w:rPr>
                <w:rFonts w:eastAsia="Aptos"/>
                <w:b/>
                <w:bCs/>
                <w:color w:val="FFFFFF"/>
              </w:rPr>
            </w:pPr>
            <w:r w:rsidRPr="00CD2D21">
              <w:rPr>
                <w:rFonts w:eastAsia="Aptos"/>
                <w:b/>
                <w:bCs/>
                <w:color w:val="FFFFFF"/>
              </w:rPr>
              <w:t>(Q4 2025-2026)</w:t>
            </w:r>
          </w:p>
        </w:tc>
        <w:tc>
          <w:tcPr>
            <w:tcW w:w="484" w:type="pct"/>
            <w:shd w:val="clear" w:color="auto" w:fill="016574"/>
            <w:vAlign w:val="center"/>
          </w:tcPr>
          <w:p w14:paraId="68BA3297" w14:textId="684DAAC5" w:rsidR="00B41A65" w:rsidRPr="00CD2D21" w:rsidRDefault="00CD2D21" w:rsidP="00186036">
            <w:pPr>
              <w:overflowPunct/>
              <w:autoSpaceDE/>
              <w:autoSpaceDN/>
              <w:adjustRightInd/>
              <w:spacing w:after="240"/>
              <w:jc w:val="center"/>
              <w:textAlignment w:val="auto"/>
              <w:rPr>
                <w:rFonts w:eastAsia="Aptos"/>
                <w:b/>
                <w:bCs/>
                <w:color w:val="FFFFFF"/>
              </w:rPr>
            </w:pPr>
            <w:r w:rsidRPr="00CD2D21">
              <w:rPr>
                <w:rFonts w:eastAsia="Aptos"/>
                <w:b/>
                <w:bCs/>
                <w:color w:val="FFFFFF"/>
              </w:rPr>
              <w:t>Residual Rating</w:t>
            </w:r>
          </w:p>
          <w:p w14:paraId="34476A5E" w14:textId="3C5D2578" w:rsidR="00CD2D21" w:rsidRPr="00CD2D21" w:rsidRDefault="00CD2D21" w:rsidP="00186036">
            <w:pPr>
              <w:overflowPunct/>
              <w:autoSpaceDE/>
              <w:autoSpaceDN/>
              <w:adjustRightInd/>
              <w:spacing w:after="240"/>
              <w:jc w:val="center"/>
              <w:textAlignment w:val="auto"/>
              <w:rPr>
                <w:rFonts w:eastAsia="Aptos"/>
                <w:b/>
                <w:bCs/>
                <w:color w:val="FFFFFF"/>
              </w:rPr>
            </w:pPr>
            <w:r w:rsidRPr="00CD2D21">
              <w:rPr>
                <w:rFonts w:eastAsia="Aptos"/>
                <w:b/>
                <w:bCs/>
                <w:color w:val="FFFFFF"/>
              </w:rPr>
              <w:t>(Q4 2025-2026)</w:t>
            </w:r>
          </w:p>
        </w:tc>
        <w:tc>
          <w:tcPr>
            <w:tcW w:w="528" w:type="pct"/>
            <w:shd w:val="clear" w:color="auto" w:fill="016574"/>
            <w:vAlign w:val="center"/>
          </w:tcPr>
          <w:p w14:paraId="32C85750" w14:textId="0A40AEF0" w:rsidR="00B41A65" w:rsidRPr="00CD2D21" w:rsidRDefault="00B41A65" w:rsidP="00186036">
            <w:pPr>
              <w:overflowPunct/>
              <w:autoSpaceDE/>
              <w:autoSpaceDN/>
              <w:adjustRightInd/>
              <w:spacing w:after="240"/>
              <w:jc w:val="center"/>
              <w:textAlignment w:val="auto"/>
              <w:rPr>
                <w:rFonts w:eastAsia="Aptos"/>
                <w:b/>
                <w:bCs/>
                <w:color w:val="FFFFFF"/>
              </w:rPr>
            </w:pPr>
            <w:r w:rsidRPr="00CD2D21">
              <w:rPr>
                <w:rFonts w:eastAsia="Aptos"/>
                <w:b/>
                <w:bCs/>
                <w:color w:val="FFFFFF"/>
              </w:rPr>
              <w:t xml:space="preserve">Score </w:t>
            </w:r>
            <w:r w:rsidR="00BB3412">
              <w:rPr>
                <w:rFonts w:eastAsia="Aptos"/>
                <w:b/>
                <w:bCs/>
                <w:color w:val="FFFFFF"/>
              </w:rPr>
              <w:t>m</w:t>
            </w:r>
            <w:r w:rsidRPr="00CD2D21">
              <w:rPr>
                <w:rFonts w:eastAsia="Aptos"/>
                <w:b/>
                <w:bCs/>
                <w:color w:val="FFFFFF"/>
              </w:rPr>
              <w:t>ovement</w:t>
            </w:r>
            <w:r w:rsidR="00CD2D21">
              <w:rPr>
                <w:rFonts w:eastAsia="Aptos"/>
                <w:b/>
                <w:bCs/>
                <w:color w:val="FFFFFF"/>
              </w:rPr>
              <w:t xml:space="preserve"> since previous </w:t>
            </w:r>
            <w:r w:rsidR="00BB3412">
              <w:rPr>
                <w:rFonts w:eastAsia="Aptos"/>
                <w:b/>
                <w:bCs/>
                <w:color w:val="FFFFFF"/>
              </w:rPr>
              <w:t>quarter</w:t>
            </w:r>
          </w:p>
        </w:tc>
        <w:tc>
          <w:tcPr>
            <w:tcW w:w="396" w:type="pct"/>
            <w:shd w:val="clear" w:color="auto" w:fill="016574"/>
            <w:vAlign w:val="center"/>
          </w:tcPr>
          <w:p w14:paraId="4ACA769F" w14:textId="2CC949F0" w:rsidR="00B41A65" w:rsidRPr="00CD2D21" w:rsidRDefault="00B41A65" w:rsidP="00186036">
            <w:pPr>
              <w:overflowPunct/>
              <w:autoSpaceDE/>
              <w:autoSpaceDN/>
              <w:adjustRightInd/>
              <w:spacing w:after="240"/>
              <w:jc w:val="center"/>
              <w:textAlignment w:val="auto"/>
              <w:rPr>
                <w:rFonts w:eastAsia="Aptos"/>
                <w:b/>
                <w:bCs/>
                <w:color w:val="FFFFFF"/>
              </w:rPr>
            </w:pPr>
            <w:r w:rsidRPr="00CD2D21">
              <w:rPr>
                <w:rFonts w:eastAsia="Aptos"/>
                <w:b/>
                <w:bCs/>
                <w:color w:val="FFFFFF"/>
              </w:rPr>
              <w:t>Risk Appetite</w:t>
            </w:r>
          </w:p>
        </w:tc>
        <w:tc>
          <w:tcPr>
            <w:tcW w:w="703" w:type="pct"/>
            <w:shd w:val="clear" w:color="auto" w:fill="016574"/>
            <w:vAlign w:val="center"/>
          </w:tcPr>
          <w:p w14:paraId="268C955C" w14:textId="34016A7F" w:rsidR="00B41A65" w:rsidRPr="00CD2D21" w:rsidRDefault="00B41A65" w:rsidP="00186036">
            <w:pPr>
              <w:overflowPunct/>
              <w:autoSpaceDE/>
              <w:autoSpaceDN/>
              <w:adjustRightInd/>
              <w:spacing w:after="240"/>
              <w:jc w:val="center"/>
              <w:textAlignment w:val="auto"/>
              <w:rPr>
                <w:rFonts w:eastAsia="Aptos"/>
                <w:b/>
                <w:bCs/>
                <w:color w:val="FFFFFF"/>
              </w:rPr>
            </w:pPr>
            <w:r w:rsidRPr="00CD2D21">
              <w:rPr>
                <w:rFonts w:eastAsia="Aptos"/>
                <w:b/>
                <w:bCs/>
                <w:color w:val="FFFFFF"/>
              </w:rPr>
              <w:t>Risk Owner</w:t>
            </w:r>
          </w:p>
        </w:tc>
        <w:tc>
          <w:tcPr>
            <w:tcW w:w="736" w:type="pct"/>
            <w:shd w:val="clear" w:color="auto" w:fill="016574"/>
            <w:vAlign w:val="center"/>
          </w:tcPr>
          <w:p w14:paraId="7A4AA9E2" w14:textId="5D394778" w:rsidR="00B41A65" w:rsidRPr="00CD2D21" w:rsidRDefault="00B41A65" w:rsidP="00186036">
            <w:pPr>
              <w:tabs>
                <w:tab w:val="left" w:pos="1470"/>
                <w:tab w:val="left" w:pos="3945"/>
              </w:tabs>
              <w:overflowPunct/>
              <w:autoSpaceDE/>
              <w:autoSpaceDN/>
              <w:adjustRightInd/>
              <w:spacing w:after="240"/>
              <w:jc w:val="center"/>
              <w:textAlignment w:val="auto"/>
              <w:rPr>
                <w:rFonts w:eastAsia="Aptos"/>
                <w:b/>
                <w:bCs/>
                <w:color w:val="FFFFFF"/>
              </w:rPr>
            </w:pPr>
            <w:r w:rsidRPr="00CD2D21">
              <w:rPr>
                <w:rFonts w:eastAsia="Aptos"/>
                <w:b/>
                <w:bCs/>
                <w:color w:val="FFFFFF"/>
              </w:rPr>
              <w:t>Risk Category</w:t>
            </w:r>
          </w:p>
        </w:tc>
      </w:tr>
      <w:tr w:rsidR="00B41A65" w:rsidRPr="00C97CD5" w14:paraId="7EBC7919" w14:textId="77777777" w:rsidTr="00186036">
        <w:trPr>
          <w:trHeight w:val="809"/>
        </w:trPr>
        <w:tc>
          <w:tcPr>
            <w:tcW w:w="1674" w:type="pct"/>
            <w:vAlign w:val="center"/>
          </w:tcPr>
          <w:p w14:paraId="2999831E" w14:textId="77777777" w:rsidR="00B41A65" w:rsidRPr="00C97CD5" w:rsidRDefault="00B41A65" w:rsidP="00AF2350">
            <w:pPr>
              <w:numPr>
                <w:ilvl w:val="0"/>
                <w:numId w:val="18"/>
              </w:numPr>
              <w:overflowPunct/>
              <w:autoSpaceDE/>
              <w:autoSpaceDN/>
              <w:adjustRightInd/>
              <w:spacing w:after="240"/>
              <w:ind w:left="306"/>
              <w:contextualSpacing/>
              <w:textAlignment w:val="auto"/>
              <w:rPr>
                <w:rFonts w:eastAsia="Aptos"/>
              </w:rPr>
            </w:pPr>
            <w:r w:rsidRPr="008723CC">
              <w:rPr>
                <w:rFonts w:eastAsia="Aptos"/>
              </w:rPr>
              <w:t>Inability to anticipate, influence and adapt to the evolving political, legislative and policy landscape in terms of our statutory purpose.</w:t>
            </w:r>
          </w:p>
        </w:tc>
        <w:tc>
          <w:tcPr>
            <w:tcW w:w="479" w:type="pct"/>
            <w:shd w:val="clear" w:color="auto" w:fill="FFC000" w:themeFill="accent4"/>
            <w:vAlign w:val="center"/>
          </w:tcPr>
          <w:p w14:paraId="1159BFFF" w14:textId="39B13E17" w:rsidR="00B41A65" w:rsidRPr="00731BFD" w:rsidRDefault="00517333" w:rsidP="00AF2350">
            <w:pPr>
              <w:overflowPunct/>
              <w:autoSpaceDE/>
              <w:autoSpaceDN/>
              <w:adjustRightInd/>
              <w:spacing w:after="240"/>
              <w:jc w:val="center"/>
              <w:textAlignment w:val="auto"/>
              <w:rPr>
                <w:rFonts w:eastAsia="Aptos"/>
              </w:rPr>
            </w:pPr>
            <w:r>
              <w:rPr>
                <w:rFonts w:eastAsia="Aptos"/>
              </w:rPr>
              <w:t>High</w:t>
            </w:r>
          </w:p>
        </w:tc>
        <w:tc>
          <w:tcPr>
            <w:tcW w:w="484" w:type="pct"/>
            <w:shd w:val="clear" w:color="auto" w:fill="FFFF00"/>
            <w:vAlign w:val="center"/>
          </w:tcPr>
          <w:p w14:paraId="12947981" w14:textId="48147543" w:rsidR="00B41A65" w:rsidRPr="00731BFD" w:rsidRDefault="00517333" w:rsidP="00AF2350">
            <w:pPr>
              <w:overflowPunct/>
              <w:autoSpaceDE/>
              <w:autoSpaceDN/>
              <w:adjustRightInd/>
              <w:spacing w:after="240"/>
              <w:jc w:val="center"/>
              <w:textAlignment w:val="auto"/>
              <w:rPr>
                <w:rFonts w:eastAsia="Aptos"/>
              </w:rPr>
            </w:pPr>
            <w:r>
              <w:rPr>
                <w:rFonts w:eastAsia="Aptos"/>
              </w:rPr>
              <w:t>Medium</w:t>
            </w:r>
          </w:p>
        </w:tc>
        <w:tc>
          <w:tcPr>
            <w:tcW w:w="528" w:type="pct"/>
            <w:vAlign w:val="center"/>
          </w:tcPr>
          <w:p w14:paraId="650611B8"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Pr>
                <w:rFonts w:eastAsia="Aptos"/>
                <w:b/>
                <w:bCs/>
                <w:sz w:val="32"/>
                <w:szCs w:val="32"/>
              </w:rPr>
              <w:t>↓</w:t>
            </w:r>
          </w:p>
        </w:tc>
        <w:tc>
          <w:tcPr>
            <w:tcW w:w="396" w:type="pct"/>
            <w:vAlign w:val="center"/>
          </w:tcPr>
          <w:p w14:paraId="34E2A11A"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Open</w:t>
            </w:r>
          </w:p>
        </w:tc>
        <w:tc>
          <w:tcPr>
            <w:tcW w:w="703" w:type="pct"/>
            <w:vAlign w:val="center"/>
          </w:tcPr>
          <w:p w14:paraId="61015D73"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Officer GPE</w:t>
            </w:r>
          </w:p>
        </w:tc>
        <w:tc>
          <w:tcPr>
            <w:tcW w:w="736" w:type="pct"/>
            <w:vAlign w:val="center"/>
          </w:tcPr>
          <w:p w14:paraId="0C6AF818"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Strategic</w:t>
            </w:r>
          </w:p>
        </w:tc>
      </w:tr>
      <w:tr w:rsidR="00B41A65" w:rsidRPr="00C97CD5" w14:paraId="40A1FEF4" w14:textId="77777777" w:rsidTr="00186036">
        <w:trPr>
          <w:trHeight w:val="759"/>
        </w:trPr>
        <w:tc>
          <w:tcPr>
            <w:tcW w:w="1674" w:type="pct"/>
            <w:vAlign w:val="center"/>
          </w:tcPr>
          <w:p w14:paraId="1F7E9FC2" w14:textId="4DBCAD20" w:rsidR="00B41A65" w:rsidRPr="00C97CD5" w:rsidRDefault="00B41A65" w:rsidP="00AF2350">
            <w:pPr>
              <w:numPr>
                <w:ilvl w:val="0"/>
                <w:numId w:val="18"/>
              </w:numPr>
              <w:overflowPunct/>
              <w:autoSpaceDE/>
              <w:autoSpaceDN/>
              <w:adjustRightInd/>
              <w:spacing w:after="240"/>
              <w:ind w:left="306"/>
              <w:contextualSpacing/>
              <w:textAlignment w:val="auto"/>
              <w:rPr>
                <w:rFonts w:eastAsia="Aptos"/>
              </w:rPr>
            </w:pPr>
            <w:r w:rsidRPr="00BC3D72">
              <w:rPr>
                <w:rFonts w:eastAsia="Aptos"/>
              </w:rPr>
              <w:t>We are not flexible and agile enough for transformation and public se</w:t>
            </w:r>
            <w:r w:rsidR="00CB1266">
              <w:rPr>
                <w:rFonts w:eastAsia="Aptos"/>
              </w:rPr>
              <w:t>rvice</w:t>
            </w:r>
            <w:r w:rsidRPr="00BC3D72">
              <w:rPr>
                <w:rFonts w:eastAsia="Aptos"/>
              </w:rPr>
              <w:t xml:space="preserve"> reform to ensure our services are future ready.</w:t>
            </w:r>
          </w:p>
        </w:tc>
        <w:tc>
          <w:tcPr>
            <w:tcW w:w="479" w:type="pct"/>
            <w:shd w:val="clear" w:color="auto" w:fill="FFC000" w:themeFill="accent4"/>
            <w:vAlign w:val="center"/>
          </w:tcPr>
          <w:p w14:paraId="3806BFDC" w14:textId="199F0B9F" w:rsidR="00B41A65" w:rsidRPr="00CC51EF" w:rsidRDefault="00517333" w:rsidP="00AF2350">
            <w:pPr>
              <w:overflowPunct/>
              <w:autoSpaceDE/>
              <w:autoSpaceDN/>
              <w:adjustRightInd/>
              <w:spacing w:after="240"/>
              <w:jc w:val="center"/>
              <w:textAlignment w:val="auto"/>
              <w:rPr>
                <w:rFonts w:eastAsia="Aptos"/>
              </w:rPr>
            </w:pPr>
            <w:r>
              <w:rPr>
                <w:rFonts w:eastAsia="Aptos"/>
              </w:rPr>
              <w:t>High</w:t>
            </w:r>
          </w:p>
        </w:tc>
        <w:tc>
          <w:tcPr>
            <w:tcW w:w="484" w:type="pct"/>
            <w:shd w:val="clear" w:color="auto" w:fill="FFFF00"/>
            <w:vAlign w:val="center"/>
          </w:tcPr>
          <w:p w14:paraId="4A19245F" w14:textId="771E3596" w:rsidR="00B41A65" w:rsidRPr="00CC51EF" w:rsidRDefault="00517333" w:rsidP="00AF2350">
            <w:pPr>
              <w:overflowPunct/>
              <w:autoSpaceDE/>
              <w:autoSpaceDN/>
              <w:adjustRightInd/>
              <w:spacing w:after="240"/>
              <w:jc w:val="center"/>
              <w:textAlignment w:val="auto"/>
              <w:rPr>
                <w:rFonts w:eastAsia="Aptos"/>
              </w:rPr>
            </w:pPr>
            <w:r>
              <w:rPr>
                <w:rFonts w:eastAsia="Aptos"/>
              </w:rPr>
              <w:t>Medium</w:t>
            </w:r>
          </w:p>
        </w:tc>
        <w:tc>
          <w:tcPr>
            <w:tcW w:w="528" w:type="pct"/>
            <w:vAlign w:val="center"/>
          </w:tcPr>
          <w:p w14:paraId="41953777"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sidRPr="005D4731">
              <w:rPr>
                <w:rFonts w:ascii="Wingdings" w:eastAsia="Wingdings" w:hAnsi="Wingdings" w:cs="Wingdings"/>
                <w:b/>
                <w:sz w:val="32"/>
                <w:szCs w:val="32"/>
              </w:rPr>
              <w:t>ó</w:t>
            </w:r>
          </w:p>
        </w:tc>
        <w:tc>
          <w:tcPr>
            <w:tcW w:w="396" w:type="pct"/>
            <w:vAlign w:val="center"/>
          </w:tcPr>
          <w:p w14:paraId="147D99BD"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Open</w:t>
            </w:r>
          </w:p>
        </w:tc>
        <w:tc>
          <w:tcPr>
            <w:tcW w:w="703" w:type="pct"/>
            <w:vAlign w:val="center"/>
          </w:tcPr>
          <w:p w14:paraId="088632D9"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Officer GPE</w:t>
            </w:r>
          </w:p>
        </w:tc>
        <w:tc>
          <w:tcPr>
            <w:tcW w:w="736" w:type="pct"/>
            <w:vAlign w:val="center"/>
          </w:tcPr>
          <w:p w14:paraId="1F5951C0"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Strategic</w:t>
            </w:r>
          </w:p>
        </w:tc>
      </w:tr>
      <w:tr w:rsidR="00B41A65" w:rsidRPr="00C97CD5" w14:paraId="558BDACA" w14:textId="77777777" w:rsidTr="00186036">
        <w:trPr>
          <w:trHeight w:val="826"/>
        </w:trPr>
        <w:tc>
          <w:tcPr>
            <w:tcW w:w="1674" w:type="pct"/>
            <w:vAlign w:val="center"/>
          </w:tcPr>
          <w:p w14:paraId="21BEA611" w14:textId="77777777" w:rsidR="00B41A65" w:rsidRPr="00AE6E75" w:rsidRDefault="00B41A65" w:rsidP="00AF2350">
            <w:pPr>
              <w:numPr>
                <w:ilvl w:val="0"/>
                <w:numId w:val="18"/>
              </w:numPr>
              <w:overflowPunct/>
              <w:autoSpaceDE/>
              <w:autoSpaceDN/>
              <w:adjustRightInd/>
              <w:spacing w:after="240"/>
              <w:ind w:left="306"/>
              <w:contextualSpacing/>
              <w:textAlignment w:val="auto"/>
              <w:rPr>
                <w:rFonts w:eastAsia="Aptos"/>
              </w:rPr>
            </w:pPr>
            <w:r w:rsidRPr="00AE6E75">
              <w:rPr>
                <w:rFonts w:eastAsia="Aptos"/>
              </w:rPr>
              <w:t>We are unprepared to plan for, respond to and recover from significant disruptive events attributed to the pace of climate change.</w:t>
            </w:r>
          </w:p>
        </w:tc>
        <w:tc>
          <w:tcPr>
            <w:tcW w:w="479" w:type="pct"/>
            <w:shd w:val="clear" w:color="auto" w:fill="EE0000"/>
            <w:vAlign w:val="center"/>
          </w:tcPr>
          <w:p w14:paraId="3D3482A7" w14:textId="49C3F3C7" w:rsidR="00B41A65" w:rsidRPr="00D71088" w:rsidRDefault="00517333" w:rsidP="00AF2350">
            <w:pPr>
              <w:overflowPunct/>
              <w:autoSpaceDE/>
              <w:autoSpaceDN/>
              <w:adjustRightInd/>
              <w:spacing w:after="240"/>
              <w:jc w:val="center"/>
              <w:textAlignment w:val="auto"/>
              <w:rPr>
                <w:rFonts w:eastAsia="Aptos"/>
              </w:rPr>
            </w:pPr>
            <w:r w:rsidRPr="00517333">
              <w:rPr>
                <w:rFonts w:eastAsia="Aptos"/>
                <w:color w:val="FFFFFF" w:themeColor="background1"/>
              </w:rPr>
              <w:t>Very High</w:t>
            </w:r>
          </w:p>
        </w:tc>
        <w:tc>
          <w:tcPr>
            <w:tcW w:w="484" w:type="pct"/>
            <w:shd w:val="clear" w:color="auto" w:fill="FFFF00"/>
            <w:vAlign w:val="center"/>
          </w:tcPr>
          <w:p w14:paraId="179FED0E" w14:textId="486F5CFA" w:rsidR="00B41A65" w:rsidRPr="00D71088" w:rsidRDefault="00517333" w:rsidP="00AF2350">
            <w:pPr>
              <w:overflowPunct/>
              <w:autoSpaceDE/>
              <w:autoSpaceDN/>
              <w:adjustRightInd/>
              <w:spacing w:after="240"/>
              <w:jc w:val="center"/>
              <w:textAlignment w:val="auto"/>
              <w:rPr>
                <w:rFonts w:eastAsia="Aptos"/>
              </w:rPr>
            </w:pPr>
            <w:r>
              <w:rPr>
                <w:rFonts w:eastAsia="Aptos"/>
              </w:rPr>
              <w:t>Medium</w:t>
            </w:r>
          </w:p>
        </w:tc>
        <w:tc>
          <w:tcPr>
            <w:tcW w:w="528" w:type="pct"/>
            <w:vAlign w:val="center"/>
          </w:tcPr>
          <w:p w14:paraId="6D55FFEF"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sidRPr="005D4731">
              <w:rPr>
                <w:rFonts w:ascii="Wingdings" w:eastAsia="Wingdings" w:hAnsi="Wingdings" w:cs="Wingdings"/>
                <w:b/>
                <w:sz w:val="32"/>
                <w:szCs w:val="32"/>
              </w:rPr>
              <w:t>ó</w:t>
            </w:r>
          </w:p>
        </w:tc>
        <w:tc>
          <w:tcPr>
            <w:tcW w:w="396" w:type="pct"/>
            <w:vAlign w:val="center"/>
          </w:tcPr>
          <w:p w14:paraId="17486977" w14:textId="77777777" w:rsidR="00B41A65" w:rsidRDefault="00B41A65" w:rsidP="00AF2350">
            <w:pPr>
              <w:overflowPunct/>
              <w:autoSpaceDE/>
              <w:autoSpaceDN/>
              <w:adjustRightInd/>
              <w:spacing w:after="240"/>
              <w:jc w:val="center"/>
              <w:textAlignment w:val="auto"/>
              <w:rPr>
                <w:rFonts w:eastAsia="Aptos"/>
              </w:rPr>
            </w:pPr>
            <w:r>
              <w:rPr>
                <w:rFonts w:eastAsia="Aptos"/>
              </w:rPr>
              <w:t>Cautious</w:t>
            </w:r>
          </w:p>
        </w:tc>
        <w:tc>
          <w:tcPr>
            <w:tcW w:w="703" w:type="pct"/>
            <w:vAlign w:val="center"/>
          </w:tcPr>
          <w:p w14:paraId="12D73E88" w14:textId="77777777" w:rsidR="00B41A65" w:rsidRPr="00C97CD5" w:rsidRDefault="00B41A65" w:rsidP="00AF2350">
            <w:pPr>
              <w:overflowPunct/>
              <w:autoSpaceDE/>
              <w:autoSpaceDN/>
              <w:adjustRightInd/>
              <w:spacing w:after="240"/>
              <w:textAlignment w:val="auto"/>
              <w:rPr>
                <w:rFonts w:eastAsia="Aptos"/>
              </w:rPr>
            </w:pPr>
            <w:r>
              <w:rPr>
                <w:rFonts w:eastAsia="Aptos"/>
              </w:rPr>
              <w:t>Chief Officer DEI</w:t>
            </w:r>
          </w:p>
        </w:tc>
        <w:tc>
          <w:tcPr>
            <w:tcW w:w="736" w:type="pct"/>
            <w:vAlign w:val="center"/>
          </w:tcPr>
          <w:p w14:paraId="66869EED" w14:textId="77777777" w:rsidR="00B41A65" w:rsidRPr="00C97CD5" w:rsidRDefault="00B41A65" w:rsidP="00AF2350">
            <w:pPr>
              <w:overflowPunct/>
              <w:autoSpaceDE/>
              <w:autoSpaceDN/>
              <w:adjustRightInd/>
              <w:spacing w:after="240"/>
              <w:textAlignment w:val="auto"/>
              <w:rPr>
                <w:rFonts w:eastAsia="Aptos"/>
              </w:rPr>
            </w:pPr>
            <w:r>
              <w:rPr>
                <w:rFonts w:eastAsia="Aptos"/>
              </w:rPr>
              <w:t>Operational</w:t>
            </w:r>
          </w:p>
        </w:tc>
      </w:tr>
      <w:tr w:rsidR="00B41A65" w:rsidRPr="00C97CD5" w14:paraId="081DE11B" w14:textId="77777777" w:rsidTr="00186036">
        <w:trPr>
          <w:trHeight w:val="759"/>
        </w:trPr>
        <w:tc>
          <w:tcPr>
            <w:tcW w:w="1674" w:type="pct"/>
            <w:vAlign w:val="center"/>
          </w:tcPr>
          <w:p w14:paraId="7155586A" w14:textId="77777777" w:rsidR="00B41A65" w:rsidRPr="002A1E15" w:rsidRDefault="00B41A65" w:rsidP="00AF2350">
            <w:pPr>
              <w:numPr>
                <w:ilvl w:val="0"/>
                <w:numId w:val="18"/>
              </w:numPr>
              <w:overflowPunct/>
              <w:autoSpaceDE/>
              <w:autoSpaceDN/>
              <w:adjustRightInd/>
              <w:spacing w:after="240"/>
              <w:ind w:left="306"/>
              <w:contextualSpacing/>
              <w:textAlignment w:val="auto"/>
              <w:rPr>
                <w:rFonts w:eastAsia="Aptos"/>
              </w:rPr>
            </w:pPr>
            <w:r w:rsidRPr="002A1E15">
              <w:rPr>
                <w:rFonts w:eastAsia="Aptos"/>
              </w:rPr>
              <w:t>Inadequate management of colleague health, safety and wellbeing</w:t>
            </w:r>
            <w:r>
              <w:rPr>
                <w:rFonts w:eastAsia="Aptos"/>
              </w:rPr>
              <w:t>.</w:t>
            </w:r>
            <w:r w:rsidRPr="002A1E15">
              <w:rPr>
                <w:rFonts w:eastAsia="Aptos"/>
              </w:rPr>
              <w:t xml:space="preserve"> </w:t>
            </w:r>
          </w:p>
        </w:tc>
        <w:tc>
          <w:tcPr>
            <w:tcW w:w="479" w:type="pct"/>
            <w:shd w:val="clear" w:color="auto" w:fill="EE0000"/>
            <w:vAlign w:val="center"/>
          </w:tcPr>
          <w:p w14:paraId="4D20ED6D" w14:textId="411BAC25" w:rsidR="00B41A65" w:rsidRPr="00517333" w:rsidRDefault="00517333" w:rsidP="00AF2350">
            <w:pPr>
              <w:overflowPunct/>
              <w:autoSpaceDE/>
              <w:autoSpaceDN/>
              <w:adjustRightInd/>
              <w:spacing w:after="240"/>
              <w:jc w:val="center"/>
              <w:textAlignment w:val="auto"/>
              <w:rPr>
                <w:rFonts w:eastAsia="Aptos"/>
                <w:color w:val="FFFFFF" w:themeColor="background1"/>
              </w:rPr>
            </w:pPr>
            <w:r w:rsidRPr="00517333">
              <w:rPr>
                <w:rFonts w:eastAsia="Aptos"/>
                <w:color w:val="FFFFFF" w:themeColor="background1"/>
              </w:rPr>
              <w:t>Very High</w:t>
            </w:r>
          </w:p>
        </w:tc>
        <w:tc>
          <w:tcPr>
            <w:tcW w:w="484" w:type="pct"/>
            <w:shd w:val="clear" w:color="auto" w:fill="FFC000" w:themeFill="accent4"/>
            <w:vAlign w:val="center"/>
          </w:tcPr>
          <w:p w14:paraId="0D40C58D" w14:textId="7EFE4AE6" w:rsidR="00B41A65" w:rsidRPr="00A635CE" w:rsidRDefault="00517333" w:rsidP="00AF2350">
            <w:pPr>
              <w:overflowPunct/>
              <w:autoSpaceDE/>
              <w:autoSpaceDN/>
              <w:adjustRightInd/>
              <w:spacing w:after="240"/>
              <w:jc w:val="center"/>
              <w:textAlignment w:val="auto"/>
              <w:rPr>
                <w:rFonts w:eastAsia="Aptos"/>
              </w:rPr>
            </w:pPr>
            <w:r>
              <w:rPr>
                <w:rFonts w:eastAsia="Aptos"/>
              </w:rPr>
              <w:t>High</w:t>
            </w:r>
          </w:p>
        </w:tc>
        <w:tc>
          <w:tcPr>
            <w:tcW w:w="528" w:type="pct"/>
            <w:vAlign w:val="center"/>
          </w:tcPr>
          <w:p w14:paraId="08E767CD"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sidRPr="005D4731">
              <w:rPr>
                <w:rFonts w:ascii="Wingdings" w:eastAsia="Wingdings" w:hAnsi="Wingdings" w:cs="Wingdings"/>
                <w:b/>
                <w:sz w:val="32"/>
                <w:szCs w:val="32"/>
              </w:rPr>
              <w:t>ó</w:t>
            </w:r>
          </w:p>
        </w:tc>
        <w:tc>
          <w:tcPr>
            <w:tcW w:w="396" w:type="pct"/>
            <w:vAlign w:val="center"/>
          </w:tcPr>
          <w:p w14:paraId="3085D214"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Cautious</w:t>
            </w:r>
          </w:p>
        </w:tc>
        <w:tc>
          <w:tcPr>
            <w:tcW w:w="703" w:type="pct"/>
            <w:vAlign w:val="center"/>
          </w:tcPr>
          <w:p w14:paraId="5D07D5C6"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Officer PWD</w:t>
            </w:r>
          </w:p>
        </w:tc>
        <w:tc>
          <w:tcPr>
            <w:tcW w:w="736" w:type="pct"/>
            <w:vAlign w:val="center"/>
          </w:tcPr>
          <w:p w14:paraId="10A0E92B"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Policy and Legal</w:t>
            </w:r>
            <w:r w:rsidRPr="00C97CD5" w:rsidDel="00BC292E">
              <w:rPr>
                <w:rFonts w:eastAsia="Aptos"/>
              </w:rPr>
              <w:t xml:space="preserve"> </w:t>
            </w:r>
          </w:p>
        </w:tc>
      </w:tr>
      <w:tr w:rsidR="00B41A65" w:rsidRPr="00C97CD5" w14:paraId="7F42C658" w14:textId="77777777" w:rsidTr="00186036">
        <w:trPr>
          <w:trHeight w:val="777"/>
        </w:trPr>
        <w:tc>
          <w:tcPr>
            <w:tcW w:w="1674" w:type="pct"/>
            <w:vAlign w:val="center"/>
          </w:tcPr>
          <w:p w14:paraId="7D516B0C" w14:textId="77777777" w:rsidR="00B41A65" w:rsidRPr="00C97CD5" w:rsidRDefault="00B41A65" w:rsidP="00AF2350">
            <w:pPr>
              <w:numPr>
                <w:ilvl w:val="0"/>
                <w:numId w:val="18"/>
              </w:numPr>
              <w:overflowPunct/>
              <w:autoSpaceDE/>
              <w:autoSpaceDN/>
              <w:adjustRightInd/>
              <w:spacing w:after="240"/>
              <w:ind w:left="306"/>
              <w:contextualSpacing/>
              <w:textAlignment w:val="auto"/>
              <w:rPr>
                <w:rFonts w:eastAsia="Aptos"/>
              </w:rPr>
            </w:pPr>
            <w:r w:rsidRPr="00ED5C79">
              <w:rPr>
                <w:rFonts w:eastAsia="Aptos"/>
              </w:rPr>
              <w:t>Failure to implement a robust information and data governance framework across the organisation. </w:t>
            </w:r>
          </w:p>
        </w:tc>
        <w:tc>
          <w:tcPr>
            <w:tcW w:w="479" w:type="pct"/>
            <w:shd w:val="clear" w:color="auto" w:fill="EE0000"/>
            <w:vAlign w:val="center"/>
          </w:tcPr>
          <w:p w14:paraId="68E92CC9" w14:textId="44293C2B" w:rsidR="00B41A65" w:rsidRPr="00517333" w:rsidRDefault="00517333" w:rsidP="00AF2350">
            <w:pPr>
              <w:overflowPunct/>
              <w:autoSpaceDE/>
              <w:autoSpaceDN/>
              <w:adjustRightInd/>
              <w:spacing w:after="240"/>
              <w:jc w:val="center"/>
              <w:textAlignment w:val="auto"/>
              <w:rPr>
                <w:rFonts w:eastAsia="Aptos"/>
                <w:color w:val="FFFFFF" w:themeColor="background1"/>
              </w:rPr>
            </w:pPr>
            <w:r w:rsidRPr="00517333">
              <w:rPr>
                <w:rFonts w:eastAsia="Aptos"/>
                <w:color w:val="FFFFFF" w:themeColor="background1"/>
              </w:rPr>
              <w:t>Very High</w:t>
            </w:r>
          </w:p>
        </w:tc>
        <w:tc>
          <w:tcPr>
            <w:tcW w:w="484" w:type="pct"/>
            <w:shd w:val="clear" w:color="auto" w:fill="FFC000" w:themeFill="accent4"/>
            <w:vAlign w:val="center"/>
          </w:tcPr>
          <w:p w14:paraId="3ED7F158" w14:textId="083338EB" w:rsidR="00B41A65" w:rsidRPr="00DE20FE" w:rsidRDefault="00517333" w:rsidP="00AF2350">
            <w:pPr>
              <w:overflowPunct/>
              <w:autoSpaceDE/>
              <w:autoSpaceDN/>
              <w:adjustRightInd/>
              <w:spacing w:after="240"/>
              <w:jc w:val="center"/>
              <w:textAlignment w:val="auto"/>
              <w:rPr>
                <w:rFonts w:eastAsia="Aptos"/>
              </w:rPr>
            </w:pPr>
            <w:r>
              <w:rPr>
                <w:rFonts w:eastAsia="Aptos"/>
              </w:rPr>
              <w:t>High</w:t>
            </w:r>
          </w:p>
        </w:tc>
        <w:tc>
          <w:tcPr>
            <w:tcW w:w="528" w:type="pct"/>
            <w:vAlign w:val="center"/>
          </w:tcPr>
          <w:p w14:paraId="7D52A4D1"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sidRPr="005D4731">
              <w:rPr>
                <w:rFonts w:ascii="Wingdings" w:eastAsia="Wingdings" w:hAnsi="Wingdings" w:cs="Wingdings"/>
                <w:b/>
                <w:sz w:val="32"/>
                <w:szCs w:val="32"/>
              </w:rPr>
              <w:t>ó</w:t>
            </w:r>
          </w:p>
        </w:tc>
        <w:tc>
          <w:tcPr>
            <w:tcW w:w="396" w:type="pct"/>
            <w:vAlign w:val="center"/>
          </w:tcPr>
          <w:p w14:paraId="6689DCAF"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Cautious</w:t>
            </w:r>
          </w:p>
        </w:tc>
        <w:tc>
          <w:tcPr>
            <w:tcW w:w="703" w:type="pct"/>
            <w:vAlign w:val="center"/>
          </w:tcPr>
          <w:p w14:paraId="37FA5B6F"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Officer GPE</w:t>
            </w:r>
          </w:p>
        </w:tc>
        <w:tc>
          <w:tcPr>
            <w:tcW w:w="736" w:type="pct"/>
            <w:vAlign w:val="center"/>
          </w:tcPr>
          <w:p w14:paraId="1A927297"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Strategic</w:t>
            </w:r>
          </w:p>
        </w:tc>
      </w:tr>
      <w:tr w:rsidR="00B41A65" w:rsidRPr="00C97CD5" w14:paraId="3A658CF6" w14:textId="77777777" w:rsidTr="00186036">
        <w:trPr>
          <w:trHeight w:val="777"/>
        </w:trPr>
        <w:tc>
          <w:tcPr>
            <w:tcW w:w="1674" w:type="pct"/>
            <w:vAlign w:val="center"/>
          </w:tcPr>
          <w:p w14:paraId="3FC026B7" w14:textId="77777777" w:rsidR="00B41A65" w:rsidRPr="00FD2347" w:rsidRDefault="00B41A65" w:rsidP="00AF2350">
            <w:pPr>
              <w:numPr>
                <w:ilvl w:val="0"/>
                <w:numId w:val="18"/>
              </w:numPr>
              <w:overflowPunct/>
              <w:autoSpaceDE/>
              <w:autoSpaceDN/>
              <w:adjustRightInd/>
              <w:spacing w:after="240"/>
              <w:ind w:left="306"/>
              <w:contextualSpacing/>
              <w:textAlignment w:val="auto"/>
              <w:rPr>
                <w:rFonts w:eastAsia="Aptos"/>
              </w:rPr>
            </w:pPr>
            <w:r w:rsidRPr="00FD2347">
              <w:rPr>
                <w:rFonts w:eastAsia="Aptos"/>
              </w:rPr>
              <w:t xml:space="preserve">Inability to plan for long-term financial sustainability whilst meeting stakeholder expectations.  </w:t>
            </w:r>
          </w:p>
        </w:tc>
        <w:tc>
          <w:tcPr>
            <w:tcW w:w="479" w:type="pct"/>
            <w:shd w:val="clear" w:color="auto" w:fill="FFC000" w:themeFill="accent4"/>
            <w:vAlign w:val="center"/>
          </w:tcPr>
          <w:p w14:paraId="2295132E" w14:textId="6B2D08B5" w:rsidR="00B41A65" w:rsidRPr="00DE20FE" w:rsidRDefault="00517333" w:rsidP="00AF2350">
            <w:pPr>
              <w:overflowPunct/>
              <w:autoSpaceDE/>
              <w:autoSpaceDN/>
              <w:adjustRightInd/>
              <w:spacing w:after="240"/>
              <w:jc w:val="center"/>
              <w:textAlignment w:val="auto"/>
              <w:rPr>
                <w:rFonts w:eastAsia="Aptos"/>
              </w:rPr>
            </w:pPr>
            <w:r>
              <w:rPr>
                <w:rFonts w:eastAsia="Aptos"/>
              </w:rPr>
              <w:t>High</w:t>
            </w:r>
          </w:p>
        </w:tc>
        <w:tc>
          <w:tcPr>
            <w:tcW w:w="484" w:type="pct"/>
            <w:shd w:val="clear" w:color="auto" w:fill="FFFF00"/>
            <w:vAlign w:val="center"/>
          </w:tcPr>
          <w:p w14:paraId="12A7F0C3" w14:textId="1762CA0F" w:rsidR="00B41A65" w:rsidRPr="00DE20FE" w:rsidRDefault="00517333" w:rsidP="00AF2350">
            <w:pPr>
              <w:overflowPunct/>
              <w:autoSpaceDE/>
              <w:autoSpaceDN/>
              <w:adjustRightInd/>
              <w:spacing w:after="240"/>
              <w:jc w:val="center"/>
              <w:textAlignment w:val="auto"/>
              <w:rPr>
                <w:rFonts w:eastAsia="Aptos"/>
              </w:rPr>
            </w:pPr>
            <w:r>
              <w:rPr>
                <w:rFonts w:eastAsia="Aptos"/>
              </w:rPr>
              <w:t>Medium</w:t>
            </w:r>
          </w:p>
        </w:tc>
        <w:tc>
          <w:tcPr>
            <w:tcW w:w="528" w:type="pct"/>
            <w:vAlign w:val="center"/>
          </w:tcPr>
          <w:p w14:paraId="4FCC345E"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sidRPr="005D4731">
              <w:rPr>
                <w:rFonts w:ascii="Wingdings" w:eastAsia="Wingdings" w:hAnsi="Wingdings" w:cs="Wingdings"/>
                <w:b/>
                <w:sz w:val="32"/>
                <w:szCs w:val="32"/>
              </w:rPr>
              <w:t>ó</w:t>
            </w:r>
          </w:p>
        </w:tc>
        <w:tc>
          <w:tcPr>
            <w:tcW w:w="396" w:type="pct"/>
            <w:vAlign w:val="center"/>
          </w:tcPr>
          <w:p w14:paraId="6801D795"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Moderate</w:t>
            </w:r>
          </w:p>
        </w:tc>
        <w:tc>
          <w:tcPr>
            <w:tcW w:w="703" w:type="pct"/>
            <w:vAlign w:val="center"/>
          </w:tcPr>
          <w:p w14:paraId="20BCA246"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Officer FMD</w:t>
            </w:r>
          </w:p>
        </w:tc>
        <w:tc>
          <w:tcPr>
            <w:tcW w:w="736" w:type="pct"/>
            <w:vAlign w:val="center"/>
          </w:tcPr>
          <w:p w14:paraId="7FAA1145"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Financial</w:t>
            </w:r>
          </w:p>
        </w:tc>
      </w:tr>
      <w:tr w:rsidR="00B41A65" w:rsidRPr="00C97CD5" w14:paraId="2A94CBA3" w14:textId="77777777" w:rsidTr="00186036">
        <w:trPr>
          <w:trHeight w:val="777"/>
        </w:trPr>
        <w:tc>
          <w:tcPr>
            <w:tcW w:w="1674" w:type="pct"/>
            <w:vAlign w:val="center"/>
          </w:tcPr>
          <w:p w14:paraId="64DD8DCF" w14:textId="77777777" w:rsidR="00B41A65" w:rsidRPr="00C97CD5" w:rsidRDefault="00B41A65" w:rsidP="00AF2350">
            <w:pPr>
              <w:numPr>
                <w:ilvl w:val="0"/>
                <w:numId w:val="18"/>
              </w:numPr>
              <w:overflowPunct/>
              <w:autoSpaceDE/>
              <w:autoSpaceDN/>
              <w:adjustRightInd/>
              <w:spacing w:after="240"/>
              <w:ind w:left="306"/>
              <w:contextualSpacing/>
              <w:textAlignment w:val="auto"/>
              <w:rPr>
                <w:rFonts w:eastAsia="Aptos"/>
              </w:rPr>
            </w:pPr>
            <w:r>
              <w:rPr>
                <w:rFonts w:eastAsia="Aptos"/>
              </w:rPr>
              <w:t>I</w:t>
            </w:r>
            <w:r w:rsidRPr="005459EF">
              <w:rPr>
                <w:rFonts w:eastAsia="Aptos"/>
              </w:rPr>
              <w:t>nadequate protection and governance of systems, cyber-security and artificial intelligence.</w:t>
            </w:r>
          </w:p>
        </w:tc>
        <w:tc>
          <w:tcPr>
            <w:tcW w:w="479" w:type="pct"/>
            <w:shd w:val="clear" w:color="auto" w:fill="EE0000"/>
            <w:vAlign w:val="center"/>
          </w:tcPr>
          <w:p w14:paraId="6FEC2B66" w14:textId="4C63C1DC" w:rsidR="00B41A65" w:rsidRPr="00DE20FE" w:rsidRDefault="00517333" w:rsidP="00AF2350">
            <w:pPr>
              <w:overflowPunct/>
              <w:autoSpaceDE/>
              <w:autoSpaceDN/>
              <w:adjustRightInd/>
              <w:spacing w:after="240"/>
              <w:jc w:val="center"/>
              <w:textAlignment w:val="auto"/>
              <w:rPr>
                <w:rFonts w:eastAsia="Aptos"/>
              </w:rPr>
            </w:pPr>
            <w:r w:rsidRPr="00517333">
              <w:rPr>
                <w:rFonts w:eastAsia="Aptos"/>
                <w:color w:val="FFFFFF" w:themeColor="background1"/>
              </w:rPr>
              <w:t>Very High</w:t>
            </w:r>
          </w:p>
        </w:tc>
        <w:tc>
          <w:tcPr>
            <w:tcW w:w="484" w:type="pct"/>
            <w:shd w:val="clear" w:color="auto" w:fill="FFC000" w:themeFill="accent4"/>
            <w:vAlign w:val="center"/>
          </w:tcPr>
          <w:p w14:paraId="25E788E9" w14:textId="1854F599" w:rsidR="00B41A65" w:rsidRPr="00DE20FE" w:rsidRDefault="00517333" w:rsidP="00AF2350">
            <w:pPr>
              <w:overflowPunct/>
              <w:autoSpaceDE/>
              <w:autoSpaceDN/>
              <w:adjustRightInd/>
              <w:spacing w:after="240"/>
              <w:jc w:val="center"/>
              <w:textAlignment w:val="auto"/>
              <w:rPr>
                <w:rFonts w:eastAsia="Aptos"/>
              </w:rPr>
            </w:pPr>
            <w:r>
              <w:rPr>
                <w:rFonts w:eastAsia="Aptos"/>
              </w:rPr>
              <w:t>High</w:t>
            </w:r>
          </w:p>
        </w:tc>
        <w:tc>
          <w:tcPr>
            <w:tcW w:w="528" w:type="pct"/>
            <w:vAlign w:val="center"/>
          </w:tcPr>
          <w:p w14:paraId="3E7C1C99"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Pr>
                <w:rFonts w:eastAsia="Aptos"/>
                <w:b/>
                <w:bCs/>
                <w:sz w:val="32"/>
                <w:szCs w:val="32"/>
              </w:rPr>
              <w:t>↑</w:t>
            </w:r>
          </w:p>
        </w:tc>
        <w:tc>
          <w:tcPr>
            <w:tcW w:w="396" w:type="pct"/>
            <w:vAlign w:val="center"/>
          </w:tcPr>
          <w:p w14:paraId="3A61FE23"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Cautious</w:t>
            </w:r>
          </w:p>
        </w:tc>
        <w:tc>
          <w:tcPr>
            <w:tcW w:w="703" w:type="pct"/>
            <w:vAlign w:val="center"/>
          </w:tcPr>
          <w:p w14:paraId="505C8F09"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Officer FMD</w:t>
            </w:r>
          </w:p>
        </w:tc>
        <w:tc>
          <w:tcPr>
            <w:tcW w:w="736" w:type="pct"/>
            <w:vAlign w:val="center"/>
          </w:tcPr>
          <w:p w14:paraId="09E829B5"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Cyber and Data</w:t>
            </w:r>
          </w:p>
        </w:tc>
      </w:tr>
      <w:tr w:rsidR="00B41A65" w:rsidRPr="00C97CD5" w14:paraId="43568796" w14:textId="77777777" w:rsidTr="00186036">
        <w:trPr>
          <w:trHeight w:val="777"/>
        </w:trPr>
        <w:tc>
          <w:tcPr>
            <w:tcW w:w="1674" w:type="pct"/>
            <w:vAlign w:val="center"/>
          </w:tcPr>
          <w:p w14:paraId="2954FF9D" w14:textId="77777777" w:rsidR="00B41A65" w:rsidRPr="00C97CD5" w:rsidRDefault="00B41A65" w:rsidP="00AF2350">
            <w:pPr>
              <w:numPr>
                <w:ilvl w:val="0"/>
                <w:numId w:val="18"/>
              </w:numPr>
              <w:overflowPunct/>
              <w:autoSpaceDE/>
              <w:autoSpaceDN/>
              <w:adjustRightInd/>
              <w:spacing w:after="240"/>
              <w:ind w:left="306"/>
              <w:contextualSpacing/>
              <w:textAlignment w:val="auto"/>
              <w:rPr>
                <w:rFonts w:eastAsia="Aptos"/>
              </w:rPr>
            </w:pPr>
            <w:r w:rsidRPr="00B312AC">
              <w:rPr>
                <w:rFonts w:eastAsia="Aptos"/>
              </w:rPr>
              <w:t>We fail to create an environment where our colleagues can thrive and develop whilst attracting new talent to the organisation</w:t>
            </w:r>
            <w:r>
              <w:rPr>
                <w:rFonts w:eastAsia="Aptos"/>
              </w:rPr>
              <w:t>.</w:t>
            </w:r>
          </w:p>
        </w:tc>
        <w:tc>
          <w:tcPr>
            <w:tcW w:w="479" w:type="pct"/>
            <w:shd w:val="clear" w:color="auto" w:fill="FFC000" w:themeFill="accent4"/>
            <w:vAlign w:val="center"/>
          </w:tcPr>
          <w:p w14:paraId="377DE8A1" w14:textId="2CB05A9C" w:rsidR="00B41A65" w:rsidRPr="00DE20FE" w:rsidRDefault="00517333" w:rsidP="00AF2350">
            <w:pPr>
              <w:overflowPunct/>
              <w:autoSpaceDE/>
              <w:autoSpaceDN/>
              <w:adjustRightInd/>
              <w:spacing w:after="240"/>
              <w:jc w:val="center"/>
              <w:textAlignment w:val="auto"/>
              <w:rPr>
                <w:rFonts w:eastAsia="Aptos"/>
              </w:rPr>
            </w:pPr>
            <w:r>
              <w:rPr>
                <w:rFonts w:eastAsia="Aptos"/>
              </w:rPr>
              <w:t>High</w:t>
            </w:r>
          </w:p>
        </w:tc>
        <w:tc>
          <w:tcPr>
            <w:tcW w:w="484" w:type="pct"/>
            <w:shd w:val="clear" w:color="auto" w:fill="FFFF00"/>
            <w:vAlign w:val="center"/>
          </w:tcPr>
          <w:p w14:paraId="74F0A066" w14:textId="0C008C64" w:rsidR="00B41A65" w:rsidRPr="00DE20FE" w:rsidRDefault="00517333" w:rsidP="00AF2350">
            <w:pPr>
              <w:overflowPunct/>
              <w:autoSpaceDE/>
              <w:autoSpaceDN/>
              <w:adjustRightInd/>
              <w:spacing w:after="240"/>
              <w:jc w:val="center"/>
              <w:textAlignment w:val="auto"/>
              <w:rPr>
                <w:rFonts w:eastAsia="Aptos"/>
              </w:rPr>
            </w:pPr>
            <w:r>
              <w:rPr>
                <w:rFonts w:eastAsia="Aptos"/>
              </w:rPr>
              <w:t>Medium</w:t>
            </w:r>
          </w:p>
        </w:tc>
        <w:tc>
          <w:tcPr>
            <w:tcW w:w="528" w:type="pct"/>
            <w:vAlign w:val="center"/>
          </w:tcPr>
          <w:p w14:paraId="4E466549"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sidRPr="005D4731">
              <w:rPr>
                <w:rFonts w:ascii="Wingdings" w:eastAsia="Wingdings" w:hAnsi="Wingdings" w:cs="Wingdings"/>
                <w:b/>
                <w:sz w:val="32"/>
                <w:szCs w:val="32"/>
              </w:rPr>
              <w:t>ó</w:t>
            </w:r>
          </w:p>
        </w:tc>
        <w:tc>
          <w:tcPr>
            <w:tcW w:w="396" w:type="pct"/>
            <w:vAlign w:val="center"/>
          </w:tcPr>
          <w:p w14:paraId="7DA881A6"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Moderate</w:t>
            </w:r>
          </w:p>
        </w:tc>
        <w:tc>
          <w:tcPr>
            <w:tcW w:w="703" w:type="pct"/>
            <w:vAlign w:val="center"/>
          </w:tcPr>
          <w:p w14:paraId="66EF1312"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Officer PWD</w:t>
            </w:r>
          </w:p>
        </w:tc>
        <w:tc>
          <w:tcPr>
            <w:tcW w:w="736" w:type="pct"/>
            <w:vAlign w:val="center"/>
          </w:tcPr>
          <w:p w14:paraId="7CBB952B"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People</w:t>
            </w:r>
          </w:p>
        </w:tc>
      </w:tr>
      <w:tr w:rsidR="00B41A65" w:rsidRPr="00C97CD5" w14:paraId="4047E733" w14:textId="77777777" w:rsidTr="00186036">
        <w:trPr>
          <w:trHeight w:val="1041"/>
        </w:trPr>
        <w:tc>
          <w:tcPr>
            <w:tcW w:w="1674" w:type="pct"/>
            <w:vAlign w:val="center"/>
          </w:tcPr>
          <w:p w14:paraId="699C4DCC" w14:textId="77777777" w:rsidR="00B41A65" w:rsidRPr="00C97CD5" w:rsidRDefault="00B41A65" w:rsidP="00AF2350">
            <w:pPr>
              <w:numPr>
                <w:ilvl w:val="0"/>
                <w:numId w:val="18"/>
              </w:numPr>
              <w:overflowPunct/>
              <w:autoSpaceDE/>
              <w:autoSpaceDN/>
              <w:adjustRightInd/>
              <w:spacing w:after="240"/>
              <w:ind w:left="306"/>
              <w:contextualSpacing/>
              <w:textAlignment w:val="auto"/>
              <w:rPr>
                <w:rFonts w:eastAsia="Aptos"/>
              </w:rPr>
            </w:pPr>
            <w:r w:rsidRPr="00F61DF3">
              <w:rPr>
                <w:rFonts w:eastAsia="Aptos"/>
              </w:rPr>
              <w:t>Failure to gather and analyse reliable environmental evidence to continuously inform planning for our future delivery model and operational delivery. </w:t>
            </w:r>
          </w:p>
        </w:tc>
        <w:tc>
          <w:tcPr>
            <w:tcW w:w="479" w:type="pct"/>
            <w:shd w:val="clear" w:color="auto" w:fill="EE0000"/>
            <w:vAlign w:val="center"/>
          </w:tcPr>
          <w:p w14:paraId="56917202" w14:textId="7AF8933E" w:rsidR="00B41A65" w:rsidRPr="00517333" w:rsidRDefault="00517333" w:rsidP="00AF2350">
            <w:pPr>
              <w:overflowPunct/>
              <w:autoSpaceDE/>
              <w:autoSpaceDN/>
              <w:adjustRightInd/>
              <w:spacing w:after="240"/>
              <w:jc w:val="center"/>
              <w:textAlignment w:val="auto"/>
              <w:rPr>
                <w:rFonts w:eastAsia="Aptos"/>
                <w:color w:val="FFFFFF" w:themeColor="background1"/>
              </w:rPr>
            </w:pPr>
            <w:r w:rsidRPr="00517333">
              <w:rPr>
                <w:rFonts w:eastAsia="Aptos"/>
                <w:color w:val="FFFFFF" w:themeColor="background1"/>
              </w:rPr>
              <w:t>Very High</w:t>
            </w:r>
          </w:p>
        </w:tc>
        <w:tc>
          <w:tcPr>
            <w:tcW w:w="484" w:type="pct"/>
            <w:shd w:val="clear" w:color="auto" w:fill="FFC000" w:themeFill="accent4"/>
            <w:vAlign w:val="center"/>
          </w:tcPr>
          <w:p w14:paraId="1BC54C92" w14:textId="751D4D76" w:rsidR="00B41A65" w:rsidRPr="00DE20FE" w:rsidRDefault="00517333" w:rsidP="00AF2350">
            <w:pPr>
              <w:overflowPunct/>
              <w:autoSpaceDE/>
              <w:autoSpaceDN/>
              <w:adjustRightInd/>
              <w:spacing w:after="240"/>
              <w:jc w:val="center"/>
              <w:textAlignment w:val="auto"/>
              <w:rPr>
                <w:rFonts w:eastAsia="Aptos"/>
              </w:rPr>
            </w:pPr>
            <w:r>
              <w:rPr>
                <w:rFonts w:eastAsia="Aptos"/>
              </w:rPr>
              <w:t>High</w:t>
            </w:r>
          </w:p>
        </w:tc>
        <w:tc>
          <w:tcPr>
            <w:tcW w:w="528" w:type="pct"/>
            <w:vAlign w:val="center"/>
          </w:tcPr>
          <w:p w14:paraId="7B174B1C"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sidRPr="005D4731">
              <w:rPr>
                <w:rFonts w:ascii="Wingdings" w:eastAsia="Wingdings" w:hAnsi="Wingdings" w:cs="Wingdings"/>
                <w:b/>
                <w:sz w:val="32"/>
                <w:szCs w:val="32"/>
              </w:rPr>
              <w:t>ó</w:t>
            </w:r>
          </w:p>
        </w:tc>
        <w:tc>
          <w:tcPr>
            <w:tcW w:w="396" w:type="pct"/>
            <w:vAlign w:val="center"/>
          </w:tcPr>
          <w:p w14:paraId="47A97BB7"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Cautious</w:t>
            </w:r>
          </w:p>
        </w:tc>
        <w:tc>
          <w:tcPr>
            <w:tcW w:w="703" w:type="pct"/>
            <w:vAlign w:val="center"/>
          </w:tcPr>
          <w:p w14:paraId="1B2A6609"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Operating Officer</w:t>
            </w:r>
            <w:r>
              <w:rPr>
                <w:rFonts w:eastAsia="Aptos"/>
              </w:rPr>
              <w:t xml:space="preserve"> DEI</w:t>
            </w:r>
          </w:p>
        </w:tc>
        <w:tc>
          <w:tcPr>
            <w:tcW w:w="736" w:type="pct"/>
            <w:vAlign w:val="center"/>
          </w:tcPr>
          <w:p w14:paraId="44991859"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Operational</w:t>
            </w:r>
          </w:p>
        </w:tc>
      </w:tr>
      <w:tr w:rsidR="00B41A65" w:rsidRPr="0010101E" w14:paraId="7661CE05" w14:textId="77777777" w:rsidTr="00186036">
        <w:trPr>
          <w:trHeight w:val="1058"/>
        </w:trPr>
        <w:tc>
          <w:tcPr>
            <w:tcW w:w="1674" w:type="pct"/>
            <w:vAlign w:val="center"/>
          </w:tcPr>
          <w:p w14:paraId="217D5357" w14:textId="77777777" w:rsidR="00B41A65" w:rsidRPr="00C97CD5" w:rsidRDefault="00B41A65" w:rsidP="00AF2350">
            <w:pPr>
              <w:numPr>
                <w:ilvl w:val="0"/>
                <w:numId w:val="18"/>
              </w:numPr>
              <w:overflowPunct/>
              <w:autoSpaceDE/>
              <w:autoSpaceDN/>
              <w:adjustRightInd/>
              <w:spacing w:after="240"/>
              <w:ind w:left="306"/>
              <w:contextualSpacing/>
              <w:textAlignment w:val="auto"/>
              <w:rPr>
                <w:rFonts w:eastAsia="Aptos"/>
              </w:rPr>
            </w:pPr>
            <w:r w:rsidRPr="00F61DF3">
              <w:rPr>
                <w:rFonts w:eastAsia="Aptos"/>
              </w:rPr>
              <w:t>Failure to meet the full scope of statutory duties associated with the delivery of our environmental regulation function.</w:t>
            </w:r>
          </w:p>
        </w:tc>
        <w:tc>
          <w:tcPr>
            <w:tcW w:w="479" w:type="pct"/>
            <w:shd w:val="clear" w:color="auto" w:fill="EE0000"/>
            <w:vAlign w:val="center"/>
          </w:tcPr>
          <w:p w14:paraId="55F4EB60" w14:textId="725FD516" w:rsidR="00B41A65" w:rsidRPr="00517333" w:rsidRDefault="00517333" w:rsidP="00AF2350">
            <w:pPr>
              <w:overflowPunct/>
              <w:autoSpaceDE/>
              <w:autoSpaceDN/>
              <w:adjustRightInd/>
              <w:spacing w:after="240"/>
              <w:jc w:val="center"/>
              <w:textAlignment w:val="auto"/>
              <w:rPr>
                <w:rFonts w:eastAsia="Aptos"/>
                <w:color w:val="FFFFFF" w:themeColor="background1"/>
              </w:rPr>
            </w:pPr>
            <w:r w:rsidRPr="00517333">
              <w:rPr>
                <w:rFonts w:eastAsia="Aptos"/>
                <w:color w:val="FFFFFF" w:themeColor="background1"/>
              </w:rPr>
              <w:t>Very High</w:t>
            </w:r>
          </w:p>
        </w:tc>
        <w:tc>
          <w:tcPr>
            <w:tcW w:w="484" w:type="pct"/>
            <w:shd w:val="clear" w:color="auto" w:fill="FFC000" w:themeFill="accent4"/>
            <w:vAlign w:val="center"/>
          </w:tcPr>
          <w:p w14:paraId="678149F7" w14:textId="2C80264B" w:rsidR="00B41A65" w:rsidRPr="00DE20FE" w:rsidRDefault="00517333" w:rsidP="00AF2350">
            <w:pPr>
              <w:overflowPunct/>
              <w:autoSpaceDE/>
              <w:autoSpaceDN/>
              <w:adjustRightInd/>
              <w:spacing w:after="240"/>
              <w:jc w:val="center"/>
              <w:textAlignment w:val="auto"/>
              <w:rPr>
                <w:rFonts w:eastAsia="Aptos"/>
              </w:rPr>
            </w:pPr>
            <w:r>
              <w:rPr>
                <w:rFonts w:eastAsia="Aptos"/>
              </w:rPr>
              <w:t>High</w:t>
            </w:r>
          </w:p>
        </w:tc>
        <w:tc>
          <w:tcPr>
            <w:tcW w:w="528" w:type="pct"/>
            <w:vAlign w:val="center"/>
          </w:tcPr>
          <w:p w14:paraId="65FF66B0" w14:textId="77777777" w:rsidR="00B41A65" w:rsidRPr="005D4731" w:rsidRDefault="00B41A65" w:rsidP="00AF2350">
            <w:pPr>
              <w:overflowPunct/>
              <w:autoSpaceDE/>
              <w:autoSpaceDN/>
              <w:adjustRightInd/>
              <w:spacing w:after="240"/>
              <w:jc w:val="center"/>
              <w:textAlignment w:val="auto"/>
              <w:rPr>
                <w:rFonts w:eastAsia="Aptos"/>
                <w:b/>
                <w:bCs/>
                <w:sz w:val="32"/>
                <w:szCs w:val="32"/>
              </w:rPr>
            </w:pPr>
            <w:r>
              <w:rPr>
                <w:rFonts w:eastAsia="Aptos"/>
                <w:b/>
                <w:bCs/>
                <w:sz w:val="32"/>
                <w:szCs w:val="32"/>
              </w:rPr>
              <w:t>↓</w:t>
            </w:r>
          </w:p>
        </w:tc>
        <w:tc>
          <w:tcPr>
            <w:tcW w:w="396" w:type="pct"/>
            <w:vAlign w:val="center"/>
          </w:tcPr>
          <w:p w14:paraId="1213659A"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Cautious</w:t>
            </w:r>
          </w:p>
        </w:tc>
        <w:tc>
          <w:tcPr>
            <w:tcW w:w="703" w:type="pct"/>
            <w:vAlign w:val="center"/>
          </w:tcPr>
          <w:p w14:paraId="24E7739B"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Operating Officer RBE</w:t>
            </w:r>
          </w:p>
        </w:tc>
        <w:tc>
          <w:tcPr>
            <w:tcW w:w="736" w:type="pct"/>
            <w:vAlign w:val="center"/>
          </w:tcPr>
          <w:p w14:paraId="5E4ACB30"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Policy and Legal</w:t>
            </w:r>
          </w:p>
        </w:tc>
      </w:tr>
      <w:tr w:rsidR="00B41A65" w:rsidRPr="0010101E" w14:paraId="61744E32" w14:textId="77777777" w:rsidTr="00186036">
        <w:trPr>
          <w:trHeight w:val="1041"/>
        </w:trPr>
        <w:tc>
          <w:tcPr>
            <w:tcW w:w="1674" w:type="pct"/>
            <w:vAlign w:val="center"/>
          </w:tcPr>
          <w:p w14:paraId="21299100" w14:textId="77777777" w:rsidR="00B41A65" w:rsidRPr="00C97CD5" w:rsidRDefault="00B41A65" w:rsidP="00AF2350">
            <w:pPr>
              <w:numPr>
                <w:ilvl w:val="0"/>
                <w:numId w:val="18"/>
              </w:numPr>
              <w:overflowPunct/>
              <w:autoSpaceDE/>
              <w:autoSpaceDN/>
              <w:adjustRightInd/>
              <w:spacing w:after="240"/>
              <w:ind w:left="306"/>
              <w:contextualSpacing/>
              <w:textAlignment w:val="auto"/>
            </w:pPr>
            <w:r w:rsidRPr="00F61DF3">
              <w:t>Failure to ensure that Scotland is water resilient and able to deliver effective environmental improvements and adaptation to climate change</w:t>
            </w:r>
            <w:r>
              <w:t>.</w:t>
            </w:r>
          </w:p>
        </w:tc>
        <w:tc>
          <w:tcPr>
            <w:tcW w:w="479" w:type="pct"/>
            <w:shd w:val="clear" w:color="auto" w:fill="EE0000"/>
            <w:vAlign w:val="center"/>
          </w:tcPr>
          <w:p w14:paraId="443C5978" w14:textId="385ED008" w:rsidR="00B41A65" w:rsidRPr="00517333" w:rsidRDefault="00517333" w:rsidP="00AF2350">
            <w:pPr>
              <w:overflowPunct/>
              <w:autoSpaceDE/>
              <w:autoSpaceDN/>
              <w:adjustRightInd/>
              <w:spacing w:after="240"/>
              <w:jc w:val="center"/>
              <w:textAlignment w:val="auto"/>
              <w:rPr>
                <w:rFonts w:eastAsia="Aptos"/>
                <w:color w:val="FFFFFF" w:themeColor="background1"/>
              </w:rPr>
            </w:pPr>
            <w:r w:rsidRPr="00517333">
              <w:rPr>
                <w:rFonts w:eastAsia="Aptos"/>
                <w:color w:val="FFFFFF" w:themeColor="background1"/>
              </w:rPr>
              <w:t>Very High</w:t>
            </w:r>
          </w:p>
        </w:tc>
        <w:tc>
          <w:tcPr>
            <w:tcW w:w="484" w:type="pct"/>
            <w:shd w:val="clear" w:color="auto" w:fill="FFC000" w:themeFill="accent4"/>
            <w:vAlign w:val="center"/>
          </w:tcPr>
          <w:p w14:paraId="44EE5365" w14:textId="4E7B0491" w:rsidR="00B41A65" w:rsidRPr="00DE20FE" w:rsidRDefault="00517333" w:rsidP="00AF2350">
            <w:pPr>
              <w:overflowPunct/>
              <w:autoSpaceDE/>
              <w:autoSpaceDN/>
              <w:adjustRightInd/>
              <w:spacing w:after="240"/>
              <w:jc w:val="center"/>
              <w:textAlignment w:val="auto"/>
              <w:rPr>
                <w:rFonts w:eastAsia="Aptos"/>
              </w:rPr>
            </w:pPr>
            <w:r>
              <w:rPr>
                <w:rFonts w:eastAsia="Aptos"/>
              </w:rPr>
              <w:t>High</w:t>
            </w:r>
          </w:p>
        </w:tc>
        <w:tc>
          <w:tcPr>
            <w:tcW w:w="528" w:type="pct"/>
            <w:vAlign w:val="center"/>
          </w:tcPr>
          <w:p w14:paraId="060225B5" w14:textId="77777777" w:rsidR="00B41A65" w:rsidRPr="005D4731" w:rsidRDefault="00B41A65" w:rsidP="00AF2350">
            <w:pPr>
              <w:overflowPunct/>
              <w:autoSpaceDE/>
              <w:autoSpaceDN/>
              <w:adjustRightInd/>
              <w:spacing w:after="240"/>
              <w:jc w:val="center"/>
              <w:textAlignment w:val="auto"/>
              <w:rPr>
                <w:rFonts w:ascii="Wingdings" w:eastAsia="Wingdings" w:hAnsi="Wingdings" w:cs="Wingdings"/>
                <w:b/>
                <w:sz w:val="32"/>
                <w:szCs w:val="32"/>
              </w:rPr>
            </w:pPr>
            <w:r w:rsidRPr="005D4731">
              <w:rPr>
                <w:rFonts w:ascii="Wingdings" w:eastAsia="Wingdings" w:hAnsi="Wingdings" w:cs="Wingdings"/>
                <w:b/>
                <w:sz w:val="32"/>
                <w:szCs w:val="32"/>
              </w:rPr>
              <w:t>ó</w:t>
            </w:r>
          </w:p>
        </w:tc>
        <w:tc>
          <w:tcPr>
            <w:tcW w:w="396" w:type="pct"/>
            <w:vAlign w:val="center"/>
          </w:tcPr>
          <w:p w14:paraId="1B6D4655" w14:textId="77777777" w:rsidR="00B41A65" w:rsidRPr="00C97CD5" w:rsidRDefault="00B41A65" w:rsidP="00AF2350">
            <w:pPr>
              <w:overflowPunct/>
              <w:autoSpaceDE/>
              <w:autoSpaceDN/>
              <w:adjustRightInd/>
              <w:spacing w:after="240"/>
              <w:jc w:val="center"/>
              <w:textAlignment w:val="auto"/>
              <w:rPr>
                <w:rFonts w:eastAsia="Aptos"/>
              </w:rPr>
            </w:pPr>
            <w:r>
              <w:rPr>
                <w:rFonts w:eastAsia="Aptos"/>
              </w:rPr>
              <w:t>Cautious</w:t>
            </w:r>
          </w:p>
        </w:tc>
        <w:tc>
          <w:tcPr>
            <w:tcW w:w="703" w:type="pct"/>
            <w:vAlign w:val="center"/>
          </w:tcPr>
          <w:p w14:paraId="28B74323" w14:textId="77777777" w:rsidR="00B41A65" w:rsidRPr="00C97CD5" w:rsidRDefault="00B41A65" w:rsidP="00AF2350">
            <w:pPr>
              <w:overflowPunct/>
              <w:autoSpaceDE/>
              <w:autoSpaceDN/>
              <w:adjustRightInd/>
              <w:spacing w:after="240"/>
              <w:textAlignment w:val="auto"/>
              <w:rPr>
                <w:rFonts w:eastAsia="Aptos"/>
              </w:rPr>
            </w:pPr>
            <w:r w:rsidRPr="00C97CD5">
              <w:rPr>
                <w:rFonts w:eastAsia="Aptos"/>
              </w:rPr>
              <w:t>Chief Operating Officer</w:t>
            </w:r>
            <w:r>
              <w:rPr>
                <w:rFonts w:eastAsia="Aptos"/>
              </w:rPr>
              <w:t xml:space="preserve"> DEI</w:t>
            </w:r>
          </w:p>
        </w:tc>
        <w:tc>
          <w:tcPr>
            <w:tcW w:w="736" w:type="pct"/>
            <w:vAlign w:val="center"/>
          </w:tcPr>
          <w:p w14:paraId="19976E6F" w14:textId="77777777" w:rsidR="00B41A65" w:rsidRPr="00C97CD5" w:rsidRDefault="00B41A65" w:rsidP="00AF2350">
            <w:pPr>
              <w:overflowPunct/>
              <w:autoSpaceDE/>
              <w:autoSpaceDN/>
              <w:adjustRightInd/>
              <w:spacing w:after="240"/>
              <w:textAlignment w:val="auto"/>
              <w:rPr>
                <w:rFonts w:eastAsia="Aptos"/>
              </w:rPr>
            </w:pPr>
            <w:r>
              <w:rPr>
                <w:rFonts w:eastAsia="Aptos"/>
              </w:rPr>
              <w:t>Environmental</w:t>
            </w:r>
          </w:p>
        </w:tc>
      </w:tr>
    </w:tbl>
    <w:p w14:paraId="45E8C502" w14:textId="77777777" w:rsidR="005350F4" w:rsidRPr="0010101E" w:rsidRDefault="005350F4" w:rsidP="005350F4">
      <w:pPr>
        <w:spacing w:after="240" w:line="360" w:lineRule="auto"/>
        <w:rPr>
          <w:bCs/>
          <w:sz w:val="24"/>
          <w:szCs w:val="24"/>
          <w:highlight w:val="yellow"/>
        </w:rPr>
        <w:sectPr w:rsidR="005350F4" w:rsidRPr="0010101E" w:rsidSect="005350F4">
          <w:pgSz w:w="23811" w:h="16838" w:orient="landscape" w:code="8"/>
          <w:pgMar w:top="720" w:right="720" w:bottom="720" w:left="720" w:header="709" w:footer="709" w:gutter="0"/>
          <w:cols w:space="708"/>
          <w:docGrid w:linePitch="360"/>
        </w:sectPr>
      </w:pPr>
    </w:p>
    <w:p w14:paraId="31D33BCA" w14:textId="2A7C4723" w:rsidR="00E66B1F" w:rsidRPr="007503D1" w:rsidRDefault="007503D1" w:rsidP="2E94C281">
      <w:pPr>
        <w:keepNext/>
        <w:keepLines/>
        <w:overflowPunct/>
        <w:autoSpaceDE/>
        <w:autoSpaceDN/>
        <w:adjustRightInd/>
        <w:spacing w:after="240" w:line="276" w:lineRule="auto"/>
        <w:textAlignment w:val="auto"/>
        <w:outlineLvl w:val="0"/>
        <w:rPr>
          <w:rFonts w:eastAsia="MS PGothic"/>
          <w:b/>
          <w:bCs/>
          <w:color w:val="016574"/>
          <w:sz w:val="40"/>
          <w:szCs w:val="40"/>
        </w:rPr>
      </w:pPr>
      <w:r w:rsidRPr="2E94C281">
        <w:rPr>
          <w:rFonts w:eastAsia="MS PGothic"/>
          <w:b/>
          <w:bCs/>
          <w:color w:val="016574"/>
          <w:sz w:val="40"/>
          <w:szCs w:val="40"/>
        </w:rPr>
        <w:lastRenderedPageBreak/>
        <w:t>Annual</w:t>
      </w:r>
      <w:r w:rsidR="00E66B1F" w:rsidRPr="2E94C281">
        <w:rPr>
          <w:rFonts w:eastAsia="MS PGothic"/>
          <w:b/>
          <w:bCs/>
          <w:color w:val="016574"/>
          <w:sz w:val="40"/>
          <w:szCs w:val="40"/>
        </w:rPr>
        <w:t xml:space="preserve"> Review of Risk Management 202</w:t>
      </w:r>
      <w:r w:rsidR="287B3522" w:rsidRPr="2E94C281">
        <w:rPr>
          <w:rFonts w:eastAsia="MS PGothic"/>
          <w:b/>
          <w:bCs/>
          <w:color w:val="016574"/>
          <w:sz w:val="40"/>
          <w:szCs w:val="40"/>
        </w:rPr>
        <w:t>5</w:t>
      </w:r>
      <w:r w:rsidR="00E66B1F" w:rsidRPr="2E94C281">
        <w:rPr>
          <w:rFonts w:eastAsia="MS PGothic"/>
          <w:b/>
          <w:bCs/>
          <w:color w:val="016574"/>
          <w:sz w:val="40"/>
          <w:szCs w:val="40"/>
        </w:rPr>
        <w:t>-202</w:t>
      </w:r>
      <w:r w:rsidR="15754AA5" w:rsidRPr="2E94C281">
        <w:rPr>
          <w:rFonts w:eastAsia="MS PGothic"/>
          <w:b/>
          <w:bCs/>
          <w:color w:val="016574"/>
          <w:sz w:val="40"/>
          <w:szCs w:val="40"/>
        </w:rPr>
        <w:t>6</w:t>
      </w:r>
    </w:p>
    <w:p w14:paraId="6A7B9730" w14:textId="77777777" w:rsidR="006A642D" w:rsidRPr="0010101E" w:rsidRDefault="006A642D" w:rsidP="00614F02">
      <w:pPr>
        <w:spacing w:after="240"/>
        <w:rPr>
          <w:color w:val="0070C0"/>
          <w:highlight w:val="yellow"/>
        </w:rPr>
      </w:pPr>
    </w:p>
    <w:p w14:paraId="6E469ACC" w14:textId="60D645D8" w:rsidR="006A642D" w:rsidRPr="005379B3" w:rsidRDefault="004D57F6">
      <w:pPr>
        <w:pStyle w:val="ListParagraph"/>
        <w:numPr>
          <w:ilvl w:val="0"/>
          <w:numId w:val="14"/>
        </w:numPr>
        <w:spacing w:after="240" w:line="360" w:lineRule="auto"/>
        <w:rPr>
          <w:rFonts w:ascii="Arial" w:hAnsi="Arial"/>
          <w:b/>
          <w:sz w:val="28"/>
          <w:szCs w:val="28"/>
        </w:rPr>
      </w:pPr>
      <w:r w:rsidRPr="005379B3">
        <w:rPr>
          <w:rFonts w:ascii="Arial" w:hAnsi="Arial"/>
          <w:b/>
          <w:sz w:val="28"/>
          <w:szCs w:val="28"/>
        </w:rPr>
        <w:t xml:space="preserve">    </w:t>
      </w:r>
      <w:r w:rsidR="006A642D" w:rsidRPr="005379B3">
        <w:rPr>
          <w:rFonts w:ascii="Arial" w:hAnsi="Arial"/>
          <w:b/>
          <w:sz w:val="28"/>
          <w:szCs w:val="28"/>
        </w:rPr>
        <w:t>Introduction</w:t>
      </w:r>
    </w:p>
    <w:p w14:paraId="22F7505D" w14:textId="00F979EB" w:rsidR="007026A6" w:rsidRPr="005379B3" w:rsidRDefault="006A642D">
      <w:pPr>
        <w:pStyle w:val="ListParagraph"/>
        <w:numPr>
          <w:ilvl w:val="1"/>
          <w:numId w:val="13"/>
        </w:numPr>
        <w:spacing w:after="240" w:line="360" w:lineRule="auto"/>
        <w:rPr>
          <w:rFonts w:ascii="Arial" w:hAnsi="Arial"/>
          <w:sz w:val="24"/>
          <w:szCs w:val="24"/>
        </w:rPr>
      </w:pPr>
      <w:r w:rsidRPr="286D958D">
        <w:rPr>
          <w:rFonts w:ascii="Arial" w:hAnsi="Arial"/>
          <w:sz w:val="24"/>
          <w:szCs w:val="24"/>
        </w:rPr>
        <w:t xml:space="preserve">In this report, we </w:t>
      </w:r>
      <w:r w:rsidR="00B10AB9" w:rsidRPr="286D958D">
        <w:rPr>
          <w:rFonts w:ascii="Arial" w:hAnsi="Arial"/>
          <w:sz w:val="24"/>
          <w:szCs w:val="24"/>
        </w:rPr>
        <w:t>discuss</w:t>
      </w:r>
      <w:r w:rsidRPr="286D958D">
        <w:rPr>
          <w:rFonts w:ascii="Arial" w:hAnsi="Arial"/>
          <w:sz w:val="24"/>
          <w:szCs w:val="24"/>
        </w:rPr>
        <w:t xml:space="preserve"> how SEPA managed risk </w:t>
      </w:r>
      <w:r w:rsidR="008B13D8" w:rsidRPr="286D958D">
        <w:rPr>
          <w:rFonts w:ascii="Arial" w:hAnsi="Arial"/>
          <w:sz w:val="24"/>
          <w:szCs w:val="24"/>
        </w:rPr>
        <w:t xml:space="preserve">over the </w:t>
      </w:r>
      <w:r w:rsidR="00E119D0" w:rsidRPr="286D958D">
        <w:rPr>
          <w:rFonts w:ascii="Arial" w:hAnsi="Arial"/>
          <w:sz w:val="24"/>
          <w:szCs w:val="24"/>
        </w:rPr>
        <w:t xml:space="preserve">period </w:t>
      </w:r>
      <w:r w:rsidR="008B13D8" w:rsidRPr="286D958D">
        <w:rPr>
          <w:rFonts w:ascii="Arial" w:hAnsi="Arial"/>
          <w:sz w:val="24"/>
          <w:szCs w:val="24"/>
        </w:rPr>
        <w:t xml:space="preserve">from </w:t>
      </w:r>
      <w:r w:rsidR="001571B0" w:rsidRPr="286D958D">
        <w:rPr>
          <w:rFonts w:ascii="Arial" w:hAnsi="Arial"/>
          <w:sz w:val="24"/>
          <w:szCs w:val="24"/>
        </w:rPr>
        <w:t xml:space="preserve">1 </w:t>
      </w:r>
      <w:r w:rsidR="008C3614" w:rsidRPr="286D958D">
        <w:rPr>
          <w:rFonts w:ascii="Arial" w:hAnsi="Arial"/>
          <w:sz w:val="24"/>
          <w:szCs w:val="24"/>
        </w:rPr>
        <w:t>April 202</w:t>
      </w:r>
      <w:r w:rsidR="7E89FA87" w:rsidRPr="286D958D">
        <w:rPr>
          <w:rFonts w:ascii="Arial" w:hAnsi="Arial"/>
          <w:sz w:val="24"/>
          <w:szCs w:val="24"/>
        </w:rPr>
        <w:t>5</w:t>
      </w:r>
      <w:r w:rsidR="00520135" w:rsidRPr="286D958D">
        <w:rPr>
          <w:rFonts w:ascii="Arial" w:hAnsi="Arial"/>
          <w:sz w:val="24"/>
          <w:szCs w:val="24"/>
        </w:rPr>
        <w:t xml:space="preserve"> </w:t>
      </w:r>
      <w:r w:rsidR="004D75D1" w:rsidRPr="286D958D">
        <w:rPr>
          <w:rFonts w:ascii="Arial" w:hAnsi="Arial"/>
          <w:sz w:val="24"/>
          <w:szCs w:val="24"/>
        </w:rPr>
        <w:t xml:space="preserve">to </w:t>
      </w:r>
      <w:r w:rsidR="00520135" w:rsidRPr="286D958D">
        <w:rPr>
          <w:rFonts w:ascii="Arial" w:hAnsi="Arial"/>
          <w:sz w:val="24"/>
          <w:szCs w:val="24"/>
        </w:rPr>
        <w:t>3</w:t>
      </w:r>
      <w:r w:rsidR="00E64DB3" w:rsidRPr="286D958D">
        <w:rPr>
          <w:rFonts w:ascii="Arial" w:hAnsi="Arial"/>
          <w:sz w:val="24"/>
          <w:szCs w:val="24"/>
        </w:rPr>
        <w:t>1</w:t>
      </w:r>
      <w:r w:rsidR="00520135" w:rsidRPr="286D958D">
        <w:rPr>
          <w:rFonts w:ascii="Arial" w:hAnsi="Arial"/>
          <w:sz w:val="24"/>
          <w:szCs w:val="24"/>
        </w:rPr>
        <w:t xml:space="preserve"> </w:t>
      </w:r>
      <w:r w:rsidR="008C3614" w:rsidRPr="286D958D">
        <w:rPr>
          <w:rFonts w:ascii="Arial" w:hAnsi="Arial"/>
          <w:sz w:val="24"/>
          <w:szCs w:val="24"/>
        </w:rPr>
        <w:t>March 202</w:t>
      </w:r>
      <w:r w:rsidR="11F80C26" w:rsidRPr="286D958D">
        <w:rPr>
          <w:rFonts w:ascii="Arial" w:hAnsi="Arial"/>
          <w:sz w:val="24"/>
          <w:szCs w:val="24"/>
        </w:rPr>
        <w:t>6</w:t>
      </w:r>
      <w:r w:rsidRPr="286D958D">
        <w:rPr>
          <w:rFonts w:ascii="Arial" w:hAnsi="Arial"/>
          <w:sz w:val="24"/>
          <w:szCs w:val="24"/>
        </w:rPr>
        <w:t xml:space="preserve">. </w:t>
      </w:r>
    </w:p>
    <w:p w14:paraId="2B57B9CC" w14:textId="17BAA84A" w:rsidR="007E4F9F" w:rsidRPr="0010101E" w:rsidRDefault="00F5433B" w:rsidP="286D958D">
      <w:pPr>
        <w:pStyle w:val="ListParagraph"/>
        <w:spacing w:after="240" w:line="360" w:lineRule="auto"/>
        <w:rPr>
          <w:rFonts w:ascii="Arial" w:hAnsi="Arial"/>
          <w:sz w:val="24"/>
          <w:szCs w:val="24"/>
        </w:rPr>
      </w:pPr>
      <w:r w:rsidRPr="286D958D">
        <w:rPr>
          <w:rFonts w:ascii="Arial" w:hAnsi="Arial"/>
          <w:sz w:val="24"/>
          <w:szCs w:val="24"/>
        </w:rPr>
        <w:t>In April 202</w:t>
      </w:r>
      <w:r w:rsidR="5CD146CF" w:rsidRPr="286D958D">
        <w:rPr>
          <w:rFonts w:ascii="Arial" w:hAnsi="Arial"/>
          <w:sz w:val="24"/>
          <w:szCs w:val="24"/>
        </w:rPr>
        <w:t>5</w:t>
      </w:r>
      <w:r w:rsidRPr="286D958D">
        <w:rPr>
          <w:rFonts w:ascii="Arial" w:hAnsi="Arial"/>
          <w:sz w:val="24"/>
          <w:szCs w:val="24"/>
        </w:rPr>
        <w:t xml:space="preserve">, </w:t>
      </w:r>
      <w:r w:rsidR="5D8D8FDA" w:rsidRPr="286D958D">
        <w:rPr>
          <w:rFonts w:ascii="Arial" w:hAnsi="Arial"/>
          <w:sz w:val="24"/>
          <w:szCs w:val="24"/>
        </w:rPr>
        <w:t>the Assurance and Risk Manager joined SEPA, which was a new post to</w:t>
      </w:r>
      <w:r w:rsidR="008C3614" w:rsidRPr="286D958D">
        <w:rPr>
          <w:rFonts w:ascii="Arial" w:hAnsi="Arial"/>
          <w:sz w:val="24"/>
          <w:szCs w:val="24"/>
        </w:rPr>
        <w:t xml:space="preserve"> </w:t>
      </w:r>
      <w:r w:rsidR="00D466E5" w:rsidRPr="286D958D">
        <w:rPr>
          <w:rFonts w:ascii="Arial" w:hAnsi="Arial"/>
          <w:sz w:val="24"/>
          <w:szCs w:val="24"/>
        </w:rPr>
        <w:t>embed the changes</w:t>
      </w:r>
      <w:r w:rsidR="33985007" w:rsidRPr="286D958D">
        <w:rPr>
          <w:rFonts w:ascii="Arial" w:hAnsi="Arial"/>
          <w:sz w:val="24"/>
          <w:szCs w:val="24"/>
        </w:rPr>
        <w:t xml:space="preserve"> </w:t>
      </w:r>
      <w:r w:rsidR="745ECC15" w:rsidRPr="286D958D">
        <w:rPr>
          <w:rFonts w:ascii="Arial" w:hAnsi="Arial"/>
          <w:sz w:val="24"/>
          <w:szCs w:val="24"/>
        </w:rPr>
        <w:t xml:space="preserve">set out by BDO risk management consultancy in 2024 </w:t>
      </w:r>
      <w:r w:rsidR="33985007" w:rsidRPr="286D958D">
        <w:rPr>
          <w:rFonts w:ascii="Arial" w:hAnsi="Arial"/>
          <w:sz w:val="24"/>
          <w:szCs w:val="24"/>
        </w:rPr>
        <w:t xml:space="preserve">and continue to make improvements </w:t>
      </w:r>
      <w:r w:rsidR="61069F18" w:rsidRPr="286D958D">
        <w:rPr>
          <w:rFonts w:ascii="Arial" w:hAnsi="Arial"/>
          <w:sz w:val="24"/>
          <w:szCs w:val="24"/>
        </w:rPr>
        <w:t xml:space="preserve">and further developments </w:t>
      </w:r>
      <w:r w:rsidR="33985007" w:rsidRPr="286D958D">
        <w:rPr>
          <w:rFonts w:ascii="Arial" w:hAnsi="Arial"/>
          <w:sz w:val="24"/>
          <w:szCs w:val="24"/>
        </w:rPr>
        <w:t>to risk management</w:t>
      </w:r>
      <w:r w:rsidR="00D466E5" w:rsidRPr="286D958D">
        <w:rPr>
          <w:rFonts w:ascii="Arial" w:hAnsi="Arial"/>
          <w:sz w:val="24"/>
          <w:szCs w:val="24"/>
        </w:rPr>
        <w:t xml:space="preserve"> </w:t>
      </w:r>
      <w:r w:rsidR="6353BCF5" w:rsidRPr="286D958D">
        <w:rPr>
          <w:rFonts w:ascii="Arial" w:hAnsi="Arial"/>
          <w:sz w:val="24"/>
          <w:szCs w:val="24"/>
        </w:rPr>
        <w:t xml:space="preserve">processes </w:t>
      </w:r>
      <w:r w:rsidR="00D466E5" w:rsidRPr="286D958D">
        <w:rPr>
          <w:rFonts w:ascii="Arial" w:hAnsi="Arial"/>
          <w:sz w:val="24"/>
          <w:szCs w:val="24"/>
        </w:rPr>
        <w:t>across the organisation</w:t>
      </w:r>
      <w:r w:rsidR="222FC9D2" w:rsidRPr="286D958D">
        <w:rPr>
          <w:rFonts w:ascii="Arial" w:hAnsi="Arial"/>
          <w:sz w:val="24"/>
          <w:szCs w:val="24"/>
        </w:rPr>
        <w:t>.</w:t>
      </w:r>
    </w:p>
    <w:p w14:paraId="68653802" w14:textId="0971351F" w:rsidR="002E759D" w:rsidRPr="00CC596F" w:rsidRDefault="7179FB08">
      <w:pPr>
        <w:pStyle w:val="ListParagraph"/>
        <w:numPr>
          <w:ilvl w:val="0"/>
          <w:numId w:val="14"/>
        </w:numPr>
        <w:spacing w:after="240" w:line="360" w:lineRule="auto"/>
        <w:ind w:left="709" w:hanging="709"/>
        <w:rPr>
          <w:rFonts w:ascii="Arial" w:hAnsi="Arial"/>
          <w:b/>
          <w:bCs/>
          <w:sz w:val="28"/>
          <w:szCs w:val="28"/>
        </w:rPr>
      </w:pPr>
      <w:r w:rsidRPr="286D958D">
        <w:rPr>
          <w:rFonts w:ascii="Arial" w:hAnsi="Arial"/>
          <w:b/>
          <w:bCs/>
          <w:sz w:val="28"/>
          <w:szCs w:val="28"/>
        </w:rPr>
        <w:t>Embedding</w:t>
      </w:r>
      <w:r w:rsidR="00CD5E78" w:rsidRPr="286D958D">
        <w:rPr>
          <w:rFonts w:ascii="Arial" w:hAnsi="Arial"/>
          <w:b/>
          <w:bCs/>
          <w:sz w:val="28"/>
          <w:szCs w:val="28"/>
        </w:rPr>
        <w:t xml:space="preserve"> </w:t>
      </w:r>
      <w:r w:rsidR="007C094E" w:rsidRPr="286D958D">
        <w:rPr>
          <w:rFonts w:ascii="Arial" w:hAnsi="Arial"/>
          <w:b/>
          <w:bCs/>
          <w:sz w:val="28"/>
          <w:szCs w:val="28"/>
        </w:rPr>
        <w:t>R</w:t>
      </w:r>
      <w:r w:rsidR="00CD5E78" w:rsidRPr="286D958D">
        <w:rPr>
          <w:rFonts w:ascii="Arial" w:hAnsi="Arial"/>
          <w:b/>
          <w:bCs/>
          <w:sz w:val="28"/>
          <w:szCs w:val="28"/>
        </w:rPr>
        <w:t xml:space="preserve">isk </w:t>
      </w:r>
      <w:r w:rsidR="007C094E" w:rsidRPr="286D958D">
        <w:rPr>
          <w:rFonts w:ascii="Arial" w:hAnsi="Arial"/>
          <w:b/>
          <w:bCs/>
          <w:sz w:val="28"/>
          <w:szCs w:val="28"/>
        </w:rPr>
        <w:t>M</w:t>
      </w:r>
      <w:r w:rsidR="00CD5E78" w:rsidRPr="286D958D">
        <w:rPr>
          <w:rFonts w:ascii="Arial" w:hAnsi="Arial"/>
          <w:b/>
          <w:bCs/>
          <w:sz w:val="28"/>
          <w:szCs w:val="28"/>
        </w:rPr>
        <w:t>anagement</w:t>
      </w:r>
    </w:p>
    <w:p w14:paraId="58124380" w14:textId="43A9D0C7" w:rsidR="00431D67" w:rsidRPr="00CC596F" w:rsidRDefault="002E759D" w:rsidP="286D958D">
      <w:pPr>
        <w:pStyle w:val="Heading1"/>
        <w:rPr>
          <w:sz w:val="24"/>
          <w:szCs w:val="24"/>
        </w:rPr>
      </w:pPr>
      <w:r w:rsidRPr="286D958D">
        <w:rPr>
          <w:sz w:val="24"/>
          <w:szCs w:val="24"/>
        </w:rPr>
        <w:t xml:space="preserve">2.1 </w:t>
      </w:r>
      <w:r w:rsidR="00431D67">
        <w:tab/>
      </w:r>
      <w:r w:rsidR="005E65DE" w:rsidRPr="286D958D">
        <w:rPr>
          <w:sz w:val="24"/>
          <w:szCs w:val="24"/>
        </w:rPr>
        <w:t xml:space="preserve">   </w:t>
      </w:r>
      <w:r w:rsidR="007D21DA">
        <w:rPr>
          <w:sz w:val="24"/>
          <w:szCs w:val="24"/>
        </w:rPr>
        <w:t xml:space="preserve"> </w:t>
      </w:r>
      <w:r w:rsidR="1E4261EF" w:rsidRPr="286D958D">
        <w:rPr>
          <w:sz w:val="24"/>
          <w:szCs w:val="24"/>
        </w:rPr>
        <w:t>Risk Management Strategy</w:t>
      </w:r>
      <w:r w:rsidR="5E1729E0" w:rsidRPr="286D958D">
        <w:rPr>
          <w:sz w:val="24"/>
          <w:szCs w:val="24"/>
        </w:rPr>
        <w:t xml:space="preserve">, </w:t>
      </w:r>
      <w:r w:rsidR="1E4261EF" w:rsidRPr="286D958D">
        <w:rPr>
          <w:sz w:val="24"/>
          <w:szCs w:val="24"/>
        </w:rPr>
        <w:t>Policy</w:t>
      </w:r>
      <w:r w:rsidR="7E78F13E" w:rsidRPr="286D958D">
        <w:rPr>
          <w:sz w:val="24"/>
          <w:szCs w:val="24"/>
        </w:rPr>
        <w:t xml:space="preserve"> and Procedures</w:t>
      </w:r>
    </w:p>
    <w:p w14:paraId="1ABD19B5" w14:textId="48DFB7D1" w:rsidR="00431D67" w:rsidRPr="00CC596F" w:rsidRDefault="00431D67" w:rsidP="286D958D"/>
    <w:p w14:paraId="793D7546" w14:textId="080345B1" w:rsidR="00431D67" w:rsidRPr="00CC596F" w:rsidRDefault="0C344CB7" w:rsidP="286D958D">
      <w:pPr>
        <w:spacing w:after="240" w:line="360" w:lineRule="auto"/>
        <w:ind w:left="678"/>
        <w:rPr>
          <w:rFonts w:eastAsiaTheme="minorEastAsia"/>
          <w:color w:val="000000" w:themeColor="text1"/>
          <w:sz w:val="24"/>
          <w:szCs w:val="24"/>
        </w:rPr>
      </w:pPr>
      <w:r w:rsidRPr="286D958D">
        <w:rPr>
          <w:rFonts w:eastAsiaTheme="minorEastAsia"/>
          <w:color w:val="000000" w:themeColor="text1"/>
          <w:sz w:val="24"/>
          <w:szCs w:val="24"/>
        </w:rPr>
        <w:t>Foll</w:t>
      </w:r>
      <w:r w:rsidR="1C668F3A" w:rsidRPr="286D958D">
        <w:rPr>
          <w:rFonts w:eastAsiaTheme="minorEastAsia"/>
          <w:color w:val="000000" w:themeColor="text1"/>
          <w:sz w:val="24"/>
          <w:szCs w:val="24"/>
        </w:rPr>
        <w:t>o</w:t>
      </w:r>
      <w:r w:rsidRPr="286D958D">
        <w:rPr>
          <w:rFonts w:eastAsiaTheme="minorEastAsia"/>
          <w:color w:val="000000" w:themeColor="text1"/>
          <w:sz w:val="24"/>
          <w:szCs w:val="24"/>
        </w:rPr>
        <w:t xml:space="preserve">wing the addition of the Assurance and Risk Manager to the team, a Risk Management Strategy and Policy </w:t>
      </w:r>
      <w:bookmarkStart w:id="2" w:name="_Int_ZXcAbGoh"/>
      <w:r w:rsidRPr="286D958D">
        <w:rPr>
          <w:rFonts w:eastAsiaTheme="minorEastAsia"/>
          <w:color w:val="000000" w:themeColor="text1"/>
          <w:sz w:val="24"/>
          <w:szCs w:val="24"/>
        </w:rPr>
        <w:t>was</w:t>
      </w:r>
      <w:bookmarkEnd w:id="2"/>
      <w:r w:rsidRPr="286D958D">
        <w:rPr>
          <w:rFonts w:eastAsiaTheme="minorEastAsia"/>
          <w:color w:val="000000" w:themeColor="text1"/>
          <w:sz w:val="24"/>
          <w:szCs w:val="24"/>
        </w:rPr>
        <w:t xml:space="preserve"> develope</w:t>
      </w:r>
      <w:r w:rsidR="3098EBBB" w:rsidRPr="286D958D">
        <w:rPr>
          <w:rFonts w:eastAsiaTheme="minorEastAsia"/>
          <w:color w:val="000000" w:themeColor="text1"/>
          <w:sz w:val="24"/>
          <w:szCs w:val="24"/>
        </w:rPr>
        <w:t>d</w:t>
      </w:r>
      <w:r w:rsidR="58E39F39" w:rsidRPr="286D958D">
        <w:rPr>
          <w:rFonts w:eastAsiaTheme="minorEastAsia"/>
          <w:color w:val="000000" w:themeColor="text1"/>
          <w:sz w:val="24"/>
          <w:szCs w:val="24"/>
        </w:rPr>
        <w:t xml:space="preserve"> which was approved by ARAC in </w:t>
      </w:r>
      <w:r w:rsidR="3C97C693" w:rsidRPr="286D958D">
        <w:rPr>
          <w:rFonts w:eastAsiaTheme="minorEastAsia"/>
          <w:color w:val="000000" w:themeColor="text1"/>
          <w:sz w:val="24"/>
          <w:szCs w:val="24"/>
        </w:rPr>
        <w:t>Q3</w:t>
      </w:r>
      <w:r w:rsidR="0865C7C6" w:rsidRPr="286D958D">
        <w:rPr>
          <w:rFonts w:eastAsiaTheme="minorEastAsia"/>
          <w:color w:val="000000" w:themeColor="text1"/>
          <w:sz w:val="24"/>
          <w:szCs w:val="24"/>
        </w:rPr>
        <w:t xml:space="preserve"> 2025</w:t>
      </w:r>
      <w:r w:rsidR="459E41C6" w:rsidRPr="286D958D">
        <w:rPr>
          <w:rFonts w:eastAsiaTheme="minorEastAsia"/>
          <w:color w:val="000000" w:themeColor="text1"/>
          <w:sz w:val="24"/>
          <w:szCs w:val="24"/>
        </w:rPr>
        <w:t>/2026</w:t>
      </w:r>
      <w:r w:rsidR="0865C7C6" w:rsidRPr="286D958D">
        <w:rPr>
          <w:rFonts w:eastAsiaTheme="minorEastAsia"/>
          <w:color w:val="000000" w:themeColor="text1"/>
          <w:sz w:val="24"/>
          <w:szCs w:val="24"/>
        </w:rPr>
        <w:t xml:space="preserve">. </w:t>
      </w:r>
    </w:p>
    <w:p w14:paraId="62058C8D" w14:textId="1922ACB5" w:rsidR="00431D67" w:rsidRPr="00CC596F" w:rsidRDefault="420DEA48" w:rsidP="286D958D">
      <w:pPr>
        <w:widowControl w:val="0"/>
        <w:spacing w:after="240" w:line="360" w:lineRule="auto"/>
        <w:ind w:left="678"/>
        <w:rPr>
          <w:rFonts w:eastAsiaTheme="minorEastAsia"/>
          <w:color w:val="000000" w:themeColor="text1"/>
          <w:sz w:val="24"/>
          <w:szCs w:val="24"/>
        </w:rPr>
      </w:pPr>
      <w:r w:rsidRPr="286D958D">
        <w:rPr>
          <w:rFonts w:eastAsiaTheme="minorEastAsia"/>
          <w:color w:val="000000" w:themeColor="text1"/>
          <w:sz w:val="24"/>
          <w:szCs w:val="24"/>
        </w:rPr>
        <w:t>The Policy is a formal acknowledgment of SEPA’s commitment to managing risk. It s</w:t>
      </w:r>
      <w:r w:rsidR="0865C7C6" w:rsidRPr="286D958D">
        <w:rPr>
          <w:rFonts w:eastAsiaTheme="minorEastAsia"/>
          <w:color w:val="000000" w:themeColor="text1"/>
          <w:sz w:val="24"/>
          <w:szCs w:val="24"/>
        </w:rPr>
        <w:t>ets the standards which clearly outline the expectations across SEPA in relation to risk management.</w:t>
      </w:r>
      <w:r w:rsidR="6B523BCE" w:rsidRPr="286D958D">
        <w:rPr>
          <w:rFonts w:eastAsiaTheme="minorEastAsia"/>
          <w:color w:val="000000" w:themeColor="text1"/>
          <w:sz w:val="24"/>
          <w:szCs w:val="24"/>
        </w:rPr>
        <w:t xml:space="preserve"> It </w:t>
      </w:r>
      <w:r w:rsidR="20F6F579" w:rsidRPr="286D958D">
        <w:rPr>
          <w:rFonts w:eastAsiaTheme="minorEastAsia"/>
          <w:color w:val="000000" w:themeColor="text1"/>
          <w:sz w:val="24"/>
          <w:szCs w:val="24"/>
        </w:rPr>
        <w:t>defines the roles and responsibilities for risk management accountability.</w:t>
      </w:r>
    </w:p>
    <w:p w14:paraId="1D2DDFB5" w14:textId="4C466D2E" w:rsidR="00431D67" w:rsidRPr="00CC596F" w:rsidRDefault="20F6F579" w:rsidP="286D958D">
      <w:pPr>
        <w:spacing w:after="240" w:line="360" w:lineRule="auto"/>
        <w:ind w:left="678"/>
        <w:rPr>
          <w:rFonts w:eastAsiaTheme="minorEastAsia"/>
          <w:color w:val="000000" w:themeColor="text1"/>
          <w:sz w:val="24"/>
          <w:szCs w:val="24"/>
        </w:rPr>
      </w:pPr>
      <w:r w:rsidRPr="286D958D">
        <w:rPr>
          <w:rFonts w:eastAsiaTheme="minorEastAsia"/>
          <w:color w:val="000000" w:themeColor="text1"/>
          <w:sz w:val="24"/>
          <w:szCs w:val="24"/>
        </w:rPr>
        <w:t>The Strategy</w:t>
      </w:r>
      <w:r w:rsidR="3C5DCCF7" w:rsidRPr="286D958D">
        <w:rPr>
          <w:rFonts w:eastAsiaTheme="minorEastAsia"/>
          <w:color w:val="000000" w:themeColor="text1"/>
          <w:sz w:val="24"/>
          <w:szCs w:val="24"/>
        </w:rPr>
        <w:t xml:space="preserve"> provides a comprehensive overview of SEPA’s risk management </w:t>
      </w:r>
      <w:r w:rsidR="5F0A94DB" w:rsidRPr="286D958D">
        <w:rPr>
          <w:rFonts w:eastAsiaTheme="minorEastAsia"/>
          <w:color w:val="000000" w:themeColor="text1"/>
          <w:sz w:val="24"/>
          <w:szCs w:val="24"/>
        </w:rPr>
        <w:t>framework,</w:t>
      </w:r>
      <w:r w:rsidR="3C5DCCF7" w:rsidRPr="286D958D">
        <w:rPr>
          <w:rFonts w:eastAsiaTheme="minorEastAsia"/>
          <w:color w:val="000000" w:themeColor="text1"/>
          <w:sz w:val="24"/>
          <w:szCs w:val="24"/>
        </w:rPr>
        <w:t xml:space="preserve"> and it introduced four risk objectives with a roadmap of how we intend to meet the </w:t>
      </w:r>
      <w:r w:rsidR="75083E92" w:rsidRPr="286D958D">
        <w:rPr>
          <w:rFonts w:eastAsiaTheme="minorEastAsia"/>
          <w:color w:val="000000" w:themeColor="text1"/>
          <w:sz w:val="24"/>
          <w:szCs w:val="24"/>
        </w:rPr>
        <w:t>objectives</w:t>
      </w:r>
      <w:r w:rsidR="3C5DCCF7" w:rsidRPr="286D958D">
        <w:rPr>
          <w:rFonts w:eastAsiaTheme="minorEastAsia"/>
          <w:color w:val="000000" w:themeColor="text1"/>
          <w:sz w:val="24"/>
          <w:szCs w:val="24"/>
        </w:rPr>
        <w:t xml:space="preserve"> </w:t>
      </w:r>
      <w:r w:rsidR="52F189B8" w:rsidRPr="286D958D">
        <w:rPr>
          <w:rFonts w:eastAsiaTheme="minorEastAsia"/>
          <w:color w:val="000000" w:themeColor="text1"/>
          <w:sz w:val="24"/>
          <w:szCs w:val="24"/>
        </w:rPr>
        <w:t>between</w:t>
      </w:r>
      <w:r w:rsidR="3C5DCCF7" w:rsidRPr="286D958D">
        <w:rPr>
          <w:rFonts w:eastAsiaTheme="minorEastAsia"/>
          <w:color w:val="000000" w:themeColor="text1"/>
          <w:sz w:val="24"/>
          <w:szCs w:val="24"/>
        </w:rPr>
        <w:t xml:space="preserve"> now and </w:t>
      </w:r>
      <w:r w:rsidR="47412C1F" w:rsidRPr="286D958D">
        <w:rPr>
          <w:rFonts w:eastAsiaTheme="minorEastAsia"/>
          <w:color w:val="000000" w:themeColor="text1"/>
          <w:sz w:val="24"/>
          <w:szCs w:val="24"/>
        </w:rPr>
        <w:t>Q4</w:t>
      </w:r>
      <w:r w:rsidR="3C5DCCF7" w:rsidRPr="286D958D">
        <w:rPr>
          <w:rFonts w:eastAsiaTheme="minorEastAsia"/>
          <w:color w:val="000000" w:themeColor="text1"/>
          <w:sz w:val="24"/>
          <w:szCs w:val="24"/>
        </w:rPr>
        <w:t xml:space="preserve"> 2027.</w:t>
      </w:r>
    </w:p>
    <w:p w14:paraId="352919AD" w14:textId="326ACF14" w:rsidR="00431D67" w:rsidRPr="00CC596F" w:rsidRDefault="38C339E9" w:rsidP="286D958D">
      <w:pPr>
        <w:spacing w:after="240" w:line="360" w:lineRule="auto"/>
        <w:ind w:left="678"/>
        <w:rPr>
          <w:rFonts w:eastAsiaTheme="minorEastAsia"/>
          <w:color w:val="000000" w:themeColor="text1"/>
          <w:sz w:val="24"/>
          <w:szCs w:val="24"/>
        </w:rPr>
      </w:pPr>
      <w:r w:rsidRPr="286D958D">
        <w:rPr>
          <w:rFonts w:eastAsiaTheme="minorEastAsia"/>
          <w:color w:val="000000" w:themeColor="text1"/>
          <w:sz w:val="24"/>
          <w:szCs w:val="24"/>
        </w:rPr>
        <w:t xml:space="preserve">Risk Management Procedures </w:t>
      </w:r>
      <w:r w:rsidR="5CA91EF4" w:rsidRPr="286D958D">
        <w:rPr>
          <w:rFonts w:eastAsiaTheme="minorEastAsia"/>
          <w:color w:val="000000" w:themeColor="text1"/>
          <w:sz w:val="24"/>
          <w:szCs w:val="24"/>
        </w:rPr>
        <w:t>were then developed to support colleagues in the application of ri</w:t>
      </w:r>
      <w:r w:rsidR="735A4ECC" w:rsidRPr="286D958D">
        <w:rPr>
          <w:rFonts w:eastAsiaTheme="minorEastAsia"/>
          <w:color w:val="000000" w:themeColor="text1"/>
          <w:sz w:val="24"/>
          <w:szCs w:val="24"/>
        </w:rPr>
        <w:t xml:space="preserve">sk management in day-to-day operations. </w:t>
      </w:r>
      <w:r w:rsidR="4D8A6120" w:rsidRPr="286D958D">
        <w:rPr>
          <w:rFonts w:eastAsiaTheme="minorEastAsia"/>
          <w:color w:val="000000" w:themeColor="text1"/>
          <w:sz w:val="24"/>
          <w:szCs w:val="24"/>
        </w:rPr>
        <w:t xml:space="preserve">As part of this development, SEPA’s risk scoring matrix was improved </w:t>
      </w:r>
      <w:r w:rsidR="4A897B66" w:rsidRPr="286D958D">
        <w:rPr>
          <w:rFonts w:eastAsiaTheme="minorEastAsia"/>
          <w:color w:val="000000" w:themeColor="text1"/>
          <w:sz w:val="24"/>
          <w:szCs w:val="24"/>
        </w:rPr>
        <w:t>in Q</w:t>
      </w:r>
      <w:r w:rsidR="1AD77D95" w:rsidRPr="286D958D">
        <w:rPr>
          <w:rFonts w:eastAsiaTheme="minorEastAsia"/>
          <w:color w:val="000000" w:themeColor="text1"/>
          <w:sz w:val="24"/>
          <w:szCs w:val="24"/>
        </w:rPr>
        <w:t>4</w:t>
      </w:r>
      <w:r w:rsidR="4A897B66" w:rsidRPr="286D958D">
        <w:rPr>
          <w:rFonts w:eastAsiaTheme="minorEastAsia"/>
          <w:color w:val="000000" w:themeColor="text1"/>
          <w:sz w:val="24"/>
          <w:szCs w:val="24"/>
        </w:rPr>
        <w:t xml:space="preserve"> </w:t>
      </w:r>
      <w:r w:rsidR="4D8A6120" w:rsidRPr="286D958D">
        <w:rPr>
          <w:rFonts w:eastAsiaTheme="minorEastAsia"/>
          <w:color w:val="000000" w:themeColor="text1"/>
          <w:sz w:val="24"/>
          <w:szCs w:val="24"/>
        </w:rPr>
        <w:t>to sharpen</w:t>
      </w:r>
      <w:r w:rsidR="20D50842" w:rsidRPr="286D958D">
        <w:rPr>
          <w:rFonts w:eastAsiaTheme="minorEastAsia"/>
          <w:color w:val="000000" w:themeColor="text1"/>
          <w:sz w:val="24"/>
          <w:szCs w:val="24"/>
        </w:rPr>
        <w:t xml:space="preserve"> the</w:t>
      </w:r>
      <w:r w:rsidR="4D8A6120" w:rsidRPr="286D958D">
        <w:rPr>
          <w:rFonts w:eastAsiaTheme="minorEastAsia"/>
          <w:color w:val="000000" w:themeColor="text1"/>
          <w:sz w:val="24"/>
          <w:szCs w:val="24"/>
        </w:rPr>
        <w:t xml:space="preserve"> focus </w:t>
      </w:r>
      <w:r w:rsidR="0D55842D" w:rsidRPr="286D958D">
        <w:rPr>
          <w:rFonts w:eastAsiaTheme="minorEastAsia"/>
          <w:color w:val="000000" w:themeColor="text1"/>
          <w:sz w:val="24"/>
          <w:szCs w:val="24"/>
        </w:rPr>
        <w:t xml:space="preserve">on high scoring risks, </w:t>
      </w:r>
      <w:r w:rsidR="480E20C1" w:rsidRPr="286D958D">
        <w:rPr>
          <w:rFonts w:eastAsiaTheme="minorEastAsia"/>
          <w:color w:val="000000" w:themeColor="text1"/>
          <w:sz w:val="24"/>
          <w:szCs w:val="24"/>
        </w:rPr>
        <w:t>making it easier to prioritise higher impact risks over those risks with the same score that had a higher likelihood of happening but a lo</w:t>
      </w:r>
      <w:r w:rsidR="0B9AD7D1" w:rsidRPr="286D958D">
        <w:rPr>
          <w:rFonts w:eastAsiaTheme="minorEastAsia"/>
          <w:color w:val="000000" w:themeColor="text1"/>
          <w:sz w:val="24"/>
          <w:szCs w:val="24"/>
        </w:rPr>
        <w:t xml:space="preserve">wer impact and expanding the colour coding to assist with that prioritisation. </w:t>
      </w:r>
      <w:r w:rsidR="0F3BA9F0" w:rsidRPr="286D958D">
        <w:rPr>
          <w:rFonts w:eastAsiaTheme="minorEastAsia"/>
          <w:color w:val="000000" w:themeColor="text1"/>
          <w:sz w:val="24"/>
          <w:szCs w:val="24"/>
        </w:rPr>
        <w:t>The principal and operational registers were thereafter updated with the new scoring methodology.</w:t>
      </w:r>
    </w:p>
    <w:p w14:paraId="666949A9" w14:textId="2C8330C5" w:rsidR="00431D67" w:rsidRPr="00CC596F" w:rsidRDefault="735A4ECC" w:rsidP="286D958D">
      <w:pPr>
        <w:pStyle w:val="Heading1"/>
        <w:rPr>
          <w:sz w:val="24"/>
          <w:szCs w:val="24"/>
        </w:rPr>
      </w:pPr>
      <w:r w:rsidRPr="286D958D">
        <w:rPr>
          <w:sz w:val="24"/>
          <w:szCs w:val="24"/>
        </w:rPr>
        <w:t xml:space="preserve">2.2 </w:t>
      </w:r>
      <w:r w:rsidR="00431D67">
        <w:tab/>
      </w:r>
      <w:r w:rsidRPr="286D958D">
        <w:rPr>
          <w:sz w:val="24"/>
          <w:szCs w:val="24"/>
        </w:rPr>
        <w:t xml:space="preserve">    Principal Risk Review</w:t>
      </w:r>
    </w:p>
    <w:p w14:paraId="3DAC043D" w14:textId="4AB69102" w:rsidR="286D958D" w:rsidRDefault="286D958D" w:rsidP="286D958D"/>
    <w:p w14:paraId="630AF0A3" w14:textId="5361E9D8" w:rsidR="6F27C91D" w:rsidRDefault="6F27C91D" w:rsidP="286D958D">
      <w:pPr>
        <w:spacing w:after="240" w:line="360" w:lineRule="auto"/>
        <w:ind w:left="678"/>
        <w:rPr>
          <w:rFonts w:eastAsia="Arial"/>
          <w:color w:val="000000" w:themeColor="text1"/>
          <w:sz w:val="24"/>
          <w:szCs w:val="24"/>
        </w:rPr>
      </w:pPr>
      <w:r w:rsidRPr="286D958D">
        <w:rPr>
          <w:rFonts w:eastAsiaTheme="minorEastAsia"/>
          <w:color w:val="000000" w:themeColor="text1"/>
          <w:sz w:val="24"/>
          <w:szCs w:val="24"/>
        </w:rPr>
        <w:t>A quarterly reporting rhythm was introduced at SEPA in Q2 to ensure the flow of risk information and decision making is taking place between the operational risk registers</w:t>
      </w:r>
      <w:r w:rsidR="4CCD70EF" w:rsidRPr="286D958D">
        <w:rPr>
          <w:rFonts w:eastAsiaTheme="minorEastAsia"/>
          <w:color w:val="000000" w:themeColor="text1"/>
          <w:sz w:val="24"/>
          <w:szCs w:val="24"/>
        </w:rPr>
        <w:t xml:space="preserve"> and the principal risk register. </w:t>
      </w:r>
      <w:r w:rsidR="40D418F5" w:rsidRPr="286D958D">
        <w:rPr>
          <w:rFonts w:eastAsiaTheme="minorEastAsia"/>
          <w:color w:val="000000" w:themeColor="text1"/>
          <w:sz w:val="24"/>
          <w:szCs w:val="24"/>
        </w:rPr>
        <w:t xml:space="preserve">The Principal Risk Register is formally reviewed on a quarterly basis by the </w:t>
      </w:r>
      <w:r w:rsidR="00D660AE">
        <w:rPr>
          <w:rFonts w:eastAsiaTheme="minorEastAsia"/>
          <w:color w:val="000000" w:themeColor="text1"/>
          <w:sz w:val="24"/>
          <w:szCs w:val="24"/>
        </w:rPr>
        <w:t>Corporate Leadership Team (</w:t>
      </w:r>
      <w:r w:rsidR="40D418F5" w:rsidRPr="286D958D">
        <w:rPr>
          <w:rFonts w:eastAsiaTheme="minorEastAsia"/>
          <w:color w:val="000000" w:themeColor="text1"/>
          <w:sz w:val="24"/>
          <w:szCs w:val="24"/>
        </w:rPr>
        <w:t>CLT</w:t>
      </w:r>
      <w:r w:rsidR="00D660AE">
        <w:rPr>
          <w:rFonts w:eastAsiaTheme="minorEastAsia"/>
          <w:color w:val="000000" w:themeColor="text1"/>
          <w:sz w:val="24"/>
          <w:szCs w:val="24"/>
        </w:rPr>
        <w:t>)</w:t>
      </w:r>
      <w:r w:rsidR="44940EB5" w:rsidRPr="286D958D">
        <w:rPr>
          <w:rFonts w:eastAsiaTheme="minorEastAsia"/>
          <w:color w:val="000000" w:themeColor="text1"/>
          <w:sz w:val="24"/>
          <w:szCs w:val="24"/>
        </w:rPr>
        <w:t xml:space="preserve">. This is facilitated by </w:t>
      </w:r>
      <w:r w:rsidR="40D418F5" w:rsidRPr="286D958D">
        <w:rPr>
          <w:rFonts w:eastAsiaTheme="minorEastAsia"/>
          <w:color w:val="000000" w:themeColor="text1"/>
          <w:sz w:val="24"/>
          <w:szCs w:val="24"/>
        </w:rPr>
        <w:t>the Assurance and Risk team</w:t>
      </w:r>
      <w:r w:rsidR="2064DA3E" w:rsidRPr="286D958D">
        <w:rPr>
          <w:rFonts w:eastAsiaTheme="minorEastAsia"/>
          <w:color w:val="000000" w:themeColor="text1"/>
          <w:sz w:val="24"/>
          <w:szCs w:val="24"/>
        </w:rPr>
        <w:t xml:space="preserve"> and focuses on </w:t>
      </w:r>
      <w:r w:rsidR="33AF1530" w:rsidRPr="286D958D">
        <w:rPr>
          <w:rFonts w:eastAsiaTheme="minorEastAsia"/>
          <w:color w:val="000000" w:themeColor="text1"/>
          <w:sz w:val="24"/>
          <w:szCs w:val="24"/>
        </w:rPr>
        <w:t xml:space="preserve">obtaining updates on mitigating actions, </w:t>
      </w:r>
      <w:r w:rsidR="0E3650BF" w:rsidRPr="286D958D">
        <w:rPr>
          <w:rFonts w:eastAsiaTheme="minorEastAsia"/>
          <w:color w:val="000000" w:themeColor="text1"/>
          <w:sz w:val="24"/>
          <w:szCs w:val="24"/>
        </w:rPr>
        <w:t>evaluation</w:t>
      </w:r>
      <w:r w:rsidR="2119DAAA" w:rsidRPr="286D958D">
        <w:rPr>
          <w:rFonts w:eastAsiaTheme="minorEastAsia"/>
          <w:color w:val="000000" w:themeColor="text1"/>
          <w:sz w:val="24"/>
          <w:szCs w:val="24"/>
        </w:rPr>
        <w:t xml:space="preserve"> of the</w:t>
      </w:r>
      <w:r w:rsidR="33AF1530" w:rsidRPr="286D958D">
        <w:rPr>
          <w:rFonts w:eastAsiaTheme="minorEastAsia"/>
          <w:color w:val="000000" w:themeColor="text1"/>
          <w:sz w:val="24"/>
          <w:szCs w:val="24"/>
        </w:rPr>
        <w:t xml:space="preserve"> current control</w:t>
      </w:r>
      <w:r w:rsidR="31EF094A" w:rsidRPr="286D958D">
        <w:rPr>
          <w:rFonts w:eastAsiaTheme="minorEastAsia"/>
          <w:color w:val="000000" w:themeColor="text1"/>
          <w:sz w:val="24"/>
          <w:szCs w:val="24"/>
        </w:rPr>
        <w:t xml:space="preserve"> environment</w:t>
      </w:r>
      <w:r w:rsidR="33AF1530" w:rsidRPr="286D958D">
        <w:rPr>
          <w:rFonts w:eastAsiaTheme="minorEastAsia"/>
          <w:color w:val="000000" w:themeColor="text1"/>
          <w:sz w:val="24"/>
          <w:szCs w:val="24"/>
        </w:rPr>
        <w:t xml:space="preserve">, </w:t>
      </w:r>
      <w:r w:rsidR="05EE184B" w:rsidRPr="286D958D">
        <w:rPr>
          <w:rFonts w:eastAsiaTheme="minorEastAsia"/>
          <w:color w:val="000000" w:themeColor="text1"/>
          <w:sz w:val="24"/>
          <w:szCs w:val="24"/>
        </w:rPr>
        <w:t>check and challenge of the residual scoring</w:t>
      </w:r>
      <w:r w:rsidR="33AF1530" w:rsidRPr="286D958D">
        <w:rPr>
          <w:rFonts w:eastAsiaTheme="minorEastAsia"/>
          <w:color w:val="000000" w:themeColor="text1"/>
          <w:sz w:val="24"/>
          <w:szCs w:val="24"/>
        </w:rPr>
        <w:t xml:space="preserve"> and </w:t>
      </w:r>
      <w:r w:rsidR="31898B51" w:rsidRPr="286D958D">
        <w:rPr>
          <w:rFonts w:eastAsiaTheme="minorEastAsia"/>
          <w:color w:val="000000" w:themeColor="text1"/>
          <w:sz w:val="24"/>
          <w:szCs w:val="24"/>
        </w:rPr>
        <w:t xml:space="preserve">if any new risks </w:t>
      </w:r>
      <w:r w:rsidR="00A43AD4">
        <w:rPr>
          <w:rFonts w:eastAsiaTheme="minorEastAsia"/>
          <w:color w:val="000000" w:themeColor="text1"/>
          <w:sz w:val="24"/>
          <w:szCs w:val="24"/>
        </w:rPr>
        <w:t xml:space="preserve">that may </w:t>
      </w:r>
      <w:r w:rsidR="31898B51" w:rsidRPr="286D958D">
        <w:rPr>
          <w:rFonts w:eastAsiaTheme="minorEastAsia"/>
          <w:color w:val="000000" w:themeColor="text1"/>
          <w:sz w:val="24"/>
          <w:szCs w:val="24"/>
        </w:rPr>
        <w:t>require to be added or escalated from the operational risk registers.</w:t>
      </w:r>
      <w:r w:rsidR="57EFB190" w:rsidRPr="286D958D">
        <w:rPr>
          <w:rFonts w:eastAsiaTheme="minorEastAsia"/>
          <w:color w:val="000000" w:themeColor="text1"/>
          <w:sz w:val="24"/>
          <w:szCs w:val="24"/>
        </w:rPr>
        <w:t xml:space="preserve"> This is </w:t>
      </w:r>
      <w:r w:rsidR="0B5B4674" w:rsidRPr="286D958D">
        <w:rPr>
          <w:rFonts w:eastAsiaTheme="minorEastAsia"/>
          <w:color w:val="000000" w:themeColor="text1"/>
          <w:sz w:val="24"/>
          <w:szCs w:val="24"/>
        </w:rPr>
        <w:t xml:space="preserve">now </w:t>
      </w:r>
      <w:r w:rsidR="57EFB190" w:rsidRPr="286D958D">
        <w:rPr>
          <w:rFonts w:eastAsiaTheme="minorEastAsia"/>
          <w:color w:val="000000" w:themeColor="text1"/>
          <w:sz w:val="24"/>
          <w:szCs w:val="24"/>
        </w:rPr>
        <w:t xml:space="preserve">supported by Heads of Function </w:t>
      </w:r>
      <w:r w:rsidR="1C6BE199" w:rsidRPr="286D958D">
        <w:rPr>
          <w:rFonts w:eastAsiaTheme="minorEastAsia"/>
          <w:color w:val="000000" w:themeColor="text1"/>
          <w:sz w:val="24"/>
          <w:szCs w:val="24"/>
        </w:rPr>
        <w:t xml:space="preserve">who are </w:t>
      </w:r>
      <w:r w:rsidR="57EFB190" w:rsidRPr="286D958D">
        <w:rPr>
          <w:rFonts w:eastAsiaTheme="minorEastAsia"/>
          <w:color w:val="000000" w:themeColor="text1"/>
          <w:sz w:val="24"/>
          <w:szCs w:val="24"/>
        </w:rPr>
        <w:t xml:space="preserve">designated action owners against the principal risks. </w:t>
      </w:r>
    </w:p>
    <w:p w14:paraId="37402B68" w14:textId="37E5A3DA" w:rsidR="32173123" w:rsidRDefault="32173123" w:rsidP="286D958D">
      <w:pPr>
        <w:spacing w:after="240" w:line="360" w:lineRule="auto"/>
        <w:ind w:left="709"/>
        <w:rPr>
          <w:rFonts w:eastAsia="Arial"/>
          <w:color w:val="000000" w:themeColor="text1"/>
          <w:sz w:val="24"/>
          <w:szCs w:val="24"/>
        </w:rPr>
      </w:pPr>
      <w:r w:rsidRPr="286D958D">
        <w:rPr>
          <w:rFonts w:eastAsia="Arial"/>
          <w:color w:val="000000" w:themeColor="text1"/>
          <w:sz w:val="24"/>
          <w:szCs w:val="24"/>
        </w:rPr>
        <w:t xml:space="preserve">From Q3, risk management was added as a </w:t>
      </w:r>
      <w:r w:rsidR="192BF0FB" w:rsidRPr="286D958D">
        <w:rPr>
          <w:rFonts w:eastAsia="Arial"/>
          <w:color w:val="000000" w:themeColor="text1"/>
          <w:sz w:val="24"/>
          <w:szCs w:val="24"/>
        </w:rPr>
        <w:t xml:space="preserve">standing agenda item </w:t>
      </w:r>
      <w:r w:rsidR="1E2C26CC" w:rsidRPr="286D958D">
        <w:rPr>
          <w:rFonts w:eastAsia="Arial"/>
          <w:color w:val="000000" w:themeColor="text1"/>
          <w:sz w:val="24"/>
          <w:szCs w:val="24"/>
        </w:rPr>
        <w:t>at</w:t>
      </w:r>
      <w:r w:rsidR="192BF0FB" w:rsidRPr="286D958D">
        <w:rPr>
          <w:rFonts w:eastAsia="Arial"/>
          <w:color w:val="000000" w:themeColor="text1"/>
          <w:sz w:val="24"/>
          <w:szCs w:val="24"/>
        </w:rPr>
        <w:t xml:space="preserve"> fortnightly C</w:t>
      </w:r>
      <w:r w:rsidR="27F2E476" w:rsidRPr="286D958D">
        <w:rPr>
          <w:rFonts w:eastAsia="Arial"/>
          <w:color w:val="000000" w:themeColor="text1"/>
          <w:sz w:val="24"/>
          <w:szCs w:val="24"/>
        </w:rPr>
        <w:t>LT</w:t>
      </w:r>
      <w:r w:rsidR="192BF0FB" w:rsidRPr="286D958D">
        <w:rPr>
          <w:rFonts w:eastAsia="Arial"/>
          <w:color w:val="000000" w:themeColor="text1"/>
          <w:sz w:val="24"/>
          <w:szCs w:val="24"/>
        </w:rPr>
        <w:t xml:space="preserve"> meetings, to give the opportunity to raise and discuss any new and emerging risks as well as provide any urgent updates to the principal risk register.</w:t>
      </w:r>
      <w:r w:rsidR="37A58201" w:rsidRPr="286D958D">
        <w:rPr>
          <w:rFonts w:eastAsia="Arial"/>
          <w:color w:val="000000" w:themeColor="text1"/>
          <w:sz w:val="24"/>
          <w:szCs w:val="24"/>
        </w:rPr>
        <w:t xml:space="preserve"> </w:t>
      </w:r>
    </w:p>
    <w:p w14:paraId="634B380C" w14:textId="2E5FDAD2" w:rsidR="44DD626C" w:rsidRDefault="44DD626C" w:rsidP="286D958D">
      <w:pPr>
        <w:spacing w:after="240" w:line="360" w:lineRule="auto"/>
        <w:ind w:left="709"/>
        <w:rPr>
          <w:rFonts w:eastAsia="Arial"/>
          <w:color w:val="000000" w:themeColor="text1"/>
          <w:sz w:val="24"/>
          <w:szCs w:val="24"/>
        </w:rPr>
      </w:pPr>
      <w:r w:rsidRPr="286D958D">
        <w:rPr>
          <w:rFonts w:eastAsia="Arial"/>
          <w:color w:val="000000" w:themeColor="text1"/>
          <w:sz w:val="24"/>
          <w:szCs w:val="24"/>
        </w:rPr>
        <w:t>Following the Internal Audit of Risk Management in Q4, t</w:t>
      </w:r>
      <w:r w:rsidR="01D8500F" w:rsidRPr="286D958D">
        <w:rPr>
          <w:rFonts w:eastAsia="Arial"/>
          <w:color w:val="000000" w:themeColor="text1"/>
          <w:sz w:val="24"/>
          <w:szCs w:val="24"/>
        </w:rPr>
        <w:t xml:space="preserve">he format of the full Principal Risk Register was changed from a Microsoft Word document to a Microsoft Excel file which </w:t>
      </w:r>
      <w:r w:rsidR="4EADFDC5" w:rsidRPr="286D958D">
        <w:rPr>
          <w:rFonts w:eastAsia="Arial"/>
          <w:color w:val="000000" w:themeColor="text1"/>
          <w:sz w:val="24"/>
          <w:szCs w:val="24"/>
        </w:rPr>
        <w:t xml:space="preserve">now </w:t>
      </w:r>
      <w:r w:rsidR="01D8500F" w:rsidRPr="286D958D">
        <w:rPr>
          <w:rFonts w:eastAsia="Arial"/>
          <w:color w:val="000000" w:themeColor="text1"/>
          <w:sz w:val="24"/>
          <w:szCs w:val="24"/>
        </w:rPr>
        <w:t xml:space="preserve">mirrors how each of the </w:t>
      </w:r>
      <w:r w:rsidR="678F0FCE" w:rsidRPr="286D958D">
        <w:rPr>
          <w:rFonts w:eastAsia="Arial"/>
          <w:color w:val="000000" w:themeColor="text1"/>
          <w:sz w:val="24"/>
          <w:szCs w:val="24"/>
        </w:rPr>
        <w:t>operational</w:t>
      </w:r>
      <w:r w:rsidR="01D8500F" w:rsidRPr="286D958D">
        <w:rPr>
          <w:rFonts w:eastAsia="Arial"/>
          <w:color w:val="000000" w:themeColor="text1"/>
          <w:sz w:val="24"/>
          <w:szCs w:val="24"/>
        </w:rPr>
        <w:t xml:space="preserve"> risk r</w:t>
      </w:r>
      <w:r w:rsidR="2ADFE44D" w:rsidRPr="286D958D">
        <w:rPr>
          <w:rFonts w:eastAsia="Arial"/>
          <w:color w:val="000000" w:themeColor="text1"/>
          <w:sz w:val="24"/>
          <w:szCs w:val="24"/>
        </w:rPr>
        <w:t xml:space="preserve">egisters in the </w:t>
      </w:r>
      <w:r w:rsidR="0D83DE87" w:rsidRPr="286D958D">
        <w:rPr>
          <w:rFonts w:eastAsia="Arial"/>
          <w:color w:val="000000" w:themeColor="text1"/>
          <w:sz w:val="24"/>
          <w:szCs w:val="24"/>
        </w:rPr>
        <w:t>Portfolios</w:t>
      </w:r>
      <w:r w:rsidR="2ADFE44D" w:rsidRPr="286D958D">
        <w:rPr>
          <w:rFonts w:eastAsia="Arial"/>
          <w:color w:val="000000" w:themeColor="text1"/>
          <w:sz w:val="24"/>
          <w:szCs w:val="24"/>
        </w:rPr>
        <w:t xml:space="preserve"> are managed. </w:t>
      </w:r>
      <w:r w:rsidR="2265C3B4" w:rsidRPr="286D958D">
        <w:rPr>
          <w:rFonts w:eastAsia="Arial"/>
          <w:color w:val="000000" w:themeColor="text1"/>
          <w:sz w:val="24"/>
          <w:szCs w:val="24"/>
        </w:rPr>
        <w:t xml:space="preserve">Each action on the principal risk register now has an action owner (usually a </w:t>
      </w:r>
      <w:r w:rsidR="007E7BD9">
        <w:rPr>
          <w:rFonts w:eastAsia="Arial"/>
          <w:color w:val="000000" w:themeColor="text1"/>
          <w:sz w:val="24"/>
          <w:szCs w:val="24"/>
        </w:rPr>
        <w:t>h</w:t>
      </w:r>
      <w:r w:rsidR="2265C3B4" w:rsidRPr="286D958D">
        <w:rPr>
          <w:rFonts w:eastAsia="Arial"/>
          <w:color w:val="000000" w:themeColor="text1"/>
          <w:sz w:val="24"/>
          <w:szCs w:val="24"/>
        </w:rPr>
        <w:t xml:space="preserve">ead of </w:t>
      </w:r>
      <w:r w:rsidR="007E7BD9">
        <w:rPr>
          <w:rFonts w:eastAsia="Arial"/>
          <w:color w:val="000000" w:themeColor="text1"/>
          <w:sz w:val="24"/>
          <w:szCs w:val="24"/>
        </w:rPr>
        <w:t>f</w:t>
      </w:r>
      <w:r w:rsidR="2265C3B4" w:rsidRPr="286D958D">
        <w:rPr>
          <w:rFonts w:eastAsia="Arial"/>
          <w:color w:val="000000" w:themeColor="text1"/>
          <w:sz w:val="24"/>
          <w:szCs w:val="24"/>
        </w:rPr>
        <w:t xml:space="preserve">unction) and a target date. The change </w:t>
      </w:r>
      <w:r w:rsidR="35E097B1" w:rsidRPr="286D958D">
        <w:rPr>
          <w:rFonts w:eastAsia="Arial"/>
          <w:color w:val="000000" w:themeColor="text1"/>
          <w:sz w:val="24"/>
          <w:szCs w:val="24"/>
        </w:rPr>
        <w:t xml:space="preserve">will ensure </w:t>
      </w:r>
      <w:r w:rsidR="4A499E3A" w:rsidRPr="286D958D">
        <w:rPr>
          <w:rFonts w:eastAsia="Arial"/>
          <w:color w:val="000000" w:themeColor="text1"/>
          <w:sz w:val="24"/>
          <w:szCs w:val="24"/>
        </w:rPr>
        <w:t xml:space="preserve">accountability is attributable to the actions and </w:t>
      </w:r>
      <w:r w:rsidR="6CCB3688" w:rsidRPr="286D958D">
        <w:rPr>
          <w:rFonts w:eastAsia="Arial"/>
          <w:color w:val="000000" w:themeColor="text1"/>
          <w:sz w:val="24"/>
          <w:szCs w:val="24"/>
        </w:rPr>
        <w:t>will</w:t>
      </w:r>
      <w:r w:rsidR="4A499E3A" w:rsidRPr="286D958D">
        <w:rPr>
          <w:rFonts w:eastAsia="Arial"/>
          <w:color w:val="000000" w:themeColor="text1"/>
          <w:sz w:val="24"/>
          <w:szCs w:val="24"/>
        </w:rPr>
        <w:t xml:space="preserve"> ensure the data has the correct fields and format for any transfer in the</w:t>
      </w:r>
      <w:r w:rsidR="6A4A4CE2" w:rsidRPr="286D958D">
        <w:rPr>
          <w:rFonts w:eastAsia="Arial"/>
          <w:color w:val="000000" w:themeColor="text1"/>
          <w:sz w:val="24"/>
          <w:szCs w:val="24"/>
        </w:rPr>
        <w:t xml:space="preserve"> future </w:t>
      </w:r>
      <w:r w:rsidR="4A499E3A" w:rsidRPr="286D958D">
        <w:rPr>
          <w:rFonts w:eastAsia="Arial"/>
          <w:color w:val="000000" w:themeColor="text1"/>
          <w:sz w:val="24"/>
          <w:szCs w:val="24"/>
        </w:rPr>
        <w:t>to a risk management system</w:t>
      </w:r>
      <w:r w:rsidR="239D25D6" w:rsidRPr="286D958D">
        <w:rPr>
          <w:rFonts w:eastAsia="Arial"/>
          <w:color w:val="000000" w:themeColor="text1"/>
          <w:sz w:val="24"/>
          <w:szCs w:val="24"/>
        </w:rPr>
        <w:t xml:space="preserve">. </w:t>
      </w:r>
    </w:p>
    <w:p w14:paraId="1502800D" w14:textId="0DF459C2" w:rsidR="004D5785" w:rsidRDefault="2306DA77" w:rsidP="286D958D">
      <w:pPr>
        <w:pStyle w:val="Heading1"/>
        <w:rPr>
          <w:sz w:val="24"/>
          <w:szCs w:val="24"/>
        </w:rPr>
      </w:pPr>
      <w:r w:rsidRPr="286D958D">
        <w:rPr>
          <w:sz w:val="24"/>
          <w:szCs w:val="24"/>
        </w:rPr>
        <w:t>2.3</w:t>
      </w:r>
      <w:r w:rsidR="00894E79">
        <w:tab/>
      </w:r>
      <w:r w:rsidR="00894E79">
        <w:tab/>
      </w:r>
      <w:r w:rsidR="00894E79">
        <w:tab/>
      </w:r>
      <w:r w:rsidR="004E2F5B">
        <w:t xml:space="preserve">  </w:t>
      </w:r>
      <w:r w:rsidR="007C094E" w:rsidRPr="286D958D">
        <w:rPr>
          <w:sz w:val="24"/>
          <w:szCs w:val="24"/>
        </w:rPr>
        <w:t>Operational</w:t>
      </w:r>
      <w:r w:rsidR="00F64D4E" w:rsidRPr="286D958D">
        <w:rPr>
          <w:sz w:val="24"/>
          <w:szCs w:val="24"/>
        </w:rPr>
        <w:t xml:space="preserve"> Risk</w:t>
      </w:r>
      <w:r w:rsidR="007C094E" w:rsidRPr="286D958D">
        <w:rPr>
          <w:sz w:val="24"/>
          <w:szCs w:val="24"/>
        </w:rPr>
        <w:t xml:space="preserve"> Revie</w:t>
      </w:r>
      <w:r w:rsidR="5D81B711" w:rsidRPr="286D958D">
        <w:rPr>
          <w:sz w:val="24"/>
          <w:szCs w:val="24"/>
        </w:rPr>
        <w:t>w</w:t>
      </w:r>
      <w:r w:rsidR="001E4B42" w:rsidRPr="286D958D">
        <w:rPr>
          <w:sz w:val="24"/>
          <w:szCs w:val="24"/>
        </w:rPr>
        <w:t xml:space="preserve"> </w:t>
      </w:r>
    </w:p>
    <w:p w14:paraId="4933D512" w14:textId="03B1686E" w:rsidR="286D958D" w:rsidRDefault="286D958D" w:rsidP="286D958D"/>
    <w:p w14:paraId="7698A992" w14:textId="6D4D89C5" w:rsidR="00967E30" w:rsidRDefault="00967E30" w:rsidP="286D958D">
      <w:pPr>
        <w:spacing w:after="240" w:line="360" w:lineRule="auto"/>
        <w:ind w:left="709"/>
        <w:rPr>
          <w:sz w:val="24"/>
          <w:szCs w:val="24"/>
        </w:rPr>
      </w:pPr>
      <w:r w:rsidRPr="286D958D">
        <w:rPr>
          <w:sz w:val="24"/>
          <w:szCs w:val="24"/>
        </w:rPr>
        <w:t xml:space="preserve">Each </w:t>
      </w:r>
      <w:r w:rsidR="008E2D5B" w:rsidRPr="286D958D">
        <w:rPr>
          <w:sz w:val="24"/>
          <w:szCs w:val="24"/>
        </w:rPr>
        <w:t>o</w:t>
      </w:r>
      <w:r w:rsidRPr="286D958D">
        <w:rPr>
          <w:sz w:val="24"/>
          <w:szCs w:val="24"/>
        </w:rPr>
        <w:t xml:space="preserve">perational </w:t>
      </w:r>
      <w:r w:rsidR="74E22A05" w:rsidRPr="286D958D">
        <w:rPr>
          <w:sz w:val="24"/>
          <w:szCs w:val="24"/>
        </w:rPr>
        <w:t xml:space="preserve">risk </w:t>
      </w:r>
      <w:r w:rsidRPr="286D958D">
        <w:rPr>
          <w:sz w:val="24"/>
          <w:szCs w:val="24"/>
        </w:rPr>
        <w:t xml:space="preserve">register is divided by </w:t>
      </w:r>
      <w:r w:rsidR="56381BA9" w:rsidRPr="286D958D">
        <w:rPr>
          <w:sz w:val="24"/>
          <w:szCs w:val="24"/>
        </w:rPr>
        <w:t>function,</w:t>
      </w:r>
      <w:r w:rsidRPr="286D958D">
        <w:rPr>
          <w:sz w:val="24"/>
          <w:szCs w:val="24"/>
        </w:rPr>
        <w:t xml:space="preserve"> </w:t>
      </w:r>
      <w:r w:rsidR="517B67D3" w:rsidRPr="286D958D">
        <w:rPr>
          <w:sz w:val="24"/>
          <w:szCs w:val="24"/>
        </w:rPr>
        <w:t>with</w:t>
      </w:r>
      <w:r w:rsidRPr="286D958D">
        <w:rPr>
          <w:sz w:val="24"/>
          <w:szCs w:val="24"/>
        </w:rPr>
        <w:t xml:space="preserve"> risks </w:t>
      </w:r>
      <w:r w:rsidR="6D2C5F44" w:rsidRPr="286D958D">
        <w:rPr>
          <w:sz w:val="24"/>
          <w:szCs w:val="24"/>
        </w:rPr>
        <w:t>being owned</w:t>
      </w:r>
      <w:r w:rsidRPr="286D958D">
        <w:rPr>
          <w:sz w:val="24"/>
          <w:szCs w:val="24"/>
        </w:rPr>
        <w:t xml:space="preserve"> and managed by </w:t>
      </w:r>
      <w:r w:rsidR="40170D69" w:rsidRPr="286D958D">
        <w:rPr>
          <w:sz w:val="24"/>
          <w:szCs w:val="24"/>
        </w:rPr>
        <w:t>h</w:t>
      </w:r>
      <w:r w:rsidRPr="286D958D">
        <w:rPr>
          <w:sz w:val="24"/>
          <w:szCs w:val="24"/>
        </w:rPr>
        <w:t xml:space="preserve">eads of function. </w:t>
      </w:r>
      <w:r w:rsidR="6D8310EA" w:rsidRPr="286D958D">
        <w:rPr>
          <w:sz w:val="24"/>
          <w:szCs w:val="24"/>
        </w:rPr>
        <w:t xml:space="preserve">All operational risks, regardless of scoring, are reviewed by their Head of Function and updates are made by the action owners on a quarterly basis. This is supported by Risk Champions from across the </w:t>
      </w:r>
      <w:r w:rsidR="004E2F5B">
        <w:rPr>
          <w:sz w:val="24"/>
          <w:szCs w:val="24"/>
        </w:rPr>
        <w:t>f</w:t>
      </w:r>
      <w:r w:rsidR="6D8310EA" w:rsidRPr="286D958D">
        <w:rPr>
          <w:sz w:val="24"/>
          <w:szCs w:val="24"/>
        </w:rPr>
        <w:t xml:space="preserve">unctions. </w:t>
      </w:r>
    </w:p>
    <w:p w14:paraId="5B66CAF1" w14:textId="2E517CB0" w:rsidR="00967E30" w:rsidRDefault="194903FB" w:rsidP="286D958D">
      <w:pPr>
        <w:spacing w:after="240" w:line="360" w:lineRule="auto"/>
        <w:ind w:left="709"/>
        <w:rPr>
          <w:sz w:val="24"/>
          <w:szCs w:val="24"/>
        </w:rPr>
      </w:pPr>
      <w:r w:rsidRPr="286D958D">
        <w:rPr>
          <w:sz w:val="24"/>
          <w:szCs w:val="24"/>
        </w:rPr>
        <w:t xml:space="preserve">All operational risks </w:t>
      </w:r>
      <w:r w:rsidR="3125C3F0" w:rsidRPr="286D958D">
        <w:rPr>
          <w:sz w:val="24"/>
          <w:szCs w:val="24"/>
        </w:rPr>
        <w:t xml:space="preserve">scoring 12 and above </w:t>
      </w:r>
      <w:r w:rsidRPr="286D958D">
        <w:rPr>
          <w:sz w:val="24"/>
          <w:szCs w:val="24"/>
        </w:rPr>
        <w:t xml:space="preserve">are </w:t>
      </w:r>
      <w:r w:rsidR="00C8344E" w:rsidRPr="286D958D">
        <w:rPr>
          <w:sz w:val="24"/>
          <w:szCs w:val="24"/>
        </w:rPr>
        <w:t xml:space="preserve">discussed and managed </w:t>
      </w:r>
      <w:r w:rsidR="0AD3333F" w:rsidRPr="286D958D">
        <w:rPr>
          <w:sz w:val="24"/>
          <w:szCs w:val="24"/>
        </w:rPr>
        <w:t xml:space="preserve">at risk focussed </w:t>
      </w:r>
      <w:r w:rsidR="00C8344E" w:rsidRPr="286D958D">
        <w:rPr>
          <w:sz w:val="24"/>
          <w:szCs w:val="24"/>
        </w:rPr>
        <w:t xml:space="preserve">Portfolio </w:t>
      </w:r>
      <w:r w:rsidR="000723B2">
        <w:rPr>
          <w:sz w:val="24"/>
          <w:szCs w:val="24"/>
        </w:rPr>
        <w:t>Leadership</w:t>
      </w:r>
      <w:r w:rsidR="00C8344E" w:rsidRPr="286D958D">
        <w:rPr>
          <w:sz w:val="24"/>
          <w:szCs w:val="24"/>
        </w:rPr>
        <w:t xml:space="preserve"> Team</w:t>
      </w:r>
      <w:r w:rsidR="008E2D5B" w:rsidRPr="286D958D">
        <w:rPr>
          <w:sz w:val="24"/>
          <w:szCs w:val="24"/>
        </w:rPr>
        <w:t xml:space="preserve"> meetings </w:t>
      </w:r>
      <w:r w:rsidR="5D5E58CF" w:rsidRPr="286D958D">
        <w:rPr>
          <w:sz w:val="24"/>
          <w:szCs w:val="24"/>
        </w:rPr>
        <w:t xml:space="preserve">on a quarterly basis </w:t>
      </w:r>
      <w:r w:rsidR="008E2D5B" w:rsidRPr="286D958D">
        <w:rPr>
          <w:sz w:val="24"/>
          <w:szCs w:val="24"/>
        </w:rPr>
        <w:t xml:space="preserve">to provide the </w:t>
      </w:r>
      <w:r w:rsidR="7423CF7E" w:rsidRPr="286D958D">
        <w:rPr>
          <w:sz w:val="24"/>
          <w:szCs w:val="24"/>
        </w:rPr>
        <w:t xml:space="preserve">aligned </w:t>
      </w:r>
      <w:r w:rsidR="008E2D5B" w:rsidRPr="286D958D">
        <w:rPr>
          <w:sz w:val="24"/>
          <w:szCs w:val="24"/>
        </w:rPr>
        <w:t>Chief Officer with oversight of the top risks in their Portfolio</w:t>
      </w:r>
      <w:r w:rsidR="00C8344E" w:rsidRPr="286D958D">
        <w:rPr>
          <w:sz w:val="24"/>
          <w:szCs w:val="24"/>
        </w:rPr>
        <w:t>.</w:t>
      </w:r>
      <w:r w:rsidR="7F2533EF" w:rsidRPr="286D958D">
        <w:rPr>
          <w:sz w:val="24"/>
          <w:szCs w:val="24"/>
        </w:rPr>
        <w:t xml:space="preserve"> This ensures they are well-informed for the </w:t>
      </w:r>
      <w:r w:rsidR="00C76268">
        <w:rPr>
          <w:sz w:val="24"/>
          <w:szCs w:val="24"/>
        </w:rPr>
        <w:t xml:space="preserve">quarterly </w:t>
      </w:r>
      <w:r w:rsidR="7F2533EF" w:rsidRPr="286D958D">
        <w:rPr>
          <w:sz w:val="24"/>
          <w:szCs w:val="24"/>
        </w:rPr>
        <w:t xml:space="preserve">CLT discussion on risk. </w:t>
      </w:r>
    </w:p>
    <w:p w14:paraId="332529E7" w14:textId="42F7F5BD" w:rsidR="00967E30" w:rsidRDefault="7C420A72" w:rsidP="286D958D">
      <w:pPr>
        <w:spacing w:after="240" w:line="360" w:lineRule="auto"/>
        <w:ind w:left="709"/>
        <w:rPr>
          <w:sz w:val="24"/>
          <w:szCs w:val="24"/>
        </w:rPr>
      </w:pPr>
      <w:r w:rsidRPr="286D958D">
        <w:rPr>
          <w:sz w:val="24"/>
          <w:szCs w:val="24"/>
        </w:rPr>
        <w:lastRenderedPageBreak/>
        <w:t>Operational r</w:t>
      </w:r>
      <w:r w:rsidR="00F51B36" w:rsidRPr="286D958D">
        <w:rPr>
          <w:sz w:val="24"/>
          <w:szCs w:val="24"/>
        </w:rPr>
        <w:t xml:space="preserve">isks </w:t>
      </w:r>
      <w:r w:rsidR="45F366FE" w:rsidRPr="286D958D">
        <w:rPr>
          <w:sz w:val="24"/>
          <w:szCs w:val="24"/>
        </w:rPr>
        <w:t>scoring 12 and above are</w:t>
      </w:r>
      <w:r w:rsidR="00F51B36" w:rsidRPr="286D958D">
        <w:rPr>
          <w:sz w:val="24"/>
          <w:szCs w:val="24"/>
        </w:rPr>
        <w:t xml:space="preserve"> </w:t>
      </w:r>
      <w:r w:rsidR="008E2D5B" w:rsidRPr="286D958D">
        <w:rPr>
          <w:sz w:val="24"/>
          <w:szCs w:val="24"/>
        </w:rPr>
        <w:t xml:space="preserve">mapped across to </w:t>
      </w:r>
      <w:r w:rsidR="08072A9A" w:rsidRPr="286D958D">
        <w:rPr>
          <w:sz w:val="24"/>
          <w:szCs w:val="24"/>
        </w:rPr>
        <w:t>the</w:t>
      </w:r>
      <w:r w:rsidR="008E2D5B" w:rsidRPr="286D958D">
        <w:rPr>
          <w:sz w:val="24"/>
          <w:szCs w:val="24"/>
        </w:rPr>
        <w:t xml:space="preserve"> </w:t>
      </w:r>
      <w:r w:rsidR="5A04E8D8" w:rsidRPr="286D958D">
        <w:rPr>
          <w:sz w:val="24"/>
          <w:szCs w:val="24"/>
        </w:rPr>
        <w:t>principal risk</w:t>
      </w:r>
      <w:r w:rsidR="3FFB6B24" w:rsidRPr="286D958D">
        <w:rPr>
          <w:sz w:val="24"/>
          <w:szCs w:val="24"/>
        </w:rPr>
        <w:t>s</w:t>
      </w:r>
      <w:r w:rsidR="5A04E8D8" w:rsidRPr="286D958D">
        <w:rPr>
          <w:sz w:val="24"/>
          <w:szCs w:val="24"/>
        </w:rPr>
        <w:t xml:space="preserve"> by the Assurance and Risk team</w:t>
      </w:r>
      <w:r w:rsidR="48837274" w:rsidRPr="286D958D">
        <w:rPr>
          <w:sz w:val="24"/>
          <w:szCs w:val="24"/>
        </w:rPr>
        <w:t xml:space="preserve"> </w:t>
      </w:r>
      <w:r w:rsidR="008E2D5B" w:rsidRPr="286D958D">
        <w:rPr>
          <w:sz w:val="24"/>
          <w:szCs w:val="24"/>
        </w:rPr>
        <w:t xml:space="preserve">and </w:t>
      </w:r>
      <w:r w:rsidR="00074BB7" w:rsidRPr="286D958D">
        <w:rPr>
          <w:sz w:val="24"/>
          <w:szCs w:val="24"/>
        </w:rPr>
        <w:t xml:space="preserve">updates to these are shared with </w:t>
      </w:r>
      <w:r w:rsidR="47721FB5" w:rsidRPr="286D958D">
        <w:rPr>
          <w:sz w:val="24"/>
          <w:szCs w:val="24"/>
        </w:rPr>
        <w:t>the CLT</w:t>
      </w:r>
      <w:r w:rsidR="00074BB7" w:rsidRPr="286D958D">
        <w:rPr>
          <w:sz w:val="24"/>
          <w:szCs w:val="24"/>
        </w:rPr>
        <w:t xml:space="preserve"> to provide further in</w:t>
      </w:r>
      <w:r w:rsidR="53E89A0A" w:rsidRPr="286D958D">
        <w:rPr>
          <w:sz w:val="24"/>
          <w:szCs w:val="24"/>
        </w:rPr>
        <w:t xml:space="preserve">sight into any operational risks that may require to be escalated and/or considered as an addition to the Principal Risk Register. </w:t>
      </w:r>
    </w:p>
    <w:p w14:paraId="1EABBB7C" w14:textId="1EC83F84" w:rsidR="4DD992B0" w:rsidRDefault="4DD992B0" w:rsidP="286D958D">
      <w:pPr>
        <w:pStyle w:val="ListParagraph"/>
        <w:spacing w:after="240" w:line="360" w:lineRule="auto"/>
        <w:ind w:left="709" w:hanging="709"/>
        <w:rPr>
          <w:rFonts w:ascii="Arial" w:hAnsi="Arial"/>
          <w:b/>
          <w:bCs/>
          <w:sz w:val="24"/>
          <w:szCs w:val="24"/>
        </w:rPr>
      </w:pPr>
      <w:r w:rsidRPr="286D958D">
        <w:rPr>
          <w:rFonts w:ascii="Arial" w:hAnsi="Arial"/>
          <w:b/>
          <w:bCs/>
          <w:sz w:val="24"/>
          <w:szCs w:val="24"/>
        </w:rPr>
        <w:t>2.4</w:t>
      </w:r>
      <w:r>
        <w:tab/>
      </w:r>
      <w:r w:rsidRPr="286D958D">
        <w:rPr>
          <w:rFonts w:ascii="Arial" w:hAnsi="Arial"/>
          <w:b/>
          <w:bCs/>
          <w:sz w:val="24"/>
          <w:szCs w:val="24"/>
        </w:rPr>
        <w:t>Risk Champion Network</w:t>
      </w:r>
    </w:p>
    <w:p w14:paraId="33EF9284" w14:textId="32EFF301" w:rsidR="1F5CEAE1" w:rsidRDefault="1F5CEAE1" w:rsidP="286D958D">
      <w:pPr>
        <w:pStyle w:val="ListParagraph"/>
        <w:spacing w:after="240" w:line="360" w:lineRule="auto"/>
      </w:pPr>
      <w:r w:rsidRPr="286D958D">
        <w:rPr>
          <w:rFonts w:ascii="Arial" w:eastAsia="Arial" w:hAnsi="Arial"/>
          <w:color w:val="000000" w:themeColor="text1"/>
          <w:sz w:val="24"/>
          <w:szCs w:val="24"/>
        </w:rPr>
        <w:t>In Q3, the Assurance and Risk team carried out bespoke training for those colleagues identified as Risk Champions. The focus of the training was to give Risk Champions the knowledge and skills to support their functions in updating the operational risk registers for the quarterly risk reporting cycle. It is an important part of embedding risk management across the organisation. In addition to this, quarterly Risk Champion Network meetings were scheduled and chaired by the Assurance and Risk Manager. These meetings will give Risk Champions the opportunity to meet colleagues across Portfolios, discuss any challenges, opportunities, themes or trends and obtain further training.</w:t>
      </w:r>
    </w:p>
    <w:p w14:paraId="125B5A7A" w14:textId="75AF420B" w:rsidR="4DD992B0" w:rsidRDefault="4DD992B0" w:rsidP="286D958D">
      <w:pPr>
        <w:pStyle w:val="ListParagraph"/>
        <w:spacing w:after="240" w:line="360" w:lineRule="auto"/>
        <w:ind w:left="709" w:hanging="709"/>
        <w:rPr>
          <w:rFonts w:ascii="Arial" w:hAnsi="Arial"/>
          <w:b/>
          <w:bCs/>
          <w:sz w:val="24"/>
          <w:szCs w:val="24"/>
        </w:rPr>
      </w:pPr>
      <w:r w:rsidRPr="286D958D">
        <w:rPr>
          <w:rFonts w:ascii="Arial" w:hAnsi="Arial"/>
          <w:b/>
          <w:bCs/>
          <w:sz w:val="24"/>
          <w:szCs w:val="24"/>
        </w:rPr>
        <w:t>2.</w:t>
      </w:r>
      <w:r w:rsidR="37FF138F" w:rsidRPr="286D958D">
        <w:rPr>
          <w:rFonts w:ascii="Arial" w:hAnsi="Arial"/>
          <w:b/>
          <w:bCs/>
          <w:sz w:val="24"/>
          <w:szCs w:val="24"/>
        </w:rPr>
        <w:t>5</w:t>
      </w:r>
      <w:r>
        <w:tab/>
      </w:r>
      <w:r w:rsidRPr="286D958D">
        <w:rPr>
          <w:rFonts w:ascii="Arial" w:hAnsi="Arial"/>
          <w:b/>
          <w:bCs/>
          <w:sz w:val="24"/>
          <w:szCs w:val="24"/>
        </w:rPr>
        <w:t>S</w:t>
      </w:r>
      <w:r w:rsidR="00355791">
        <w:rPr>
          <w:rFonts w:ascii="Arial" w:hAnsi="Arial"/>
          <w:b/>
          <w:bCs/>
          <w:sz w:val="24"/>
          <w:szCs w:val="24"/>
        </w:rPr>
        <w:t>trategic</w:t>
      </w:r>
      <w:r w:rsidRPr="286D958D">
        <w:rPr>
          <w:rFonts w:ascii="Arial" w:hAnsi="Arial"/>
          <w:b/>
          <w:bCs/>
          <w:sz w:val="24"/>
          <w:szCs w:val="24"/>
        </w:rPr>
        <w:t xml:space="preserve"> Leader Risk Training</w:t>
      </w:r>
    </w:p>
    <w:p w14:paraId="17EEFE5E" w14:textId="67EEEA76" w:rsidR="70F67DC7" w:rsidRDefault="70F67DC7" w:rsidP="286D958D">
      <w:pPr>
        <w:pStyle w:val="ListParagraph"/>
        <w:spacing w:after="240" w:line="360" w:lineRule="auto"/>
      </w:pPr>
      <w:r w:rsidRPr="286D958D">
        <w:rPr>
          <w:rFonts w:ascii="Arial" w:eastAsia="Arial" w:hAnsi="Arial"/>
          <w:color w:val="000000" w:themeColor="text1"/>
          <w:sz w:val="24"/>
          <w:szCs w:val="24"/>
        </w:rPr>
        <w:t xml:space="preserve">In Q3 and Q4, risk training was provided </w:t>
      </w:r>
      <w:r w:rsidR="004A2B0B">
        <w:rPr>
          <w:rFonts w:ascii="Arial" w:eastAsia="Arial" w:hAnsi="Arial"/>
          <w:color w:val="000000" w:themeColor="text1"/>
          <w:sz w:val="24"/>
          <w:szCs w:val="24"/>
        </w:rPr>
        <w:t>virtually</w:t>
      </w:r>
      <w:r w:rsidRPr="286D958D">
        <w:rPr>
          <w:rFonts w:ascii="Arial" w:eastAsia="Arial" w:hAnsi="Arial"/>
          <w:color w:val="000000" w:themeColor="text1"/>
          <w:sz w:val="24"/>
          <w:szCs w:val="24"/>
        </w:rPr>
        <w:t xml:space="preserve"> for Heads of Function. The training provide</w:t>
      </w:r>
      <w:r w:rsidR="5FEB2FD1" w:rsidRPr="286D958D">
        <w:rPr>
          <w:rFonts w:ascii="Arial" w:eastAsia="Arial" w:hAnsi="Arial"/>
          <w:color w:val="000000" w:themeColor="text1"/>
          <w:sz w:val="24"/>
          <w:szCs w:val="24"/>
        </w:rPr>
        <w:t>d</w:t>
      </w:r>
      <w:r w:rsidRPr="286D958D">
        <w:rPr>
          <w:rFonts w:ascii="Arial" w:eastAsia="Arial" w:hAnsi="Arial"/>
          <w:color w:val="000000" w:themeColor="text1"/>
          <w:sz w:val="24"/>
          <w:szCs w:val="24"/>
        </w:rPr>
        <w:t xml:space="preserve"> our S</w:t>
      </w:r>
      <w:r w:rsidR="00355791">
        <w:rPr>
          <w:rFonts w:ascii="Arial" w:eastAsia="Arial" w:hAnsi="Arial"/>
          <w:color w:val="000000" w:themeColor="text1"/>
          <w:sz w:val="24"/>
          <w:szCs w:val="24"/>
        </w:rPr>
        <w:t>trategic</w:t>
      </w:r>
      <w:r w:rsidRPr="286D958D">
        <w:rPr>
          <w:rFonts w:ascii="Arial" w:eastAsia="Arial" w:hAnsi="Arial"/>
          <w:color w:val="000000" w:themeColor="text1"/>
          <w:sz w:val="24"/>
          <w:szCs w:val="24"/>
        </w:rPr>
        <w:t xml:space="preserve"> Leaders with an overview of the strategy and policy, with emphasis on why managing risk is fundamental to decision making, planning and performance. It also cover</w:t>
      </w:r>
      <w:r w:rsidR="5C51678D" w:rsidRPr="286D958D">
        <w:rPr>
          <w:rFonts w:ascii="Arial" w:eastAsia="Arial" w:hAnsi="Arial"/>
          <w:color w:val="000000" w:themeColor="text1"/>
          <w:sz w:val="24"/>
          <w:szCs w:val="24"/>
        </w:rPr>
        <w:t>ed</w:t>
      </w:r>
      <w:r w:rsidRPr="286D958D">
        <w:rPr>
          <w:rFonts w:ascii="Arial" w:eastAsia="Arial" w:hAnsi="Arial"/>
          <w:color w:val="000000" w:themeColor="text1"/>
          <w:sz w:val="24"/>
          <w:szCs w:val="24"/>
        </w:rPr>
        <w:t xml:space="preserve"> the principal risks and the quarterly risk reporting cycle.</w:t>
      </w:r>
      <w:r w:rsidR="1B0DF01C" w:rsidRPr="286D958D">
        <w:rPr>
          <w:rFonts w:ascii="Arial" w:eastAsia="Arial" w:hAnsi="Arial"/>
          <w:color w:val="000000" w:themeColor="text1"/>
          <w:sz w:val="24"/>
          <w:szCs w:val="24"/>
        </w:rPr>
        <w:t xml:space="preserve"> This training is currently being made into an e-learning module.</w:t>
      </w:r>
    </w:p>
    <w:p w14:paraId="4578396D" w14:textId="7B59A80A" w:rsidR="4DD992B0" w:rsidRDefault="4DD992B0" w:rsidP="286D958D">
      <w:pPr>
        <w:pStyle w:val="ListParagraph"/>
        <w:spacing w:after="240" w:line="360" w:lineRule="auto"/>
        <w:ind w:left="709" w:hanging="709"/>
        <w:rPr>
          <w:rFonts w:ascii="Arial" w:hAnsi="Arial"/>
          <w:b/>
          <w:bCs/>
          <w:sz w:val="24"/>
          <w:szCs w:val="24"/>
        </w:rPr>
      </w:pPr>
      <w:r w:rsidRPr="286D958D">
        <w:rPr>
          <w:rFonts w:ascii="Arial" w:hAnsi="Arial"/>
          <w:b/>
          <w:bCs/>
          <w:sz w:val="24"/>
          <w:szCs w:val="24"/>
        </w:rPr>
        <w:t>2.</w:t>
      </w:r>
      <w:r w:rsidR="4536B8D7" w:rsidRPr="286D958D">
        <w:rPr>
          <w:rFonts w:ascii="Arial" w:hAnsi="Arial"/>
          <w:b/>
          <w:bCs/>
          <w:sz w:val="24"/>
          <w:szCs w:val="24"/>
        </w:rPr>
        <w:t>6</w:t>
      </w:r>
      <w:r>
        <w:tab/>
      </w:r>
      <w:r w:rsidRPr="286D958D">
        <w:rPr>
          <w:rFonts w:ascii="Arial" w:hAnsi="Arial"/>
          <w:b/>
          <w:bCs/>
          <w:sz w:val="24"/>
          <w:szCs w:val="24"/>
        </w:rPr>
        <w:t>Managers Briefings</w:t>
      </w:r>
    </w:p>
    <w:p w14:paraId="7CC86AFB" w14:textId="11591308" w:rsidR="27219D2D" w:rsidRDefault="27219D2D" w:rsidP="286D958D">
      <w:pPr>
        <w:pStyle w:val="ListParagraph"/>
        <w:spacing w:after="240" w:line="360" w:lineRule="auto"/>
        <w:ind w:left="678"/>
        <w:rPr>
          <w:rFonts w:ascii="Arial" w:hAnsi="Arial"/>
          <w:b/>
          <w:bCs/>
          <w:sz w:val="24"/>
          <w:szCs w:val="24"/>
        </w:rPr>
      </w:pPr>
      <w:r w:rsidRPr="286D958D">
        <w:rPr>
          <w:rFonts w:ascii="Arial" w:eastAsia="Arial" w:hAnsi="Arial"/>
          <w:color w:val="000000" w:themeColor="text1"/>
          <w:sz w:val="24"/>
          <w:szCs w:val="24"/>
        </w:rPr>
        <w:t>The Assurance and Risk team worked with Internal Communications in Q3 to produce a manager’s briefing that communicated the introduction of the risk strategy, policy and procedures</w:t>
      </w:r>
      <w:r w:rsidR="00857DFA">
        <w:rPr>
          <w:rFonts w:ascii="Arial" w:eastAsia="Arial" w:hAnsi="Arial"/>
          <w:color w:val="000000" w:themeColor="text1"/>
          <w:sz w:val="24"/>
          <w:szCs w:val="24"/>
        </w:rPr>
        <w:t xml:space="preserve"> to all colleagues</w:t>
      </w:r>
      <w:r w:rsidRPr="286D958D">
        <w:rPr>
          <w:rFonts w:ascii="Arial" w:eastAsia="Arial" w:hAnsi="Arial"/>
          <w:color w:val="000000" w:themeColor="text1"/>
          <w:sz w:val="24"/>
          <w:szCs w:val="24"/>
        </w:rPr>
        <w:t>. In addition to this, the Assurance and Risk Manager attend</w:t>
      </w:r>
      <w:r w:rsidR="1D903D77" w:rsidRPr="286D958D">
        <w:rPr>
          <w:rFonts w:ascii="Arial" w:eastAsia="Arial" w:hAnsi="Arial"/>
          <w:color w:val="000000" w:themeColor="text1"/>
          <w:sz w:val="24"/>
          <w:szCs w:val="24"/>
        </w:rPr>
        <w:t xml:space="preserve">ed </w:t>
      </w:r>
      <w:r w:rsidRPr="286D958D">
        <w:rPr>
          <w:rFonts w:ascii="Arial" w:eastAsia="Arial" w:hAnsi="Arial"/>
          <w:color w:val="000000" w:themeColor="text1"/>
          <w:sz w:val="24"/>
          <w:szCs w:val="24"/>
        </w:rPr>
        <w:t xml:space="preserve">all Portfolio </w:t>
      </w:r>
      <w:r w:rsidR="512193F8" w:rsidRPr="286D958D">
        <w:rPr>
          <w:rFonts w:ascii="Arial" w:eastAsia="Arial" w:hAnsi="Arial"/>
          <w:color w:val="000000" w:themeColor="text1"/>
          <w:sz w:val="24"/>
          <w:szCs w:val="24"/>
        </w:rPr>
        <w:t>L</w:t>
      </w:r>
      <w:r w:rsidRPr="286D958D">
        <w:rPr>
          <w:rFonts w:ascii="Arial" w:eastAsia="Arial" w:hAnsi="Arial"/>
          <w:color w:val="000000" w:themeColor="text1"/>
          <w:sz w:val="24"/>
          <w:szCs w:val="24"/>
        </w:rPr>
        <w:t xml:space="preserve">eadership </w:t>
      </w:r>
      <w:r w:rsidR="4EBCE86A" w:rsidRPr="286D958D">
        <w:rPr>
          <w:rFonts w:ascii="Arial" w:eastAsia="Arial" w:hAnsi="Arial"/>
          <w:color w:val="000000" w:themeColor="text1"/>
          <w:sz w:val="24"/>
          <w:szCs w:val="24"/>
        </w:rPr>
        <w:t>T</w:t>
      </w:r>
      <w:r w:rsidRPr="286D958D">
        <w:rPr>
          <w:rFonts w:ascii="Arial" w:eastAsia="Arial" w:hAnsi="Arial"/>
          <w:color w:val="000000" w:themeColor="text1"/>
          <w:sz w:val="24"/>
          <w:szCs w:val="24"/>
        </w:rPr>
        <w:t xml:space="preserve">eam meetings to communicate the changes. </w:t>
      </w:r>
      <w:r w:rsidRPr="286D958D">
        <w:t xml:space="preserve"> </w:t>
      </w:r>
    </w:p>
    <w:p w14:paraId="63462CF3" w14:textId="2ECD4202" w:rsidR="4DD992B0" w:rsidRDefault="4DD992B0" w:rsidP="286D958D">
      <w:pPr>
        <w:pStyle w:val="ListParagraph"/>
        <w:spacing w:after="240" w:line="360" w:lineRule="auto"/>
        <w:ind w:left="709" w:hanging="709"/>
        <w:rPr>
          <w:rFonts w:ascii="Arial" w:hAnsi="Arial"/>
          <w:b/>
          <w:bCs/>
          <w:sz w:val="24"/>
          <w:szCs w:val="24"/>
        </w:rPr>
      </w:pPr>
      <w:r w:rsidRPr="286D958D">
        <w:rPr>
          <w:rFonts w:ascii="Arial" w:hAnsi="Arial"/>
          <w:b/>
          <w:bCs/>
          <w:sz w:val="24"/>
          <w:szCs w:val="24"/>
        </w:rPr>
        <w:t>2.</w:t>
      </w:r>
      <w:r w:rsidR="56D37009" w:rsidRPr="286D958D">
        <w:rPr>
          <w:rFonts w:ascii="Arial" w:hAnsi="Arial"/>
          <w:b/>
          <w:bCs/>
          <w:sz w:val="24"/>
          <w:szCs w:val="24"/>
        </w:rPr>
        <w:t>7</w:t>
      </w:r>
      <w:r>
        <w:tab/>
      </w:r>
      <w:r w:rsidR="10817866" w:rsidRPr="286D958D">
        <w:rPr>
          <w:rFonts w:ascii="Arial" w:hAnsi="Arial"/>
          <w:b/>
          <w:bCs/>
          <w:sz w:val="24"/>
          <w:szCs w:val="24"/>
        </w:rPr>
        <w:t>Risk Appetite Review</w:t>
      </w:r>
    </w:p>
    <w:p w14:paraId="499E1188" w14:textId="4D2FBBC2" w:rsidR="7B59C42F" w:rsidRDefault="7B59C42F" w:rsidP="00B40F7C">
      <w:pPr>
        <w:pStyle w:val="ListParagraph"/>
        <w:spacing w:after="240" w:line="360" w:lineRule="auto"/>
        <w:ind w:left="709" w:hanging="31"/>
        <w:rPr>
          <w:rFonts w:ascii="Arial" w:hAnsi="Arial"/>
          <w:sz w:val="24"/>
          <w:szCs w:val="24"/>
        </w:rPr>
      </w:pPr>
      <w:r w:rsidRPr="286D958D">
        <w:rPr>
          <w:rFonts w:ascii="Arial" w:hAnsi="Arial"/>
          <w:sz w:val="24"/>
          <w:szCs w:val="24"/>
        </w:rPr>
        <w:t>In Q4, the Assurance and Risk team worked with the CLT to create a new set of risk appetite statements for each of the 11 principal risks.</w:t>
      </w:r>
      <w:r w:rsidR="00F802FE">
        <w:rPr>
          <w:rFonts w:ascii="Arial" w:hAnsi="Arial"/>
          <w:sz w:val="24"/>
          <w:szCs w:val="24"/>
        </w:rPr>
        <w:t xml:space="preserve"> </w:t>
      </w:r>
      <w:r w:rsidR="63E488D1" w:rsidRPr="286D958D">
        <w:rPr>
          <w:rFonts w:ascii="Arial" w:hAnsi="Arial"/>
          <w:sz w:val="24"/>
          <w:szCs w:val="24"/>
        </w:rPr>
        <w:t>These risk appetite statements were agreed by ARAC and approved by the Board on 1</w:t>
      </w:r>
      <w:r w:rsidR="63E488D1" w:rsidRPr="286D958D">
        <w:rPr>
          <w:rFonts w:ascii="Arial" w:hAnsi="Arial"/>
          <w:sz w:val="24"/>
          <w:szCs w:val="24"/>
          <w:vertAlign w:val="superscript"/>
        </w:rPr>
        <w:t>st</w:t>
      </w:r>
      <w:r w:rsidR="63E488D1" w:rsidRPr="286D958D">
        <w:rPr>
          <w:rFonts w:ascii="Arial" w:hAnsi="Arial"/>
          <w:sz w:val="24"/>
          <w:szCs w:val="24"/>
        </w:rPr>
        <w:t xml:space="preserve"> May 2026. </w:t>
      </w:r>
    </w:p>
    <w:p w14:paraId="0581D6F2" w14:textId="70E00623" w:rsidR="10817866" w:rsidRDefault="10817866" w:rsidP="286D958D">
      <w:pPr>
        <w:pStyle w:val="ListParagraph"/>
        <w:spacing w:after="240" w:line="360" w:lineRule="auto"/>
        <w:ind w:left="709" w:hanging="709"/>
        <w:rPr>
          <w:rFonts w:ascii="Arial" w:hAnsi="Arial"/>
          <w:b/>
          <w:bCs/>
          <w:sz w:val="24"/>
          <w:szCs w:val="24"/>
        </w:rPr>
      </w:pPr>
      <w:r w:rsidRPr="286D958D">
        <w:rPr>
          <w:rFonts w:ascii="Arial" w:hAnsi="Arial"/>
          <w:b/>
          <w:bCs/>
          <w:sz w:val="24"/>
          <w:szCs w:val="24"/>
        </w:rPr>
        <w:t>2.</w:t>
      </w:r>
      <w:r w:rsidR="7C0F8A6A" w:rsidRPr="286D958D">
        <w:rPr>
          <w:rFonts w:ascii="Arial" w:hAnsi="Arial"/>
          <w:b/>
          <w:bCs/>
          <w:sz w:val="24"/>
          <w:szCs w:val="24"/>
        </w:rPr>
        <w:t>8</w:t>
      </w:r>
      <w:r>
        <w:tab/>
      </w:r>
      <w:r w:rsidRPr="286D958D">
        <w:rPr>
          <w:rFonts w:ascii="Arial" w:hAnsi="Arial"/>
          <w:b/>
          <w:bCs/>
          <w:sz w:val="24"/>
          <w:szCs w:val="24"/>
        </w:rPr>
        <w:t>Internal Audit of Risk Management</w:t>
      </w:r>
    </w:p>
    <w:p w14:paraId="6E7E0924" w14:textId="4CE954A6" w:rsidR="5995C926" w:rsidRDefault="7BD6C86F" w:rsidP="00857DFA">
      <w:pPr>
        <w:pStyle w:val="ListParagraph"/>
        <w:spacing w:after="240" w:line="360" w:lineRule="auto"/>
        <w:ind w:left="709" w:hanging="31"/>
        <w:rPr>
          <w:rFonts w:ascii="Arial" w:hAnsi="Arial"/>
          <w:sz w:val="24"/>
          <w:szCs w:val="24"/>
        </w:rPr>
      </w:pPr>
      <w:r w:rsidRPr="286D958D">
        <w:rPr>
          <w:rFonts w:ascii="Arial" w:hAnsi="Arial"/>
          <w:sz w:val="24"/>
          <w:szCs w:val="24"/>
        </w:rPr>
        <w:t>The Assurance and Risk team were audited in Q3 and obtained a Su</w:t>
      </w:r>
      <w:r w:rsidR="348B53F7" w:rsidRPr="286D958D">
        <w:rPr>
          <w:rFonts w:ascii="Arial" w:hAnsi="Arial"/>
          <w:sz w:val="24"/>
          <w:szCs w:val="24"/>
        </w:rPr>
        <w:t xml:space="preserve">bstantial rating for Design of the Risk Management Framework and a Moderate rating for </w:t>
      </w:r>
      <w:r w:rsidR="002B6AF6">
        <w:rPr>
          <w:rFonts w:ascii="Arial" w:hAnsi="Arial"/>
          <w:sz w:val="24"/>
          <w:szCs w:val="24"/>
        </w:rPr>
        <w:t xml:space="preserve">its effectiveness. Many </w:t>
      </w:r>
      <w:r w:rsidR="348B53F7" w:rsidRPr="286D958D">
        <w:rPr>
          <w:rFonts w:ascii="Arial" w:hAnsi="Arial"/>
          <w:sz w:val="24"/>
          <w:szCs w:val="24"/>
        </w:rPr>
        <w:t>areas of best practice were identified throughou</w:t>
      </w:r>
      <w:r w:rsidR="6026EE24" w:rsidRPr="286D958D">
        <w:rPr>
          <w:rFonts w:ascii="Arial" w:hAnsi="Arial"/>
          <w:sz w:val="24"/>
          <w:szCs w:val="24"/>
        </w:rPr>
        <w:t xml:space="preserve">t the report, ranging from the </w:t>
      </w:r>
      <w:r w:rsidR="002B6AF6">
        <w:rPr>
          <w:rFonts w:ascii="Arial" w:hAnsi="Arial"/>
          <w:sz w:val="24"/>
          <w:szCs w:val="24"/>
        </w:rPr>
        <w:t>R</w:t>
      </w:r>
      <w:r w:rsidR="6026EE24" w:rsidRPr="286D958D">
        <w:rPr>
          <w:rFonts w:ascii="Arial" w:hAnsi="Arial"/>
          <w:sz w:val="24"/>
          <w:szCs w:val="24"/>
        </w:rPr>
        <w:t xml:space="preserve">isk </w:t>
      </w:r>
      <w:r w:rsidR="002B6AF6">
        <w:rPr>
          <w:rFonts w:ascii="Arial" w:hAnsi="Arial"/>
          <w:sz w:val="24"/>
          <w:szCs w:val="24"/>
        </w:rPr>
        <w:t>C</w:t>
      </w:r>
      <w:r w:rsidR="6026EE24" w:rsidRPr="286D958D">
        <w:rPr>
          <w:rFonts w:ascii="Arial" w:hAnsi="Arial"/>
          <w:sz w:val="24"/>
          <w:szCs w:val="24"/>
        </w:rPr>
        <w:t xml:space="preserve">hampion </w:t>
      </w:r>
      <w:r w:rsidR="002B6AF6">
        <w:rPr>
          <w:rFonts w:ascii="Arial" w:hAnsi="Arial"/>
          <w:sz w:val="24"/>
          <w:szCs w:val="24"/>
        </w:rPr>
        <w:t>N</w:t>
      </w:r>
      <w:r w:rsidR="6026EE24" w:rsidRPr="286D958D">
        <w:rPr>
          <w:rFonts w:ascii="Arial" w:hAnsi="Arial"/>
          <w:sz w:val="24"/>
          <w:szCs w:val="24"/>
        </w:rPr>
        <w:t xml:space="preserve">etwork to the </w:t>
      </w:r>
      <w:r w:rsidR="2C9B73BD" w:rsidRPr="286D958D">
        <w:rPr>
          <w:rFonts w:ascii="Arial" w:hAnsi="Arial"/>
          <w:sz w:val="24"/>
          <w:szCs w:val="24"/>
        </w:rPr>
        <w:t xml:space="preserve">Risk Management Hub which </w:t>
      </w:r>
      <w:r w:rsidR="002B6AF6">
        <w:rPr>
          <w:rFonts w:ascii="Arial" w:hAnsi="Arial"/>
          <w:sz w:val="24"/>
          <w:szCs w:val="24"/>
        </w:rPr>
        <w:t>was</w:t>
      </w:r>
      <w:r w:rsidR="2C9B73BD" w:rsidRPr="286D958D">
        <w:rPr>
          <w:rFonts w:ascii="Arial" w:hAnsi="Arial"/>
          <w:sz w:val="24"/>
          <w:szCs w:val="24"/>
        </w:rPr>
        <w:t xml:space="preserve"> the central repository developed in Q3 to host risk management guidance documentation for colleagues</w:t>
      </w:r>
      <w:r w:rsidR="6026EE24" w:rsidRPr="286D958D">
        <w:rPr>
          <w:rFonts w:ascii="Arial" w:hAnsi="Arial"/>
          <w:sz w:val="24"/>
          <w:szCs w:val="24"/>
        </w:rPr>
        <w:t xml:space="preserve">. Five low findings were </w:t>
      </w:r>
      <w:r w:rsidR="4A84B6EB" w:rsidRPr="286D958D">
        <w:rPr>
          <w:rFonts w:ascii="Arial" w:hAnsi="Arial"/>
          <w:sz w:val="24"/>
          <w:szCs w:val="24"/>
        </w:rPr>
        <w:t>identified,</w:t>
      </w:r>
      <w:r w:rsidR="6026EE24" w:rsidRPr="286D958D">
        <w:rPr>
          <w:rFonts w:ascii="Arial" w:hAnsi="Arial"/>
          <w:sz w:val="24"/>
          <w:szCs w:val="24"/>
        </w:rPr>
        <w:t xml:space="preserve"> and the team will be working on the </w:t>
      </w:r>
      <w:r w:rsidR="207CF632" w:rsidRPr="286D958D">
        <w:rPr>
          <w:rFonts w:ascii="Arial" w:hAnsi="Arial"/>
          <w:sz w:val="24"/>
          <w:szCs w:val="24"/>
        </w:rPr>
        <w:t>completion</w:t>
      </w:r>
      <w:r w:rsidR="6026EE24" w:rsidRPr="286D958D">
        <w:rPr>
          <w:rFonts w:ascii="Arial" w:hAnsi="Arial"/>
          <w:sz w:val="24"/>
          <w:szCs w:val="24"/>
        </w:rPr>
        <w:t xml:space="preserve"> of these</w:t>
      </w:r>
      <w:r w:rsidR="5565A678" w:rsidRPr="286D958D">
        <w:rPr>
          <w:rFonts w:ascii="Arial" w:hAnsi="Arial"/>
          <w:sz w:val="24"/>
          <w:szCs w:val="24"/>
        </w:rPr>
        <w:t xml:space="preserve"> in 2026/2027. </w:t>
      </w:r>
    </w:p>
    <w:p w14:paraId="67AF047A" w14:textId="16765158" w:rsidR="004511B2" w:rsidRDefault="6665531A" w:rsidP="286D958D">
      <w:pPr>
        <w:pStyle w:val="ListParagraph"/>
        <w:spacing w:after="240" w:line="360" w:lineRule="auto"/>
        <w:ind w:left="709" w:hanging="709"/>
        <w:rPr>
          <w:rFonts w:ascii="Arial" w:hAnsi="Arial"/>
          <w:b/>
          <w:bCs/>
          <w:sz w:val="24"/>
          <w:szCs w:val="24"/>
        </w:rPr>
      </w:pPr>
      <w:r w:rsidRPr="286D958D">
        <w:rPr>
          <w:rFonts w:ascii="Arial" w:hAnsi="Arial"/>
          <w:b/>
          <w:bCs/>
          <w:sz w:val="24"/>
          <w:szCs w:val="24"/>
        </w:rPr>
        <w:t>2.</w:t>
      </w:r>
      <w:r w:rsidR="00C536A8">
        <w:rPr>
          <w:rFonts w:ascii="Arial" w:hAnsi="Arial"/>
          <w:b/>
          <w:bCs/>
          <w:sz w:val="24"/>
          <w:szCs w:val="24"/>
        </w:rPr>
        <w:t>9</w:t>
      </w:r>
      <w:r w:rsidR="007447F2">
        <w:tab/>
      </w:r>
      <w:r w:rsidR="008C562A" w:rsidRPr="286D958D">
        <w:rPr>
          <w:rFonts w:ascii="Arial" w:hAnsi="Arial"/>
          <w:b/>
          <w:bCs/>
          <w:sz w:val="24"/>
          <w:szCs w:val="24"/>
        </w:rPr>
        <w:t xml:space="preserve">Horizon Scanning </w:t>
      </w:r>
    </w:p>
    <w:p w14:paraId="3988B33B" w14:textId="08528FF8" w:rsidR="004511B2" w:rsidRDefault="515001BD" w:rsidP="286D958D">
      <w:pPr>
        <w:pStyle w:val="ListParagraph"/>
        <w:spacing w:after="240" w:line="360" w:lineRule="auto"/>
        <w:ind w:left="709"/>
        <w:rPr>
          <w:rFonts w:ascii="Arial" w:hAnsi="Arial"/>
          <w:sz w:val="24"/>
          <w:szCs w:val="24"/>
        </w:rPr>
      </w:pPr>
      <w:r w:rsidRPr="286D958D">
        <w:rPr>
          <w:rFonts w:ascii="Arial" w:hAnsi="Arial"/>
          <w:sz w:val="24"/>
          <w:szCs w:val="24"/>
        </w:rPr>
        <w:t xml:space="preserve">The external risk landscape in 2025/2026 continues to be characterised by heightened uncertainty and increasingly interconnected risk drivers across geopolitical, environmental, economic, societal and technological </w:t>
      </w:r>
      <w:r w:rsidR="3AB95B74" w:rsidRPr="286D958D">
        <w:rPr>
          <w:rFonts w:ascii="Arial" w:hAnsi="Arial"/>
          <w:sz w:val="24"/>
          <w:szCs w:val="24"/>
        </w:rPr>
        <w:t>risk categorie</w:t>
      </w:r>
      <w:r w:rsidRPr="286D958D">
        <w:rPr>
          <w:rFonts w:ascii="Arial" w:hAnsi="Arial"/>
          <w:sz w:val="24"/>
          <w:szCs w:val="24"/>
        </w:rPr>
        <w:t>s.</w:t>
      </w:r>
    </w:p>
    <w:p w14:paraId="0D4B5DC5" w14:textId="6EA24E7B" w:rsidR="004511B2" w:rsidRDefault="6A5C144A" w:rsidP="286D958D">
      <w:pPr>
        <w:pStyle w:val="ListParagraph"/>
        <w:spacing w:after="240" w:line="360" w:lineRule="auto"/>
        <w:ind w:left="709"/>
        <w:rPr>
          <w:rFonts w:ascii="Arial" w:hAnsi="Arial"/>
          <w:sz w:val="24"/>
          <w:szCs w:val="24"/>
        </w:rPr>
      </w:pPr>
      <w:r w:rsidRPr="286D958D">
        <w:rPr>
          <w:rFonts w:ascii="Arial" w:hAnsi="Arial"/>
          <w:sz w:val="24"/>
          <w:szCs w:val="24"/>
        </w:rPr>
        <w:t>E</w:t>
      </w:r>
      <w:r w:rsidR="515001BD" w:rsidRPr="286D958D">
        <w:rPr>
          <w:rFonts w:ascii="Arial" w:hAnsi="Arial"/>
          <w:sz w:val="24"/>
          <w:szCs w:val="24"/>
        </w:rPr>
        <w:t xml:space="preserve">stablished </w:t>
      </w:r>
      <w:r w:rsidR="65405DB5" w:rsidRPr="286D958D">
        <w:rPr>
          <w:rFonts w:ascii="Arial" w:hAnsi="Arial"/>
          <w:sz w:val="24"/>
          <w:szCs w:val="24"/>
        </w:rPr>
        <w:t xml:space="preserve">risk </w:t>
      </w:r>
      <w:r w:rsidR="515001BD" w:rsidRPr="286D958D">
        <w:rPr>
          <w:rFonts w:ascii="Arial" w:hAnsi="Arial"/>
          <w:sz w:val="24"/>
          <w:szCs w:val="24"/>
        </w:rPr>
        <w:t>horizon scanning sources</w:t>
      </w:r>
      <w:r w:rsidR="4B6B509F" w:rsidRPr="286D958D">
        <w:rPr>
          <w:rFonts w:ascii="Arial" w:hAnsi="Arial"/>
          <w:sz w:val="24"/>
          <w:szCs w:val="24"/>
        </w:rPr>
        <w:t xml:space="preserve"> have been used to form this view</w:t>
      </w:r>
      <w:r w:rsidR="515001BD" w:rsidRPr="286D958D">
        <w:rPr>
          <w:rFonts w:ascii="Arial" w:hAnsi="Arial"/>
          <w:sz w:val="24"/>
          <w:szCs w:val="24"/>
        </w:rPr>
        <w:t>, including the World Economic Forum Global Risks Report 2026, which highlights a more fragmented, competitive global environment, with risks becoming more systemic, interdependent and difficult to predict or manage.</w:t>
      </w:r>
    </w:p>
    <w:p w14:paraId="1685D976" w14:textId="06D310CD" w:rsidR="004511B2" w:rsidRDefault="515001BD" w:rsidP="286D958D">
      <w:pPr>
        <w:pStyle w:val="ListParagraph"/>
        <w:spacing w:after="240" w:line="360" w:lineRule="auto"/>
        <w:ind w:left="709"/>
        <w:rPr>
          <w:rFonts w:ascii="Arial" w:hAnsi="Arial"/>
          <w:sz w:val="24"/>
          <w:szCs w:val="24"/>
        </w:rPr>
      </w:pPr>
      <w:r w:rsidRPr="286D958D">
        <w:rPr>
          <w:rFonts w:ascii="Arial" w:hAnsi="Arial"/>
          <w:sz w:val="24"/>
          <w:szCs w:val="24"/>
        </w:rPr>
        <w:t xml:space="preserve">Building on the trends identified in 2024/2025, the global environment remains complex and increasingly volatile, requiring </w:t>
      </w:r>
      <w:r w:rsidR="009D5288">
        <w:rPr>
          <w:rFonts w:ascii="Arial" w:hAnsi="Arial"/>
          <w:sz w:val="24"/>
          <w:szCs w:val="24"/>
        </w:rPr>
        <w:t xml:space="preserve">public sector </w:t>
      </w:r>
      <w:r w:rsidRPr="286D958D">
        <w:rPr>
          <w:rFonts w:ascii="Arial" w:hAnsi="Arial"/>
          <w:sz w:val="24"/>
          <w:szCs w:val="24"/>
        </w:rPr>
        <w:t>organisations such as SEPA to operate with greater agility, foresight and resilience</w:t>
      </w:r>
      <w:r w:rsidR="4D9774C4" w:rsidRPr="286D958D">
        <w:rPr>
          <w:rFonts w:ascii="Arial" w:hAnsi="Arial"/>
          <w:sz w:val="24"/>
          <w:szCs w:val="24"/>
        </w:rPr>
        <w:t xml:space="preserve">. </w:t>
      </w:r>
      <w:r w:rsidRPr="286D958D">
        <w:rPr>
          <w:rFonts w:ascii="Arial" w:hAnsi="Arial"/>
          <w:sz w:val="24"/>
          <w:szCs w:val="24"/>
        </w:rPr>
        <w:t xml:space="preserve">This has direct implications for SEPA’s ability to deliver its statutory functions and strategic objectives and reinforces the importance of the organisation’s Principal Risk Register as </w:t>
      </w:r>
      <w:r w:rsidR="282DF240" w:rsidRPr="286D958D">
        <w:rPr>
          <w:rFonts w:ascii="Arial" w:hAnsi="Arial"/>
          <w:sz w:val="24"/>
          <w:szCs w:val="24"/>
        </w:rPr>
        <w:t>a</w:t>
      </w:r>
      <w:r w:rsidRPr="286D958D">
        <w:rPr>
          <w:rFonts w:ascii="Arial" w:hAnsi="Arial"/>
          <w:sz w:val="24"/>
          <w:szCs w:val="24"/>
        </w:rPr>
        <w:t xml:space="preserve"> mechanism for managing strategic exposure. </w:t>
      </w:r>
    </w:p>
    <w:p w14:paraId="5CEE7F54" w14:textId="37994F33" w:rsidR="004511B2" w:rsidRDefault="62EF1BC6" w:rsidP="286D958D">
      <w:pPr>
        <w:pStyle w:val="ListParagraph"/>
        <w:spacing w:after="240" w:line="360" w:lineRule="auto"/>
        <w:ind w:left="709"/>
        <w:rPr>
          <w:rFonts w:ascii="Arial" w:hAnsi="Arial"/>
          <w:b/>
          <w:bCs/>
          <w:sz w:val="24"/>
          <w:szCs w:val="24"/>
        </w:rPr>
      </w:pPr>
      <w:r w:rsidRPr="286D958D">
        <w:rPr>
          <w:rFonts w:ascii="Arial" w:hAnsi="Arial"/>
          <w:b/>
          <w:bCs/>
          <w:sz w:val="24"/>
          <w:szCs w:val="24"/>
        </w:rPr>
        <w:t>2.</w:t>
      </w:r>
      <w:r w:rsidR="00C536A8">
        <w:rPr>
          <w:rFonts w:ascii="Arial" w:hAnsi="Arial"/>
          <w:b/>
          <w:bCs/>
          <w:sz w:val="24"/>
          <w:szCs w:val="24"/>
        </w:rPr>
        <w:t>9</w:t>
      </w:r>
      <w:r w:rsidRPr="286D958D">
        <w:rPr>
          <w:rFonts w:ascii="Arial" w:hAnsi="Arial"/>
          <w:b/>
          <w:bCs/>
          <w:sz w:val="24"/>
          <w:szCs w:val="24"/>
        </w:rPr>
        <w:t>.1</w:t>
      </w:r>
      <w:r w:rsidR="007447F2">
        <w:tab/>
      </w:r>
      <w:r w:rsidR="007447F2">
        <w:tab/>
      </w:r>
      <w:r w:rsidRPr="286D958D">
        <w:rPr>
          <w:rFonts w:ascii="Arial" w:hAnsi="Arial"/>
          <w:b/>
          <w:bCs/>
          <w:sz w:val="24"/>
          <w:szCs w:val="24"/>
        </w:rPr>
        <w:t>Key external risk themes</w:t>
      </w:r>
    </w:p>
    <w:p w14:paraId="6F9071C1" w14:textId="40B3FA32" w:rsidR="004511B2" w:rsidRDefault="10E7D9FE" w:rsidP="286D958D">
      <w:pPr>
        <w:pStyle w:val="ListParagraph"/>
        <w:spacing w:after="240" w:line="360" w:lineRule="auto"/>
        <w:ind w:left="709"/>
      </w:pPr>
      <w:r w:rsidRPr="286D958D">
        <w:rPr>
          <w:rFonts w:ascii="Arial" w:hAnsi="Arial"/>
          <w:b/>
          <w:bCs/>
          <w:sz w:val="24"/>
          <w:szCs w:val="24"/>
        </w:rPr>
        <w:t>2.</w:t>
      </w:r>
      <w:r w:rsidR="00C536A8">
        <w:rPr>
          <w:rFonts w:ascii="Arial" w:hAnsi="Arial"/>
          <w:b/>
          <w:bCs/>
          <w:sz w:val="24"/>
          <w:szCs w:val="24"/>
        </w:rPr>
        <w:t>9</w:t>
      </w:r>
      <w:r w:rsidRPr="286D958D">
        <w:rPr>
          <w:rFonts w:ascii="Arial" w:hAnsi="Arial"/>
          <w:b/>
          <w:bCs/>
          <w:sz w:val="24"/>
          <w:szCs w:val="24"/>
        </w:rPr>
        <w:t xml:space="preserve">.1.1 </w:t>
      </w:r>
      <w:r w:rsidRPr="286D958D">
        <w:rPr>
          <w:rFonts w:ascii="Arial" w:eastAsiaTheme="minorEastAsia" w:hAnsi="Arial"/>
          <w:sz w:val="24"/>
          <w:szCs w:val="24"/>
        </w:rPr>
        <w:t>Geopolitical and Policy Environment</w:t>
      </w:r>
    </w:p>
    <w:p w14:paraId="6D377FAC" w14:textId="5CF6B067" w:rsidR="004511B2" w:rsidRDefault="62EF1BC6" w:rsidP="286D958D">
      <w:pPr>
        <w:pStyle w:val="ListParagraph"/>
        <w:spacing w:after="240" w:line="360" w:lineRule="auto"/>
        <w:ind w:left="709"/>
        <w:rPr>
          <w:rFonts w:ascii="Arial" w:hAnsi="Arial"/>
          <w:sz w:val="24"/>
          <w:szCs w:val="24"/>
        </w:rPr>
      </w:pPr>
      <w:r w:rsidRPr="286D958D">
        <w:rPr>
          <w:rFonts w:ascii="Arial" w:hAnsi="Arial"/>
          <w:sz w:val="24"/>
          <w:szCs w:val="24"/>
        </w:rPr>
        <w:t>The geopolitical context remains unstable, with ongoing international tensions, economic protectionism and shifts in global alliances continuing to influence domestic policy priorities. For the UK and Scotland, this is reflected in:</w:t>
      </w:r>
    </w:p>
    <w:p w14:paraId="35D34241" w14:textId="2B173AF7" w:rsidR="004511B2" w:rsidRDefault="62EF1BC6">
      <w:pPr>
        <w:pStyle w:val="ListParagraph"/>
        <w:numPr>
          <w:ilvl w:val="0"/>
          <w:numId w:val="12"/>
        </w:numPr>
        <w:spacing w:after="240" w:line="360" w:lineRule="auto"/>
        <w:rPr>
          <w:rFonts w:ascii="Arial" w:hAnsi="Arial"/>
          <w:sz w:val="24"/>
          <w:szCs w:val="24"/>
        </w:rPr>
      </w:pPr>
      <w:r w:rsidRPr="286D958D">
        <w:rPr>
          <w:rFonts w:ascii="Arial" w:hAnsi="Arial"/>
          <w:sz w:val="24"/>
          <w:szCs w:val="24"/>
        </w:rPr>
        <w:t>Continued policy volatility and evolving regulatory expectations</w:t>
      </w:r>
    </w:p>
    <w:p w14:paraId="34D7CC93" w14:textId="17B4AB30" w:rsidR="004511B2" w:rsidRDefault="62EF1BC6">
      <w:pPr>
        <w:pStyle w:val="ListParagraph"/>
        <w:numPr>
          <w:ilvl w:val="0"/>
          <w:numId w:val="12"/>
        </w:numPr>
        <w:spacing w:after="240" w:line="360" w:lineRule="auto"/>
        <w:rPr>
          <w:rFonts w:ascii="Arial" w:hAnsi="Arial"/>
          <w:sz w:val="24"/>
          <w:szCs w:val="24"/>
        </w:rPr>
      </w:pPr>
      <w:r w:rsidRPr="286D958D">
        <w:rPr>
          <w:rFonts w:ascii="Arial" w:hAnsi="Arial"/>
          <w:sz w:val="24"/>
          <w:szCs w:val="24"/>
        </w:rPr>
        <w:lastRenderedPageBreak/>
        <w:t>Fiscal constraints across the public sector</w:t>
      </w:r>
    </w:p>
    <w:p w14:paraId="343DCD67" w14:textId="3B42EA01" w:rsidR="004511B2" w:rsidRDefault="62EF1BC6">
      <w:pPr>
        <w:pStyle w:val="ListParagraph"/>
        <w:numPr>
          <w:ilvl w:val="0"/>
          <w:numId w:val="12"/>
        </w:numPr>
        <w:spacing w:after="240" w:line="360" w:lineRule="auto"/>
        <w:rPr>
          <w:rFonts w:ascii="Arial" w:hAnsi="Arial"/>
          <w:sz w:val="24"/>
          <w:szCs w:val="24"/>
        </w:rPr>
      </w:pPr>
      <w:r w:rsidRPr="286D958D">
        <w:rPr>
          <w:rFonts w:ascii="Arial" w:hAnsi="Arial"/>
          <w:sz w:val="24"/>
          <w:szCs w:val="24"/>
        </w:rPr>
        <w:t>Increasing scrutiny on environmental outcomes and regulatory effectiveness</w:t>
      </w:r>
      <w:r w:rsidR="00F802FE">
        <w:rPr>
          <w:rFonts w:ascii="Arial" w:hAnsi="Arial"/>
          <w:sz w:val="24"/>
          <w:szCs w:val="24"/>
        </w:rPr>
        <w:t>.</w:t>
      </w:r>
    </w:p>
    <w:p w14:paraId="52D60B72" w14:textId="0234D490" w:rsidR="004511B2" w:rsidRDefault="1B7C993B" w:rsidP="286D958D">
      <w:pPr>
        <w:pStyle w:val="ListParagraph"/>
        <w:spacing w:after="240" w:line="360" w:lineRule="auto"/>
        <w:rPr>
          <w:rFonts w:ascii="Aptos" w:eastAsia="Aptos" w:hAnsi="Aptos" w:cs="Aptos"/>
          <w:color w:val="000000" w:themeColor="text1"/>
          <w:sz w:val="24"/>
          <w:szCs w:val="24"/>
        </w:rPr>
      </w:pPr>
      <w:r w:rsidRPr="286D958D">
        <w:rPr>
          <w:rFonts w:ascii="Arial" w:hAnsi="Arial"/>
          <w:sz w:val="24"/>
          <w:szCs w:val="24"/>
        </w:rPr>
        <w:t>The external environment reinforces the need for policy agility, proactive engagement with Scottish Government and sustained organisational transformation to ensure continued alignment with national priorities and statutory duties. This links in directly with our principal risks:</w:t>
      </w:r>
    </w:p>
    <w:p w14:paraId="6F3B8448" w14:textId="1117EAC1" w:rsidR="004511B2" w:rsidRDefault="1B7C993B">
      <w:pPr>
        <w:pStyle w:val="ListParagraph"/>
        <w:numPr>
          <w:ilvl w:val="0"/>
          <w:numId w:val="11"/>
        </w:numPr>
        <w:spacing w:after="240" w:line="360" w:lineRule="auto"/>
        <w:rPr>
          <w:rFonts w:ascii="Arial" w:hAnsi="Arial"/>
          <w:sz w:val="24"/>
          <w:szCs w:val="24"/>
        </w:rPr>
      </w:pPr>
      <w:r w:rsidRPr="286D958D">
        <w:rPr>
          <w:rFonts w:ascii="Arial" w:eastAsiaTheme="minorEastAsia" w:hAnsi="Arial"/>
          <w:b/>
          <w:bCs/>
          <w:sz w:val="24"/>
          <w:szCs w:val="24"/>
        </w:rPr>
        <w:t>PR1</w:t>
      </w:r>
      <w:r w:rsidR="1F7FEF2C" w:rsidRPr="286D958D">
        <w:rPr>
          <w:rFonts w:ascii="Arial" w:eastAsiaTheme="minorEastAsia" w:hAnsi="Arial"/>
          <w:b/>
          <w:bCs/>
          <w:sz w:val="24"/>
          <w:szCs w:val="24"/>
        </w:rPr>
        <w:t>:</w:t>
      </w:r>
      <w:r w:rsidRPr="286D958D">
        <w:rPr>
          <w:rFonts w:ascii="Arial" w:eastAsiaTheme="minorEastAsia" w:hAnsi="Arial"/>
          <w:sz w:val="24"/>
          <w:szCs w:val="24"/>
        </w:rPr>
        <w:t xml:space="preserve"> Inability to anticipate, influence and adapt to the evolving political, legislative and policy landscape in terms of our statutory purpose</w:t>
      </w:r>
      <w:r w:rsidR="00F802FE">
        <w:rPr>
          <w:rFonts w:ascii="Arial" w:eastAsiaTheme="minorEastAsia" w:hAnsi="Arial"/>
          <w:sz w:val="24"/>
          <w:szCs w:val="24"/>
        </w:rPr>
        <w:t>.</w:t>
      </w:r>
    </w:p>
    <w:p w14:paraId="3605D7BD" w14:textId="5D959F0A" w:rsidR="004511B2" w:rsidRPr="00224CF1" w:rsidRDefault="1B7C993B">
      <w:pPr>
        <w:pStyle w:val="ListParagraph"/>
        <w:numPr>
          <w:ilvl w:val="0"/>
          <w:numId w:val="11"/>
        </w:numPr>
        <w:spacing w:after="240" w:line="360" w:lineRule="auto"/>
        <w:rPr>
          <w:rFonts w:ascii="Arial" w:hAnsi="Arial"/>
          <w:sz w:val="24"/>
          <w:szCs w:val="24"/>
        </w:rPr>
      </w:pPr>
      <w:r w:rsidRPr="286D958D">
        <w:rPr>
          <w:rFonts w:ascii="Arial" w:eastAsiaTheme="minorEastAsia" w:hAnsi="Arial"/>
          <w:b/>
          <w:bCs/>
          <w:sz w:val="24"/>
          <w:szCs w:val="24"/>
        </w:rPr>
        <w:t>PR2</w:t>
      </w:r>
      <w:r w:rsidR="75AD9D2C" w:rsidRPr="286D958D">
        <w:rPr>
          <w:rFonts w:ascii="Arial" w:eastAsiaTheme="minorEastAsia" w:hAnsi="Arial"/>
          <w:b/>
          <w:bCs/>
          <w:sz w:val="24"/>
          <w:szCs w:val="24"/>
        </w:rPr>
        <w:t>:</w:t>
      </w:r>
      <w:r w:rsidRPr="286D958D">
        <w:rPr>
          <w:rFonts w:ascii="Arial" w:eastAsiaTheme="minorEastAsia" w:hAnsi="Arial"/>
          <w:sz w:val="24"/>
          <w:szCs w:val="24"/>
        </w:rPr>
        <w:t xml:space="preserve"> </w:t>
      </w:r>
      <w:r w:rsidR="00CB1266" w:rsidRPr="00CB1266">
        <w:rPr>
          <w:rFonts w:ascii="Arial" w:hAnsi="Arial"/>
          <w:sz w:val="24"/>
          <w:szCs w:val="24"/>
        </w:rPr>
        <w:t>We are not flexible and agile enough for transformation and public service reform to ensure our services are future ready</w:t>
      </w:r>
      <w:r w:rsidR="00F802FE">
        <w:rPr>
          <w:rFonts w:ascii="Arial" w:hAnsi="Arial"/>
          <w:sz w:val="24"/>
          <w:szCs w:val="24"/>
        </w:rPr>
        <w:t>.</w:t>
      </w:r>
    </w:p>
    <w:p w14:paraId="2CDAB963" w14:textId="299317D7" w:rsidR="004511B2" w:rsidRDefault="74C5DC92" w:rsidP="286D958D">
      <w:pPr>
        <w:spacing w:after="240" w:line="360" w:lineRule="auto"/>
        <w:ind w:left="709"/>
        <w:rPr>
          <w:rFonts w:eastAsia="Arial"/>
          <w:sz w:val="24"/>
          <w:szCs w:val="24"/>
        </w:rPr>
      </w:pPr>
      <w:r w:rsidRPr="286D958D">
        <w:rPr>
          <w:b/>
          <w:bCs/>
          <w:sz w:val="24"/>
          <w:szCs w:val="24"/>
        </w:rPr>
        <w:t>2.</w:t>
      </w:r>
      <w:r w:rsidR="00C536A8">
        <w:rPr>
          <w:b/>
          <w:bCs/>
          <w:sz w:val="24"/>
          <w:szCs w:val="24"/>
        </w:rPr>
        <w:t>9</w:t>
      </w:r>
      <w:r w:rsidRPr="286D958D">
        <w:rPr>
          <w:b/>
          <w:bCs/>
          <w:sz w:val="24"/>
          <w:szCs w:val="24"/>
        </w:rPr>
        <w:t xml:space="preserve">.1.2 </w:t>
      </w:r>
      <w:r w:rsidR="61B6D30B" w:rsidRPr="286D958D">
        <w:rPr>
          <w:rFonts w:eastAsiaTheme="minorEastAsia"/>
          <w:sz w:val="24"/>
          <w:szCs w:val="24"/>
        </w:rPr>
        <w:t>Environmental and Climate Risks</w:t>
      </w:r>
    </w:p>
    <w:p w14:paraId="6AC40C99" w14:textId="3C05A235" w:rsidR="004511B2" w:rsidRDefault="36F93559" w:rsidP="286D958D">
      <w:pPr>
        <w:pStyle w:val="ListParagraph"/>
        <w:spacing w:after="240" w:line="360" w:lineRule="auto"/>
        <w:ind w:left="709"/>
        <w:rPr>
          <w:rFonts w:ascii="Arial" w:hAnsi="Arial"/>
          <w:sz w:val="24"/>
          <w:szCs w:val="24"/>
        </w:rPr>
      </w:pPr>
      <w:r w:rsidRPr="286D958D">
        <w:rPr>
          <w:rFonts w:ascii="Arial" w:hAnsi="Arial"/>
          <w:sz w:val="24"/>
          <w:szCs w:val="24"/>
        </w:rPr>
        <w:t>Environmental risks remain among the most significant and persistent global drivers, including:</w:t>
      </w:r>
    </w:p>
    <w:p w14:paraId="50CCC887" w14:textId="1F133403" w:rsidR="004511B2" w:rsidRDefault="36F93559">
      <w:pPr>
        <w:pStyle w:val="ListParagraph"/>
        <w:numPr>
          <w:ilvl w:val="0"/>
          <w:numId w:val="10"/>
        </w:numPr>
        <w:spacing w:after="240" w:line="360" w:lineRule="auto"/>
        <w:rPr>
          <w:rFonts w:ascii="Arial" w:hAnsi="Arial"/>
          <w:sz w:val="24"/>
          <w:szCs w:val="24"/>
        </w:rPr>
      </w:pPr>
      <w:r w:rsidRPr="286D958D">
        <w:rPr>
          <w:rFonts w:ascii="Arial" w:hAnsi="Arial"/>
          <w:sz w:val="24"/>
          <w:szCs w:val="24"/>
        </w:rPr>
        <w:t>Increased frequency and severity of extreme weather events</w:t>
      </w:r>
    </w:p>
    <w:p w14:paraId="76DAB320" w14:textId="396126E6" w:rsidR="004511B2" w:rsidRDefault="36F93559">
      <w:pPr>
        <w:pStyle w:val="ListParagraph"/>
        <w:numPr>
          <w:ilvl w:val="0"/>
          <w:numId w:val="10"/>
        </w:numPr>
        <w:spacing w:after="240" w:line="360" w:lineRule="auto"/>
        <w:rPr>
          <w:rFonts w:ascii="Arial" w:hAnsi="Arial"/>
          <w:sz w:val="24"/>
          <w:szCs w:val="24"/>
        </w:rPr>
      </w:pPr>
      <w:r w:rsidRPr="286D958D">
        <w:rPr>
          <w:rFonts w:ascii="Arial" w:hAnsi="Arial"/>
          <w:sz w:val="24"/>
          <w:szCs w:val="24"/>
        </w:rPr>
        <w:t>Accelerating climate change impacts</w:t>
      </w:r>
    </w:p>
    <w:p w14:paraId="6A356B07" w14:textId="500333EC" w:rsidR="004511B2" w:rsidRDefault="36F93559">
      <w:pPr>
        <w:pStyle w:val="ListParagraph"/>
        <w:numPr>
          <w:ilvl w:val="0"/>
          <w:numId w:val="10"/>
        </w:numPr>
        <w:spacing w:after="240" w:line="360" w:lineRule="auto"/>
        <w:rPr>
          <w:rFonts w:ascii="Arial" w:hAnsi="Arial"/>
          <w:sz w:val="24"/>
          <w:szCs w:val="24"/>
        </w:rPr>
      </w:pPr>
      <w:r w:rsidRPr="286D958D">
        <w:rPr>
          <w:rFonts w:ascii="Arial" w:hAnsi="Arial"/>
          <w:sz w:val="24"/>
          <w:szCs w:val="24"/>
        </w:rPr>
        <w:t>Ongoing biodiversity loss and ecosystem degradation</w:t>
      </w:r>
      <w:r w:rsidR="00F802FE">
        <w:rPr>
          <w:rFonts w:ascii="Arial" w:hAnsi="Arial"/>
          <w:sz w:val="24"/>
          <w:szCs w:val="24"/>
        </w:rPr>
        <w:t>.</w:t>
      </w:r>
    </w:p>
    <w:p w14:paraId="26D32CD4" w14:textId="4B91BE97" w:rsidR="004511B2" w:rsidRDefault="36F93559" w:rsidP="286D958D">
      <w:pPr>
        <w:pStyle w:val="ListParagraph"/>
        <w:spacing w:after="240" w:line="360" w:lineRule="auto"/>
        <w:ind w:left="709"/>
        <w:rPr>
          <w:rFonts w:ascii="Arial" w:hAnsi="Arial"/>
          <w:sz w:val="24"/>
          <w:szCs w:val="24"/>
        </w:rPr>
      </w:pPr>
      <w:r w:rsidRPr="286D958D">
        <w:rPr>
          <w:rFonts w:ascii="Arial" w:hAnsi="Arial"/>
          <w:sz w:val="24"/>
          <w:szCs w:val="24"/>
        </w:rPr>
        <w:t>These risks are both acute (e.g. flooding incidents) and chronic (e.g. long-term environmental degradation), with increasing recognition of their cumulative impact.</w:t>
      </w:r>
    </w:p>
    <w:p w14:paraId="73101D2C" w14:textId="517EEB35" w:rsidR="004511B2" w:rsidRDefault="45F8F3D2" w:rsidP="286D958D">
      <w:pPr>
        <w:spacing w:after="240" w:line="360" w:lineRule="auto"/>
        <w:ind w:left="709"/>
        <w:rPr>
          <w:sz w:val="24"/>
          <w:szCs w:val="24"/>
        </w:rPr>
      </w:pPr>
      <w:r w:rsidRPr="286D958D">
        <w:rPr>
          <w:sz w:val="24"/>
          <w:szCs w:val="24"/>
        </w:rPr>
        <w:t>There is increased demand on SEPA’s incident response, regulatory capacity and resilience functions. This reinforces the need to strengthen preparedness, multi-agency coordination and long-term environmental monitoring in line with SEPA’s Category 1 responder role.</w:t>
      </w:r>
    </w:p>
    <w:p w14:paraId="3DDD4055" w14:textId="549AB0B3" w:rsidR="004511B2" w:rsidRDefault="45B499BB" w:rsidP="286D958D">
      <w:pPr>
        <w:spacing w:after="240" w:line="360" w:lineRule="auto"/>
        <w:ind w:left="709"/>
        <w:rPr>
          <w:rFonts w:eastAsiaTheme="minorEastAsia"/>
          <w:sz w:val="24"/>
          <w:szCs w:val="24"/>
        </w:rPr>
      </w:pPr>
      <w:r w:rsidRPr="286D958D">
        <w:rPr>
          <w:rFonts w:eastAsiaTheme="minorEastAsia"/>
          <w:sz w:val="24"/>
          <w:szCs w:val="24"/>
        </w:rPr>
        <w:t>These trends li</w:t>
      </w:r>
      <w:r w:rsidR="000B12DF">
        <w:rPr>
          <w:rFonts w:eastAsiaTheme="minorEastAsia"/>
          <w:sz w:val="24"/>
          <w:szCs w:val="24"/>
        </w:rPr>
        <w:t>nk</w:t>
      </w:r>
      <w:r w:rsidRPr="286D958D">
        <w:rPr>
          <w:rFonts w:eastAsiaTheme="minorEastAsia"/>
          <w:sz w:val="24"/>
          <w:szCs w:val="24"/>
        </w:rPr>
        <w:t xml:space="preserve"> directly with our principal risks:</w:t>
      </w:r>
    </w:p>
    <w:p w14:paraId="17B8AB25" w14:textId="25EBD727" w:rsidR="004511B2" w:rsidRDefault="45B499BB">
      <w:pPr>
        <w:pStyle w:val="ListParagraph"/>
        <w:numPr>
          <w:ilvl w:val="0"/>
          <w:numId w:val="9"/>
        </w:numPr>
        <w:spacing w:after="240" w:line="360" w:lineRule="auto"/>
        <w:rPr>
          <w:rFonts w:ascii="Arial" w:eastAsia="Arial" w:hAnsi="Arial"/>
          <w:sz w:val="24"/>
          <w:szCs w:val="24"/>
        </w:rPr>
      </w:pPr>
      <w:r w:rsidRPr="286D958D">
        <w:rPr>
          <w:rFonts w:ascii="Arial" w:eastAsia="Arial" w:hAnsi="Arial"/>
          <w:b/>
          <w:bCs/>
          <w:sz w:val="24"/>
          <w:szCs w:val="24"/>
        </w:rPr>
        <w:t>PR3:</w:t>
      </w:r>
      <w:r w:rsidR="792618E6" w:rsidRPr="286D958D">
        <w:rPr>
          <w:rFonts w:ascii="Arial" w:eastAsia="Arial" w:hAnsi="Arial"/>
          <w:b/>
          <w:bCs/>
          <w:sz w:val="24"/>
          <w:szCs w:val="24"/>
        </w:rPr>
        <w:t xml:space="preserve"> </w:t>
      </w:r>
      <w:r w:rsidR="792618E6" w:rsidRPr="286D958D">
        <w:rPr>
          <w:rFonts w:ascii="Arial" w:eastAsia="Arial" w:hAnsi="Arial"/>
          <w:color w:val="000000" w:themeColor="text1"/>
          <w:sz w:val="24"/>
          <w:szCs w:val="24"/>
        </w:rPr>
        <w:t>We are unprepared to plan for, respond to and recover from significant disruptive events attributed to the pace of climate change</w:t>
      </w:r>
      <w:r w:rsidR="00F802FE">
        <w:rPr>
          <w:rFonts w:ascii="Arial" w:eastAsia="Arial" w:hAnsi="Arial"/>
          <w:color w:val="000000" w:themeColor="text1"/>
          <w:sz w:val="24"/>
          <w:szCs w:val="24"/>
        </w:rPr>
        <w:t>.</w:t>
      </w:r>
    </w:p>
    <w:p w14:paraId="2C758E62" w14:textId="10F2BD0D" w:rsidR="004511B2" w:rsidRDefault="45B499BB">
      <w:pPr>
        <w:pStyle w:val="ListParagraph"/>
        <w:numPr>
          <w:ilvl w:val="0"/>
          <w:numId w:val="9"/>
        </w:numPr>
        <w:spacing w:after="240" w:line="360" w:lineRule="auto"/>
        <w:rPr>
          <w:rFonts w:ascii="Arial" w:eastAsia="Arial" w:hAnsi="Arial"/>
          <w:sz w:val="24"/>
          <w:szCs w:val="24"/>
        </w:rPr>
      </w:pPr>
      <w:r w:rsidRPr="286D958D">
        <w:rPr>
          <w:rFonts w:ascii="Arial" w:eastAsia="Arial" w:hAnsi="Arial"/>
          <w:b/>
          <w:bCs/>
          <w:sz w:val="24"/>
          <w:szCs w:val="24"/>
        </w:rPr>
        <w:t>PR11:</w:t>
      </w:r>
      <w:r w:rsidR="33E7F679" w:rsidRPr="286D958D">
        <w:rPr>
          <w:rFonts w:ascii="Arial" w:eastAsia="Arial" w:hAnsi="Arial"/>
          <w:b/>
          <w:bCs/>
          <w:sz w:val="24"/>
          <w:szCs w:val="24"/>
        </w:rPr>
        <w:t xml:space="preserve"> </w:t>
      </w:r>
      <w:r w:rsidR="33E7F679" w:rsidRPr="286D958D">
        <w:rPr>
          <w:rFonts w:ascii="Arial" w:eastAsia="Arial" w:hAnsi="Arial"/>
          <w:color w:val="000000" w:themeColor="text1"/>
          <w:sz w:val="24"/>
          <w:szCs w:val="24"/>
        </w:rPr>
        <w:t>Failure to ensure that Scotland is water resilient and able to deliver effective environmental improvements and adaptation to climate change.</w:t>
      </w:r>
    </w:p>
    <w:p w14:paraId="4022D5D2" w14:textId="0BBD2912" w:rsidR="004511B2" w:rsidRDefault="3952064D" w:rsidP="286D958D">
      <w:pPr>
        <w:spacing w:after="240" w:line="360" w:lineRule="auto"/>
        <w:ind w:left="709"/>
        <w:rPr>
          <w:rFonts w:eastAsia="Arial"/>
          <w:sz w:val="24"/>
          <w:szCs w:val="24"/>
        </w:rPr>
      </w:pPr>
      <w:r w:rsidRPr="286D958D">
        <w:rPr>
          <w:b/>
          <w:bCs/>
          <w:sz w:val="24"/>
          <w:szCs w:val="24"/>
        </w:rPr>
        <w:t>2.</w:t>
      </w:r>
      <w:r w:rsidR="00C536A8">
        <w:rPr>
          <w:b/>
          <w:bCs/>
          <w:sz w:val="24"/>
          <w:szCs w:val="24"/>
        </w:rPr>
        <w:t>9</w:t>
      </w:r>
      <w:r w:rsidRPr="286D958D">
        <w:rPr>
          <w:b/>
          <w:bCs/>
          <w:sz w:val="24"/>
          <w:szCs w:val="24"/>
        </w:rPr>
        <w:t xml:space="preserve">.1.3 </w:t>
      </w:r>
      <w:r w:rsidRPr="286D958D">
        <w:rPr>
          <w:rFonts w:eastAsia="Arial"/>
          <w:color w:val="000000" w:themeColor="text1"/>
          <w:sz w:val="24"/>
          <w:szCs w:val="24"/>
        </w:rPr>
        <w:t>Economic and Public Sector Pressures</w:t>
      </w:r>
    </w:p>
    <w:p w14:paraId="27F4825C" w14:textId="02E2D279" w:rsidR="004511B2" w:rsidRDefault="13AD92F7" w:rsidP="286D958D">
      <w:pPr>
        <w:pStyle w:val="ListParagraph"/>
        <w:spacing w:after="240" w:line="360" w:lineRule="auto"/>
        <w:ind w:left="709"/>
        <w:rPr>
          <w:rFonts w:ascii="Arial" w:hAnsi="Arial"/>
          <w:sz w:val="24"/>
          <w:szCs w:val="24"/>
        </w:rPr>
      </w:pPr>
      <w:r w:rsidRPr="286D958D">
        <w:rPr>
          <w:rFonts w:ascii="Arial" w:hAnsi="Arial"/>
          <w:sz w:val="24"/>
          <w:szCs w:val="24"/>
        </w:rPr>
        <w:t>The economic outlook remains constrained, with persistent inflationary pressures, ongoing public spending limitations and competing demands across the public sector continuing to shape the operating environment. These factors are compounded by increasing expectations for improved service delivery, efficiency and demonstrable value for money in line with public se</w:t>
      </w:r>
      <w:r w:rsidR="000B12DF">
        <w:rPr>
          <w:rFonts w:ascii="Arial" w:hAnsi="Arial"/>
          <w:sz w:val="24"/>
          <w:szCs w:val="24"/>
        </w:rPr>
        <w:t>rvice</w:t>
      </w:r>
      <w:r w:rsidRPr="286D958D">
        <w:rPr>
          <w:rFonts w:ascii="Arial" w:hAnsi="Arial"/>
          <w:sz w:val="24"/>
          <w:szCs w:val="24"/>
        </w:rPr>
        <w:t xml:space="preserve"> reform.</w:t>
      </w:r>
    </w:p>
    <w:p w14:paraId="3D6A50C9" w14:textId="057B0D68" w:rsidR="004511B2" w:rsidRDefault="13AD92F7" w:rsidP="286D958D">
      <w:pPr>
        <w:pStyle w:val="ListParagraph"/>
        <w:spacing w:after="240" w:line="360" w:lineRule="auto"/>
        <w:ind w:left="709"/>
        <w:rPr>
          <w:rFonts w:ascii="Arial" w:hAnsi="Arial"/>
          <w:sz w:val="24"/>
          <w:szCs w:val="24"/>
        </w:rPr>
      </w:pPr>
      <w:r w:rsidRPr="286D958D">
        <w:rPr>
          <w:rFonts w:ascii="Arial" w:hAnsi="Arial"/>
          <w:sz w:val="24"/>
          <w:szCs w:val="24"/>
        </w:rPr>
        <w:t>Key considerations include:</w:t>
      </w:r>
    </w:p>
    <w:p w14:paraId="492BBD6E" w14:textId="13795A72" w:rsidR="004511B2" w:rsidRDefault="13AD92F7">
      <w:pPr>
        <w:pStyle w:val="ListParagraph"/>
        <w:numPr>
          <w:ilvl w:val="0"/>
          <w:numId w:val="8"/>
        </w:numPr>
        <w:spacing w:after="240" w:line="360" w:lineRule="auto"/>
        <w:rPr>
          <w:rFonts w:ascii="Arial" w:hAnsi="Arial"/>
          <w:sz w:val="24"/>
          <w:szCs w:val="24"/>
        </w:rPr>
      </w:pPr>
      <w:r w:rsidRPr="286D958D">
        <w:rPr>
          <w:rFonts w:ascii="Arial" w:hAnsi="Arial"/>
          <w:sz w:val="24"/>
          <w:szCs w:val="24"/>
        </w:rPr>
        <w:t>Sustained pressure on operational budgets</w:t>
      </w:r>
      <w:r w:rsidR="262551F7" w:rsidRPr="286D958D">
        <w:rPr>
          <w:rFonts w:ascii="Arial" w:hAnsi="Arial"/>
          <w:sz w:val="24"/>
          <w:szCs w:val="24"/>
        </w:rPr>
        <w:t xml:space="preserve"> and future investment</w:t>
      </w:r>
    </w:p>
    <w:p w14:paraId="7ADDC6AD" w14:textId="2598F779" w:rsidR="004511B2" w:rsidRDefault="13AD92F7">
      <w:pPr>
        <w:pStyle w:val="ListParagraph"/>
        <w:numPr>
          <w:ilvl w:val="0"/>
          <w:numId w:val="8"/>
        </w:numPr>
        <w:spacing w:after="240" w:line="360" w:lineRule="auto"/>
        <w:rPr>
          <w:rFonts w:ascii="Arial" w:hAnsi="Arial"/>
          <w:sz w:val="24"/>
          <w:szCs w:val="24"/>
        </w:rPr>
      </w:pPr>
      <w:r w:rsidRPr="286D958D">
        <w:rPr>
          <w:rFonts w:ascii="Arial" w:hAnsi="Arial"/>
          <w:sz w:val="24"/>
          <w:szCs w:val="24"/>
        </w:rPr>
        <w:t>Increasing expectations for efficiency, productivity and public se</w:t>
      </w:r>
      <w:r w:rsidR="006B1248">
        <w:rPr>
          <w:rFonts w:ascii="Arial" w:hAnsi="Arial"/>
          <w:sz w:val="24"/>
          <w:szCs w:val="24"/>
        </w:rPr>
        <w:t>rvice</w:t>
      </w:r>
      <w:r w:rsidRPr="286D958D">
        <w:rPr>
          <w:rFonts w:ascii="Arial" w:hAnsi="Arial"/>
          <w:sz w:val="24"/>
          <w:szCs w:val="24"/>
        </w:rPr>
        <w:t xml:space="preserve"> reform</w:t>
      </w:r>
    </w:p>
    <w:p w14:paraId="71C71FD6" w14:textId="63A9B4A7" w:rsidR="004511B2" w:rsidRDefault="13AD92F7">
      <w:pPr>
        <w:pStyle w:val="ListParagraph"/>
        <w:numPr>
          <w:ilvl w:val="0"/>
          <w:numId w:val="8"/>
        </w:numPr>
        <w:spacing w:after="240" w:line="360" w:lineRule="auto"/>
        <w:rPr>
          <w:rFonts w:ascii="Arial" w:hAnsi="Arial"/>
          <w:sz w:val="24"/>
          <w:szCs w:val="24"/>
        </w:rPr>
      </w:pPr>
      <w:r w:rsidRPr="286D958D">
        <w:rPr>
          <w:rFonts w:ascii="Arial" w:hAnsi="Arial"/>
          <w:sz w:val="24"/>
          <w:szCs w:val="24"/>
        </w:rPr>
        <w:t>Workforce challenges, including recruitment, retention and skills availability</w:t>
      </w:r>
      <w:r w:rsidR="00F802FE">
        <w:rPr>
          <w:rFonts w:ascii="Arial" w:hAnsi="Arial"/>
          <w:sz w:val="24"/>
          <w:szCs w:val="24"/>
        </w:rPr>
        <w:t>.</w:t>
      </w:r>
    </w:p>
    <w:p w14:paraId="6FA2DCF2" w14:textId="28C25442" w:rsidR="004511B2" w:rsidRDefault="44A62CC1" w:rsidP="286D958D">
      <w:pPr>
        <w:spacing w:after="240" w:line="360" w:lineRule="auto"/>
        <w:ind w:left="709"/>
        <w:rPr>
          <w:sz w:val="24"/>
          <w:szCs w:val="24"/>
        </w:rPr>
      </w:pPr>
      <w:r w:rsidRPr="286D958D">
        <w:rPr>
          <w:rFonts w:eastAsiaTheme="minorEastAsia"/>
          <w:sz w:val="24"/>
          <w:szCs w:val="24"/>
        </w:rPr>
        <w:t>These considerations mean that SEPA must try to</w:t>
      </w:r>
      <w:r w:rsidR="6156EA22" w:rsidRPr="286D958D">
        <w:rPr>
          <w:rFonts w:eastAsiaTheme="minorEastAsia"/>
          <w:sz w:val="24"/>
          <w:szCs w:val="24"/>
        </w:rPr>
        <w:t>:</w:t>
      </w:r>
    </w:p>
    <w:p w14:paraId="16CBEE04" w14:textId="57627408" w:rsidR="004511B2" w:rsidRDefault="6156EA22">
      <w:pPr>
        <w:pStyle w:val="ListParagraph"/>
        <w:numPr>
          <w:ilvl w:val="0"/>
          <w:numId w:val="6"/>
        </w:numPr>
        <w:spacing w:after="240" w:line="360" w:lineRule="auto"/>
        <w:rPr>
          <w:rFonts w:ascii="Arial" w:hAnsi="Arial"/>
          <w:sz w:val="24"/>
          <w:szCs w:val="24"/>
        </w:rPr>
      </w:pPr>
      <w:r w:rsidRPr="286D958D">
        <w:rPr>
          <w:rFonts w:ascii="Arial" w:eastAsiaTheme="minorEastAsia" w:hAnsi="Arial"/>
          <w:sz w:val="24"/>
          <w:szCs w:val="24"/>
        </w:rPr>
        <w:t>B</w:t>
      </w:r>
      <w:r w:rsidR="44A62CC1" w:rsidRPr="286D958D">
        <w:rPr>
          <w:rFonts w:ascii="Arial" w:eastAsiaTheme="minorEastAsia" w:hAnsi="Arial"/>
          <w:sz w:val="24"/>
          <w:szCs w:val="24"/>
        </w:rPr>
        <w:t>alance delivery ambition with financial sustainability, ensuring that priorities are aligned to available resources and risk appetite.</w:t>
      </w:r>
    </w:p>
    <w:p w14:paraId="3F6DDFA3" w14:textId="5E65D243" w:rsidR="004511B2" w:rsidRDefault="44A62CC1">
      <w:pPr>
        <w:pStyle w:val="ListParagraph"/>
        <w:numPr>
          <w:ilvl w:val="0"/>
          <w:numId w:val="6"/>
        </w:numPr>
        <w:spacing w:after="240" w:line="360" w:lineRule="auto"/>
        <w:rPr>
          <w:rFonts w:ascii="Arial" w:hAnsi="Arial"/>
          <w:sz w:val="24"/>
          <w:szCs w:val="24"/>
        </w:rPr>
      </w:pPr>
      <w:r w:rsidRPr="286D958D">
        <w:rPr>
          <w:rFonts w:ascii="Arial" w:hAnsi="Arial"/>
          <w:sz w:val="24"/>
          <w:szCs w:val="24"/>
        </w:rPr>
        <w:t>Maintain an increased focus on public se</w:t>
      </w:r>
      <w:r w:rsidR="000B12DF">
        <w:rPr>
          <w:rFonts w:ascii="Arial" w:hAnsi="Arial"/>
          <w:sz w:val="24"/>
          <w:szCs w:val="24"/>
        </w:rPr>
        <w:t>rvice</w:t>
      </w:r>
      <w:r w:rsidRPr="286D958D">
        <w:rPr>
          <w:rFonts w:ascii="Arial" w:hAnsi="Arial"/>
          <w:sz w:val="24"/>
          <w:szCs w:val="24"/>
        </w:rPr>
        <w:t xml:space="preserve"> reform, transformation and service redesign, to deliver more efficient and future-ready services</w:t>
      </w:r>
      <w:r w:rsidR="795F7441" w:rsidRPr="286D958D">
        <w:rPr>
          <w:rFonts w:ascii="Arial" w:hAnsi="Arial"/>
          <w:sz w:val="24"/>
          <w:szCs w:val="24"/>
        </w:rPr>
        <w:t>.</w:t>
      </w:r>
    </w:p>
    <w:p w14:paraId="27B6D485" w14:textId="73709188" w:rsidR="004511B2" w:rsidRDefault="44A62CC1">
      <w:pPr>
        <w:pStyle w:val="ListParagraph"/>
        <w:numPr>
          <w:ilvl w:val="0"/>
          <w:numId w:val="6"/>
        </w:numPr>
        <w:spacing w:after="240" w:line="360" w:lineRule="auto"/>
        <w:rPr>
          <w:rFonts w:ascii="Arial" w:hAnsi="Arial"/>
          <w:sz w:val="24"/>
          <w:szCs w:val="24"/>
        </w:rPr>
      </w:pPr>
      <w:r w:rsidRPr="286D958D">
        <w:rPr>
          <w:rFonts w:ascii="Arial" w:hAnsi="Arial"/>
          <w:sz w:val="24"/>
          <w:szCs w:val="24"/>
        </w:rPr>
        <w:t>Actively manage the risk of capacity constraints impacting delivery of statutory functions, particularly where financial and workforce pressures converge</w:t>
      </w:r>
      <w:r w:rsidR="53294A02" w:rsidRPr="286D958D">
        <w:rPr>
          <w:rFonts w:ascii="Arial" w:hAnsi="Arial"/>
          <w:sz w:val="24"/>
          <w:szCs w:val="24"/>
        </w:rPr>
        <w:t>.</w:t>
      </w:r>
    </w:p>
    <w:p w14:paraId="66BFAB56" w14:textId="0D50B4EF" w:rsidR="004511B2" w:rsidRDefault="698C9226" w:rsidP="286D958D">
      <w:pPr>
        <w:spacing w:after="240" w:line="360" w:lineRule="auto"/>
        <w:ind w:left="720"/>
        <w:rPr>
          <w:rFonts w:eastAsiaTheme="minorEastAsia"/>
          <w:sz w:val="24"/>
          <w:szCs w:val="24"/>
        </w:rPr>
      </w:pPr>
      <w:r w:rsidRPr="286D958D">
        <w:rPr>
          <w:rFonts w:eastAsiaTheme="minorEastAsia"/>
          <w:sz w:val="24"/>
          <w:szCs w:val="24"/>
        </w:rPr>
        <w:lastRenderedPageBreak/>
        <w:t>These trends li</w:t>
      </w:r>
      <w:r w:rsidR="000B12DF">
        <w:rPr>
          <w:rFonts w:eastAsiaTheme="minorEastAsia"/>
          <w:sz w:val="24"/>
          <w:szCs w:val="24"/>
        </w:rPr>
        <w:t>nk</w:t>
      </w:r>
      <w:r w:rsidRPr="286D958D">
        <w:rPr>
          <w:rFonts w:eastAsiaTheme="minorEastAsia"/>
          <w:sz w:val="24"/>
          <w:szCs w:val="24"/>
        </w:rPr>
        <w:t xml:space="preserve"> directly with our principal risks:</w:t>
      </w:r>
    </w:p>
    <w:p w14:paraId="2C4B7C14" w14:textId="5F4CB214" w:rsidR="004511B2" w:rsidRDefault="7B91971A">
      <w:pPr>
        <w:pStyle w:val="ListParagraph"/>
        <w:numPr>
          <w:ilvl w:val="0"/>
          <w:numId w:val="7"/>
        </w:numPr>
        <w:spacing w:after="240" w:line="360" w:lineRule="auto"/>
      </w:pPr>
      <w:r w:rsidRPr="286D958D">
        <w:rPr>
          <w:rFonts w:ascii="Arial" w:eastAsiaTheme="minorEastAsia" w:hAnsi="Arial"/>
          <w:b/>
          <w:bCs/>
          <w:sz w:val="24"/>
          <w:szCs w:val="24"/>
        </w:rPr>
        <w:t xml:space="preserve">PR2: </w:t>
      </w:r>
      <w:r w:rsidR="00CB1266" w:rsidRPr="00CB1266">
        <w:rPr>
          <w:rFonts w:ascii="Arial" w:hAnsi="Arial"/>
          <w:sz w:val="24"/>
          <w:szCs w:val="24"/>
        </w:rPr>
        <w:t>We are not flexible and agile enough for transformation and public service reform to ensure our services are future ready.</w:t>
      </w:r>
    </w:p>
    <w:p w14:paraId="3098A3E0" w14:textId="28F9AEFB" w:rsidR="004511B2" w:rsidRDefault="698C9226">
      <w:pPr>
        <w:pStyle w:val="ListParagraph"/>
        <w:numPr>
          <w:ilvl w:val="0"/>
          <w:numId w:val="7"/>
        </w:numPr>
        <w:spacing w:after="240" w:line="360" w:lineRule="auto"/>
      </w:pPr>
      <w:r w:rsidRPr="286D958D">
        <w:rPr>
          <w:rFonts w:ascii="Arial" w:eastAsiaTheme="minorEastAsia" w:hAnsi="Arial"/>
          <w:b/>
          <w:bCs/>
          <w:sz w:val="24"/>
          <w:szCs w:val="24"/>
        </w:rPr>
        <w:t>PR</w:t>
      </w:r>
      <w:r w:rsidR="4EABA7DC" w:rsidRPr="286D958D">
        <w:rPr>
          <w:rFonts w:ascii="Arial" w:eastAsiaTheme="minorEastAsia" w:hAnsi="Arial"/>
          <w:b/>
          <w:bCs/>
          <w:sz w:val="24"/>
          <w:szCs w:val="24"/>
        </w:rPr>
        <w:t>6:</w:t>
      </w:r>
      <w:r w:rsidR="6051767E" w:rsidRPr="286D958D">
        <w:rPr>
          <w:rFonts w:ascii="Arial" w:eastAsiaTheme="minorEastAsia" w:hAnsi="Arial"/>
          <w:b/>
          <w:bCs/>
          <w:sz w:val="24"/>
          <w:szCs w:val="24"/>
        </w:rPr>
        <w:t xml:space="preserve"> </w:t>
      </w:r>
      <w:r w:rsidR="6051767E" w:rsidRPr="286D958D">
        <w:rPr>
          <w:rFonts w:ascii="Arial" w:eastAsia="Arial" w:hAnsi="Arial"/>
          <w:color w:val="000000" w:themeColor="text1"/>
          <w:sz w:val="24"/>
          <w:szCs w:val="24"/>
        </w:rPr>
        <w:t>Inability to respond to stakeholder expectations without additional financial resources.</w:t>
      </w:r>
    </w:p>
    <w:p w14:paraId="61B1F6BD" w14:textId="640DFE70" w:rsidR="004511B2" w:rsidRDefault="4EABA7DC">
      <w:pPr>
        <w:pStyle w:val="ListParagraph"/>
        <w:numPr>
          <w:ilvl w:val="0"/>
          <w:numId w:val="7"/>
        </w:numPr>
        <w:spacing w:after="240" w:line="360" w:lineRule="auto"/>
      </w:pPr>
      <w:r w:rsidRPr="286D958D">
        <w:rPr>
          <w:rFonts w:ascii="Arial" w:eastAsiaTheme="minorEastAsia" w:hAnsi="Arial"/>
          <w:b/>
          <w:bCs/>
          <w:sz w:val="24"/>
          <w:szCs w:val="24"/>
        </w:rPr>
        <w:t xml:space="preserve">PR8: </w:t>
      </w:r>
      <w:r w:rsidRPr="286D958D">
        <w:rPr>
          <w:rFonts w:ascii="Arial" w:eastAsia="Arial" w:hAnsi="Arial"/>
          <w:color w:val="000000" w:themeColor="text1"/>
          <w:sz w:val="24"/>
          <w:szCs w:val="24"/>
        </w:rPr>
        <w:t>We fail to create an environment where our colleagues can thrive and develop whilst attracting new talent to the organisation. </w:t>
      </w:r>
    </w:p>
    <w:p w14:paraId="63E0DD66" w14:textId="176885E3" w:rsidR="004511B2" w:rsidRDefault="1A90E010">
      <w:pPr>
        <w:pStyle w:val="ListParagraph"/>
        <w:numPr>
          <w:ilvl w:val="0"/>
          <w:numId w:val="7"/>
        </w:numPr>
        <w:spacing w:after="240" w:line="360" w:lineRule="auto"/>
      </w:pPr>
      <w:r w:rsidRPr="286D958D">
        <w:rPr>
          <w:rFonts w:ascii="Arial" w:eastAsia="Arial" w:hAnsi="Arial"/>
          <w:b/>
          <w:bCs/>
          <w:color w:val="000000" w:themeColor="text1"/>
          <w:sz w:val="24"/>
          <w:szCs w:val="24"/>
        </w:rPr>
        <w:t>PR10:</w:t>
      </w:r>
      <w:r w:rsidRPr="286D958D">
        <w:rPr>
          <w:rFonts w:ascii="Arial" w:eastAsia="Arial" w:hAnsi="Arial"/>
          <w:color w:val="000000" w:themeColor="text1"/>
          <w:sz w:val="24"/>
          <w:szCs w:val="24"/>
        </w:rPr>
        <w:t xml:space="preserve"> Failure to meet the full scope of statutory duties associated with the delivery of our environmental regulation function.</w:t>
      </w:r>
    </w:p>
    <w:p w14:paraId="15B19538" w14:textId="2EFE0557" w:rsidR="004511B2" w:rsidRDefault="2906ED84" w:rsidP="286D958D">
      <w:pPr>
        <w:spacing w:after="240" w:line="360" w:lineRule="auto"/>
        <w:ind w:left="709"/>
        <w:rPr>
          <w:rFonts w:eastAsia="Arial"/>
          <w:sz w:val="24"/>
          <w:szCs w:val="24"/>
        </w:rPr>
      </w:pPr>
      <w:r w:rsidRPr="286D958D">
        <w:rPr>
          <w:b/>
          <w:bCs/>
          <w:sz w:val="24"/>
          <w:szCs w:val="24"/>
        </w:rPr>
        <w:t>2.</w:t>
      </w:r>
      <w:r w:rsidR="00C536A8">
        <w:rPr>
          <w:b/>
          <w:bCs/>
          <w:sz w:val="24"/>
          <w:szCs w:val="24"/>
        </w:rPr>
        <w:t>9</w:t>
      </w:r>
      <w:r w:rsidRPr="286D958D">
        <w:rPr>
          <w:b/>
          <w:bCs/>
          <w:sz w:val="24"/>
          <w:szCs w:val="24"/>
        </w:rPr>
        <w:t xml:space="preserve">.1.4 </w:t>
      </w:r>
      <w:r w:rsidRPr="286D958D">
        <w:rPr>
          <w:rFonts w:eastAsiaTheme="minorEastAsia"/>
          <w:sz w:val="24"/>
          <w:szCs w:val="24"/>
        </w:rPr>
        <w:t>Technological and Cyber Risk</w:t>
      </w:r>
    </w:p>
    <w:p w14:paraId="220CF822" w14:textId="0EC75F2A" w:rsidR="004511B2" w:rsidRDefault="2906ED84" w:rsidP="286D958D">
      <w:pPr>
        <w:pStyle w:val="ListParagraph"/>
        <w:spacing w:after="240" w:line="360" w:lineRule="auto"/>
        <w:ind w:left="709"/>
        <w:rPr>
          <w:rFonts w:ascii="Arial" w:hAnsi="Arial"/>
          <w:sz w:val="24"/>
          <w:szCs w:val="24"/>
        </w:rPr>
      </w:pPr>
      <w:r w:rsidRPr="286D958D">
        <w:rPr>
          <w:rFonts w:ascii="Arial" w:hAnsi="Arial"/>
          <w:sz w:val="24"/>
          <w:szCs w:val="24"/>
        </w:rPr>
        <w:t>Rapid technological advancement continues to create both opportunities and risks:</w:t>
      </w:r>
    </w:p>
    <w:p w14:paraId="12A8B8FD" w14:textId="290FB4E7" w:rsidR="004511B2" w:rsidRDefault="2906ED84">
      <w:pPr>
        <w:pStyle w:val="ListParagraph"/>
        <w:numPr>
          <w:ilvl w:val="0"/>
          <w:numId w:val="5"/>
        </w:numPr>
        <w:spacing w:after="240" w:line="360" w:lineRule="auto"/>
        <w:rPr>
          <w:rFonts w:ascii="Arial" w:hAnsi="Arial"/>
          <w:sz w:val="24"/>
          <w:szCs w:val="24"/>
        </w:rPr>
      </w:pPr>
      <w:r w:rsidRPr="286D958D">
        <w:rPr>
          <w:rFonts w:ascii="Arial" w:hAnsi="Arial"/>
          <w:sz w:val="24"/>
          <w:szCs w:val="24"/>
        </w:rPr>
        <w:t>Increasing dependency on digital systems and data</w:t>
      </w:r>
    </w:p>
    <w:p w14:paraId="0C87F536" w14:textId="62FD8A67" w:rsidR="004511B2" w:rsidRDefault="2906ED84">
      <w:pPr>
        <w:pStyle w:val="ListParagraph"/>
        <w:numPr>
          <w:ilvl w:val="0"/>
          <w:numId w:val="5"/>
        </w:numPr>
        <w:spacing w:after="240" w:line="360" w:lineRule="auto"/>
        <w:rPr>
          <w:rFonts w:ascii="Arial" w:hAnsi="Arial"/>
          <w:sz w:val="24"/>
          <w:szCs w:val="24"/>
        </w:rPr>
      </w:pPr>
      <w:r w:rsidRPr="286D958D">
        <w:rPr>
          <w:rFonts w:ascii="Arial" w:hAnsi="Arial"/>
          <w:sz w:val="24"/>
          <w:szCs w:val="24"/>
        </w:rPr>
        <w:t>Rising cyber security threats targeting public infrastructure</w:t>
      </w:r>
    </w:p>
    <w:p w14:paraId="7CE7A76D" w14:textId="0084616F" w:rsidR="004511B2" w:rsidRDefault="2906ED84">
      <w:pPr>
        <w:pStyle w:val="ListParagraph"/>
        <w:numPr>
          <w:ilvl w:val="0"/>
          <w:numId w:val="5"/>
        </w:numPr>
        <w:spacing w:after="240" w:line="360" w:lineRule="auto"/>
        <w:rPr>
          <w:rFonts w:ascii="Arial" w:hAnsi="Arial"/>
          <w:sz w:val="24"/>
          <w:szCs w:val="24"/>
        </w:rPr>
      </w:pPr>
      <w:r w:rsidRPr="286D958D">
        <w:rPr>
          <w:rFonts w:ascii="Arial" w:hAnsi="Arial"/>
          <w:sz w:val="24"/>
          <w:szCs w:val="24"/>
        </w:rPr>
        <w:t xml:space="preserve">Expanding use of data analytics, automation and </w:t>
      </w:r>
      <w:r w:rsidR="3F133503" w:rsidRPr="286D958D">
        <w:rPr>
          <w:rFonts w:ascii="Arial" w:hAnsi="Arial"/>
          <w:sz w:val="24"/>
          <w:szCs w:val="24"/>
        </w:rPr>
        <w:t>artificial intelligence</w:t>
      </w:r>
      <w:r w:rsidR="00F802FE">
        <w:rPr>
          <w:rFonts w:ascii="Arial" w:hAnsi="Arial"/>
          <w:sz w:val="24"/>
          <w:szCs w:val="24"/>
        </w:rPr>
        <w:t>.</w:t>
      </w:r>
    </w:p>
    <w:p w14:paraId="7DCEC411" w14:textId="701D2257" w:rsidR="004511B2" w:rsidRDefault="3F133503" w:rsidP="286D958D">
      <w:pPr>
        <w:pStyle w:val="ListParagraph"/>
        <w:spacing w:after="240" w:line="360" w:lineRule="auto"/>
        <w:ind w:left="709"/>
        <w:rPr>
          <w:rFonts w:ascii="Arial" w:hAnsi="Arial"/>
          <w:sz w:val="24"/>
          <w:szCs w:val="24"/>
        </w:rPr>
      </w:pPr>
      <w:r w:rsidRPr="286D958D">
        <w:rPr>
          <w:rFonts w:ascii="Arial" w:hAnsi="Arial"/>
          <w:sz w:val="24"/>
          <w:szCs w:val="24"/>
        </w:rPr>
        <w:t>This reinforces the need for continued prioritisation of cyber resilience, robust information governance and the controlled adoption of digital innovation to enhance regulatory effectiveness and decision-making.</w:t>
      </w:r>
    </w:p>
    <w:p w14:paraId="6EC59FB6" w14:textId="672096B9" w:rsidR="004511B2" w:rsidRDefault="3F133503" w:rsidP="286D958D">
      <w:pPr>
        <w:pStyle w:val="ListParagraph"/>
        <w:spacing w:after="240" w:line="360" w:lineRule="auto"/>
        <w:ind w:left="709"/>
        <w:rPr>
          <w:rFonts w:ascii="Arial" w:eastAsiaTheme="minorEastAsia" w:hAnsi="Arial"/>
          <w:sz w:val="24"/>
          <w:szCs w:val="24"/>
        </w:rPr>
      </w:pPr>
      <w:r w:rsidRPr="286D958D">
        <w:rPr>
          <w:rFonts w:ascii="Arial" w:eastAsiaTheme="minorEastAsia" w:hAnsi="Arial"/>
          <w:sz w:val="24"/>
          <w:szCs w:val="24"/>
        </w:rPr>
        <w:t>These trends li</w:t>
      </w:r>
      <w:r w:rsidR="000B12DF">
        <w:rPr>
          <w:rFonts w:ascii="Arial" w:eastAsiaTheme="minorEastAsia" w:hAnsi="Arial"/>
          <w:sz w:val="24"/>
          <w:szCs w:val="24"/>
        </w:rPr>
        <w:t>nk</w:t>
      </w:r>
      <w:r w:rsidRPr="286D958D">
        <w:rPr>
          <w:rFonts w:ascii="Arial" w:eastAsiaTheme="minorEastAsia" w:hAnsi="Arial"/>
          <w:sz w:val="24"/>
          <w:szCs w:val="24"/>
        </w:rPr>
        <w:t xml:space="preserve"> directly with our principal risks:</w:t>
      </w:r>
    </w:p>
    <w:p w14:paraId="3AE98BDF" w14:textId="05D7BDC2" w:rsidR="004511B2" w:rsidRDefault="3F133503">
      <w:pPr>
        <w:pStyle w:val="ListParagraph"/>
        <w:numPr>
          <w:ilvl w:val="0"/>
          <w:numId w:val="4"/>
        </w:numPr>
        <w:spacing w:after="240" w:line="360" w:lineRule="auto"/>
      </w:pPr>
      <w:r w:rsidRPr="286D958D">
        <w:rPr>
          <w:rFonts w:ascii="Arial" w:eastAsiaTheme="minorEastAsia" w:hAnsi="Arial"/>
          <w:b/>
          <w:bCs/>
          <w:sz w:val="24"/>
          <w:szCs w:val="24"/>
        </w:rPr>
        <w:t xml:space="preserve">PR5: </w:t>
      </w:r>
      <w:r w:rsidRPr="286D958D">
        <w:rPr>
          <w:rFonts w:ascii="Arial" w:eastAsia="Arial" w:hAnsi="Arial"/>
          <w:color w:val="000000" w:themeColor="text1"/>
          <w:sz w:val="24"/>
          <w:szCs w:val="24"/>
        </w:rPr>
        <w:t>Failure to implement a robust information and data governance framework across the organisation. </w:t>
      </w:r>
    </w:p>
    <w:p w14:paraId="21271FED" w14:textId="306536F3" w:rsidR="004511B2" w:rsidRDefault="3F133503">
      <w:pPr>
        <w:pStyle w:val="ListParagraph"/>
        <w:numPr>
          <w:ilvl w:val="0"/>
          <w:numId w:val="4"/>
        </w:numPr>
        <w:spacing w:after="240" w:line="360" w:lineRule="auto"/>
      </w:pPr>
      <w:r w:rsidRPr="286D958D">
        <w:rPr>
          <w:rFonts w:ascii="Arial" w:eastAsiaTheme="minorEastAsia" w:hAnsi="Arial"/>
          <w:b/>
          <w:bCs/>
          <w:sz w:val="24"/>
          <w:szCs w:val="24"/>
        </w:rPr>
        <w:t>PR7:</w:t>
      </w:r>
      <w:r w:rsidRPr="286D958D">
        <w:rPr>
          <w:rFonts w:ascii="Arial" w:eastAsiaTheme="minorEastAsia" w:hAnsi="Arial"/>
          <w:sz w:val="24"/>
          <w:szCs w:val="24"/>
        </w:rPr>
        <w:t xml:space="preserve"> </w:t>
      </w:r>
      <w:r w:rsidRPr="286D958D">
        <w:rPr>
          <w:rFonts w:ascii="Arial" w:eastAsia="Arial" w:hAnsi="Arial"/>
          <w:color w:val="000000" w:themeColor="text1"/>
          <w:sz w:val="24"/>
          <w:szCs w:val="24"/>
        </w:rPr>
        <w:t>Inadequate protection and governance of systems, cyber-security and artificial intelligence. </w:t>
      </w:r>
    </w:p>
    <w:p w14:paraId="6D4E9273" w14:textId="75714A0C" w:rsidR="004511B2" w:rsidRDefault="572A92D5" w:rsidP="286D958D">
      <w:pPr>
        <w:spacing w:after="240" w:line="360" w:lineRule="auto"/>
        <w:ind w:left="709"/>
        <w:rPr>
          <w:b/>
          <w:bCs/>
          <w:sz w:val="24"/>
          <w:szCs w:val="24"/>
        </w:rPr>
      </w:pPr>
      <w:r w:rsidRPr="286D958D">
        <w:rPr>
          <w:b/>
          <w:bCs/>
          <w:sz w:val="24"/>
          <w:szCs w:val="24"/>
        </w:rPr>
        <w:t>2.</w:t>
      </w:r>
      <w:r w:rsidR="00C536A8">
        <w:rPr>
          <w:b/>
          <w:bCs/>
          <w:sz w:val="24"/>
          <w:szCs w:val="24"/>
        </w:rPr>
        <w:t>9</w:t>
      </w:r>
      <w:r w:rsidRPr="286D958D">
        <w:rPr>
          <w:b/>
          <w:bCs/>
          <w:sz w:val="24"/>
          <w:szCs w:val="24"/>
        </w:rPr>
        <w:t xml:space="preserve">.1.5 </w:t>
      </w:r>
      <w:r w:rsidRPr="286D958D">
        <w:rPr>
          <w:sz w:val="24"/>
          <w:szCs w:val="24"/>
        </w:rPr>
        <w:t>Societal Expectations and Trust</w:t>
      </w:r>
    </w:p>
    <w:p w14:paraId="49F095CC" w14:textId="59A7CA6D" w:rsidR="004511B2" w:rsidRDefault="572A92D5" w:rsidP="286D958D">
      <w:pPr>
        <w:pStyle w:val="ListParagraph"/>
        <w:spacing w:after="240" w:line="360" w:lineRule="auto"/>
        <w:ind w:left="709"/>
        <w:rPr>
          <w:rFonts w:ascii="Arial" w:hAnsi="Arial"/>
          <w:sz w:val="24"/>
          <w:szCs w:val="24"/>
        </w:rPr>
      </w:pPr>
      <w:r w:rsidRPr="286D958D">
        <w:rPr>
          <w:rFonts w:ascii="Arial" w:hAnsi="Arial"/>
          <w:sz w:val="24"/>
          <w:szCs w:val="24"/>
        </w:rPr>
        <w:t>Public expectations of transparency, accountability and environmental performance continue to grow, influenced by:</w:t>
      </w:r>
    </w:p>
    <w:p w14:paraId="15FA00D0" w14:textId="05A7DEE8" w:rsidR="004511B2" w:rsidRDefault="572A92D5">
      <w:pPr>
        <w:pStyle w:val="ListParagraph"/>
        <w:numPr>
          <w:ilvl w:val="0"/>
          <w:numId w:val="3"/>
        </w:numPr>
        <w:spacing w:after="240" w:line="360" w:lineRule="auto"/>
        <w:rPr>
          <w:rFonts w:ascii="Arial" w:hAnsi="Arial"/>
          <w:sz w:val="24"/>
          <w:szCs w:val="24"/>
        </w:rPr>
      </w:pPr>
      <w:r w:rsidRPr="286D958D">
        <w:rPr>
          <w:rFonts w:ascii="Arial" w:hAnsi="Arial"/>
          <w:sz w:val="24"/>
          <w:szCs w:val="24"/>
        </w:rPr>
        <w:t>Increased stakeholder scrutiny and media attention</w:t>
      </w:r>
    </w:p>
    <w:p w14:paraId="27F73330" w14:textId="49BF8555" w:rsidR="004511B2" w:rsidRDefault="572A92D5">
      <w:pPr>
        <w:pStyle w:val="ListParagraph"/>
        <w:numPr>
          <w:ilvl w:val="0"/>
          <w:numId w:val="3"/>
        </w:numPr>
        <w:spacing w:after="240" w:line="360" w:lineRule="auto"/>
        <w:rPr>
          <w:rFonts w:ascii="Arial" w:hAnsi="Arial"/>
          <w:sz w:val="24"/>
          <w:szCs w:val="24"/>
        </w:rPr>
      </w:pPr>
      <w:r w:rsidRPr="286D958D">
        <w:rPr>
          <w:rFonts w:ascii="Arial" w:hAnsi="Arial"/>
          <w:sz w:val="24"/>
          <w:szCs w:val="24"/>
        </w:rPr>
        <w:t>Higher expectations for fairness, engagement and responsiveness</w:t>
      </w:r>
    </w:p>
    <w:p w14:paraId="6E6FC5CA" w14:textId="719A8EFA" w:rsidR="004511B2" w:rsidRDefault="572A92D5">
      <w:pPr>
        <w:pStyle w:val="ListParagraph"/>
        <w:numPr>
          <w:ilvl w:val="0"/>
          <w:numId w:val="3"/>
        </w:numPr>
        <w:spacing w:after="240" w:line="360" w:lineRule="auto"/>
        <w:rPr>
          <w:rFonts w:ascii="Arial" w:hAnsi="Arial"/>
          <w:sz w:val="24"/>
          <w:szCs w:val="24"/>
        </w:rPr>
      </w:pPr>
      <w:r w:rsidRPr="286D958D">
        <w:rPr>
          <w:rFonts w:ascii="Arial" w:hAnsi="Arial"/>
          <w:sz w:val="24"/>
          <w:szCs w:val="24"/>
        </w:rPr>
        <w:t>Greater focus on equality, human rights and community impacts</w:t>
      </w:r>
      <w:r w:rsidR="00F802FE">
        <w:rPr>
          <w:rFonts w:ascii="Arial" w:hAnsi="Arial"/>
          <w:sz w:val="24"/>
          <w:szCs w:val="24"/>
        </w:rPr>
        <w:t>.</w:t>
      </w:r>
    </w:p>
    <w:p w14:paraId="640CC0AA" w14:textId="6870A49F" w:rsidR="004511B2" w:rsidRDefault="572A92D5" w:rsidP="286D958D">
      <w:pPr>
        <w:pStyle w:val="ListParagraph"/>
        <w:spacing w:after="240" w:line="360" w:lineRule="auto"/>
        <w:ind w:left="709"/>
        <w:rPr>
          <w:rFonts w:ascii="Arial" w:hAnsi="Arial"/>
          <w:sz w:val="24"/>
          <w:szCs w:val="24"/>
        </w:rPr>
      </w:pPr>
      <w:r w:rsidRPr="286D958D">
        <w:rPr>
          <w:rFonts w:ascii="Arial" w:hAnsi="Arial"/>
          <w:sz w:val="24"/>
          <w:szCs w:val="24"/>
        </w:rPr>
        <w:t xml:space="preserve">These trends directly increase exposure to </w:t>
      </w:r>
      <w:r w:rsidR="3114BB27" w:rsidRPr="286D958D">
        <w:rPr>
          <w:rFonts w:ascii="Arial" w:hAnsi="Arial"/>
          <w:sz w:val="24"/>
          <w:szCs w:val="24"/>
        </w:rPr>
        <w:t>every principal risk because SEPA requires to:</w:t>
      </w:r>
    </w:p>
    <w:p w14:paraId="5F51A4E0" w14:textId="53833044" w:rsidR="004511B2" w:rsidRDefault="3114BB27">
      <w:pPr>
        <w:pStyle w:val="ListParagraph"/>
        <w:numPr>
          <w:ilvl w:val="0"/>
          <w:numId w:val="2"/>
        </w:numPr>
        <w:spacing w:after="240" w:line="360" w:lineRule="auto"/>
        <w:rPr>
          <w:rFonts w:ascii="Arial" w:hAnsi="Arial"/>
          <w:sz w:val="24"/>
          <w:szCs w:val="24"/>
        </w:rPr>
      </w:pPr>
      <w:r w:rsidRPr="286D958D">
        <w:rPr>
          <w:rFonts w:ascii="Arial" w:hAnsi="Arial"/>
          <w:sz w:val="24"/>
          <w:szCs w:val="24"/>
        </w:rPr>
        <w:t xml:space="preserve">Protect our </w:t>
      </w:r>
      <w:r w:rsidR="572A92D5" w:rsidRPr="286D958D">
        <w:rPr>
          <w:rFonts w:ascii="Arial" w:hAnsi="Arial"/>
          <w:sz w:val="24"/>
          <w:szCs w:val="24"/>
        </w:rPr>
        <w:t xml:space="preserve">reputation and </w:t>
      </w:r>
      <w:r w:rsidR="5C110C75" w:rsidRPr="286D958D">
        <w:rPr>
          <w:rFonts w:ascii="Arial" w:hAnsi="Arial"/>
          <w:sz w:val="24"/>
          <w:szCs w:val="24"/>
        </w:rPr>
        <w:t xml:space="preserve">increase </w:t>
      </w:r>
      <w:r w:rsidR="572A92D5" w:rsidRPr="286D958D">
        <w:rPr>
          <w:rFonts w:ascii="Arial" w:hAnsi="Arial"/>
          <w:sz w:val="24"/>
          <w:szCs w:val="24"/>
        </w:rPr>
        <w:t>stakeholder confidence</w:t>
      </w:r>
    </w:p>
    <w:p w14:paraId="71F3CFAE" w14:textId="614067B4" w:rsidR="004511B2" w:rsidRDefault="442BFF0B">
      <w:pPr>
        <w:pStyle w:val="ListParagraph"/>
        <w:numPr>
          <w:ilvl w:val="0"/>
          <w:numId w:val="2"/>
        </w:numPr>
        <w:spacing w:after="240" w:line="360" w:lineRule="auto"/>
        <w:rPr>
          <w:rFonts w:ascii="Arial" w:hAnsi="Arial"/>
          <w:sz w:val="24"/>
          <w:szCs w:val="24"/>
        </w:rPr>
      </w:pPr>
      <w:r w:rsidRPr="286D958D">
        <w:rPr>
          <w:rFonts w:ascii="Arial" w:hAnsi="Arial"/>
          <w:sz w:val="24"/>
          <w:szCs w:val="24"/>
        </w:rPr>
        <w:t>Gain p</w:t>
      </w:r>
      <w:r w:rsidR="572A92D5" w:rsidRPr="286D958D">
        <w:rPr>
          <w:rFonts w:ascii="Arial" w:hAnsi="Arial"/>
          <w:sz w:val="24"/>
          <w:szCs w:val="24"/>
        </w:rPr>
        <w:t>ublic trust in regulatory decision-making and enforcement</w:t>
      </w:r>
    </w:p>
    <w:p w14:paraId="5EA577CE" w14:textId="516BFABE" w:rsidR="004511B2" w:rsidRDefault="17B96C1D">
      <w:pPr>
        <w:pStyle w:val="ListParagraph"/>
        <w:numPr>
          <w:ilvl w:val="0"/>
          <w:numId w:val="2"/>
        </w:numPr>
        <w:spacing w:after="240" w:line="360" w:lineRule="auto"/>
        <w:rPr>
          <w:rFonts w:ascii="Arial" w:hAnsi="Arial"/>
          <w:sz w:val="24"/>
          <w:szCs w:val="24"/>
        </w:rPr>
      </w:pPr>
      <w:r w:rsidRPr="286D958D">
        <w:rPr>
          <w:rFonts w:ascii="Arial" w:hAnsi="Arial"/>
          <w:sz w:val="24"/>
          <w:szCs w:val="24"/>
        </w:rPr>
        <w:t xml:space="preserve">Communicate </w:t>
      </w:r>
      <w:r w:rsidR="572A92D5" w:rsidRPr="286D958D">
        <w:rPr>
          <w:rFonts w:ascii="Arial" w:hAnsi="Arial"/>
          <w:sz w:val="24"/>
          <w:szCs w:val="24"/>
        </w:rPr>
        <w:t>transparent</w:t>
      </w:r>
      <w:r w:rsidR="224C17B5" w:rsidRPr="286D958D">
        <w:rPr>
          <w:rFonts w:ascii="Arial" w:hAnsi="Arial"/>
          <w:sz w:val="24"/>
          <w:szCs w:val="24"/>
        </w:rPr>
        <w:t>ly</w:t>
      </w:r>
      <w:r w:rsidR="24B449A2" w:rsidRPr="286D958D">
        <w:rPr>
          <w:rFonts w:ascii="Arial" w:hAnsi="Arial"/>
          <w:sz w:val="24"/>
          <w:szCs w:val="24"/>
        </w:rPr>
        <w:t xml:space="preserve"> and </w:t>
      </w:r>
      <w:r w:rsidR="572A92D5" w:rsidRPr="286D958D">
        <w:rPr>
          <w:rFonts w:ascii="Arial" w:hAnsi="Arial"/>
          <w:sz w:val="24"/>
          <w:szCs w:val="24"/>
        </w:rPr>
        <w:t>proportionate</w:t>
      </w:r>
      <w:r w:rsidR="47339158" w:rsidRPr="286D958D">
        <w:rPr>
          <w:rFonts w:ascii="Arial" w:hAnsi="Arial"/>
          <w:sz w:val="24"/>
          <w:szCs w:val="24"/>
        </w:rPr>
        <w:t>ly</w:t>
      </w:r>
      <w:r w:rsidR="00F802FE">
        <w:rPr>
          <w:rFonts w:ascii="Arial" w:hAnsi="Arial"/>
          <w:sz w:val="24"/>
          <w:szCs w:val="24"/>
        </w:rPr>
        <w:t>.</w:t>
      </w:r>
    </w:p>
    <w:p w14:paraId="039C42A2" w14:textId="622E43F6" w:rsidR="004511B2" w:rsidRDefault="572A92D5" w:rsidP="286D958D">
      <w:pPr>
        <w:pStyle w:val="ListParagraph"/>
        <w:spacing w:after="240" w:line="360" w:lineRule="auto"/>
        <w:ind w:left="709"/>
        <w:rPr>
          <w:rFonts w:ascii="Arial" w:hAnsi="Arial"/>
          <w:sz w:val="24"/>
          <w:szCs w:val="24"/>
        </w:rPr>
      </w:pPr>
      <w:r w:rsidRPr="286D958D">
        <w:rPr>
          <w:rFonts w:ascii="Arial" w:hAnsi="Arial"/>
          <w:sz w:val="24"/>
          <w:szCs w:val="24"/>
        </w:rPr>
        <w:t>Maintaining trust requires continued focus on proactive engagement, clarity of messaging and the integration of equality and human rights considerations into decision-making processes.</w:t>
      </w:r>
    </w:p>
    <w:p w14:paraId="38150152" w14:textId="321D5386" w:rsidR="004511B2" w:rsidRDefault="5F817796" w:rsidP="286D958D">
      <w:pPr>
        <w:pStyle w:val="ListParagraph"/>
        <w:spacing w:after="240" w:line="360" w:lineRule="auto"/>
        <w:ind w:left="709"/>
        <w:rPr>
          <w:rFonts w:ascii="Arial" w:hAnsi="Arial"/>
          <w:b/>
          <w:bCs/>
          <w:sz w:val="24"/>
          <w:szCs w:val="24"/>
        </w:rPr>
      </w:pPr>
      <w:r w:rsidRPr="286D958D">
        <w:rPr>
          <w:rFonts w:ascii="Arial" w:hAnsi="Arial"/>
          <w:b/>
          <w:bCs/>
          <w:sz w:val="24"/>
          <w:szCs w:val="24"/>
        </w:rPr>
        <w:t>2.</w:t>
      </w:r>
      <w:r w:rsidR="00C536A8">
        <w:rPr>
          <w:rFonts w:ascii="Arial" w:hAnsi="Arial"/>
          <w:b/>
          <w:bCs/>
          <w:sz w:val="24"/>
          <w:szCs w:val="24"/>
        </w:rPr>
        <w:t>9</w:t>
      </w:r>
      <w:r w:rsidRPr="286D958D">
        <w:rPr>
          <w:rFonts w:ascii="Arial" w:hAnsi="Arial"/>
          <w:b/>
          <w:bCs/>
          <w:sz w:val="24"/>
          <w:szCs w:val="24"/>
        </w:rPr>
        <w:t>.2</w:t>
      </w:r>
      <w:r w:rsidR="007447F2">
        <w:tab/>
      </w:r>
      <w:r w:rsidR="007447F2">
        <w:tab/>
      </w:r>
      <w:r w:rsidRPr="286D958D">
        <w:rPr>
          <w:rFonts w:ascii="Arial" w:hAnsi="Arial"/>
          <w:b/>
          <w:bCs/>
          <w:sz w:val="24"/>
          <w:szCs w:val="24"/>
        </w:rPr>
        <w:t>Summary</w:t>
      </w:r>
    </w:p>
    <w:p w14:paraId="2911B2A2" w14:textId="59A1AC19" w:rsidR="004511B2" w:rsidRDefault="5F817796" w:rsidP="286D958D">
      <w:pPr>
        <w:spacing w:after="240" w:line="360" w:lineRule="auto"/>
        <w:ind w:left="720"/>
        <w:rPr>
          <w:sz w:val="24"/>
          <w:szCs w:val="24"/>
        </w:rPr>
      </w:pPr>
      <w:r w:rsidRPr="286D958D">
        <w:rPr>
          <w:rFonts w:eastAsiaTheme="minorEastAsia"/>
          <w:sz w:val="24"/>
          <w:szCs w:val="24"/>
        </w:rPr>
        <w:t>The 2025/2026 risk landscape presents a continuation and intensification of trends identified in the previous year. The environment is characterised by heightened uncertainty, increasing interdependencies and growing expectations on public bodies.</w:t>
      </w:r>
    </w:p>
    <w:p w14:paraId="7EF64905" w14:textId="34EE742D" w:rsidR="004511B2" w:rsidRDefault="5F817796" w:rsidP="286D958D">
      <w:pPr>
        <w:spacing w:after="240" w:line="360" w:lineRule="auto"/>
        <w:ind w:left="791"/>
        <w:rPr>
          <w:sz w:val="24"/>
          <w:szCs w:val="24"/>
        </w:rPr>
      </w:pPr>
      <w:r w:rsidRPr="286D958D">
        <w:rPr>
          <w:sz w:val="24"/>
          <w:szCs w:val="24"/>
        </w:rPr>
        <w:t>This reinforces the need for SEPA to have:</w:t>
      </w:r>
    </w:p>
    <w:p w14:paraId="53DD67FA" w14:textId="6EE593FA" w:rsidR="004511B2" w:rsidRDefault="5F817796">
      <w:pPr>
        <w:pStyle w:val="ListParagraph"/>
        <w:numPr>
          <w:ilvl w:val="0"/>
          <w:numId w:val="1"/>
        </w:numPr>
        <w:spacing w:after="240" w:line="360" w:lineRule="auto"/>
        <w:ind w:left="1490"/>
        <w:rPr>
          <w:rFonts w:ascii="Arial" w:hAnsi="Arial"/>
          <w:sz w:val="24"/>
          <w:szCs w:val="24"/>
        </w:rPr>
      </w:pPr>
      <w:r w:rsidRPr="286D958D">
        <w:rPr>
          <w:rFonts w:ascii="Arial" w:hAnsi="Arial"/>
          <w:sz w:val="24"/>
          <w:szCs w:val="24"/>
        </w:rPr>
        <w:t>Resilient and adaptive operating models</w:t>
      </w:r>
    </w:p>
    <w:p w14:paraId="406591B4" w14:textId="53B0E69E" w:rsidR="004511B2" w:rsidRDefault="5F817796">
      <w:pPr>
        <w:pStyle w:val="ListParagraph"/>
        <w:numPr>
          <w:ilvl w:val="0"/>
          <w:numId w:val="1"/>
        </w:numPr>
        <w:spacing w:after="240" w:line="360" w:lineRule="auto"/>
        <w:ind w:left="1490"/>
        <w:rPr>
          <w:rFonts w:ascii="Arial" w:hAnsi="Arial"/>
          <w:sz w:val="24"/>
          <w:szCs w:val="24"/>
        </w:rPr>
      </w:pPr>
      <w:r w:rsidRPr="286D958D">
        <w:rPr>
          <w:rFonts w:ascii="Arial" w:hAnsi="Arial"/>
          <w:sz w:val="24"/>
          <w:szCs w:val="24"/>
        </w:rPr>
        <w:t>Strong governance and risk oversight</w:t>
      </w:r>
    </w:p>
    <w:p w14:paraId="68E5B689" w14:textId="367F1C06" w:rsidR="004511B2" w:rsidRDefault="5F817796">
      <w:pPr>
        <w:pStyle w:val="ListParagraph"/>
        <w:numPr>
          <w:ilvl w:val="0"/>
          <w:numId w:val="1"/>
        </w:numPr>
        <w:spacing w:after="240" w:line="360" w:lineRule="auto"/>
        <w:ind w:left="1490"/>
        <w:rPr>
          <w:rFonts w:ascii="Arial" w:hAnsi="Arial"/>
          <w:sz w:val="24"/>
          <w:szCs w:val="24"/>
        </w:rPr>
      </w:pPr>
      <w:r w:rsidRPr="286D958D">
        <w:rPr>
          <w:rFonts w:ascii="Arial" w:hAnsi="Arial"/>
          <w:sz w:val="24"/>
          <w:szCs w:val="24"/>
        </w:rPr>
        <w:t>Continued maturation of risk management practices</w:t>
      </w:r>
      <w:r w:rsidR="00F802FE">
        <w:rPr>
          <w:rFonts w:ascii="Arial" w:hAnsi="Arial"/>
          <w:sz w:val="24"/>
          <w:szCs w:val="24"/>
        </w:rPr>
        <w:t>.</w:t>
      </w:r>
    </w:p>
    <w:p w14:paraId="0F1D34F6" w14:textId="55DE9FF0" w:rsidR="004511B2" w:rsidRDefault="5F817796" w:rsidP="286D958D">
      <w:pPr>
        <w:pStyle w:val="ListParagraph"/>
        <w:spacing w:after="240" w:line="360" w:lineRule="auto"/>
        <w:rPr>
          <w:rFonts w:ascii="Arial" w:hAnsi="Arial"/>
          <w:sz w:val="24"/>
          <w:szCs w:val="24"/>
        </w:rPr>
      </w:pPr>
      <w:r w:rsidRPr="286D958D">
        <w:rPr>
          <w:rFonts w:ascii="Arial" w:hAnsi="Arial"/>
          <w:sz w:val="24"/>
          <w:szCs w:val="24"/>
        </w:rPr>
        <w:lastRenderedPageBreak/>
        <w:t xml:space="preserve">Sustained focus will be required to ensure SEPA remains well-positioned to manage its </w:t>
      </w:r>
      <w:r w:rsidR="00A36540">
        <w:rPr>
          <w:rFonts w:ascii="Arial" w:hAnsi="Arial"/>
          <w:sz w:val="24"/>
          <w:szCs w:val="24"/>
        </w:rPr>
        <w:t>p</w:t>
      </w:r>
      <w:r w:rsidRPr="286D958D">
        <w:rPr>
          <w:rFonts w:ascii="Arial" w:hAnsi="Arial"/>
          <w:sz w:val="24"/>
          <w:szCs w:val="24"/>
        </w:rPr>
        <w:t xml:space="preserve">rincipal </w:t>
      </w:r>
      <w:r w:rsidR="00A36540">
        <w:rPr>
          <w:rFonts w:ascii="Arial" w:hAnsi="Arial"/>
          <w:sz w:val="24"/>
          <w:szCs w:val="24"/>
        </w:rPr>
        <w:t>r</w:t>
      </w:r>
      <w:r w:rsidRPr="286D958D">
        <w:rPr>
          <w:rFonts w:ascii="Arial" w:hAnsi="Arial"/>
          <w:sz w:val="24"/>
          <w:szCs w:val="24"/>
        </w:rPr>
        <w:t>isks effectively and to deliver its statutory responsibilities in an increasingly complex and dynamic external environment</w:t>
      </w:r>
      <w:r w:rsidR="00A36540">
        <w:rPr>
          <w:rFonts w:ascii="Arial" w:hAnsi="Arial"/>
          <w:sz w:val="24"/>
          <w:szCs w:val="24"/>
        </w:rPr>
        <w:t>.</w:t>
      </w:r>
    </w:p>
    <w:p w14:paraId="142E5A3F" w14:textId="76B498D0" w:rsidR="00BE6E2A" w:rsidRPr="006E295E" w:rsidRDefault="61E96473" w:rsidP="286D958D">
      <w:pPr>
        <w:pStyle w:val="ListParagraph"/>
        <w:spacing w:after="240" w:line="360" w:lineRule="auto"/>
        <w:ind w:left="405"/>
        <w:rPr>
          <w:rFonts w:ascii="Arial" w:hAnsi="Arial"/>
          <w:b/>
          <w:bCs/>
          <w:sz w:val="24"/>
          <w:szCs w:val="24"/>
        </w:rPr>
      </w:pPr>
      <w:r w:rsidRPr="286D958D">
        <w:rPr>
          <w:rFonts w:ascii="Arial" w:hAnsi="Arial"/>
          <w:b/>
          <w:bCs/>
          <w:sz w:val="24"/>
          <w:szCs w:val="24"/>
        </w:rPr>
        <w:t>2.</w:t>
      </w:r>
      <w:r w:rsidR="00C536A8">
        <w:rPr>
          <w:rFonts w:ascii="Arial" w:hAnsi="Arial"/>
          <w:b/>
          <w:bCs/>
          <w:sz w:val="24"/>
          <w:szCs w:val="24"/>
        </w:rPr>
        <w:t>10</w:t>
      </w:r>
      <w:r w:rsidR="006E295E" w:rsidRPr="286D958D">
        <w:rPr>
          <w:rFonts w:ascii="Arial" w:hAnsi="Arial"/>
          <w:b/>
          <w:bCs/>
          <w:sz w:val="24"/>
          <w:szCs w:val="24"/>
        </w:rPr>
        <w:t xml:space="preserve">    </w:t>
      </w:r>
      <w:r w:rsidR="00BE6E2A" w:rsidRPr="286D958D">
        <w:rPr>
          <w:rFonts w:ascii="Arial" w:hAnsi="Arial"/>
          <w:b/>
          <w:bCs/>
          <w:sz w:val="24"/>
          <w:szCs w:val="24"/>
        </w:rPr>
        <w:t>Next steps</w:t>
      </w:r>
      <w:r w:rsidR="2B5CF261" w:rsidRPr="286D958D">
        <w:rPr>
          <w:rFonts w:ascii="Arial" w:hAnsi="Arial"/>
          <w:b/>
          <w:bCs/>
          <w:sz w:val="24"/>
          <w:szCs w:val="24"/>
        </w:rPr>
        <w:t xml:space="preserve"> for 2026/2027</w:t>
      </w:r>
    </w:p>
    <w:p w14:paraId="69E926A6" w14:textId="13956EA2" w:rsidR="0043020C" w:rsidRDefault="2B5CF261" w:rsidP="00E5778A">
      <w:pPr>
        <w:spacing w:after="240" w:line="360" w:lineRule="auto"/>
        <w:ind w:left="709"/>
        <w:rPr>
          <w:sz w:val="24"/>
          <w:szCs w:val="24"/>
        </w:rPr>
      </w:pPr>
      <w:r w:rsidRPr="286D958D">
        <w:rPr>
          <w:sz w:val="24"/>
          <w:szCs w:val="24"/>
        </w:rPr>
        <w:t xml:space="preserve">The improvements are outlined in </w:t>
      </w:r>
      <w:r w:rsidR="00274859">
        <w:rPr>
          <w:sz w:val="24"/>
          <w:szCs w:val="24"/>
        </w:rPr>
        <w:t xml:space="preserve">the </w:t>
      </w:r>
      <w:r w:rsidRPr="286D958D">
        <w:rPr>
          <w:sz w:val="24"/>
          <w:szCs w:val="24"/>
        </w:rPr>
        <w:t xml:space="preserve">roadmap of the Risk Management Strategy. </w:t>
      </w:r>
      <w:r w:rsidR="005D547B" w:rsidRPr="286D958D">
        <w:rPr>
          <w:sz w:val="24"/>
          <w:szCs w:val="24"/>
        </w:rPr>
        <w:t xml:space="preserve">We have produced a </w:t>
      </w:r>
      <w:r w:rsidR="009C6022" w:rsidRPr="286D958D">
        <w:rPr>
          <w:sz w:val="24"/>
          <w:szCs w:val="24"/>
        </w:rPr>
        <w:t>high-level</w:t>
      </w:r>
      <w:r w:rsidR="005D547B" w:rsidRPr="286D958D">
        <w:rPr>
          <w:sz w:val="24"/>
          <w:szCs w:val="24"/>
        </w:rPr>
        <w:t xml:space="preserve"> plan on a page for risk management over the </w:t>
      </w:r>
      <w:r w:rsidR="008A0051" w:rsidRPr="286D958D">
        <w:rPr>
          <w:sz w:val="24"/>
          <w:szCs w:val="24"/>
        </w:rPr>
        <w:t>year</w:t>
      </w:r>
      <w:r w:rsidR="00CB6A60">
        <w:rPr>
          <w:sz w:val="24"/>
          <w:szCs w:val="24"/>
        </w:rPr>
        <w:t xml:space="preserve">. </w:t>
      </w:r>
      <w:r w:rsidR="00F9389C" w:rsidRPr="286D958D">
        <w:rPr>
          <w:sz w:val="24"/>
          <w:szCs w:val="24"/>
        </w:rPr>
        <w:t xml:space="preserve">This plan will be </w:t>
      </w:r>
      <w:r w:rsidR="008A0051" w:rsidRPr="286D958D">
        <w:rPr>
          <w:sz w:val="24"/>
          <w:szCs w:val="24"/>
        </w:rPr>
        <w:t xml:space="preserve">reviewed and </w:t>
      </w:r>
      <w:r w:rsidR="00F9389C" w:rsidRPr="286D958D">
        <w:rPr>
          <w:sz w:val="24"/>
          <w:szCs w:val="24"/>
        </w:rPr>
        <w:t>updated</w:t>
      </w:r>
      <w:r w:rsidR="008A0051" w:rsidRPr="286D958D">
        <w:rPr>
          <w:sz w:val="24"/>
          <w:szCs w:val="24"/>
        </w:rPr>
        <w:t xml:space="preserve"> </w:t>
      </w:r>
      <w:r w:rsidR="5B606F3A" w:rsidRPr="286D958D">
        <w:rPr>
          <w:sz w:val="24"/>
          <w:szCs w:val="24"/>
        </w:rPr>
        <w:t>quarterly and</w:t>
      </w:r>
      <w:r w:rsidR="00F9389C" w:rsidRPr="286D958D">
        <w:rPr>
          <w:sz w:val="24"/>
          <w:szCs w:val="24"/>
        </w:rPr>
        <w:t xml:space="preserve"> </w:t>
      </w:r>
      <w:r w:rsidR="00F451A9">
        <w:rPr>
          <w:sz w:val="24"/>
          <w:szCs w:val="24"/>
        </w:rPr>
        <w:t>s</w:t>
      </w:r>
      <w:r w:rsidR="00F9389C" w:rsidRPr="286D958D">
        <w:rPr>
          <w:sz w:val="24"/>
          <w:szCs w:val="24"/>
        </w:rPr>
        <w:t>hared via this rep</w:t>
      </w:r>
      <w:r w:rsidR="00F451A9">
        <w:rPr>
          <w:sz w:val="24"/>
          <w:szCs w:val="24"/>
        </w:rPr>
        <w:t>ort.</w:t>
      </w:r>
    </w:p>
    <w:p w14:paraId="7B4DD84B" w14:textId="77777777" w:rsidR="00F802FE" w:rsidRDefault="00F802FE" w:rsidP="00E5778A">
      <w:pPr>
        <w:spacing w:after="240" w:line="360" w:lineRule="auto"/>
        <w:ind w:left="709"/>
        <w:rPr>
          <w:sz w:val="24"/>
          <w:szCs w:val="24"/>
        </w:rPr>
      </w:pPr>
    </w:p>
    <w:p w14:paraId="79F30CBB" w14:textId="3A0563C3" w:rsidR="00F802FE" w:rsidRDefault="00F802FE" w:rsidP="00E5778A">
      <w:pPr>
        <w:spacing w:after="240" w:line="360" w:lineRule="auto"/>
        <w:ind w:left="709"/>
        <w:rPr>
          <w:sz w:val="24"/>
          <w:szCs w:val="24"/>
        </w:rPr>
      </w:pPr>
      <w:r>
        <w:rPr>
          <w:sz w:val="24"/>
          <w:szCs w:val="24"/>
        </w:rPr>
        <w:t>END</w:t>
      </w:r>
    </w:p>
    <w:p w14:paraId="38B2D4BF" w14:textId="77777777" w:rsidR="00E5778A" w:rsidRPr="00E5778A" w:rsidRDefault="00E5778A" w:rsidP="00E5778A">
      <w:pPr>
        <w:rPr>
          <w:sz w:val="24"/>
          <w:szCs w:val="24"/>
        </w:rPr>
      </w:pPr>
    </w:p>
    <w:p w14:paraId="56F4F828" w14:textId="77777777" w:rsidR="00E5778A" w:rsidRPr="00E5778A" w:rsidRDefault="00E5778A" w:rsidP="00E5778A">
      <w:pPr>
        <w:rPr>
          <w:sz w:val="24"/>
          <w:szCs w:val="24"/>
        </w:rPr>
      </w:pPr>
    </w:p>
    <w:p w14:paraId="682CEA44" w14:textId="77777777" w:rsidR="00E5778A" w:rsidRPr="00E5778A" w:rsidRDefault="00E5778A" w:rsidP="00E5778A">
      <w:pPr>
        <w:rPr>
          <w:sz w:val="24"/>
          <w:szCs w:val="24"/>
        </w:rPr>
      </w:pPr>
    </w:p>
    <w:p w14:paraId="6A9164AE" w14:textId="77777777" w:rsidR="00E5778A" w:rsidRPr="00E5778A" w:rsidRDefault="00E5778A" w:rsidP="00E5778A">
      <w:pPr>
        <w:rPr>
          <w:sz w:val="24"/>
          <w:szCs w:val="24"/>
        </w:rPr>
      </w:pPr>
    </w:p>
    <w:p w14:paraId="6136808B" w14:textId="77777777" w:rsidR="00E5778A" w:rsidRPr="00E5778A" w:rsidRDefault="00E5778A" w:rsidP="00E5778A">
      <w:pPr>
        <w:rPr>
          <w:sz w:val="24"/>
          <w:szCs w:val="24"/>
        </w:rPr>
      </w:pPr>
    </w:p>
    <w:p w14:paraId="0A7F3C5C" w14:textId="77777777" w:rsidR="00E5778A" w:rsidRPr="00E5778A" w:rsidRDefault="00E5778A" w:rsidP="00E5778A">
      <w:pPr>
        <w:rPr>
          <w:sz w:val="24"/>
          <w:szCs w:val="24"/>
        </w:rPr>
      </w:pPr>
    </w:p>
    <w:p w14:paraId="553A3345" w14:textId="77777777" w:rsidR="00E5778A" w:rsidRPr="00E5778A" w:rsidRDefault="00E5778A" w:rsidP="00E5778A">
      <w:pPr>
        <w:rPr>
          <w:sz w:val="24"/>
          <w:szCs w:val="24"/>
        </w:rPr>
      </w:pPr>
    </w:p>
    <w:p w14:paraId="52CD342F" w14:textId="77777777" w:rsidR="00E5778A" w:rsidRPr="00E5778A" w:rsidRDefault="00E5778A" w:rsidP="00E5778A">
      <w:pPr>
        <w:rPr>
          <w:sz w:val="24"/>
          <w:szCs w:val="24"/>
        </w:rPr>
      </w:pPr>
    </w:p>
    <w:p w14:paraId="37A33E10" w14:textId="77777777" w:rsidR="00E5778A" w:rsidRPr="00E5778A" w:rsidRDefault="00E5778A" w:rsidP="00E5778A">
      <w:pPr>
        <w:rPr>
          <w:sz w:val="24"/>
          <w:szCs w:val="24"/>
        </w:rPr>
      </w:pPr>
    </w:p>
    <w:p w14:paraId="28910E20" w14:textId="77777777" w:rsidR="00E5778A" w:rsidRPr="00E5778A" w:rsidRDefault="00E5778A" w:rsidP="00E5778A">
      <w:pPr>
        <w:rPr>
          <w:sz w:val="24"/>
          <w:szCs w:val="24"/>
        </w:rPr>
      </w:pPr>
    </w:p>
    <w:p w14:paraId="7208F85B" w14:textId="77777777" w:rsidR="00E5778A" w:rsidRPr="00E5778A" w:rsidRDefault="00E5778A" w:rsidP="00E5778A">
      <w:pPr>
        <w:rPr>
          <w:sz w:val="24"/>
          <w:szCs w:val="24"/>
        </w:rPr>
      </w:pPr>
    </w:p>
    <w:p w14:paraId="1843E939" w14:textId="77777777" w:rsidR="00E5778A" w:rsidRPr="00E5778A" w:rsidRDefault="00E5778A" w:rsidP="00E5778A">
      <w:pPr>
        <w:rPr>
          <w:sz w:val="24"/>
          <w:szCs w:val="24"/>
        </w:rPr>
      </w:pPr>
    </w:p>
    <w:p w14:paraId="2497C2BC" w14:textId="77777777" w:rsidR="00E5778A" w:rsidRPr="00E5778A" w:rsidRDefault="00E5778A" w:rsidP="00E5778A">
      <w:pPr>
        <w:rPr>
          <w:sz w:val="24"/>
          <w:szCs w:val="24"/>
        </w:rPr>
      </w:pPr>
    </w:p>
    <w:p w14:paraId="61D561EF" w14:textId="711309F0" w:rsidR="00E5778A" w:rsidRPr="00E5778A" w:rsidRDefault="00E5778A" w:rsidP="00E5778A">
      <w:pPr>
        <w:tabs>
          <w:tab w:val="left" w:pos="6915"/>
        </w:tabs>
        <w:rPr>
          <w:rFonts w:eastAsia="Aptos"/>
          <w:sz w:val="24"/>
          <w:szCs w:val="24"/>
        </w:rPr>
      </w:pPr>
    </w:p>
    <w:sectPr w:rsidR="00E5778A" w:rsidRPr="00E5778A" w:rsidSect="00680BAD">
      <w:headerReference w:type="default" r:id="rId15"/>
      <w:pgSz w:w="16838" w:h="23811"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7A3E" w14:textId="77777777" w:rsidR="00CC5097" w:rsidRDefault="00CC5097">
      <w:r>
        <w:separator/>
      </w:r>
    </w:p>
  </w:endnote>
  <w:endnote w:type="continuationSeparator" w:id="0">
    <w:p w14:paraId="7AC78FEF" w14:textId="77777777" w:rsidR="00CC5097" w:rsidRDefault="00CC5097">
      <w:r>
        <w:continuationSeparator/>
      </w:r>
    </w:p>
  </w:endnote>
  <w:endnote w:type="continuationNotice" w:id="1">
    <w:p w14:paraId="27A1CBD3" w14:textId="77777777" w:rsidR="00CC5097" w:rsidRDefault="00CC5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tisSemi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C016" w14:textId="559C5F76" w:rsidR="007D1B31" w:rsidRDefault="00202B99">
    <w:pPr>
      <w:pStyle w:val="Footer"/>
    </w:pPr>
    <w:r>
      <w:rPr>
        <w:noProof/>
      </w:rPr>
      <mc:AlternateContent>
        <mc:Choice Requires="wps">
          <w:drawing>
            <wp:anchor distT="0" distB="0" distL="0" distR="0" simplePos="0" relativeHeight="251671560" behindDoc="0" locked="0" layoutInCell="1" allowOverlap="1" wp14:anchorId="6B0721F5" wp14:editId="1A1F29EC">
              <wp:simplePos x="635" y="635"/>
              <wp:positionH relativeFrom="page">
                <wp:align>center</wp:align>
              </wp:positionH>
              <wp:positionV relativeFrom="page">
                <wp:align>bottom</wp:align>
              </wp:positionV>
              <wp:extent cx="518795" cy="345440"/>
              <wp:effectExtent l="0" t="0" r="14605" b="0"/>
              <wp:wrapNone/>
              <wp:docPr id="135142806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6BD3897" w14:textId="6430CA3A"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721F5" id="_x0000_t202" coordsize="21600,21600" o:spt="202" path="m,l,21600r21600,l21600,xe">
              <v:stroke joinstyle="miter"/>
              <v:path gradientshapeok="t" o:connecttype="rect"/>
            </v:shapetype>
            <v:shape id="Text Box 23" o:spid="_x0000_s1028" type="#_x0000_t202" alt="OFFICIAL" style="position:absolute;margin-left:0;margin-top:0;width:40.85pt;height:27.2pt;z-index:251671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xEA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EuJGLE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46BD3897" w14:textId="6430CA3A"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261"/>
    </w:tblGrid>
    <w:tr w:rsidR="00741D0C" w:rsidRPr="00E97D0E" w14:paraId="2191ACCF" w14:textId="77777777" w:rsidTr="00D40097">
      <w:tc>
        <w:tcPr>
          <w:tcW w:w="10206" w:type="dxa"/>
        </w:tcPr>
        <w:p w14:paraId="51C3554C" w14:textId="3973FFCA" w:rsidR="00F27EDB" w:rsidRPr="004E4C69" w:rsidRDefault="00202B99" w:rsidP="00F27EDB">
          <w:pPr>
            <w:ind w:left="4320"/>
            <w:jc w:val="center"/>
            <w:rPr>
              <w:rFonts w:ascii="Calibri" w:hAnsi="Calibri" w:cs="Calibri"/>
              <w:color w:val="0000FF"/>
            </w:rPr>
          </w:pPr>
          <w:r>
            <w:rPr>
              <w:noProof/>
            </w:rPr>
            <mc:AlternateContent>
              <mc:Choice Requires="wps">
                <w:drawing>
                  <wp:anchor distT="0" distB="0" distL="0" distR="0" simplePos="0" relativeHeight="251672584" behindDoc="0" locked="0" layoutInCell="1" allowOverlap="1" wp14:anchorId="3228B8EF" wp14:editId="3BAB980A">
                    <wp:simplePos x="525780" y="9928860"/>
                    <wp:positionH relativeFrom="page">
                      <wp:align>center</wp:align>
                    </wp:positionH>
                    <wp:positionV relativeFrom="page">
                      <wp:align>bottom</wp:align>
                    </wp:positionV>
                    <wp:extent cx="518795" cy="345440"/>
                    <wp:effectExtent l="0" t="0" r="14605" b="0"/>
                    <wp:wrapNone/>
                    <wp:docPr id="55909011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AA4D62F" w14:textId="50B9B592"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8B8EF" id="_x0000_t202" coordsize="21600,21600" o:spt="202" path="m,l,21600r21600,l21600,xe">
                    <v:stroke joinstyle="miter"/>
                    <v:path gradientshapeok="t" o:connecttype="rect"/>
                  </v:shapetype>
                  <v:shape id="Text Box 24" o:spid="_x0000_s1029" type="#_x0000_t202" alt="OFFICIAL" style="position:absolute;left:0;text-align:left;margin-left:0;margin-top:0;width:40.85pt;height:27.2pt;z-index:251672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M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NR8mH4D1YGWQjjy7Z1cNtR6JXx4EkgE0x4k&#10;2vBIhzbQlRxOFmc14K//+WM+4U5RzjoSTMktKZoz88MSH1Fbg4GDsUnG+Caf5hS3u/YOSIZjehFO&#10;JpO8GMxgaoT2heS8iI0oJKykdiXfDOZdOCqXnoNUi0VKIhk5EVZ27WQsHeGKWD73LwLdCfBATD3A&#10;oCZRvML9mBtverfYBUI/kRKhPQJ5QpwkmLg6PZeo8T//U9blUc9/Aw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JjaqjA8CAAAc&#10;BAAADgAAAAAAAAAAAAAAAAAuAgAAZHJzL2Uyb0RvYy54bWxQSwECLQAUAAYACAAAACEA2I98TtoA&#10;AAADAQAADwAAAAAAAAAAAAAAAABpBAAAZHJzL2Rvd25yZXYueG1sUEsFBgAAAAAEAAQA8wAAAHAF&#10;AAAAAA==&#10;" filled="f" stroked="f">
                    <v:fill o:detectmouseclick="t"/>
                    <v:textbox style="mso-fit-shape-to-text:t" inset="0,0,0,15pt">
                      <w:txbxContent>
                        <w:p w14:paraId="6AA4D62F" w14:textId="50B9B592"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v:textbox>
                    <w10:wrap anchorx="page" anchory="page"/>
                  </v:shape>
                </w:pict>
              </mc:Fallback>
            </mc:AlternateContent>
          </w:r>
          <w:r w:rsidR="007B4338">
            <w:rPr>
              <w:noProof/>
            </w:rPr>
            <w:t xml:space="preserve"> </w:t>
          </w:r>
        </w:p>
        <w:p w14:paraId="77F05FA8" w14:textId="4DAC3261" w:rsidR="00741D0C" w:rsidRPr="00E97D0E" w:rsidRDefault="00741D0C" w:rsidP="000C0F4A">
          <w:pPr>
            <w:rPr>
              <w:rFonts w:ascii="Arial" w:hAnsi="Arial" w:cs="Arial"/>
            </w:rPr>
          </w:pPr>
        </w:p>
      </w:tc>
      <w:tc>
        <w:tcPr>
          <w:tcW w:w="261" w:type="dxa"/>
        </w:tcPr>
        <w:p w14:paraId="5B929602" w14:textId="71C7B69B" w:rsidR="00741D0C" w:rsidRPr="00E97D0E" w:rsidRDefault="00741D0C" w:rsidP="00D40097">
          <w:pPr>
            <w:rPr>
              <w:rFonts w:ascii="Arial" w:hAnsi="Arial" w:cs="Arial"/>
            </w:rPr>
          </w:pPr>
        </w:p>
      </w:tc>
    </w:tr>
  </w:tbl>
  <w:p w14:paraId="6C9F521F" w14:textId="0BC63DCD" w:rsidR="00741D0C" w:rsidRPr="008174D4" w:rsidRDefault="00A836D3" w:rsidP="008174D4">
    <w:pPr>
      <w:rPr>
        <w:sz w:val="2"/>
      </w:rPr>
    </w:pPr>
    <w:r>
      <w:rPr>
        <w:noProof/>
      </w:rPr>
      <mc:AlternateContent>
        <mc:Choice Requires="wps">
          <w:drawing>
            <wp:anchor distT="0" distB="0" distL="114300" distR="114300" simplePos="0" relativeHeight="251658240" behindDoc="0" locked="0" layoutInCell="0" allowOverlap="1" wp14:anchorId="2C53B975" wp14:editId="2F228D87">
              <wp:simplePos x="0" y="0"/>
              <wp:positionH relativeFrom="page">
                <wp:posOffset>-1810370</wp:posOffset>
              </wp:positionH>
              <wp:positionV relativeFrom="page">
                <wp:posOffset>10307734</wp:posOffset>
              </wp:positionV>
              <wp:extent cx="8090679" cy="419568"/>
              <wp:effectExtent l="0" t="0" r="0" b="0"/>
              <wp:wrapNone/>
              <wp:docPr id="29" name="Text Box 29" descr="{&quot;HashCode&quot;:113638390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8090679" cy="41956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655EB" w14:textId="587D160A" w:rsidR="00806CAE" w:rsidRPr="004E4C69" w:rsidRDefault="00806CAE" w:rsidP="00F27EDB">
                          <w:pP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3B975" id="Text Box 29" o:spid="_x0000_s1030" type="#_x0000_t202" alt="{&quot;HashCode&quot;:1136383901,&quot;Height&quot;:9999999.0,&quot;Width&quot;:9999999.0,&quot;Placement&quot;:&quot;Footer&quot;,&quot;Index&quot;:&quot;Primary&quot;,&quot;Section&quot;:1,&quot;Top&quot;:0.0,&quot;Left&quot;:0.0}" style="position:absolute;margin-left:-142.55pt;margin-top:811.65pt;width:637.05pt;height:3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" o:allowincell="f" filled="f" stroked="f" strokeweight=".5pt">
              <v:textbox inset=",0,,0">
                <w:txbxContent>
                  <w:p w14:paraId="1C9655EB" w14:textId="587D160A" w:rsidR="00806CAE" w:rsidRPr="004E4C69" w:rsidRDefault="00806CAE" w:rsidP="00F27EDB">
                    <w:pPr>
                      <w:rPr>
                        <w:rFonts w:ascii="Calibri" w:hAnsi="Calibri" w:cs="Calibri"/>
                        <w:color w:val="0000FF"/>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A65D" w14:textId="07FCBA5E" w:rsidR="007D1B31" w:rsidRDefault="00202B99">
    <w:pPr>
      <w:pStyle w:val="Footer"/>
    </w:pPr>
    <w:r>
      <w:rPr>
        <w:noProof/>
      </w:rPr>
      <mc:AlternateContent>
        <mc:Choice Requires="wps">
          <w:drawing>
            <wp:anchor distT="0" distB="0" distL="0" distR="0" simplePos="0" relativeHeight="251670536" behindDoc="0" locked="0" layoutInCell="1" allowOverlap="1" wp14:anchorId="058655A2" wp14:editId="289695A9">
              <wp:simplePos x="635" y="635"/>
              <wp:positionH relativeFrom="page">
                <wp:align>center</wp:align>
              </wp:positionH>
              <wp:positionV relativeFrom="page">
                <wp:align>bottom</wp:align>
              </wp:positionV>
              <wp:extent cx="518795" cy="345440"/>
              <wp:effectExtent l="0" t="0" r="14605" b="0"/>
              <wp:wrapNone/>
              <wp:docPr id="179613559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456863E" w14:textId="6668F580"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655A2" id="_x0000_t202" coordsize="21600,21600" o:spt="202" path="m,l,21600r21600,l21600,xe">
              <v:stroke joinstyle="miter"/>
              <v:path gradientshapeok="t" o:connecttype="rect"/>
            </v:shapetype>
            <v:shape id="Text Box 22" o:spid="_x0000_s1032" type="#_x0000_t202" alt="OFFICIAL" style="position:absolute;margin-left:0;margin-top:0;width:40.85pt;height:27.2pt;z-index:251670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P900kc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6456863E" w14:textId="6668F580"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1357" w14:textId="77777777" w:rsidR="00CC5097" w:rsidRDefault="00CC5097">
      <w:r>
        <w:separator/>
      </w:r>
    </w:p>
  </w:footnote>
  <w:footnote w:type="continuationSeparator" w:id="0">
    <w:p w14:paraId="09CDCA79" w14:textId="77777777" w:rsidR="00CC5097" w:rsidRDefault="00CC5097">
      <w:r>
        <w:continuationSeparator/>
      </w:r>
    </w:p>
  </w:footnote>
  <w:footnote w:type="continuationNotice" w:id="1">
    <w:p w14:paraId="6261CF70" w14:textId="77777777" w:rsidR="00CC5097" w:rsidRDefault="00CC5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1645" w14:textId="3AE727A3" w:rsidR="007D1B31" w:rsidRDefault="00202B99">
    <w:pPr>
      <w:pStyle w:val="Header"/>
    </w:pPr>
    <w:r>
      <w:rPr>
        <w:noProof/>
      </w:rPr>
      <mc:AlternateContent>
        <mc:Choice Requires="wps">
          <w:drawing>
            <wp:anchor distT="0" distB="0" distL="0" distR="0" simplePos="0" relativeHeight="251667464" behindDoc="0" locked="0" layoutInCell="1" allowOverlap="1" wp14:anchorId="50E86910" wp14:editId="6E7D3C9D">
              <wp:simplePos x="635" y="635"/>
              <wp:positionH relativeFrom="page">
                <wp:align>center</wp:align>
              </wp:positionH>
              <wp:positionV relativeFrom="page">
                <wp:align>top</wp:align>
              </wp:positionV>
              <wp:extent cx="518795" cy="345440"/>
              <wp:effectExtent l="0" t="0" r="14605" b="16510"/>
              <wp:wrapNone/>
              <wp:docPr id="59912359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5FACCFD" w14:textId="2196CD9E"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86910" id="_x0000_t202" coordsize="21600,21600" o:spt="202" path="m,l,21600r21600,l21600,xe">
              <v:stroke joinstyle="miter"/>
              <v:path gradientshapeok="t" o:connecttype="rect"/>
            </v:shapetype>
            <v:shape id="Text Box 19" o:spid="_x0000_s1026" type="#_x0000_t202" alt="OFFICIAL" style="position:absolute;margin-left:0;margin-top:0;width:40.85pt;height:27.2pt;z-index:251667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25FACCFD" w14:textId="2196CD9E"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5888" w14:textId="5CA64140" w:rsidR="00ED6B41" w:rsidRPr="00253880" w:rsidRDefault="00202B99" w:rsidP="002C27B6">
    <w:pPr>
      <w:pStyle w:val="BodyText1"/>
      <w:spacing w:after="100" w:afterAutospacing="1"/>
      <w:ind w:left="2880"/>
      <w:jc w:val="right"/>
      <w:rPr>
        <w:rFonts w:ascii="Arial" w:hAnsi="Arial" w:cs="Arial"/>
      </w:rPr>
    </w:pPr>
    <w:r>
      <w:rPr>
        <w:rFonts w:ascii="Arial" w:hAnsi="Arial" w:cs="Arial"/>
        <w:noProof/>
      </w:rPr>
      <mc:AlternateContent>
        <mc:Choice Requires="wps">
          <w:drawing>
            <wp:anchor distT="0" distB="0" distL="0" distR="0" simplePos="0" relativeHeight="251668488" behindDoc="0" locked="0" layoutInCell="1" allowOverlap="1" wp14:anchorId="71220A1D" wp14:editId="4DE835A2">
              <wp:simplePos x="457200" y="449580"/>
              <wp:positionH relativeFrom="page">
                <wp:align>center</wp:align>
              </wp:positionH>
              <wp:positionV relativeFrom="page">
                <wp:align>top</wp:align>
              </wp:positionV>
              <wp:extent cx="518795" cy="345440"/>
              <wp:effectExtent l="0" t="0" r="14605" b="16510"/>
              <wp:wrapNone/>
              <wp:docPr id="130732713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F8DABCD" w14:textId="2904BF2D"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20A1D" id="_x0000_t202" coordsize="21600,21600" o:spt="202" path="m,l,21600r21600,l21600,xe">
              <v:stroke joinstyle="miter"/>
              <v:path gradientshapeok="t" o:connecttype="rect"/>
            </v:shapetype>
            <v:shape id="Text Box 20" o:spid="_x0000_s1027" type="#_x0000_t202" alt="OFFICIAL" style="position:absolute;left:0;text-align:left;margin-left:0;margin-top:0;width:40.85pt;height:27.2pt;z-index:251668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6F8DABCD" w14:textId="2904BF2D"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v:textbox>
              <w10:wrap anchorx="page" anchory="page"/>
            </v:shape>
          </w:pict>
        </mc:Fallback>
      </mc:AlternateContent>
    </w:r>
    <w:r w:rsidR="005221BE">
      <w:rPr>
        <w:rFonts w:ascii="Arial" w:hAnsi="Arial" w:cs="Arial"/>
      </w:rPr>
      <w:t>SEPA 26-27/008</w:t>
    </w:r>
    <w:r w:rsidR="2E94C281" w:rsidRPr="00253880">
      <w:rPr>
        <w:rFonts w:ascii="Arial" w:hAnsi="Arial" w:cs="Arial"/>
      </w:rPr>
      <w:t xml:space="preserve">                          </w:t>
    </w:r>
  </w:p>
  <w:p w14:paraId="5168EE94" w14:textId="77777777" w:rsidR="00ED6B41" w:rsidRPr="00ED6B41" w:rsidRDefault="00ED6B41" w:rsidP="00ED6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37D" w14:textId="3E8F6BD9" w:rsidR="007D1B31" w:rsidRDefault="00202B99">
    <w:pPr>
      <w:pStyle w:val="Header"/>
    </w:pPr>
    <w:r>
      <w:rPr>
        <w:noProof/>
      </w:rPr>
      <mc:AlternateContent>
        <mc:Choice Requires="wps">
          <w:drawing>
            <wp:anchor distT="0" distB="0" distL="0" distR="0" simplePos="0" relativeHeight="251666440" behindDoc="0" locked="0" layoutInCell="1" allowOverlap="1" wp14:anchorId="1F293894" wp14:editId="0EE14156">
              <wp:simplePos x="635" y="635"/>
              <wp:positionH relativeFrom="page">
                <wp:align>center</wp:align>
              </wp:positionH>
              <wp:positionV relativeFrom="page">
                <wp:align>top</wp:align>
              </wp:positionV>
              <wp:extent cx="518795" cy="345440"/>
              <wp:effectExtent l="0" t="0" r="14605" b="16510"/>
              <wp:wrapNone/>
              <wp:docPr id="138343462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45DD45B" w14:textId="2EA8822C"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93894" id="_x0000_t202" coordsize="21600,21600" o:spt="202" path="m,l,21600r21600,l21600,xe">
              <v:stroke joinstyle="miter"/>
              <v:path gradientshapeok="t" o:connecttype="rect"/>
            </v:shapetype>
            <v:shape id="Text Box 18" o:spid="_x0000_s1031" type="#_x0000_t202" alt="OFFICIAL" style="position:absolute;margin-left:0;margin-top:0;width:40.85pt;height:27.2pt;z-index:251666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S1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WiQYfoNVAdaysOR7+DksqHWKxHwSXgimPYg&#10;0eIjHdpAV3I4WZzV4H/9zx/zCXeKctaRYEpuSdGcmR+W+IjaSsb4Jp/mdPODezMYdtfeAclwTC/C&#10;yWTGPDSDqT20LyTnRWxEIWEltSs5DuYdHpVLz0GqxSIlkYycwJVdOxlLR7gils/9i/DuBDgSUw8w&#10;qEkUr3A/5sY/g1vskNBPpERoj0CeECcJJq5OzyVq/M97yro86vlv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nJUt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545DD45B" w14:textId="2EA8822C"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6C7B" w14:textId="1F919814" w:rsidR="000A761E" w:rsidRDefault="00202B99" w:rsidP="00F27EDB">
    <w:pPr>
      <w:pStyle w:val="Header"/>
      <w:tabs>
        <w:tab w:val="left" w:pos="2790"/>
        <w:tab w:val="right" w:pos="15398"/>
      </w:tabs>
    </w:pPr>
    <w:r>
      <w:rPr>
        <w:noProof/>
      </w:rPr>
      <mc:AlternateContent>
        <mc:Choice Requires="wps">
          <w:drawing>
            <wp:anchor distT="0" distB="0" distL="0" distR="0" simplePos="0" relativeHeight="251669512" behindDoc="0" locked="0" layoutInCell="1" allowOverlap="1" wp14:anchorId="2F840079" wp14:editId="2B73A7FE">
              <wp:simplePos x="635" y="635"/>
              <wp:positionH relativeFrom="page">
                <wp:align>center</wp:align>
              </wp:positionH>
              <wp:positionV relativeFrom="page">
                <wp:align>top</wp:align>
              </wp:positionV>
              <wp:extent cx="518795" cy="345440"/>
              <wp:effectExtent l="0" t="0" r="14605" b="16510"/>
              <wp:wrapNone/>
              <wp:docPr id="2002288756"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E3C1658" w14:textId="72321C2F"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40079" id="_x0000_t202" coordsize="21600,21600" o:spt="202" path="m,l,21600r21600,l21600,xe">
              <v:stroke joinstyle="miter"/>
              <v:path gradientshapeok="t" o:connecttype="rect"/>
            </v:shapetype>
            <v:shape id="Text Box 21" o:spid="_x0000_s1033" type="#_x0000_t202" alt="OFFICIAL" style="position:absolute;margin-left:0;margin-top:0;width:40.85pt;height:27.2pt;z-index:251669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DAwxzg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4E3C1658" w14:textId="72321C2F" w:rsidR="00202B99" w:rsidRPr="00202B99" w:rsidRDefault="00202B99" w:rsidP="00202B99">
                    <w:pPr>
                      <w:rPr>
                        <w:rFonts w:ascii="Aptos" w:eastAsia="Aptos" w:hAnsi="Aptos" w:cs="Aptos"/>
                        <w:noProof/>
                        <w:color w:val="0000FF"/>
                        <w:sz w:val="20"/>
                        <w:szCs w:val="20"/>
                      </w:rPr>
                    </w:pPr>
                    <w:r w:rsidRPr="00202B99">
                      <w:rPr>
                        <w:rFonts w:ascii="Aptos" w:eastAsia="Aptos" w:hAnsi="Aptos" w:cs="Aptos"/>
                        <w:noProof/>
                        <w:color w:val="0000FF"/>
                        <w:sz w:val="20"/>
                        <w:szCs w:val="20"/>
                      </w:rPr>
                      <w:t>OFFICIAL</w:t>
                    </w:r>
                  </w:p>
                </w:txbxContent>
              </v:textbox>
              <w10:wrap anchorx="page" anchory="page"/>
            </v:shape>
          </w:pict>
        </mc:Fallback>
      </mc:AlternateContent>
    </w:r>
    <w:r w:rsidR="00F27EDB">
      <w:tab/>
    </w:r>
    <w:r w:rsidR="00F27EDB">
      <w:tab/>
    </w:r>
    <w:r w:rsidR="00F27EDB">
      <w:tab/>
    </w:r>
    <w:r w:rsidR="00F27EDB">
      <w:tab/>
    </w:r>
  </w:p>
  <w:p w14:paraId="01BA5321" w14:textId="70201603" w:rsidR="00275AF9" w:rsidRDefault="002342CB" w:rsidP="00713173">
    <w:pPr>
      <w:pStyle w:val="Header"/>
      <w:jc w:val="right"/>
    </w:pPr>
    <w:r>
      <w:rPr>
        <w:noProof/>
      </w:rPr>
      <mc:AlternateContent>
        <mc:Choice Requires="wps">
          <w:drawing>
            <wp:anchor distT="0" distB="0" distL="114300" distR="114300" simplePos="0" relativeHeight="251658241" behindDoc="0" locked="0" layoutInCell="0" allowOverlap="1" wp14:anchorId="3EC42BEC" wp14:editId="7F71675F">
              <wp:simplePos x="0" y="0"/>
              <wp:positionH relativeFrom="page">
                <wp:posOffset>847725</wp:posOffset>
              </wp:positionH>
              <wp:positionV relativeFrom="page">
                <wp:posOffset>142875</wp:posOffset>
              </wp:positionV>
              <wp:extent cx="5476875" cy="273050"/>
              <wp:effectExtent l="0" t="0" r="0" b="12700"/>
              <wp:wrapNone/>
              <wp:docPr id="4" name="Text Box 4" descr="{&quot;HashCode&quot;:111224633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54768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CD987" w14:textId="50E58671" w:rsidR="00275AF9" w:rsidRPr="004D71AB" w:rsidRDefault="00275AF9">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C42BEC" id="Text Box 4" o:spid="_x0000_s1034" type="#_x0000_t202" alt="{&quot;HashCode&quot;:1112246332,&quot;Height&quot;:842.0,&quot;Width&quot;:595.0,&quot;Placement&quot;:&quot;Header&quot;,&quot;Index&quot;:&quot;Primary&quot;,&quot;Section&quot;:1,&quot;Top&quot;:0.0,&quot;Left&quot;:0.0}" style="position:absolute;left:0;text-align:left;margin-left:66.75pt;margin-top:11.25pt;width:431.25pt;height:21.5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" o:allowincell="f" filled="f" stroked="f" strokeweight=".5pt">
              <v:textbox inset=",0,,0">
                <w:txbxContent>
                  <w:p w14:paraId="465CD987" w14:textId="50E58671" w:rsidR="00275AF9" w:rsidRPr="004D71AB" w:rsidRDefault="00275AF9">
                    <w:pPr>
                      <w:jc w:val="center"/>
                      <w:rPr>
                        <w:rFonts w:ascii="Calibri" w:hAnsi="Calibri" w:cs="Calibri"/>
                        <w:color w:val="0000FF"/>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503"/>
    <w:multiLevelType w:val="hybridMultilevel"/>
    <w:tmpl w:val="6F0A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91753"/>
    <w:multiLevelType w:val="hybridMultilevel"/>
    <w:tmpl w:val="7D361BE6"/>
    <w:lvl w:ilvl="0" w:tplc="08090001">
      <w:start w:val="1"/>
      <w:numFmt w:val="bullet"/>
      <w:lvlText w:val=""/>
      <w:lvlJc w:val="left"/>
      <w:pPr>
        <w:ind w:left="2295" w:hanging="360"/>
      </w:pPr>
      <w:rPr>
        <w:rFonts w:ascii="Symbol" w:hAnsi="Symbol"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2" w15:restartNumberingAfterBreak="0">
    <w:nsid w:val="0A882646"/>
    <w:multiLevelType w:val="hybridMultilevel"/>
    <w:tmpl w:val="AF0E6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91A34"/>
    <w:multiLevelType w:val="hybridMultilevel"/>
    <w:tmpl w:val="D2C2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E879"/>
    <w:multiLevelType w:val="hybridMultilevel"/>
    <w:tmpl w:val="D6C856D0"/>
    <w:lvl w:ilvl="0" w:tplc="BFE68D74">
      <w:start w:val="1"/>
      <w:numFmt w:val="bullet"/>
      <w:lvlText w:val=""/>
      <w:lvlJc w:val="left"/>
      <w:pPr>
        <w:ind w:left="720" w:hanging="360"/>
      </w:pPr>
      <w:rPr>
        <w:rFonts w:ascii="Symbol" w:hAnsi="Symbol" w:hint="default"/>
      </w:rPr>
    </w:lvl>
    <w:lvl w:ilvl="1" w:tplc="38B61646">
      <w:start w:val="1"/>
      <w:numFmt w:val="bullet"/>
      <w:lvlText w:val="o"/>
      <w:lvlJc w:val="left"/>
      <w:pPr>
        <w:ind w:left="1440" w:hanging="360"/>
      </w:pPr>
      <w:rPr>
        <w:rFonts w:ascii="Courier New" w:hAnsi="Courier New" w:hint="default"/>
      </w:rPr>
    </w:lvl>
    <w:lvl w:ilvl="2" w:tplc="EE828D06">
      <w:start w:val="1"/>
      <w:numFmt w:val="bullet"/>
      <w:lvlText w:val=""/>
      <w:lvlJc w:val="left"/>
      <w:pPr>
        <w:ind w:left="2160" w:hanging="360"/>
      </w:pPr>
      <w:rPr>
        <w:rFonts w:ascii="Wingdings" w:hAnsi="Wingdings" w:hint="default"/>
      </w:rPr>
    </w:lvl>
    <w:lvl w:ilvl="3" w:tplc="C31C8AF8">
      <w:start w:val="1"/>
      <w:numFmt w:val="bullet"/>
      <w:lvlText w:val=""/>
      <w:lvlJc w:val="left"/>
      <w:pPr>
        <w:ind w:left="2880" w:hanging="360"/>
      </w:pPr>
      <w:rPr>
        <w:rFonts w:ascii="Symbol" w:hAnsi="Symbol" w:hint="default"/>
      </w:rPr>
    </w:lvl>
    <w:lvl w:ilvl="4" w:tplc="C4C441E0">
      <w:start w:val="1"/>
      <w:numFmt w:val="bullet"/>
      <w:lvlText w:val="o"/>
      <w:lvlJc w:val="left"/>
      <w:pPr>
        <w:ind w:left="3600" w:hanging="360"/>
      </w:pPr>
      <w:rPr>
        <w:rFonts w:ascii="Courier New" w:hAnsi="Courier New" w:hint="default"/>
      </w:rPr>
    </w:lvl>
    <w:lvl w:ilvl="5" w:tplc="86920CE2">
      <w:start w:val="1"/>
      <w:numFmt w:val="bullet"/>
      <w:lvlText w:val=""/>
      <w:lvlJc w:val="left"/>
      <w:pPr>
        <w:ind w:left="4320" w:hanging="360"/>
      </w:pPr>
      <w:rPr>
        <w:rFonts w:ascii="Wingdings" w:hAnsi="Wingdings" w:hint="default"/>
      </w:rPr>
    </w:lvl>
    <w:lvl w:ilvl="6" w:tplc="83CA8430">
      <w:start w:val="1"/>
      <w:numFmt w:val="bullet"/>
      <w:lvlText w:val=""/>
      <w:lvlJc w:val="left"/>
      <w:pPr>
        <w:ind w:left="5040" w:hanging="360"/>
      </w:pPr>
      <w:rPr>
        <w:rFonts w:ascii="Symbol" w:hAnsi="Symbol" w:hint="default"/>
      </w:rPr>
    </w:lvl>
    <w:lvl w:ilvl="7" w:tplc="BA4209C4">
      <w:start w:val="1"/>
      <w:numFmt w:val="bullet"/>
      <w:lvlText w:val="o"/>
      <w:lvlJc w:val="left"/>
      <w:pPr>
        <w:ind w:left="5760" w:hanging="360"/>
      </w:pPr>
      <w:rPr>
        <w:rFonts w:ascii="Courier New" w:hAnsi="Courier New" w:hint="default"/>
      </w:rPr>
    </w:lvl>
    <w:lvl w:ilvl="8" w:tplc="0396D4E4">
      <w:start w:val="1"/>
      <w:numFmt w:val="bullet"/>
      <w:lvlText w:val=""/>
      <w:lvlJc w:val="left"/>
      <w:pPr>
        <w:ind w:left="6480" w:hanging="360"/>
      </w:pPr>
      <w:rPr>
        <w:rFonts w:ascii="Wingdings" w:hAnsi="Wingdings" w:hint="default"/>
      </w:rPr>
    </w:lvl>
  </w:abstractNum>
  <w:abstractNum w:abstractNumId="5" w15:restartNumberingAfterBreak="0">
    <w:nsid w:val="1CF80659"/>
    <w:multiLevelType w:val="hybridMultilevel"/>
    <w:tmpl w:val="57D28E6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1EF97CFB"/>
    <w:multiLevelType w:val="hybridMultilevel"/>
    <w:tmpl w:val="1468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3A54A"/>
    <w:multiLevelType w:val="hybridMultilevel"/>
    <w:tmpl w:val="F10C03B4"/>
    <w:lvl w:ilvl="0" w:tplc="7122A3E4">
      <w:start w:val="1"/>
      <w:numFmt w:val="bullet"/>
      <w:lvlText w:val=""/>
      <w:lvlJc w:val="left"/>
      <w:pPr>
        <w:ind w:left="1264" w:hanging="360"/>
      </w:pPr>
      <w:rPr>
        <w:rFonts w:ascii="Symbol" w:hAnsi="Symbol" w:hint="default"/>
      </w:rPr>
    </w:lvl>
    <w:lvl w:ilvl="1" w:tplc="E4B483C2">
      <w:start w:val="1"/>
      <w:numFmt w:val="bullet"/>
      <w:lvlText w:val="o"/>
      <w:lvlJc w:val="left"/>
      <w:pPr>
        <w:ind w:left="1984" w:hanging="360"/>
      </w:pPr>
      <w:rPr>
        <w:rFonts w:ascii="Courier New" w:hAnsi="Courier New" w:hint="default"/>
      </w:rPr>
    </w:lvl>
    <w:lvl w:ilvl="2" w:tplc="3F32E96C">
      <w:start w:val="1"/>
      <w:numFmt w:val="bullet"/>
      <w:lvlText w:val=""/>
      <w:lvlJc w:val="left"/>
      <w:pPr>
        <w:ind w:left="2704" w:hanging="360"/>
      </w:pPr>
      <w:rPr>
        <w:rFonts w:ascii="Wingdings" w:hAnsi="Wingdings" w:hint="default"/>
      </w:rPr>
    </w:lvl>
    <w:lvl w:ilvl="3" w:tplc="9508DAA2">
      <w:start w:val="1"/>
      <w:numFmt w:val="bullet"/>
      <w:lvlText w:val=""/>
      <w:lvlJc w:val="left"/>
      <w:pPr>
        <w:ind w:left="3424" w:hanging="360"/>
      </w:pPr>
      <w:rPr>
        <w:rFonts w:ascii="Symbol" w:hAnsi="Symbol" w:hint="default"/>
      </w:rPr>
    </w:lvl>
    <w:lvl w:ilvl="4" w:tplc="1E8AF6CC">
      <w:start w:val="1"/>
      <w:numFmt w:val="bullet"/>
      <w:lvlText w:val="o"/>
      <w:lvlJc w:val="left"/>
      <w:pPr>
        <w:ind w:left="4144" w:hanging="360"/>
      </w:pPr>
      <w:rPr>
        <w:rFonts w:ascii="Courier New" w:hAnsi="Courier New" w:hint="default"/>
      </w:rPr>
    </w:lvl>
    <w:lvl w:ilvl="5" w:tplc="A08233DC">
      <w:start w:val="1"/>
      <w:numFmt w:val="bullet"/>
      <w:lvlText w:val=""/>
      <w:lvlJc w:val="left"/>
      <w:pPr>
        <w:ind w:left="4864" w:hanging="360"/>
      </w:pPr>
      <w:rPr>
        <w:rFonts w:ascii="Wingdings" w:hAnsi="Wingdings" w:hint="default"/>
      </w:rPr>
    </w:lvl>
    <w:lvl w:ilvl="6" w:tplc="F1B8A23C">
      <w:start w:val="1"/>
      <w:numFmt w:val="bullet"/>
      <w:lvlText w:val=""/>
      <w:lvlJc w:val="left"/>
      <w:pPr>
        <w:ind w:left="5584" w:hanging="360"/>
      </w:pPr>
      <w:rPr>
        <w:rFonts w:ascii="Symbol" w:hAnsi="Symbol" w:hint="default"/>
      </w:rPr>
    </w:lvl>
    <w:lvl w:ilvl="7" w:tplc="6EDEB0FE">
      <w:start w:val="1"/>
      <w:numFmt w:val="bullet"/>
      <w:lvlText w:val="o"/>
      <w:lvlJc w:val="left"/>
      <w:pPr>
        <w:ind w:left="6304" w:hanging="360"/>
      </w:pPr>
      <w:rPr>
        <w:rFonts w:ascii="Courier New" w:hAnsi="Courier New" w:hint="default"/>
      </w:rPr>
    </w:lvl>
    <w:lvl w:ilvl="8" w:tplc="9EFE0E2E">
      <w:start w:val="1"/>
      <w:numFmt w:val="bullet"/>
      <w:lvlText w:val=""/>
      <w:lvlJc w:val="left"/>
      <w:pPr>
        <w:ind w:left="7024" w:hanging="360"/>
      </w:pPr>
      <w:rPr>
        <w:rFonts w:ascii="Wingdings" w:hAnsi="Wingdings" w:hint="default"/>
      </w:rPr>
    </w:lvl>
  </w:abstractNum>
  <w:abstractNum w:abstractNumId="8" w15:restartNumberingAfterBreak="0">
    <w:nsid w:val="26A74FCC"/>
    <w:multiLevelType w:val="multilevel"/>
    <w:tmpl w:val="6CEACD70"/>
    <w:lvl w:ilvl="0">
      <w:start w:val="1"/>
      <w:numFmt w:val="bullet"/>
      <w:lvlText w:val=""/>
      <w:lvlJc w:val="left"/>
      <w:pPr>
        <w:ind w:left="1264" w:hanging="360"/>
      </w:pPr>
      <w:rPr>
        <w:rFonts w:ascii="Symbol" w:hAnsi="Symbol" w:hint="default"/>
      </w:rPr>
    </w:lvl>
    <w:lvl w:ilvl="1">
      <w:start w:val="1"/>
      <w:numFmt w:val="bullet"/>
      <w:lvlText w:val="o"/>
      <w:lvlJc w:val="left"/>
      <w:pPr>
        <w:ind w:left="2333" w:hanging="360"/>
      </w:pPr>
      <w:rPr>
        <w:rFonts w:ascii="Courier New" w:hAnsi="Courier New" w:hint="default"/>
      </w:rPr>
    </w:lvl>
    <w:lvl w:ilvl="2">
      <w:start w:val="1"/>
      <w:numFmt w:val="bullet"/>
      <w:lvlText w:val=""/>
      <w:lvlJc w:val="left"/>
      <w:pPr>
        <w:ind w:left="3053" w:hanging="360"/>
      </w:pPr>
      <w:rPr>
        <w:rFonts w:ascii="Wingdings" w:hAnsi="Wingdings" w:hint="default"/>
      </w:rPr>
    </w:lvl>
    <w:lvl w:ilvl="3">
      <w:start w:val="1"/>
      <w:numFmt w:val="bullet"/>
      <w:lvlText w:val=""/>
      <w:lvlJc w:val="left"/>
      <w:pPr>
        <w:ind w:left="3773" w:hanging="360"/>
      </w:pPr>
      <w:rPr>
        <w:rFonts w:ascii="Symbol" w:hAnsi="Symbol" w:hint="default"/>
      </w:rPr>
    </w:lvl>
    <w:lvl w:ilvl="4">
      <w:start w:val="1"/>
      <w:numFmt w:val="bullet"/>
      <w:lvlText w:val="o"/>
      <w:lvlJc w:val="left"/>
      <w:pPr>
        <w:ind w:left="4493" w:hanging="360"/>
      </w:pPr>
      <w:rPr>
        <w:rFonts w:ascii="Courier New" w:hAnsi="Courier New" w:hint="default"/>
      </w:rPr>
    </w:lvl>
    <w:lvl w:ilvl="5">
      <w:start w:val="1"/>
      <w:numFmt w:val="bullet"/>
      <w:lvlText w:val=""/>
      <w:lvlJc w:val="left"/>
      <w:pPr>
        <w:ind w:left="5213" w:hanging="360"/>
      </w:pPr>
      <w:rPr>
        <w:rFonts w:ascii="Wingdings" w:hAnsi="Wingdings" w:hint="default"/>
      </w:rPr>
    </w:lvl>
    <w:lvl w:ilvl="6">
      <w:start w:val="1"/>
      <w:numFmt w:val="bullet"/>
      <w:lvlText w:val=""/>
      <w:lvlJc w:val="left"/>
      <w:pPr>
        <w:ind w:left="5933" w:hanging="360"/>
      </w:pPr>
      <w:rPr>
        <w:rFonts w:ascii="Symbol" w:hAnsi="Symbol" w:hint="default"/>
      </w:rPr>
    </w:lvl>
    <w:lvl w:ilvl="7">
      <w:start w:val="1"/>
      <w:numFmt w:val="bullet"/>
      <w:lvlText w:val="o"/>
      <w:lvlJc w:val="left"/>
      <w:pPr>
        <w:ind w:left="6653" w:hanging="360"/>
      </w:pPr>
      <w:rPr>
        <w:rFonts w:ascii="Courier New" w:hAnsi="Courier New" w:hint="default"/>
      </w:rPr>
    </w:lvl>
    <w:lvl w:ilvl="8">
      <w:start w:val="1"/>
      <w:numFmt w:val="bullet"/>
      <w:lvlText w:val=""/>
      <w:lvlJc w:val="left"/>
      <w:pPr>
        <w:ind w:left="7373" w:hanging="360"/>
      </w:pPr>
      <w:rPr>
        <w:rFonts w:ascii="Wingdings" w:hAnsi="Wingdings" w:hint="default"/>
      </w:rPr>
    </w:lvl>
  </w:abstractNum>
  <w:abstractNum w:abstractNumId="9" w15:restartNumberingAfterBreak="0">
    <w:nsid w:val="2BDA783F"/>
    <w:multiLevelType w:val="hybridMultilevel"/>
    <w:tmpl w:val="FBB888AA"/>
    <w:lvl w:ilvl="0" w:tplc="64F20132">
      <w:start w:val="1"/>
      <w:numFmt w:val="bullet"/>
      <w:lvlText w:val=""/>
      <w:lvlJc w:val="left"/>
      <w:pPr>
        <w:ind w:left="1377" w:hanging="360"/>
      </w:pPr>
      <w:rPr>
        <w:rFonts w:ascii="Symbol" w:hAnsi="Symbol" w:hint="default"/>
      </w:rPr>
    </w:lvl>
    <w:lvl w:ilvl="1" w:tplc="16503B0E">
      <w:start w:val="1"/>
      <w:numFmt w:val="bullet"/>
      <w:lvlText w:val="o"/>
      <w:lvlJc w:val="left"/>
      <w:pPr>
        <w:ind w:left="2097" w:hanging="360"/>
      </w:pPr>
      <w:rPr>
        <w:rFonts w:ascii="Courier New" w:hAnsi="Courier New" w:hint="default"/>
      </w:rPr>
    </w:lvl>
    <w:lvl w:ilvl="2" w:tplc="16344750">
      <w:start w:val="1"/>
      <w:numFmt w:val="bullet"/>
      <w:lvlText w:val=""/>
      <w:lvlJc w:val="left"/>
      <w:pPr>
        <w:ind w:left="2817" w:hanging="360"/>
      </w:pPr>
      <w:rPr>
        <w:rFonts w:ascii="Wingdings" w:hAnsi="Wingdings" w:hint="default"/>
      </w:rPr>
    </w:lvl>
    <w:lvl w:ilvl="3" w:tplc="3690B496">
      <w:start w:val="1"/>
      <w:numFmt w:val="bullet"/>
      <w:lvlText w:val=""/>
      <w:lvlJc w:val="left"/>
      <w:pPr>
        <w:ind w:left="3537" w:hanging="360"/>
      </w:pPr>
      <w:rPr>
        <w:rFonts w:ascii="Symbol" w:hAnsi="Symbol" w:hint="default"/>
      </w:rPr>
    </w:lvl>
    <w:lvl w:ilvl="4" w:tplc="616E319E">
      <w:start w:val="1"/>
      <w:numFmt w:val="bullet"/>
      <w:lvlText w:val="o"/>
      <w:lvlJc w:val="left"/>
      <w:pPr>
        <w:ind w:left="4257" w:hanging="360"/>
      </w:pPr>
      <w:rPr>
        <w:rFonts w:ascii="Courier New" w:hAnsi="Courier New" w:hint="default"/>
      </w:rPr>
    </w:lvl>
    <w:lvl w:ilvl="5" w:tplc="C4C68B38">
      <w:start w:val="1"/>
      <w:numFmt w:val="bullet"/>
      <w:lvlText w:val=""/>
      <w:lvlJc w:val="left"/>
      <w:pPr>
        <w:ind w:left="4977" w:hanging="360"/>
      </w:pPr>
      <w:rPr>
        <w:rFonts w:ascii="Wingdings" w:hAnsi="Wingdings" w:hint="default"/>
      </w:rPr>
    </w:lvl>
    <w:lvl w:ilvl="6" w:tplc="7AC69D06">
      <w:start w:val="1"/>
      <w:numFmt w:val="bullet"/>
      <w:lvlText w:val=""/>
      <w:lvlJc w:val="left"/>
      <w:pPr>
        <w:ind w:left="5697" w:hanging="360"/>
      </w:pPr>
      <w:rPr>
        <w:rFonts w:ascii="Symbol" w:hAnsi="Symbol" w:hint="default"/>
      </w:rPr>
    </w:lvl>
    <w:lvl w:ilvl="7" w:tplc="62C0F236">
      <w:start w:val="1"/>
      <w:numFmt w:val="bullet"/>
      <w:lvlText w:val="o"/>
      <w:lvlJc w:val="left"/>
      <w:pPr>
        <w:ind w:left="6417" w:hanging="360"/>
      </w:pPr>
      <w:rPr>
        <w:rFonts w:ascii="Courier New" w:hAnsi="Courier New" w:hint="default"/>
      </w:rPr>
    </w:lvl>
    <w:lvl w:ilvl="8" w:tplc="903E32CE">
      <w:start w:val="1"/>
      <w:numFmt w:val="bullet"/>
      <w:lvlText w:val=""/>
      <w:lvlJc w:val="left"/>
      <w:pPr>
        <w:ind w:left="7137" w:hanging="360"/>
      </w:pPr>
      <w:rPr>
        <w:rFonts w:ascii="Wingdings" w:hAnsi="Wingdings" w:hint="default"/>
      </w:rPr>
    </w:lvl>
  </w:abstractNum>
  <w:abstractNum w:abstractNumId="10" w15:restartNumberingAfterBreak="0">
    <w:nsid w:val="35D32A7B"/>
    <w:multiLevelType w:val="hybridMultilevel"/>
    <w:tmpl w:val="BE74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F1372"/>
    <w:multiLevelType w:val="hybridMultilevel"/>
    <w:tmpl w:val="CEFEA14A"/>
    <w:lvl w:ilvl="0" w:tplc="321CD83E">
      <w:start w:val="1"/>
      <w:numFmt w:val="bullet"/>
      <w:lvlText w:val=""/>
      <w:lvlJc w:val="left"/>
      <w:pPr>
        <w:ind w:left="1377" w:hanging="360"/>
      </w:pPr>
      <w:rPr>
        <w:rFonts w:ascii="Symbol" w:hAnsi="Symbol" w:hint="default"/>
      </w:rPr>
    </w:lvl>
    <w:lvl w:ilvl="1" w:tplc="733C2836">
      <w:start w:val="1"/>
      <w:numFmt w:val="bullet"/>
      <w:lvlText w:val="o"/>
      <w:lvlJc w:val="left"/>
      <w:pPr>
        <w:ind w:left="2097" w:hanging="360"/>
      </w:pPr>
      <w:rPr>
        <w:rFonts w:ascii="Courier New" w:hAnsi="Courier New" w:hint="default"/>
      </w:rPr>
    </w:lvl>
    <w:lvl w:ilvl="2" w:tplc="E4E81AF8">
      <w:start w:val="1"/>
      <w:numFmt w:val="bullet"/>
      <w:lvlText w:val=""/>
      <w:lvlJc w:val="left"/>
      <w:pPr>
        <w:ind w:left="2817" w:hanging="360"/>
      </w:pPr>
      <w:rPr>
        <w:rFonts w:ascii="Wingdings" w:hAnsi="Wingdings" w:hint="default"/>
      </w:rPr>
    </w:lvl>
    <w:lvl w:ilvl="3" w:tplc="065EB45A">
      <w:start w:val="1"/>
      <w:numFmt w:val="bullet"/>
      <w:lvlText w:val=""/>
      <w:lvlJc w:val="left"/>
      <w:pPr>
        <w:ind w:left="3537" w:hanging="360"/>
      </w:pPr>
      <w:rPr>
        <w:rFonts w:ascii="Symbol" w:hAnsi="Symbol" w:hint="default"/>
      </w:rPr>
    </w:lvl>
    <w:lvl w:ilvl="4" w:tplc="58B23CD2">
      <w:start w:val="1"/>
      <w:numFmt w:val="bullet"/>
      <w:lvlText w:val="o"/>
      <w:lvlJc w:val="left"/>
      <w:pPr>
        <w:ind w:left="4257" w:hanging="360"/>
      </w:pPr>
      <w:rPr>
        <w:rFonts w:ascii="Courier New" w:hAnsi="Courier New" w:hint="default"/>
      </w:rPr>
    </w:lvl>
    <w:lvl w:ilvl="5" w:tplc="D8780BD6">
      <w:start w:val="1"/>
      <w:numFmt w:val="bullet"/>
      <w:lvlText w:val=""/>
      <w:lvlJc w:val="left"/>
      <w:pPr>
        <w:ind w:left="4977" w:hanging="360"/>
      </w:pPr>
      <w:rPr>
        <w:rFonts w:ascii="Wingdings" w:hAnsi="Wingdings" w:hint="default"/>
      </w:rPr>
    </w:lvl>
    <w:lvl w:ilvl="6" w:tplc="61461BE8">
      <w:start w:val="1"/>
      <w:numFmt w:val="bullet"/>
      <w:lvlText w:val=""/>
      <w:lvlJc w:val="left"/>
      <w:pPr>
        <w:ind w:left="5697" w:hanging="360"/>
      </w:pPr>
      <w:rPr>
        <w:rFonts w:ascii="Symbol" w:hAnsi="Symbol" w:hint="default"/>
      </w:rPr>
    </w:lvl>
    <w:lvl w:ilvl="7" w:tplc="F704FC7E">
      <w:start w:val="1"/>
      <w:numFmt w:val="bullet"/>
      <w:lvlText w:val="o"/>
      <w:lvlJc w:val="left"/>
      <w:pPr>
        <w:ind w:left="6417" w:hanging="360"/>
      </w:pPr>
      <w:rPr>
        <w:rFonts w:ascii="Courier New" w:hAnsi="Courier New" w:hint="default"/>
      </w:rPr>
    </w:lvl>
    <w:lvl w:ilvl="8" w:tplc="049E9C38">
      <w:start w:val="1"/>
      <w:numFmt w:val="bullet"/>
      <w:lvlText w:val=""/>
      <w:lvlJc w:val="left"/>
      <w:pPr>
        <w:ind w:left="7137" w:hanging="360"/>
      </w:pPr>
      <w:rPr>
        <w:rFonts w:ascii="Wingdings" w:hAnsi="Wingdings" w:hint="default"/>
      </w:rPr>
    </w:lvl>
  </w:abstractNum>
  <w:abstractNum w:abstractNumId="12" w15:restartNumberingAfterBreak="0">
    <w:nsid w:val="3DAA68B2"/>
    <w:multiLevelType w:val="hybridMultilevel"/>
    <w:tmpl w:val="A45CCACA"/>
    <w:lvl w:ilvl="0" w:tplc="FFFFFFFF">
      <w:start w:val="1"/>
      <w:numFmt w:val="bullet"/>
      <w:lvlText w:val=""/>
      <w:lvlJc w:val="left"/>
      <w:pPr>
        <w:ind w:left="1287"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E5147CC"/>
    <w:multiLevelType w:val="hybridMultilevel"/>
    <w:tmpl w:val="8D6CCACE"/>
    <w:lvl w:ilvl="0" w:tplc="E30CD4C8">
      <w:start w:val="1"/>
      <w:numFmt w:val="bullet"/>
      <w:lvlText w:val=""/>
      <w:lvlJc w:val="left"/>
      <w:pPr>
        <w:ind w:left="1377" w:hanging="360"/>
      </w:pPr>
      <w:rPr>
        <w:rFonts w:ascii="Symbol" w:hAnsi="Symbol" w:hint="default"/>
      </w:rPr>
    </w:lvl>
    <w:lvl w:ilvl="1" w:tplc="B7E0BC08">
      <w:start w:val="1"/>
      <w:numFmt w:val="bullet"/>
      <w:lvlText w:val="o"/>
      <w:lvlJc w:val="left"/>
      <w:pPr>
        <w:ind w:left="2097" w:hanging="360"/>
      </w:pPr>
      <w:rPr>
        <w:rFonts w:ascii="Courier New" w:hAnsi="Courier New" w:hint="default"/>
      </w:rPr>
    </w:lvl>
    <w:lvl w:ilvl="2" w:tplc="33245338">
      <w:start w:val="1"/>
      <w:numFmt w:val="bullet"/>
      <w:lvlText w:val=""/>
      <w:lvlJc w:val="left"/>
      <w:pPr>
        <w:ind w:left="2817" w:hanging="360"/>
      </w:pPr>
      <w:rPr>
        <w:rFonts w:ascii="Wingdings" w:hAnsi="Wingdings" w:hint="default"/>
      </w:rPr>
    </w:lvl>
    <w:lvl w:ilvl="3" w:tplc="132CBAF8">
      <w:start w:val="1"/>
      <w:numFmt w:val="bullet"/>
      <w:lvlText w:val=""/>
      <w:lvlJc w:val="left"/>
      <w:pPr>
        <w:ind w:left="3537" w:hanging="360"/>
      </w:pPr>
      <w:rPr>
        <w:rFonts w:ascii="Symbol" w:hAnsi="Symbol" w:hint="default"/>
      </w:rPr>
    </w:lvl>
    <w:lvl w:ilvl="4" w:tplc="5942A838">
      <w:start w:val="1"/>
      <w:numFmt w:val="bullet"/>
      <w:lvlText w:val="o"/>
      <w:lvlJc w:val="left"/>
      <w:pPr>
        <w:ind w:left="4257" w:hanging="360"/>
      </w:pPr>
      <w:rPr>
        <w:rFonts w:ascii="Courier New" w:hAnsi="Courier New" w:hint="default"/>
      </w:rPr>
    </w:lvl>
    <w:lvl w:ilvl="5" w:tplc="0220DAD8">
      <w:start w:val="1"/>
      <w:numFmt w:val="bullet"/>
      <w:lvlText w:val=""/>
      <w:lvlJc w:val="left"/>
      <w:pPr>
        <w:ind w:left="4977" w:hanging="360"/>
      </w:pPr>
      <w:rPr>
        <w:rFonts w:ascii="Wingdings" w:hAnsi="Wingdings" w:hint="default"/>
      </w:rPr>
    </w:lvl>
    <w:lvl w:ilvl="6" w:tplc="4502CDAE">
      <w:start w:val="1"/>
      <w:numFmt w:val="bullet"/>
      <w:lvlText w:val=""/>
      <w:lvlJc w:val="left"/>
      <w:pPr>
        <w:ind w:left="5697" w:hanging="360"/>
      </w:pPr>
      <w:rPr>
        <w:rFonts w:ascii="Symbol" w:hAnsi="Symbol" w:hint="default"/>
      </w:rPr>
    </w:lvl>
    <w:lvl w:ilvl="7" w:tplc="3CF287E6">
      <w:start w:val="1"/>
      <w:numFmt w:val="bullet"/>
      <w:lvlText w:val="o"/>
      <w:lvlJc w:val="left"/>
      <w:pPr>
        <w:ind w:left="6417" w:hanging="360"/>
      </w:pPr>
      <w:rPr>
        <w:rFonts w:ascii="Courier New" w:hAnsi="Courier New" w:hint="default"/>
      </w:rPr>
    </w:lvl>
    <w:lvl w:ilvl="8" w:tplc="F694408C">
      <w:start w:val="1"/>
      <w:numFmt w:val="bullet"/>
      <w:lvlText w:val=""/>
      <w:lvlJc w:val="left"/>
      <w:pPr>
        <w:ind w:left="7137" w:hanging="360"/>
      </w:pPr>
      <w:rPr>
        <w:rFonts w:ascii="Wingdings" w:hAnsi="Wingdings" w:hint="default"/>
      </w:rPr>
    </w:lvl>
  </w:abstractNum>
  <w:abstractNum w:abstractNumId="14" w15:restartNumberingAfterBreak="0">
    <w:nsid w:val="44826DF8"/>
    <w:multiLevelType w:val="hybridMultilevel"/>
    <w:tmpl w:val="8ABE2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960D72"/>
    <w:multiLevelType w:val="hybridMultilevel"/>
    <w:tmpl w:val="F4B09CCA"/>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6" w15:restartNumberingAfterBreak="0">
    <w:nsid w:val="4976FC8E"/>
    <w:multiLevelType w:val="hybridMultilevel"/>
    <w:tmpl w:val="982C4434"/>
    <w:lvl w:ilvl="0" w:tplc="D94E0108">
      <w:start w:val="1"/>
      <w:numFmt w:val="bullet"/>
      <w:lvlText w:val=""/>
      <w:lvlJc w:val="left"/>
      <w:pPr>
        <w:ind w:left="1377" w:hanging="360"/>
      </w:pPr>
      <w:rPr>
        <w:rFonts w:ascii="Symbol" w:hAnsi="Symbol" w:hint="default"/>
      </w:rPr>
    </w:lvl>
    <w:lvl w:ilvl="1" w:tplc="FF3C4306">
      <w:start w:val="1"/>
      <w:numFmt w:val="bullet"/>
      <w:lvlText w:val="o"/>
      <w:lvlJc w:val="left"/>
      <w:pPr>
        <w:ind w:left="2097" w:hanging="360"/>
      </w:pPr>
      <w:rPr>
        <w:rFonts w:ascii="Courier New" w:hAnsi="Courier New" w:hint="default"/>
      </w:rPr>
    </w:lvl>
    <w:lvl w:ilvl="2" w:tplc="C120924C">
      <w:start w:val="1"/>
      <w:numFmt w:val="bullet"/>
      <w:lvlText w:val=""/>
      <w:lvlJc w:val="left"/>
      <w:pPr>
        <w:ind w:left="2817" w:hanging="360"/>
      </w:pPr>
      <w:rPr>
        <w:rFonts w:ascii="Wingdings" w:hAnsi="Wingdings" w:hint="default"/>
      </w:rPr>
    </w:lvl>
    <w:lvl w:ilvl="3" w:tplc="129E87E8">
      <w:start w:val="1"/>
      <w:numFmt w:val="bullet"/>
      <w:lvlText w:val=""/>
      <w:lvlJc w:val="left"/>
      <w:pPr>
        <w:ind w:left="3537" w:hanging="360"/>
      </w:pPr>
      <w:rPr>
        <w:rFonts w:ascii="Symbol" w:hAnsi="Symbol" w:hint="default"/>
      </w:rPr>
    </w:lvl>
    <w:lvl w:ilvl="4" w:tplc="41EECB2A">
      <w:start w:val="1"/>
      <w:numFmt w:val="bullet"/>
      <w:lvlText w:val="o"/>
      <w:lvlJc w:val="left"/>
      <w:pPr>
        <w:ind w:left="4257" w:hanging="360"/>
      </w:pPr>
      <w:rPr>
        <w:rFonts w:ascii="Courier New" w:hAnsi="Courier New" w:hint="default"/>
      </w:rPr>
    </w:lvl>
    <w:lvl w:ilvl="5" w:tplc="98D80130">
      <w:start w:val="1"/>
      <w:numFmt w:val="bullet"/>
      <w:lvlText w:val=""/>
      <w:lvlJc w:val="left"/>
      <w:pPr>
        <w:ind w:left="4977" w:hanging="360"/>
      </w:pPr>
      <w:rPr>
        <w:rFonts w:ascii="Wingdings" w:hAnsi="Wingdings" w:hint="default"/>
      </w:rPr>
    </w:lvl>
    <w:lvl w:ilvl="6" w:tplc="DC068568">
      <w:start w:val="1"/>
      <w:numFmt w:val="bullet"/>
      <w:lvlText w:val=""/>
      <w:lvlJc w:val="left"/>
      <w:pPr>
        <w:ind w:left="5697" w:hanging="360"/>
      </w:pPr>
      <w:rPr>
        <w:rFonts w:ascii="Symbol" w:hAnsi="Symbol" w:hint="default"/>
      </w:rPr>
    </w:lvl>
    <w:lvl w:ilvl="7" w:tplc="530EB182">
      <w:start w:val="1"/>
      <w:numFmt w:val="bullet"/>
      <w:lvlText w:val="o"/>
      <w:lvlJc w:val="left"/>
      <w:pPr>
        <w:ind w:left="6417" w:hanging="360"/>
      </w:pPr>
      <w:rPr>
        <w:rFonts w:ascii="Courier New" w:hAnsi="Courier New" w:hint="default"/>
      </w:rPr>
    </w:lvl>
    <w:lvl w:ilvl="8" w:tplc="49442AAE">
      <w:start w:val="1"/>
      <w:numFmt w:val="bullet"/>
      <w:lvlText w:val=""/>
      <w:lvlJc w:val="left"/>
      <w:pPr>
        <w:ind w:left="7137" w:hanging="360"/>
      </w:pPr>
      <w:rPr>
        <w:rFonts w:ascii="Wingdings" w:hAnsi="Wingdings" w:hint="default"/>
      </w:rPr>
    </w:lvl>
  </w:abstractNum>
  <w:abstractNum w:abstractNumId="17" w15:restartNumberingAfterBreak="0">
    <w:nsid w:val="4F0A6F9B"/>
    <w:multiLevelType w:val="hybridMultilevel"/>
    <w:tmpl w:val="16EA7A02"/>
    <w:lvl w:ilvl="0" w:tplc="1D2C923E">
      <w:start w:val="1"/>
      <w:numFmt w:val="bullet"/>
      <w:lvlText w:val=""/>
      <w:lvlJc w:val="left"/>
      <w:pPr>
        <w:ind w:left="1490" w:hanging="360"/>
      </w:pPr>
      <w:rPr>
        <w:rFonts w:ascii="Symbol" w:hAnsi="Symbol" w:hint="default"/>
      </w:rPr>
    </w:lvl>
    <w:lvl w:ilvl="1" w:tplc="BF9681AA">
      <w:start w:val="1"/>
      <w:numFmt w:val="bullet"/>
      <w:lvlText w:val="o"/>
      <w:lvlJc w:val="left"/>
      <w:pPr>
        <w:ind w:left="2210" w:hanging="360"/>
      </w:pPr>
      <w:rPr>
        <w:rFonts w:ascii="Courier New" w:hAnsi="Courier New" w:hint="default"/>
      </w:rPr>
    </w:lvl>
    <w:lvl w:ilvl="2" w:tplc="FF1ECAA6">
      <w:start w:val="1"/>
      <w:numFmt w:val="bullet"/>
      <w:lvlText w:val=""/>
      <w:lvlJc w:val="left"/>
      <w:pPr>
        <w:ind w:left="2930" w:hanging="360"/>
      </w:pPr>
      <w:rPr>
        <w:rFonts w:ascii="Wingdings" w:hAnsi="Wingdings" w:hint="default"/>
      </w:rPr>
    </w:lvl>
    <w:lvl w:ilvl="3" w:tplc="C35EA552">
      <w:start w:val="1"/>
      <w:numFmt w:val="bullet"/>
      <w:lvlText w:val=""/>
      <w:lvlJc w:val="left"/>
      <w:pPr>
        <w:ind w:left="3650" w:hanging="360"/>
      </w:pPr>
      <w:rPr>
        <w:rFonts w:ascii="Symbol" w:hAnsi="Symbol" w:hint="default"/>
      </w:rPr>
    </w:lvl>
    <w:lvl w:ilvl="4" w:tplc="BE80E8DC">
      <w:start w:val="1"/>
      <w:numFmt w:val="bullet"/>
      <w:lvlText w:val="o"/>
      <w:lvlJc w:val="left"/>
      <w:pPr>
        <w:ind w:left="4370" w:hanging="360"/>
      </w:pPr>
      <w:rPr>
        <w:rFonts w:ascii="Courier New" w:hAnsi="Courier New" w:hint="default"/>
      </w:rPr>
    </w:lvl>
    <w:lvl w:ilvl="5" w:tplc="FB209EAE">
      <w:start w:val="1"/>
      <w:numFmt w:val="bullet"/>
      <w:lvlText w:val=""/>
      <w:lvlJc w:val="left"/>
      <w:pPr>
        <w:ind w:left="5090" w:hanging="360"/>
      </w:pPr>
      <w:rPr>
        <w:rFonts w:ascii="Wingdings" w:hAnsi="Wingdings" w:hint="default"/>
      </w:rPr>
    </w:lvl>
    <w:lvl w:ilvl="6" w:tplc="04463E12">
      <w:start w:val="1"/>
      <w:numFmt w:val="bullet"/>
      <w:lvlText w:val=""/>
      <w:lvlJc w:val="left"/>
      <w:pPr>
        <w:ind w:left="5810" w:hanging="360"/>
      </w:pPr>
      <w:rPr>
        <w:rFonts w:ascii="Symbol" w:hAnsi="Symbol" w:hint="default"/>
      </w:rPr>
    </w:lvl>
    <w:lvl w:ilvl="7" w:tplc="A104B4BC">
      <w:start w:val="1"/>
      <w:numFmt w:val="bullet"/>
      <w:lvlText w:val="o"/>
      <w:lvlJc w:val="left"/>
      <w:pPr>
        <w:ind w:left="6530" w:hanging="360"/>
      </w:pPr>
      <w:rPr>
        <w:rFonts w:ascii="Courier New" w:hAnsi="Courier New" w:hint="default"/>
      </w:rPr>
    </w:lvl>
    <w:lvl w:ilvl="8" w:tplc="44500488">
      <w:start w:val="1"/>
      <w:numFmt w:val="bullet"/>
      <w:lvlText w:val=""/>
      <w:lvlJc w:val="left"/>
      <w:pPr>
        <w:ind w:left="7250" w:hanging="360"/>
      </w:pPr>
      <w:rPr>
        <w:rFonts w:ascii="Wingdings" w:hAnsi="Wingdings" w:hint="default"/>
      </w:rPr>
    </w:lvl>
  </w:abstractNum>
  <w:abstractNum w:abstractNumId="18" w15:restartNumberingAfterBreak="0">
    <w:nsid w:val="4F12296E"/>
    <w:multiLevelType w:val="hybridMultilevel"/>
    <w:tmpl w:val="EF96E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6A2FC4"/>
    <w:multiLevelType w:val="hybridMultilevel"/>
    <w:tmpl w:val="295AA4E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2D6577"/>
    <w:multiLevelType w:val="hybridMultilevel"/>
    <w:tmpl w:val="F5904DFA"/>
    <w:lvl w:ilvl="0" w:tplc="E4AC2FE8">
      <w:start w:val="1"/>
      <w:numFmt w:val="bullet"/>
      <w:lvlText w:val=""/>
      <w:lvlJc w:val="left"/>
      <w:pPr>
        <w:ind w:left="1490" w:hanging="360"/>
      </w:pPr>
      <w:rPr>
        <w:rFonts w:ascii="Symbol" w:hAnsi="Symbol" w:hint="default"/>
      </w:rPr>
    </w:lvl>
    <w:lvl w:ilvl="1" w:tplc="226AB760">
      <w:start w:val="1"/>
      <w:numFmt w:val="bullet"/>
      <w:lvlText w:val="o"/>
      <w:lvlJc w:val="left"/>
      <w:pPr>
        <w:ind w:left="2210" w:hanging="360"/>
      </w:pPr>
      <w:rPr>
        <w:rFonts w:ascii="Courier New" w:hAnsi="Courier New" w:hint="default"/>
      </w:rPr>
    </w:lvl>
    <w:lvl w:ilvl="2" w:tplc="6F00ADE0">
      <w:start w:val="1"/>
      <w:numFmt w:val="bullet"/>
      <w:lvlText w:val=""/>
      <w:lvlJc w:val="left"/>
      <w:pPr>
        <w:ind w:left="2930" w:hanging="360"/>
      </w:pPr>
      <w:rPr>
        <w:rFonts w:ascii="Wingdings" w:hAnsi="Wingdings" w:hint="default"/>
      </w:rPr>
    </w:lvl>
    <w:lvl w:ilvl="3" w:tplc="10CCCDFE">
      <w:start w:val="1"/>
      <w:numFmt w:val="bullet"/>
      <w:lvlText w:val=""/>
      <w:lvlJc w:val="left"/>
      <w:pPr>
        <w:ind w:left="3650" w:hanging="360"/>
      </w:pPr>
      <w:rPr>
        <w:rFonts w:ascii="Symbol" w:hAnsi="Symbol" w:hint="default"/>
      </w:rPr>
    </w:lvl>
    <w:lvl w:ilvl="4" w:tplc="47085556">
      <w:start w:val="1"/>
      <w:numFmt w:val="bullet"/>
      <w:lvlText w:val="o"/>
      <w:lvlJc w:val="left"/>
      <w:pPr>
        <w:ind w:left="4370" w:hanging="360"/>
      </w:pPr>
      <w:rPr>
        <w:rFonts w:ascii="Courier New" w:hAnsi="Courier New" w:hint="default"/>
      </w:rPr>
    </w:lvl>
    <w:lvl w:ilvl="5" w:tplc="1B5E26AC">
      <w:start w:val="1"/>
      <w:numFmt w:val="bullet"/>
      <w:lvlText w:val=""/>
      <w:lvlJc w:val="left"/>
      <w:pPr>
        <w:ind w:left="5090" w:hanging="360"/>
      </w:pPr>
      <w:rPr>
        <w:rFonts w:ascii="Wingdings" w:hAnsi="Wingdings" w:hint="default"/>
      </w:rPr>
    </w:lvl>
    <w:lvl w:ilvl="6" w:tplc="1CF4178C">
      <w:start w:val="1"/>
      <w:numFmt w:val="bullet"/>
      <w:lvlText w:val=""/>
      <w:lvlJc w:val="left"/>
      <w:pPr>
        <w:ind w:left="5810" w:hanging="360"/>
      </w:pPr>
      <w:rPr>
        <w:rFonts w:ascii="Symbol" w:hAnsi="Symbol" w:hint="default"/>
      </w:rPr>
    </w:lvl>
    <w:lvl w:ilvl="7" w:tplc="CE6A2E34">
      <w:start w:val="1"/>
      <w:numFmt w:val="bullet"/>
      <w:lvlText w:val="o"/>
      <w:lvlJc w:val="left"/>
      <w:pPr>
        <w:ind w:left="6530" w:hanging="360"/>
      </w:pPr>
      <w:rPr>
        <w:rFonts w:ascii="Courier New" w:hAnsi="Courier New" w:hint="default"/>
      </w:rPr>
    </w:lvl>
    <w:lvl w:ilvl="8" w:tplc="F96E7EA0">
      <w:start w:val="1"/>
      <w:numFmt w:val="bullet"/>
      <w:lvlText w:val=""/>
      <w:lvlJc w:val="left"/>
      <w:pPr>
        <w:ind w:left="7250" w:hanging="360"/>
      </w:pPr>
      <w:rPr>
        <w:rFonts w:ascii="Wingdings" w:hAnsi="Wingdings" w:hint="default"/>
      </w:rPr>
    </w:lvl>
  </w:abstractNum>
  <w:abstractNum w:abstractNumId="21" w15:restartNumberingAfterBreak="0">
    <w:nsid w:val="5A204B00"/>
    <w:multiLevelType w:val="multilevel"/>
    <w:tmpl w:val="EAF0AC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B61952E"/>
    <w:multiLevelType w:val="hybridMultilevel"/>
    <w:tmpl w:val="E2EE5BF4"/>
    <w:lvl w:ilvl="0" w:tplc="2BF81C66">
      <w:start w:val="1"/>
      <w:numFmt w:val="bullet"/>
      <w:lvlText w:val=""/>
      <w:lvlJc w:val="left"/>
      <w:pPr>
        <w:ind w:left="1377" w:hanging="360"/>
      </w:pPr>
      <w:rPr>
        <w:rFonts w:ascii="Symbol" w:hAnsi="Symbol" w:hint="default"/>
      </w:rPr>
    </w:lvl>
    <w:lvl w:ilvl="1" w:tplc="DCAC76C4">
      <w:start w:val="1"/>
      <w:numFmt w:val="bullet"/>
      <w:lvlText w:val="o"/>
      <w:lvlJc w:val="left"/>
      <w:pPr>
        <w:ind w:left="2097" w:hanging="360"/>
      </w:pPr>
      <w:rPr>
        <w:rFonts w:ascii="Courier New" w:hAnsi="Courier New" w:hint="default"/>
      </w:rPr>
    </w:lvl>
    <w:lvl w:ilvl="2" w:tplc="D780C06E">
      <w:start w:val="1"/>
      <w:numFmt w:val="bullet"/>
      <w:lvlText w:val=""/>
      <w:lvlJc w:val="left"/>
      <w:pPr>
        <w:ind w:left="2817" w:hanging="360"/>
      </w:pPr>
      <w:rPr>
        <w:rFonts w:ascii="Wingdings" w:hAnsi="Wingdings" w:hint="default"/>
      </w:rPr>
    </w:lvl>
    <w:lvl w:ilvl="3" w:tplc="D310C8F2">
      <w:start w:val="1"/>
      <w:numFmt w:val="bullet"/>
      <w:lvlText w:val=""/>
      <w:lvlJc w:val="left"/>
      <w:pPr>
        <w:ind w:left="3537" w:hanging="360"/>
      </w:pPr>
      <w:rPr>
        <w:rFonts w:ascii="Symbol" w:hAnsi="Symbol" w:hint="default"/>
      </w:rPr>
    </w:lvl>
    <w:lvl w:ilvl="4" w:tplc="7976079E">
      <w:start w:val="1"/>
      <w:numFmt w:val="bullet"/>
      <w:lvlText w:val="o"/>
      <w:lvlJc w:val="left"/>
      <w:pPr>
        <w:ind w:left="4257" w:hanging="360"/>
      </w:pPr>
      <w:rPr>
        <w:rFonts w:ascii="Courier New" w:hAnsi="Courier New" w:hint="default"/>
      </w:rPr>
    </w:lvl>
    <w:lvl w:ilvl="5" w:tplc="A998BBE8">
      <w:start w:val="1"/>
      <w:numFmt w:val="bullet"/>
      <w:lvlText w:val=""/>
      <w:lvlJc w:val="left"/>
      <w:pPr>
        <w:ind w:left="4977" w:hanging="360"/>
      </w:pPr>
      <w:rPr>
        <w:rFonts w:ascii="Wingdings" w:hAnsi="Wingdings" w:hint="default"/>
      </w:rPr>
    </w:lvl>
    <w:lvl w:ilvl="6" w:tplc="430E04BA">
      <w:start w:val="1"/>
      <w:numFmt w:val="bullet"/>
      <w:lvlText w:val=""/>
      <w:lvlJc w:val="left"/>
      <w:pPr>
        <w:ind w:left="5697" w:hanging="360"/>
      </w:pPr>
      <w:rPr>
        <w:rFonts w:ascii="Symbol" w:hAnsi="Symbol" w:hint="default"/>
      </w:rPr>
    </w:lvl>
    <w:lvl w:ilvl="7" w:tplc="9DC2B2BE">
      <w:start w:val="1"/>
      <w:numFmt w:val="bullet"/>
      <w:lvlText w:val="o"/>
      <w:lvlJc w:val="left"/>
      <w:pPr>
        <w:ind w:left="6417" w:hanging="360"/>
      </w:pPr>
      <w:rPr>
        <w:rFonts w:ascii="Courier New" w:hAnsi="Courier New" w:hint="default"/>
      </w:rPr>
    </w:lvl>
    <w:lvl w:ilvl="8" w:tplc="C3FE7AF6">
      <w:start w:val="1"/>
      <w:numFmt w:val="bullet"/>
      <w:lvlText w:val=""/>
      <w:lvlJc w:val="left"/>
      <w:pPr>
        <w:ind w:left="7137" w:hanging="360"/>
      </w:pPr>
      <w:rPr>
        <w:rFonts w:ascii="Wingdings" w:hAnsi="Wingdings" w:hint="default"/>
      </w:rPr>
    </w:lvl>
  </w:abstractNum>
  <w:abstractNum w:abstractNumId="23" w15:restartNumberingAfterBreak="0">
    <w:nsid w:val="6A84FD1D"/>
    <w:multiLevelType w:val="hybridMultilevel"/>
    <w:tmpl w:val="E0DE3C1E"/>
    <w:lvl w:ilvl="0" w:tplc="9CF04512">
      <w:start w:val="1"/>
      <w:numFmt w:val="bullet"/>
      <w:lvlText w:val=""/>
      <w:lvlJc w:val="left"/>
      <w:pPr>
        <w:ind w:left="1490" w:hanging="360"/>
      </w:pPr>
      <w:rPr>
        <w:rFonts w:ascii="Symbol" w:hAnsi="Symbol" w:hint="default"/>
      </w:rPr>
    </w:lvl>
    <w:lvl w:ilvl="1" w:tplc="4894BC40">
      <w:start w:val="1"/>
      <w:numFmt w:val="bullet"/>
      <w:lvlText w:val="o"/>
      <w:lvlJc w:val="left"/>
      <w:pPr>
        <w:ind w:left="2210" w:hanging="360"/>
      </w:pPr>
      <w:rPr>
        <w:rFonts w:ascii="Courier New" w:hAnsi="Courier New" w:hint="default"/>
      </w:rPr>
    </w:lvl>
    <w:lvl w:ilvl="2" w:tplc="58169F7E">
      <w:start w:val="1"/>
      <w:numFmt w:val="bullet"/>
      <w:lvlText w:val=""/>
      <w:lvlJc w:val="left"/>
      <w:pPr>
        <w:ind w:left="2930" w:hanging="360"/>
      </w:pPr>
      <w:rPr>
        <w:rFonts w:ascii="Wingdings" w:hAnsi="Wingdings" w:hint="default"/>
      </w:rPr>
    </w:lvl>
    <w:lvl w:ilvl="3" w:tplc="502E6512">
      <w:start w:val="1"/>
      <w:numFmt w:val="bullet"/>
      <w:lvlText w:val=""/>
      <w:lvlJc w:val="left"/>
      <w:pPr>
        <w:ind w:left="3650" w:hanging="360"/>
      </w:pPr>
      <w:rPr>
        <w:rFonts w:ascii="Symbol" w:hAnsi="Symbol" w:hint="default"/>
      </w:rPr>
    </w:lvl>
    <w:lvl w:ilvl="4" w:tplc="D1D6A61E">
      <w:start w:val="1"/>
      <w:numFmt w:val="bullet"/>
      <w:lvlText w:val="o"/>
      <w:lvlJc w:val="left"/>
      <w:pPr>
        <w:ind w:left="4370" w:hanging="360"/>
      </w:pPr>
      <w:rPr>
        <w:rFonts w:ascii="Courier New" w:hAnsi="Courier New" w:hint="default"/>
      </w:rPr>
    </w:lvl>
    <w:lvl w:ilvl="5" w:tplc="4E36BDC8">
      <w:start w:val="1"/>
      <w:numFmt w:val="bullet"/>
      <w:lvlText w:val=""/>
      <w:lvlJc w:val="left"/>
      <w:pPr>
        <w:ind w:left="5090" w:hanging="360"/>
      </w:pPr>
      <w:rPr>
        <w:rFonts w:ascii="Wingdings" w:hAnsi="Wingdings" w:hint="default"/>
      </w:rPr>
    </w:lvl>
    <w:lvl w:ilvl="6" w:tplc="54001BBA">
      <w:start w:val="1"/>
      <w:numFmt w:val="bullet"/>
      <w:lvlText w:val=""/>
      <w:lvlJc w:val="left"/>
      <w:pPr>
        <w:ind w:left="5810" w:hanging="360"/>
      </w:pPr>
      <w:rPr>
        <w:rFonts w:ascii="Symbol" w:hAnsi="Symbol" w:hint="default"/>
      </w:rPr>
    </w:lvl>
    <w:lvl w:ilvl="7" w:tplc="045E0BFE">
      <w:start w:val="1"/>
      <w:numFmt w:val="bullet"/>
      <w:lvlText w:val="o"/>
      <w:lvlJc w:val="left"/>
      <w:pPr>
        <w:ind w:left="6530" w:hanging="360"/>
      </w:pPr>
      <w:rPr>
        <w:rFonts w:ascii="Courier New" w:hAnsi="Courier New" w:hint="default"/>
      </w:rPr>
    </w:lvl>
    <w:lvl w:ilvl="8" w:tplc="82706604">
      <w:start w:val="1"/>
      <w:numFmt w:val="bullet"/>
      <w:lvlText w:val=""/>
      <w:lvlJc w:val="left"/>
      <w:pPr>
        <w:ind w:left="7250" w:hanging="360"/>
      </w:pPr>
      <w:rPr>
        <w:rFonts w:ascii="Wingdings" w:hAnsi="Wingdings" w:hint="default"/>
      </w:rPr>
    </w:lvl>
  </w:abstractNum>
  <w:abstractNum w:abstractNumId="24" w15:restartNumberingAfterBreak="0">
    <w:nsid w:val="76532325"/>
    <w:multiLevelType w:val="multilevel"/>
    <w:tmpl w:val="0C161F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77758B"/>
    <w:multiLevelType w:val="hybridMultilevel"/>
    <w:tmpl w:val="3A4C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074F4"/>
    <w:multiLevelType w:val="hybridMultilevel"/>
    <w:tmpl w:val="C21E7C84"/>
    <w:lvl w:ilvl="0" w:tplc="74A69B66">
      <w:start w:val="1"/>
      <w:numFmt w:val="bullet"/>
      <w:lvlText w:val=""/>
      <w:lvlJc w:val="left"/>
      <w:pPr>
        <w:ind w:left="1264" w:hanging="360"/>
      </w:pPr>
      <w:rPr>
        <w:rFonts w:ascii="Symbol" w:hAnsi="Symbol" w:hint="default"/>
      </w:rPr>
    </w:lvl>
    <w:lvl w:ilvl="1" w:tplc="3D740E22">
      <w:start w:val="1"/>
      <w:numFmt w:val="bullet"/>
      <w:lvlText w:val="o"/>
      <w:lvlJc w:val="left"/>
      <w:pPr>
        <w:ind w:left="1984" w:hanging="360"/>
      </w:pPr>
      <w:rPr>
        <w:rFonts w:ascii="Courier New" w:hAnsi="Courier New" w:hint="default"/>
      </w:rPr>
    </w:lvl>
    <w:lvl w:ilvl="2" w:tplc="92C64814">
      <w:start w:val="1"/>
      <w:numFmt w:val="bullet"/>
      <w:lvlText w:val=""/>
      <w:lvlJc w:val="left"/>
      <w:pPr>
        <w:ind w:left="2704" w:hanging="360"/>
      </w:pPr>
      <w:rPr>
        <w:rFonts w:ascii="Wingdings" w:hAnsi="Wingdings" w:hint="default"/>
      </w:rPr>
    </w:lvl>
    <w:lvl w:ilvl="3" w:tplc="B2F887A6">
      <w:start w:val="1"/>
      <w:numFmt w:val="bullet"/>
      <w:lvlText w:val=""/>
      <w:lvlJc w:val="left"/>
      <w:pPr>
        <w:ind w:left="3424" w:hanging="360"/>
      </w:pPr>
      <w:rPr>
        <w:rFonts w:ascii="Symbol" w:hAnsi="Symbol" w:hint="default"/>
      </w:rPr>
    </w:lvl>
    <w:lvl w:ilvl="4" w:tplc="5F8CDEB2">
      <w:start w:val="1"/>
      <w:numFmt w:val="bullet"/>
      <w:lvlText w:val="o"/>
      <w:lvlJc w:val="left"/>
      <w:pPr>
        <w:ind w:left="4144" w:hanging="360"/>
      </w:pPr>
      <w:rPr>
        <w:rFonts w:ascii="Courier New" w:hAnsi="Courier New" w:hint="default"/>
      </w:rPr>
    </w:lvl>
    <w:lvl w:ilvl="5" w:tplc="02561162">
      <w:start w:val="1"/>
      <w:numFmt w:val="bullet"/>
      <w:lvlText w:val=""/>
      <w:lvlJc w:val="left"/>
      <w:pPr>
        <w:ind w:left="4864" w:hanging="360"/>
      </w:pPr>
      <w:rPr>
        <w:rFonts w:ascii="Wingdings" w:hAnsi="Wingdings" w:hint="default"/>
      </w:rPr>
    </w:lvl>
    <w:lvl w:ilvl="6" w:tplc="2638A56E">
      <w:start w:val="1"/>
      <w:numFmt w:val="bullet"/>
      <w:lvlText w:val=""/>
      <w:lvlJc w:val="left"/>
      <w:pPr>
        <w:ind w:left="5584" w:hanging="360"/>
      </w:pPr>
      <w:rPr>
        <w:rFonts w:ascii="Symbol" w:hAnsi="Symbol" w:hint="default"/>
      </w:rPr>
    </w:lvl>
    <w:lvl w:ilvl="7" w:tplc="F954AA5A">
      <w:start w:val="1"/>
      <w:numFmt w:val="bullet"/>
      <w:lvlText w:val="o"/>
      <w:lvlJc w:val="left"/>
      <w:pPr>
        <w:ind w:left="6304" w:hanging="360"/>
      </w:pPr>
      <w:rPr>
        <w:rFonts w:ascii="Courier New" w:hAnsi="Courier New" w:hint="default"/>
      </w:rPr>
    </w:lvl>
    <w:lvl w:ilvl="8" w:tplc="C1CE704C">
      <w:start w:val="1"/>
      <w:numFmt w:val="bullet"/>
      <w:lvlText w:val=""/>
      <w:lvlJc w:val="left"/>
      <w:pPr>
        <w:ind w:left="7024" w:hanging="360"/>
      </w:pPr>
      <w:rPr>
        <w:rFonts w:ascii="Wingdings" w:hAnsi="Wingdings" w:hint="default"/>
      </w:rPr>
    </w:lvl>
  </w:abstractNum>
  <w:num w:numId="1" w16cid:durableId="759105523">
    <w:abstractNumId w:val="4"/>
  </w:num>
  <w:num w:numId="2" w16cid:durableId="752702735">
    <w:abstractNumId w:val="17"/>
  </w:num>
  <w:num w:numId="3" w16cid:durableId="508180511">
    <w:abstractNumId w:val="23"/>
  </w:num>
  <w:num w:numId="4" w16cid:durableId="1142498639">
    <w:abstractNumId w:val="20"/>
  </w:num>
  <w:num w:numId="5" w16cid:durableId="1274902735">
    <w:abstractNumId w:val="22"/>
  </w:num>
  <w:num w:numId="6" w16cid:durableId="1803185066">
    <w:abstractNumId w:val="11"/>
  </w:num>
  <w:num w:numId="7" w16cid:durableId="394087505">
    <w:abstractNumId w:val="16"/>
  </w:num>
  <w:num w:numId="8" w16cid:durableId="1480919322">
    <w:abstractNumId w:val="9"/>
  </w:num>
  <w:num w:numId="9" w16cid:durableId="1391534640">
    <w:abstractNumId w:val="13"/>
  </w:num>
  <w:num w:numId="10" w16cid:durableId="2070879869">
    <w:abstractNumId w:val="7"/>
  </w:num>
  <w:num w:numId="11" w16cid:durableId="1037270234">
    <w:abstractNumId w:val="8"/>
  </w:num>
  <w:num w:numId="12" w16cid:durableId="1538933211">
    <w:abstractNumId w:val="26"/>
  </w:num>
  <w:num w:numId="13" w16cid:durableId="1698382713">
    <w:abstractNumId w:val="24"/>
  </w:num>
  <w:num w:numId="14" w16cid:durableId="708800243">
    <w:abstractNumId w:val="19"/>
  </w:num>
  <w:num w:numId="15" w16cid:durableId="312566856">
    <w:abstractNumId w:val="25"/>
  </w:num>
  <w:num w:numId="16" w16cid:durableId="2014407450">
    <w:abstractNumId w:val="3"/>
  </w:num>
  <w:num w:numId="17" w16cid:durableId="1482766793">
    <w:abstractNumId w:val="21"/>
  </w:num>
  <w:num w:numId="18" w16cid:durableId="1445231291">
    <w:abstractNumId w:val="0"/>
  </w:num>
  <w:num w:numId="19" w16cid:durableId="1049257430">
    <w:abstractNumId w:val="6"/>
  </w:num>
  <w:num w:numId="20" w16cid:durableId="1414349786">
    <w:abstractNumId w:val="12"/>
  </w:num>
  <w:num w:numId="21" w16cid:durableId="1742219067">
    <w:abstractNumId w:val="15"/>
  </w:num>
  <w:num w:numId="22" w16cid:durableId="1696878907">
    <w:abstractNumId w:val="1"/>
  </w:num>
  <w:num w:numId="23" w16cid:durableId="1140850698">
    <w:abstractNumId w:val="5"/>
  </w:num>
  <w:num w:numId="24" w16cid:durableId="92553938">
    <w:abstractNumId w:val="14"/>
  </w:num>
  <w:num w:numId="25" w16cid:durableId="1154375161">
    <w:abstractNumId w:val="2"/>
  </w:num>
  <w:num w:numId="26" w16cid:durableId="738402575">
    <w:abstractNumId w:val="18"/>
  </w:num>
  <w:num w:numId="27" w16cid:durableId="198465712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1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D7"/>
    <w:rsid w:val="000004F0"/>
    <w:rsid w:val="00002BB0"/>
    <w:rsid w:val="00005FA8"/>
    <w:rsid w:val="0001000D"/>
    <w:rsid w:val="000101CA"/>
    <w:rsid w:val="000107C7"/>
    <w:rsid w:val="00011311"/>
    <w:rsid w:val="00011394"/>
    <w:rsid w:val="000114B6"/>
    <w:rsid w:val="0001248F"/>
    <w:rsid w:val="000136C1"/>
    <w:rsid w:val="0001377E"/>
    <w:rsid w:val="00014069"/>
    <w:rsid w:val="00014578"/>
    <w:rsid w:val="000145FD"/>
    <w:rsid w:val="00014AED"/>
    <w:rsid w:val="00015795"/>
    <w:rsid w:val="000169A3"/>
    <w:rsid w:val="00016AEC"/>
    <w:rsid w:val="000171D5"/>
    <w:rsid w:val="00020893"/>
    <w:rsid w:val="00020B7E"/>
    <w:rsid w:val="000214E8"/>
    <w:rsid w:val="000221BA"/>
    <w:rsid w:val="0002286C"/>
    <w:rsid w:val="00022944"/>
    <w:rsid w:val="00023BB2"/>
    <w:rsid w:val="00023CB4"/>
    <w:rsid w:val="00024216"/>
    <w:rsid w:val="0002427D"/>
    <w:rsid w:val="00024819"/>
    <w:rsid w:val="00024B91"/>
    <w:rsid w:val="00024E33"/>
    <w:rsid w:val="000250FD"/>
    <w:rsid w:val="000252C6"/>
    <w:rsid w:val="000259DA"/>
    <w:rsid w:val="00027A69"/>
    <w:rsid w:val="00027E87"/>
    <w:rsid w:val="00027F9B"/>
    <w:rsid w:val="0003001D"/>
    <w:rsid w:val="00030037"/>
    <w:rsid w:val="0003049C"/>
    <w:rsid w:val="000312EA"/>
    <w:rsid w:val="00031AEC"/>
    <w:rsid w:val="00032F9D"/>
    <w:rsid w:val="000352F5"/>
    <w:rsid w:val="00037939"/>
    <w:rsid w:val="0004075D"/>
    <w:rsid w:val="0004078C"/>
    <w:rsid w:val="00040B99"/>
    <w:rsid w:val="00040DAA"/>
    <w:rsid w:val="000429C9"/>
    <w:rsid w:val="00042C75"/>
    <w:rsid w:val="00042F31"/>
    <w:rsid w:val="000442E7"/>
    <w:rsid w:val="00044902"/>
    <w:rsid w:val="00045024"/>
    <w:rsid w:val="00045B20"/>
    <w:rsid w:val="00045BDD"/>
    <w:rsid w:val="00046089"/>
    <w:rsid w:val="00046845"/>
    <w:rsid w:val="00046F96"/>
    <w:rsid w:val="0004763B"/>
    <w:rsid w:val="00047D5C"/>
    <w:rsid w:val="000500D2"/>
    <w:rsid w:val="00050BEE"/>
    <w:rsid w:val="00050DFA"/>
    <w:rsid w:val="00050EEC"/>
    <w:rsid w:val="0005186A"/>
    <w:rsid w:val="000520C3"/>
    <w:rsid w:val="000525A7"/>
    <w:rsid w:val="000525C7"/>
    <w:rsid w:val="00053904"/>
    <w:rsid w:val="0005402F"/>
    <w:rsid w:val="00054BE4"/>
    <w:rsid w:val="00054F1A"/>
    <w:rsid w:val="000562A3"/>
    <w:rsid w:val="00056691"/>
    <w:rsid w:val="000567D4"/>
    <w:rsid w:val="00056DD1"/>
    <w:rsid w:val="00056F76"/>
    <w:rsid w:val="000577AF"/>
    <w:rsid w:val="00057925"/>
    <w:rsid w:val="00057A15"/>
    <w:rsid w:val="00057C2A"/>
    <w:rsid w:val="00057C97"/>
    <w:rsid w:val="000613F0"/>
    <w:rsid w:val="000627CE"/>
    <w:rsid w:val="00063405"/>
    <w:rsid w:val="00063682"/>
    <w:rsid w:val="00063B5A"/>
    <w:rsid w:val="00064504"/>
    <w:rsid w:val="00064C73"/>
    <w:rsid w:val="00064E0F"/>
    <w:rsid w:val="00065728"/>
    <w:rsid w:val="000660FC"/>
    <w:rsid w:val="00066641"/>
    <w:rsid w:val="0006667F"/>
    <w:rsid w:val="000679B6"/>
    <w:rsid w:val="00067CA8"/>
    <w:rsid w:val="000710A3"/>
    <w:rsid w:val="00071ACE"/>
    <w:rsid w:val="000723B2"/>
    <w:rsid w:val="00074147"/>
    <w:rsid w:val="00074BB7"/>
    <w:rsid w:val="0007624D"/>
    <w:rsid w:val="00076B83"/>
    <w:rsid w:val="00076DC4"/>
    <w:rsid w:val="00080180"/>
    <w:rsid w:val="0008092B"/>
    <w:rsid w:val="00080EE3"/>
    <w:rsid w:val="00081B3B"/>
    <w:rsid w:val="00082836"/>
    <w:rsid w:val="00082AF8"/>
    <w:rsid w:val="00082BE1"/>
    <w:rsid w:val="0008317D"/>
    <w:rsid w:val="000835CE"/>
    <w:rsid w:val="00083B63"/>
    <w:rsid w:val="00084207"/>
    <w:rsid w:val="0008436B"/>
    <w:rsid w:val="00084932"/>
    <w:rsid w:val="00084BE1"/>
    <w:rsid w:val="0008532E"/>
    <w:rsid w:val="0008582A"/>
    <w:rsid w:val="000863CA"/>
    <w:rsid w:val="0008739C"/>
    <w:rsid w:val="00090182"/>
    <w:rsid w:val="000905EB"/>
    <w:rsid w:val="0009160F"/>
    <w:rsid w:val="0009165A"/>
    <w:rsid w:val="000926EC"/>
    <w:rsid w:val="00092F03"/>
    <w:rsid w:val="00092F24"/>
    <w:rsid w:val="00093959"/>
    <w:rsid w:val="000942A7"/>
    <w:rsid w:val="00094C5B"/>
    <w:rsid w:val="00095282"/>
    <w:rsid w:val="0009532F"/>
    <w:rsid w:val="000955A9"/>
    <w:rsid w:val="00095B07"/>
    <w:rsid w:val="00097FD3"/>
    <w:rsid w:val="000A097F"/>
    <w:rsid w:val="000A23E7"/>
    <w:rsid w:val="000A2856"/>
    <w:rsid w:val="000A2970"/>
    <w:rsid w:val="000A39AE"/>
    <w:rsid w:val="000A40C0"/>
    <w:rsid w:val="000A4387"/>
    <w:rsid w:val="000A5D36"/>
    <w:rsid w:val="000A6BFD"/>
    <w:rsid w:val="000A761E"/>
    <w:rsid w:val="000A7768"/>
    <w:rsid w:val="000B0B97"/>
    <w:rsid w:val="000B12DF"/>
    <w:rsid w:val="000B1B73"/>
    <w:rsid w:val="000B2300"/>
    <w:rsid w:val="000B28CD"/>
    <w:rsid w:val="000B2AE7"/>
    <w:rsid w:val="000B2D29"/>
    <w:rsid w:val="000B2D85"/>
    <w:rsid w:val="000B40C4"/>
    <w:rsid w:val="000B4370"/>
    <w:rsid w:val="000B46D4"/>
    <w:rsid w:val="000B48F2"/>
    <w:rsid w:val="000B4E91"/>
    <w:rsid w:val="000B5227"/>
    <w:rsid w:val="000B56F1"/>
    <w:rsid w:val="000B5D78"/>
    <w:rsid w:val="000B6063"/>
    <w:rsid w:val="000C087D"/>
    <w:rsid w:val="000C0EE9"/>
    <w:rsid w:val="000C0F4A"/>
    <w:rsid w:val="000C1F01"/>
    <w:rsid w:val="000C254B"/>
    <w:rsid w:val="000C3520"/>
    <w:rsid w:val="000C3CB0"/>
    <w:rsid w:val="000C41EF"/>
    <w:rsid w:val="000C42B9"/>
    <w:rsid w:val="000C6025"/>
    <w:rsid w:val="000C726C"/>
    <w:rsid w:val="000C7578"/>
    <w:rsid w:val="000C7A6F"/>
    <w:rsid w:val="000C7CEB"/>
    <w:rsid w:val="000D05A0"/>
    <w:rsid w:val="000D0BA0"/>
    <w:rsid w:val="000D0CD1"/>
    <w:rsid w:val="000D1440"/>
    <w:rsid w:val="000D1A33"/>
    <w:rsid w:val="000D20BF"/>
    <w:rsid w:val="000D226B"/>
    <w:rsid w:val="000D30B5"/>
    <w:rsid w:val="000D336E"/>
    <w:rsid w:val="000D37CA"/>
    <w:rsid w:val="000D3AD2"/>
    <w:rsid w:val="000D3BB0"/>
    <w:rsid w:val="000D41CE"/>
    <w:rsid w:val="000D45DF"/>
    <w:rsid w:val="000D574E"/>
    <w:rsid w:val="000D647E"/>
    <w:rsid w:val="000D6D6A"/>
    <w:rsid w:val="000D775D"/>
    <w:rsid w:val="000D78B6"/>
    <w:rsid w:val="000E0339"/>
    <w:rsid w:val="000E1B11"/>
    <w:rsid w:val="000E1D68"/>
    <w:rsid w:val="000E339D"/>
    <w:rsid w:val="000E3841"/>
    <w:rsid w:val="000E3CB4"/>
    <w:rsid w:val="000E3D65"/>
    <w:rsid w:val="000E3E2D"/>
    <w:rsid w:val="000E4FE5"/>
    <w:rsid w:val="000E67F2"/>
    <w:rsid w:val="000E6FD8"/>
    <w:rsid w:val="000E7985"/>
    <w:rsid w:val="000F06B7"/>
    <w:rsid w:val="000F0D50"/>
    <w:rsid w:val="000F1498"/>
    <w:rsid w:val="000F1AB7"/>
    <w:rsid w:val="000F2398"/>
    <w:rsid w:val="000F265E"/>
    <w:rsid w:val="000F3082"/>
    <w:rsid w:val="000F42C1"/>
    <w:rsid w:val="000F46D7"/>
    <w:rsid w:val="000F47F4"/>
    <w:rsid w:val="000F48D1"/>
    <w:rsid w:val="000F4BC1"/>
    <w:rsid w:val="000F5070"/>
    <w:rsid w:val="000F52D3"/>
    <w:rsid w:val="000F5724"/>
    <w:rsid w:val="000F58D4"/>
    <w:rsid w:val="000F5990"/>
    <w:rsid w:val="000F61E8"/>
    <w:rsid w:val="000F66C1"/>
    <w:rsid w:val="000F6CA3"/>
    <w:rsid w:val="000F6DFB"/>
    <w:rsid w:val="000F737F"/>
    <w:rsid w:val="001003A6"/>
    <w:rsid w:val="001004CD"/>
    <w:rsid w:val="00100914"/>
    <w:rsid w:val="00100E03"/>
    <w:rsid w:val="0010101E"/>
    <w:rsid w:val="00101305"/>
    <w:rsid w:val="001015B6"/>
    <w:rsid w:val="0010191D"/>
    <w:rsid w:val="001020A0"/>
    <w:rsid w:val="001026F0"/>
    <w:rsid w:val="0010304D"/>
    <w:rsid w:val="00103089"/>
    <w:rsid w:val="0010429C"/>
    <w:rsid w:val="00104675"/>
    <w:rsid w:val="00104921"/>
    <w:rsid w:val="00104DE1"/>
    <w:rsid w:val="00104E6A"/>
    <w:rsid w:val="001053AE"/>
    <w:rsid w:val="0010642F"/>
    <w:rsid w:val="00107D4D"/>
    <w:rsid w:val="0011044A"/>
    <w:rsid w:val="00110C44"/>
    <w:rsid w:val="00111BBE"/>
    <w:rsid w:val="00111F0C"/>
    <w:rsid w:val="0011263C"/>
    <w:rsid w:val="00112F22"/>
    <w:rsid w:val="0011395C"/>
    <w:rsid w:val="00113C6C"/>
    <w:rsid w:val="001144DA"/>
    <w:rsid w:val="00115269"/>
    <w:rsid w:val="001154C5"/>
    <w:rsid w:val="0011580E"/>
    <w:rsid w:val="00115B1D"/>
    <w:rsid w:val="001168FA"/>
    <w:rsid w:val="00117939"/>
    <w:rsid w:val="00117CF3"/>
    <w:rsid w:val="00120176"/>
    <w:rsid w:val="0012049E"/>
    <w:rsid w:val="00120E8C"/>
    <w:rsid w:val="001214E4"/>
    <w:rsid w:val="0012186E"/>
    <w:rsid w:val="00121A09"/>
    <w:rsid w:val="00121AA7"/>
    <w:rsid w:val="00121E9A"/>
    <w:rsid w:val="00122424"/>
    <w:rsid w:val="00122FE0"/>
    <w:rsid w:val="0012360A"/>
    <w:rsid w:val="00123876"/>
    <w:rsid w:val="001239A7"/>
    <w:rsid w:val="00123F47"/>
    <w:rsid w:val="001242B4"/>
    <w:rsid w:val="001246E4"/>
    <w:rsid w:val="0012489A"/>
    <w:rsid w:val="001249E9"/>
    <w:rsid w:val="00125CF7"/>
    <w:rsid w:val="00125EC3"/>
    <w:rsid w:val="001261C5"/>
    <w:rsid w:val="0012647E"/>
    <w:rsid w:val="00130706"/>
    <w:rsid w:val="001308C6"/>
    <w:rsid w:val="00130C3C"/>
    <w:rsid w:val="00131086"/>
    <w:rsid w:val="00131E2F"/>
    <w:rsid w:val="00132064"/>
    <w:rsid w:val="00132538"/>
    <w:rsid w:val="00132C19"/>
    <w:rsid w:val="00132D26"/>
    <w:rsid w:val="00133314"/>
    <w:rsid w:val="00133827"/>
    <w:rsid w:val="00133844"/>
    <w:rsid w:val="00133CBE"/>
    <w:rsid w:val="001347D4"/>
    <w:rsid w:val="00134CE4"/>
    <w:rsid w:val="00134DA3"/>
    <w:rsid w:val="00134EA2"/>
    <w:rsid w:val="001356FF"/>
    <w:rsid w:val="001363A7"/>
    <w:rsid w:val="00136402"/>
    <w:rsid w:val="001367BC"/>
    <w:rsid w:val="00136B84"/>
    <w:rsid w:val="001373BC"/>
    <w:rsid w:val="0014025F"/>
    <w:rsid w:val="001402B5"/>
    <w:rsid w:val="001403A4"/>
    <w:rsid w:val="001409C9"/>
    <w:rsid w:val="0014120E"/>
    <w:rsid w:val="00141507"/>
    <w:rsid w:val="00142AF2"/>
    <w:rsid w:val="001430D8"/>
    <w:rsid w:val="001438AF"/>
    <w:rsid w:val="001439AC"/>
    <w:rsid w:val="00143BDE"/>
    <w:rsid w:val="00144F48"/>
    <w:rsid w:val="00144FB0"/>
    <w:rsid w:val="00145E4F"/>
    <w:rsid w:val="00146491"/>
    <w:rsid w:val="001500B5"/>
    <w:rsid w:val="00150197"/>
    <w:rsid w:val="00150B2C"/>
    <w:rsid w:val="00152698"/>
    <w:rsid w:val="00152B0B"/>
    <w:rsid w:val="00153242"/>
    <w:rsid w:val="00153CD7"/>
    <w:rsid w:val="00154D09"/>
    <w:rsid w:val="001553E0"/>
    <w:rsid w:val="00155F04"/>
    <w:rsid w:val="001560A9"/>
    <w:rsid w:val="00156F1D"/>
    <w:rsid w:val="001571B0"/>
    <w:rsid w:val="001575C1"/>
    <w:rsid w:val="00157892"/>
    <w:rsid w:val="0016045B"/>
    <w:rsid w:val="00160BA9"/>
    <w:rsid w:val="00161810"/>
    <w:rsid w:val="00161D4B"/>
    <w:rsid w:val="0016203B"/>
    <w:rsid w:val="00163A57"/>
    <w:rsid w:val="00163B53"/>
    <w:rsid w:val="00164325"/>
    <w:rsid w:val="0016558F"/>
    <w:rsid w:val="001674EC"/>
    <w:rsid w:val="00167C4F"/>
    <w:rsid w:val="00167CB7"/>
    <w:rsid w:val="0017070F"/>
    <w:rsid w:val="00170944"/>
    <w:rsid w:val="00170A9E"/>
    <w:rsid w:val="00171008"/>
    <w:rsid w:val="001710AA"/>
    <w:rsid w:val="00171E8A"/>
    <w:rsid w:val="00171F3C"/>
    <w:rsid w:val="0017264A"/>
    <w:rsid w:val="00173798"/>
    <w:rsid w:val="0017441B"/>
    <w:rsid w:val="0017441E"/>
    <w:rsid w:val="001748A9"/>
    <w:rsid w:val="00175B95"/>
    <w:rsid w:val="00176275"/>
    <w:rsid w:val="00176808"/>
    <w:rsid w:val="001768C0"/>
    <w:rsid w:val="00176EB8"/>
    <w:rsid w:val="00177E19"/>
    <w:rsid w:val="00180539"/>
    <w:rsid w:val="00180F61"/>
    <w:rsid w:val="00181FD7"/>
    <w:rsid w:val="00182583"/>
    <w:rsid w:val="0018425F"/>
    <w:rsid w:val="00184303"/>
    <w:rsid w:val="00184349"/>
    <w:rsid w:val="00184A99"/>
    <w:rsid w:val="001854A9"/>
    <w:rsid w:val="00186036"/>
    <w:rsid w:val="001865E7"/>
    <w:rsid w:val="0018727A"/>
    <w:rsid w:val="00187402"/>
    <w:rsid w:val="00187A3D"/>
    <w:rsid w:val="00187BF2"/>
    <w:rsid w:val="00190F2A"/>
    <w:rsid w:val="00191A4A"/>
    <w:rsid w:val="00192A05"/>
    <w:rsid w:val="00193C09"/>
    <w:rsid w:val="0019426E"/>
    <w:rsid w:val="001947F7"/>
    <w:rsid w:val="00194E8A"/>
    <w:rsid w:val="0019535A"/>
    <w:rsid w:val="001956E9"/>
    <w:rsid w:val="0019576E"/>
    <w:rsid w:val="00195AA5"/>
    <w:rsid w:val="001968A1"/>
    <w:rsid w:val="00196CB0"/>
    <w:rsid w:val="00197615"/>
    <w:rsid w:val="00197AEC"/>
    <w:rsid w:val="001A0074"/>
    <w:rsid w:val="001A03EC"/>
    <w:rsid w:val="001A0FE0"/>
    <w:rsid w:val="001A1B37"/>
    <w:rsid w:val="001A1E92"/>
    <w:rsid w:val="001A2F6F"/>
    <w:rsid w:val="001A3AC4"/>
    <w:rsid w:val="001A4839"/>
    <w:rsid w:val="001A4A91"/>
    <w:rsid w:val="001A62B0"/>
    <w:rsid w:val="001A6820"/>
    <w:rsid w:val="001A6F95"/>
    <w:rsid w:val="001A77D9"/>
    <w:rsid w:val="001A7A84"/>
    <w:rsid w:val="001A7BA3"/>
    <w:rsid w:val="001A7CD1"/>
    <w:rsid w:val="001A7CE1"/>
    <w:rsid w:val="001A7CE5"/>
    <w:rsid w:val="001B02C7"/>
    <w:rsid w:val="001B1434"/>
    <w:rsid w:val="001B2251"/>
    <w:rsid w:val="001B2B44"/>
    <w:rsid w:val="001B3BAF"/>
    <w:rsid w:val="001B4640"/>
    <w:rsid w:val="001B48B0"/>
    <w:rsid w:val="001B4D1A"/>
    <w:rsid w:val="001B77FD"/>
    <w:rsid w:val="001B79B1"/>
    <w:rsid w:val="001C064E"/>
    <w:rsid w:val="001C099B"/>
    <w:rsid w:val="001C0B5C"/>
    <w:rsid w:val="001C0CCD"/>
    <w:rsid w:val="001C16D6"/>
    <w:rsid w:val="001C172E"/>
    <w:rsid w:val="001C245C"/>
    <w:rsid w:val="001C3004"/>
    <w:rsid w:val="001C377F"/>
    <w:rsid w:val="001C3D6D"/>
    <w:rsid w:val="001C6518"/>
    <w:rsid w:val="001C6772"/>
    <w:rsid w:val="001C6B6D"/>
    <w:rsid w:val="001C7034"/>
    <w:rsid w:val="001C794A"/>
    <w:rsid w:val="001D0504"/>
    <w:rsid w:val="001D0A15"/>
    <w:rsid w:val="001D0A79"/>
    <w:rsid w:val="001D18F6"/>
    <w:rsid w:val="001D1A38"/>
    <w:rsid w:val="001D1DE8"/>
    <w:rsid w:val="001D232C"/>
    <w:rsid w:val="001D2A08"/>
    <w:rsid w:val="001D2E1D"/>
    <w:rsid w:val="001D3073"/>
    <w:rsid w:val="001D30F8"/>
    <w:rsid w:val="001D33EB"/>
    <w:rsid w:val="001D3512"/>
    <w:rsid w:val="001D356C"/>
    <w:rsid w:val="001D3932"/>
    <w:rsid w:val="001D3AEA"/>
    <w:rsid w:val="001D3AF5"/>
    <w:rsid w:val="001D3F60"/>
    <w:rsid w:val="001D4BD2"/>
    <w:rsid w:val="001D581B"/>
    <w:rsid w:val="001D5A74"/>
    <w:rsid w:val="001D5A77"/>
    <w:rsid w:val="001D6594"/>
    <w:rsid w:val="001D679B"/>
    <w:rsid w:val="001D6A77"/>
    <w:rsid w:val="001D78A6"/>
    <w:rsid w:val="001D7C27"/>
    <w:rsid w:val="001D7C57"/>
    <w:rsid w:val="001E0CF1"/>
    <w:rsid w:val="001E1930"/>
    <w:rsid w:val="001E2195"/>
    <w:rsid w:val="001E40F1"/>
    <w:rsid w:val="001E4636"/>
    <w:rsid w:val="001E4B42"/>
    <w:rsid w:val="001E4C2C"/>
    <w:rsid w:val="001E51D1"/>
    <w:rsid w:val="001E6005"/>
    <w:rsid w:val="001E70DA"/>
    <w:rsid w:val="001E7B72"/>
    <w:rsid w:val="001E7F2A"/>
    <w:rsid w:val="001F0B6A"/>
    <w:rsid w:val="001F11D5"/>
    <w:rsid w:val="001F1841"/>
    <w:rsid w:val="001F2292"/>
    <w:rsid w:val="001F33BA"/>
    <w:rsid w:val="001F3508"/>
    <w:rsid w:val="001F37E7"/>
    <w:rsid w:val="001F40C8"/>
    <w:rsid w:val="001F4277"/>
    <w:rsid w:val="001F4793"/>
    <w:rsid w:val="001F4BB4"/>
    <w:rsid w:val="001F4C61"/>
    <w:rsid w:val="001F5570"/>
    <w:rsid w:val="001F6261"/>
    <w:rsid w:val="001F63C2"/>
    <w:rsid w:val="001F67FC"/>
    <w:rsid w:val="001F77F7"/>
    <w:rsid w:val="0020065F"/>
    <w:rsid w:val="00201412"/>
    <w:rsid w:val="002019DC"/>
    <w:rsid w:val="00201A8A"/>
    <w:rsid w:val="00201B8C"/>
    <w:rsid w:val="002022E4"/>
    <w:rsid w:val="0020242C"/>
    <w:rsid w:val="00202B99"/>
    <w:rsid w:val="00202E8F"/>
    <w:rsid w:val="00203305"/>
    <w:rsid w:val="002042D1"/>
    <w:rsid w:val="002044F9"/>
    <w:rsid w:val="0020453D"/>
    <w:rsid w:val="002052ED"/>
    <w:rsid w:val="0020554F"/>
    <w:rsid w:val="002056FF"/>
    <w:rsid w:val="002066CB"/>
    <w:rsid w:val="002069BE"/>
    <w:rsid w:val="00207BA8"/>
    <w:rsid w:val="00207C08"/>
    <w:rsid w:val="00207FE9"/>
    <w:rsid w:val="00210200"/>
    <w:rsid w:val="002103D8"/>
    <w:rsid w:val="002109E8"/>
    <w:rsid w:val="00211303"/>
    <w:rsid w:val="00211404"/>
    <w:rsid w:val="0021225E"/>
    <w:rsid w:val="0021260F"/>
    <w:rsid w:val="00213128"/>
    <w:rsid w:val="0021395F"/>
    <w:rsid w:val="00214DC9"/>
    <w:rsid w:val="00214F10"/>
    <w:rsid w:val="00214FF3"/>
    <w:rsid w:val="00215A76"/>
    <w:rsid w:val="00215CEF"/>
    <w:rsid w:val="00215E2B"/>
    <w:rsid w:val="00215F96"/>
    <w:rsid w:val="002169E5"/>
    <w:rsid w:val="00216BEF"/>
    <w:rsid w:val="00216C55"/>
    <w:rsid w:val="00217909"/>
    <w:rsid w:val="002201B3"/>
    <w:rsid w:val="00220756"/>
    <w:rsid w:val="00222080"/>
    <w:rsid w:val="00224197"/>
    <w:rsid w:val="00224CF1"/>
    <w:rsid w:val="0022518D"/>
    <w:rsid w:val="00225766"/>
    <w:rsid w:val="002257D0"/>
    <w:rsid w:val="00225BC6"/>
    <w:rsid w:val="00225EC2"/>
    <w:rsid w:val="00226A5E"/>
    <w:rsid w:val="00226A73"/>
    <w:rsid w:val="002274C3"/>
    <w:rsid w:val="002275DA"/>
    <w:rsid w:val="00227B17"/>
    <w:rsid w:val="00227CDB"/>
    <w:rsid w:val="00230029"/>
    <w:rsid w:val="002311B3"/>
    <w:rsid w:val="0023196B"/>
    <w:rsid w:val="00232469"/>
    <w:rsid w:val="00232A01"/>
    <w:rsid w:val="00233092"/>
    <w:rsid w:val="00233679"/>
    <w:rsid w:val="002342CB"/>
    <w:rsid w:val="002355A7"/>
    <w:rsid w:val="002359E7"/>
    <w:rsid w:val="002362E9"/>
    <w:rsid w:val="002368B8"/>
    <w:rsid w:val="00236980"/>
    <w:rsid w:val="00236AE6"/>
    <w:rsid w:val="00240702"/>
    <w:rsid w:val="00240891"/>
    <w:rsid w:val="00241C66"/>
    <w:rsid w:val="002428D9"/>
    <w:rsid w:val="002438A1"/>
    <w:rsid w:val="00243E48"/>
    <w:rsid w:val="00245118"/>
    <w:rsid w:val="0024546D"/>
    <w:rsid w:val="0024587A"/>
    <w:rsid w:val="00245C50"/>
    <w:rsid w:val="00246007"/>
    <w:rsid w:val="00246E20"/>
    <w:rsid w:val="002472A3"/>
    <w:rsid w:val="002472B7"/>
    <w:rsid w:val="00247C7B"/>
    <w:rsid w:val="00250A80"/>
    <w:rsid w:val="002525A1"/>
    <w:rsid w:val="002529EB"/>
    <w:rsid w:val="00252A94"/>
    <w:rsid w:val="002537E8"/>
    <w:rsid w:val="00253880"/>
    <w:rsid w:val="00253C8B"/>
    <w:rsid w:val="002541E1"/>
    <w:rsid w:val="00254236"/>
    <w:rsid w:val="002548A4"/>
    <w:rsid w:val="002552C9"/>
    <w:rsid w:val="00255B0B"/>
    <w:rsid w:val="00255C32"/>
    <w:rsid w:val="002565A7"/>
    <w:rsid w:val="00256741"/>
    <w:rsid w:val="0025787B"/>
    <w:rsid w:val="00257DE3"/>
    <w:rsid w:val="00260E49"/>
    <w:rsid w:val="00260E8C"/>
    <w:rsid w:val="00261AD5"/>
    <w:rsid w:val="00261E65"/>
    <w:rsid w:val="00261FF1"/>
    <w:rsid w:val="00262D31"/>
    <w:rsid w:val="00262E8C"/>
    <w:rsid w:val="00263B7C"/>
    <w:rsid w:val="00264024"/>
    <w:rsid w:val="002658DF"/>
    <w:rsid w:val="002663A8"/>
    <w:rsid w:val="00266FC7"/>
    <w:rsid w:val="0026765F"/>
    <w:rsid w:val="00267C1A"/>
    <w:rsid w:val="0027030C"/>
    <w:rsid w:val="0027111E"/>
    <w:rsid w:val="00271123"/>
    <w:rsid w:val="00271AFB"/>
    <w:rsid w:val="002723A4"/>
    <w:rsid w:val="00272DBD"/>
    <w:rsid w:val="00273075"/>
    <w:rsid w:val="00273FF1"/>
    <w:rsid w:val="00274859"/>
    <w:rsid w:val="00274D09"/>
    <w:rsid w:val="00275AF9"/>
    <w:rsid w:val="00276B9A"/>
    <w:rsid w:val="00277573"/>
    <w:rsid w:val="00277FCE"/>
    <w:rsid w:val="00280750"/>
    <w:rsid w:val="002821AC"/>
    <w:rsid w:val="0028246F"/>
    <w:rsid w:val="00282691"/>
    <w:rsid w:val="00282B9F"/>
    <w:rsid w:val="002837AE"/>
    <w:rsid w:val="00283BDA"/>
    <w:rsid w:val="00283C67"/>
    <w:rsid w:val="00284C5F"/>
    <w:rsid w:val="002857AD"/>
    <w:rsid w:val="00285D23"/>
    <w:rsid w:val="00285E4B"/>
    <w:rsid w:val="00286996"/>
    <w:rsid w:val="00287910"/>
    <w:rsid w:val="00287BC4"/>
    <w:rsid w:val="00287BF8"/>
    <w:rsid w:val="0029025A"/>
    <w:rsid w:val="00290369"/>
    <w:rsid w:val="002914CB"/>
    <w:rsid w:val="002919DF"/>
    <w:rsid w:val="0029319C"/>
    <w:rsid w:val="00293D47"/>
    <w:rsid w:val="002944D4"/>
    <w:rsid w:val="00294694"/>
    <w:rsid w:val="002960E3"/>
    <w:rsid w:val="00296F88"/>
    <w:rsid w:val="00297797"/>
    <w:rsid w:val="002979CA"/>
    <w:rsid w:val="00297A42"/>
    <w:rsid w:val="002A09AB"/>
    <w:rsid w:val="002A1E15"/>
    <w:rsid w:val="002A2055"/>
    <w:rsid w:val="002A248C"/>
    <w:rsid w:val="002A2D80"/>
    <w:rsid w:val="002A2FF4"/>
    <w:rsid w:val="002A301D"/>
    <w:rsid w:val="002A34BA"/>
    <w:rsid w:val="002A3796"/>
    <w:rsid w:val="002A3D55"/>
    <w:rsid w:val="002A4873"/>
    <w:rsid w:val="002A4A0B"/>
    <w:rsid w:val="002A5763"/>
    <w:rsid w:val="002A613B"/>
    <w:rsid w:val="002A772A"/>
    <w:rsid w:val="002A7C59"/>
    <w:rsid w:val="002B0532"/>
    <w:rsid w:val="002B15FC"/>
    <w:rsid w:val="002B20EB"/>
    <w:rsid w:val="002B26BA"/>
    <w:rsid w:val="002B2B80"/>
    <w:rsid w:val="002B38B6"/>
    <w:rsid w:val="002B414D"/>
    <w:rsid w:val="002B44EC"/>
    <w:rsid w:val="002B49A1"/>
    <w:rsid w:val="002B5590"/>
    <w:rsid w:val="002B5968"/>
    <w:rsid w:val="002B608B"/>
    <w:rsid w:val="002B650A"/>
    <w:rsid w:val="002B6AF6"/>
    <w:rsid w:val="002B7275"/>
    <w:rsid w:val="002B7D7A"/>
    <w:rsid w:val="002C070D"/>
    <w:rsid w:val="002C12E4"/>
    <w:rsid w:val="002C15CF"/>
    <w:rsid w:val="002C1B2B"/>
    <w:rsid w:val="002C27B6"/>
    <w:rsid w:val="002C2F10"/>
    <w:rsid w:val="002C3563"/>
    <w:rsid w:val="002C3DAD"/>
    <w:rsid w:val="002C5BDE"/>
    <w:rsid w:val="002C7655"/>
    <w:rsid w:val="002D09EF"/>
    <w:rsid w:val="002D1C03"/>
    <w:rsid w:val="002D1CFE"/>
    <w:rsid w:val="002D1EA4"/>
    <w:rsid w:val="002D2500"/>
    <w:rsid w:val="002D2E7E"/>
    <w:rsid w:val="002D3922"/>
    <w:rsid w:val="002D4E27"/>
    <w:rsid w:val="002D5B69"/>
    <w:rsid w:val="002D6041"/>
    <w:rsid w:val="002D67D2"/>
    <w:rsid w:val="002D6956"/>
    <w:rsid w:val="002D6A6C"/>
    <w:rsid w:val="002D6D9D"/>
    <w:rsid w:val="002D6F09"/>
    <w:rsid w:val="002E03B6"/>
    <w:rsid w:val="002E0856"/>
    <w:rsid w:val="002E21E2"/>
    <w:rsid w:val="002E268D"/>
    <w:rsid w:val="002E316D"/>
    <w:rsid w:val="002E3468"/>
    <w:rsid w:val="002E3B35"/>
    <w:rsid w:val="002E3BE7"/>
    <w:rsid w:val="002E4AAA"/>
    <w:rsid w:val="002E5804"/>
    <w:rsid w:val="002E7421"/>
    <w:rsid w:val="002E759D"/>
    <w:rsid w:val="002F133C"/>
    <w:rsid w:val="002F1E9E"/>
    <w:rsid w:val="002F2E1B"/>
    <w:rsid w:val="002F3251"/>
    <w:rsid w:val="002F32DB"/>
    <w:rsid w:val="002F3A9B"/>
    <w:rsid w:val="002F3C14"/>
    <w:rsid w:val="002F3F64"/>
    <w:rsid w:val="002F4E68"/>
    <w:rsid w:val="002F5E9E"/>
    <w:rsid w:val="00300AA9"/>
    <w:rsid w:val="00300CD6"/>
    <w:rsid w:val="003016FD"/>
    <w:rsid w:val="003018E1"/>
    <w:rsid w:val="00301B3F"/>
    <w:rsid w:val="00302245"/>
    <w:rsid w:val="00303657"/>
    <w:rsid w:val="00303F64"/>
    <w:rsid w:val="003056BD"/>
    <w:rsid w:val="00306829"/>
    <w:rsid w:val="00306D03"/>
    <w:rsid w:val="00306E70"/>
    <w:rsid w:val="003078B3"/>
    <w:rsid w:val="00307941"/>
    <w:rsid w:val="00307A6A"/>
    <w:rsid w:val="00307AF8"/>
    <w:rsid w:val="00307F61"/>
    <w:rsid w:val="0031128E"/>
    <w:rsid w:val="00311711"/>
    <w:rsid w:val="003117DB"/>
    <w:rsid w:val="0031191E"/>
    <w:rsid w:val="00311DAA"/>
    <w:rsid w:val="0031259D"/>
    <w:rsid w:val="00312EFC"/>
    <w:rsid w:val="003132CF"/>
    <w:rsid w:val="00313487"/>
    <w:rsid w:val="00314E92"/>
    <w:rsid w:val="00315C61"/>
    <w:rsid w:val="003161DA"/>
    <w:rsid w:val="0031724E"/>
    <w:rsid w:val="003205E6"/>
    <w:rsid w:val="0032071D"/>
    <w:rsid w:val="00320D8F"/>
    <w:rsid w:val="00321680"/>
    <w:rsid w:val="00321C77"/>
    <w:rsid w:val="00321CE3"/>
    <w:rsid w:val="00321EFD"/>
    <w:rsid w:val="00321F8A"/>
    <w:rsid w:val="00322578"/>
    <w:rsid w:val="00322CFC"/>
    <w:rsid w:val="003230B4"/>
    <w:rsid w:val="0032350E"/>
    <w:rsid w:val="00324EA2"/>
    <w:rsid w:val="00325204"/>
    <w:rsid w:val="00326475"/>
    <w:rsid w:val="00326ADA"/>
    <w:rsid w:val="0032787B"/>
    <w:rsid w:val="00327C83"/>
    <w:rsid w:val="00330F43"/>
    <w:rsid w:val="0033266B"/>
    <w:rsid w:val="00332B21"/>
    <w:rsid w:val="00332D9B"/>
    <w:rsid w:val="00333100"/>
    <w:rsid w:val="003331ED"/>
    <w:rsid w:val="00333CA1"/>
    <w:rsid w:val="0033421F"/>
    <w:rsid w:val="00334EF2"/>
    <w:rsid w:val="00335903"/>
    <w:rsid w:val="00335DF2"/>
    <w:rsid w:val="00336492"/>
    <w:rsid w:val="0033664B"/>
    <w:rsid w:val="00336D52"/>
    <w:rsid w:val="00336DD3"/>
    <w:rsid w:val="003406E4"/>
    <w:rsid w:val="003406F7"/>
    <w:rsid w:val="00340ACC"/>
    <w:rsid w:val="0034116C"/>
    <w:rsid w:val="00341720"/>
    <w:rsid w:val="00341D24"/>
    <w:rsid w:val="003420A9"/>
    <w:rsid w:val="003427B5"/>
    <w:rsid w:val="00342B50"/>
    <w:rsid w:val="00343678"/>
    <w:rsid w:val="00344C90"/>
    <w:rsid w:val="00344EF1"/>
    <w:rsid w:val="003452A5"/>
    <w:rsid w:val="00345848"/>
    <w:rsid w:val="00345B53"/>
    <w:rsid w:val="00345F8F"/>
    <w:rsid w:val="003461F0"/>
    <w:rsid w:val="00346504"/>
    <w:rsid w:val="0034659E"/>
    <w:rsid w:val="003468C4"/>
    <w:rsid w:val="00346E26"/>
    <w:rsid w:val="003477A1"/>
    <w:rsid w:val="003479B3"/>
    <w:rsid w:val="00347C8D"/>
    <w:rsid w:val="0035025D"/>
    <w:rsid w:val="00350735"/>
    <w:rsid w:val="00350D7D"/>
    <w:rsid w:val="00351808"/>
    <w:rsid w:val="00351D92"/>
    <w:rsid w:val="00352AA7"/>
    <w:rsid w:val="0035439B"/>
    <w:rsid w:val="003548B4"/>
    <w:rsid w:val="00354AC3"/>
    <w:rsid w:val="00355791"/>
    <w:rsid w:val="00355CAC"/>
    <w:rsid w:val="00355E74"/>
    <w:rsid w:val="003562E5"/>
    <w:rsid w:val="00356B41"/>
    <w:rsid w:val="00357091"/>
    <w:rsid w:val="0035740D"/>
    <w:rsid w:val="003579EF"/>
    <w:rsid w:val="00357B0D"/>
    <w:rsid w:val="00357FAE"/>
    <w:rsid w:val="0036067E"/>
    <w:rsid w:val="0036074A"/>
    <w:rsid w:val="00360F55"/>
    <w:rsid w:val="003611A3"/>
    <w:rsid w:val="003618B2"/>
    <w:rsid w:val="00362723"/>
    <w:rsid w:val="00362BD9"/>
    <w:rsid w:val="00362E7C"/>
    <w:rsid w:val="003632D5"/>
    <w:rsid w:val="00364B25"/>
    <w:rsid w:val="0036599C"/>
    <w:rsid w:val="00366739"/>
    <w:rsid w:val="003668B2"/>
    <w:rsid w:val="00366EF3"/>
    <w:rsid w:val="003674B8"/>
    <w:rsid w:val="00367C78"/>
    <w:rsid w:val="003718ED"/>
    <w:rsid w:val="0037214A"/>
    <w:rsid w:val="00372FC2"/>
    <w:rsid w:val="0037317C"/>
    <w:rsid w:val="00373228"/>
    <w:rsid w:val="0037462D"/>
    <w:rsid w:val="00374E88"/>
    <w:rsid w:val="0037561D"/>
    <w:rsid w:val="00375AF9"/>
    <w:rsid w:val="00376346"/>
    <w:rsid w:val="00376B9D"/>
    <w:rsid w:val="00380271"/>
    <w:rsid w:val="00380AB9"/>
    <w:rsid w:val="00380E9F"/>
    <w:rsid w:val="0038158C"/>
    <w:rsid w:val="00381D06"/>
    <w:rsid w:val="003822E9"/>
    <w:rsid w:val="00382752"/>
    <w:rsid w:val="00382D6F"/>
    <w:rsid w:val="00383136"/>
    <w:rsid w:val="00384420"/>
    <w:rsid w:val="00384916"/>
    <w:rsid w:val="00390057"/>
    <w:rsid w:val="003906FC"/>
    <w:rsid w:val="003912F0"/>
    <w:rsid w:val="003922ED"/>
    <w:rsid w:val="00392F5F"/>
    <w:rsid w:val="00393738"/>
    <w:rsid w:val="003939EE"/>
    <w:rsid w:val="00393D80"/>
    <w:rsid w:val="0039419F"/>
    <w:rsid w:val="003946EA"/>
    <w:rsid w:val="00394A51"/>
    <w:rsid w:val="00394B48"/>
    <w:rsid w:val="0039594C"/>
    <w:rsid w:val="00395A90"/>
    <w:rsid w:val="00396BE4"/>
    <w:rsid w:val="00397FBA"/>
    <w:rsid w:val="003A0799"/>
    <w:rsid w:val="003A0CD1"/>
    <w:rsid w:val="003A1194"/>
    <w:rsid w:val="003A20FA"/>
    <w:rsid w:val="003A22B5"/>
    <w:rsid w:val="003A31D7"/>
    <w:rsid w:val="003A355F"/>
    <w:rsid w:val="003A5B0A"/>
    <w:rsid w:val="003A65B9"/>
    <w:rsid w:val="003A7C73"/>
    <w:rsid w:val="003B02AB"/>
    <w:rsid w:val="003B0F31"/>
    <w:rsid w:val="003B12B9"/>
    <w:rsid w:val="003B1331"/>
    <w:rsid w:val="003B19A2"/>
    <w:rsid w:val="003B19FB"/>
    <w:rsid w:val="003B1F35"/>
    <w:rsid w:val="003B25B6"/>
    <w:rsid w:val="003B33C1"/>
    <w:rsid w:val="003B344C"/>
    <w:rsid w:val="003B4054"/>
    <w:rsid w:val="003B417D"/>
    <w:rsid w:val="003B4818"/>
    <w:rsid w:val="003B492C"/>
    <w:rsid w:val="003B4E1B"/>
    <w:rsid w:val="003B51F4"/>
    <w:rsid w:val="003B564B"/>
    <w:rsid w:val="003B6708"/>
    <w:rsid w:val="003B67F8"/>
    <w:rsid w:val="003B6FCC"/>
    <w:rsid w:val="003B7307"/>
    <w:rsid w:val="003C05A6"/>
    <w:rsid w:val="003C09ED"/>
    <w:rsid w:val="003C0C8D"/>
    <w:rsid w:val="003C10A9"/>
    <w:rsid w:val="003C1137"/>
    <w:rsid w:val="003C1451"/>
    <w:rsid w:val="003C2954"/>
    <w:rsid w:val="003C2AC8"/>
    <w:rsid w:val="003C2B45"/>
    <w:rsid w:val="003C3A36"/>
    <w:rsid w:val="003C3D65"/>
    <w:rsid w:val="003C47BB"/>
    <w:rsid w:val="003C58DF"/>
    <w:rsid w:val="003C5D9E"/>
    <w:rsid w:val="003C5E0F"/>
    <w:rsid w:val="003C6467"/>
    <w:rsid w:val="003C6A52"/>
    <w:rsid w:val="003C6C0F"/>
    <w:rsid w:val="003C73E1"/>
    <w:rsid w:val="003C7B0A"/>
    <w:rsid w:val="003D1053"/>
    <w:rsid w:val="003D180E"/>
    <w:rsid w:val="003D1D0D"/>
    <w:rsid w:val="003D1EA8"/>
    <w:rsid w:val="003D2DFC"/>
    <w:rsid w:val="003D37ED"/>
    <w:rsid w:val="003D3E6E"/>
    <w:rsid w:val="003D454E"/>
    <w:rsid w:val="003D5675"/>
    <w:rsid w:val="003D5911"/>
    <w:rsid w:val="003D59D8"/>
    <w:rsid w:val="003D5B79"/>
    <w:rsid w:val="003D5C30"/>
    <w:rsid w:val="003D5EB7"/>
    <w:rsid w:val="003D6045"/>
    <w:rsid w:val="003D6663"/>
    <w:rsid w:val="003D7272"/>
    <w:rsid w:val="003D7643"/>
    <w:rsid w:val="003E0E2A"/>
    <w:rsid w:val="003E108A"/>
    <w:rsid w:val="003E1237"/>
    <w:rsid w:val="003E19D1"/>
    <w:rsid w:val="003E1D54"/>
    <w:rsid w:val="003E2918"/>
    <w:rsid w:val="003E295F"/>
    <w:rsid w:val="003E2E4D"/>
    <w:rsid w:val="003E319E"/>
    <w:rsid w:val="003E3C99"/>
    <w:rsid w:val="003E3E16"/>
    <w:rsid w:val="003E45D1"/>
    <w:rsid w:val="003E4698"/>
    <w:rsid w:val="003E49EC"/>
    <w:rsid w:val="003E512A"/>
    <w:rsid w:val="003E51C4"/>
    <w:rsid w:val="003E56F9"/>
    <w:rsid w:val="003E6408"/>
    <w:rsid w:val="003E6816"/>
    <w:rsid w:val="003E7FC6"/>
    <w:rsid w:val="003F0C50"/>
    <w:rsid w:val="003F38AF"/>
    <w:rsid w:val="003F3AF6"/>
    <w:rsid w:val="003F413B"/>
    <w:rsid w:val="003F421B"/>
    <w:rsid w:val="003F42B4"/>
    <w:rsid w:val="003F5D7D"/>
    <w:rsid w:val="003F6971"/>
    <w:rsid w:val="003F69DF"/>
    <w:rsid w:val="004005EB"/>
    <w:rsid w:val="00400964"/>
    <w:rsid w:val="00400C4F"/>
    <w:rsid w:val="00401895"/>
    <w:rsid w:val="00401E66"/>
    <w:rsid w:val="00402777"/>
    <w:rsid w:val="00403972"/>
    <w:rsid w:val="00403CEB"/>
    <w:rsid w:val="004049C9"/>
    <w:rsid w:val="004055B3"/>
    <w:rsid w:val="00406798"/>
    <w:rsid w:val="0040683A"/>
    <w:rsid w:val="00406A10"/>
    <w:rsid w:val="00407E2E"/>
    <w:rsid w:val="00407F6E"/>
    <w:rsid w:val="00410F3C"/>
    <w:rsid w:val="00411189"/>
    <w:rsid w:val="0041138B"/>
    <w:rsid w:val="0041202A"/>
    <w:rsid w:val="00412FA3"/>
    <w:rsid w:val="00413DE4"/>
    <w:rsid w:val="00414A4D"/>
    <w:rsid w:val="004151A8"/>
    <w:rsid w:val="00415ADB"/>
    <w:rsid w:val="00417216"/>
    <w:rsid w:val="00420812"/>
    <w:rsid w:val="00420FB8"/>
    <w:rsid w:val="00421765"/>
    <w:rsid w:val="00421D97"/>
    <w:rsid w:val="00422375"/>
    <w:rsid w:val="00423EA8"/>
    <w:rsid w:val="004245DD"/>
    <w:rsid w:val="0042576F"/>
    <w:rsid w:val="004257AE"/>
    <w:rsid w:val="00426A25"/>
    <w:rsid w:val="00426CEB"/>
    <w:rsid w:val="00427C83"/>
    <w:rsid w:val="0043020C"/>
    <w:rsid w:val="00430334"/>
    <w:rsid w:val="004303DD"/>
    <w:rsid w:val="0043041B"/>
    <w:rsid w:val="004306BE"/>
    <w:rsid w:val="004307E6"/>
    <w:rsid w:val="004309A7"/>
    <w:rsid w:val="00431692"/>
    <w:rsid w:val="00431A42"/>
    <w:rsid w:val="00431AF2"/>
    <w:rsid w:val="00431D67"/>
    <w:rsid w:val="00431DBA"/>
    <w:rsid w:val="00431F03"/>
    <w:rsid w:val="004323D4"/>
    <w:rsid w:val="00432B69"/>
    <w:rsid w:val="00432C2D"/>
    <w:rsid w:val="00433620"/>
    <w:rsid w:val="004336EC"/>
    <w:rsid w:val="0043516B"/>
    <w:rsid w:val="0043576D"/>
    <w:rsid w:val="00435DAF"/>
    <w:rsid w:val="00437690"/>
    <w:rsid w:val="00437C5F"/>
    <w:rsid w:val="00441404"/>
    <w:rsid w:val="00441FCC"/>
    <w:rsid w:val="004426C7"/>
    <w:rsid w:val="0044274A"/>
    <w:rsid w:val="00443249"/>
    <w:rsid w:val="004434AD"/>
    <w:rsid w:val="00443551"/>
    <w:rsid w:val="00444454"/>
    <w:rsid w:val="004449E2"/>
    <w:rsid w:val="00444D09"/>
    <w:rsid w:val="00446A2D"/>
    <w:rsid w:val="004476D1"/>
    <w:rsid w:val="00447EAF"/>
    <w:rsid w:val="0045066B"/>
    <w:rsid w:val="00450759"/>
    <w:rsid w:val="00450EAF"/>
    <w:rsid w:val="004511B2"/>
    <w:rsid w:val="0045124C"/>
    <w:rsid w:val="00451CFE"/>
    <w:rsid w:val="0045297D"/>
    <w:rsid w:val="00452C3E"/>
    <w:rsid w:val="00452C9F"/>
    <w:rsid w:val="00453BC7"/>
    <w:rsid w:val="00453FFD"/>
    <w:rsid w:val="004545F5"/>
    <w:rsid w:val="004552B1"/>
    <w:rsid w:val="004552E3"/>
    <w:rsid w:val="004558CE"/>
    <w:rsid w:val="00455904"/>
    <w:rsid w:val="00455E22"/>
    <w:rsid w:val="00455ED4"/>
    <w:rsid w:val="0045612A"/>
    <w:rsid w:val="004561EE"/>
    <w:rsid w:val="004568FB"/>
    <w:rsid w:val="0045759F"/>
    <w:rsid w:val="004578BF"/>
    <w:rsid w:val="00460DC6"/>
    <w:rsid w:val="00461DE1"/>
    <w:rsid w:val="00461F47"/>
    <w:rsid w:val="0046208B"/>
    <w:rsid w:val="00462B64"/>
    <w:rsid w:val="0046417C"/>
    <w:rsid w:val="0046418F"/>
    <w:rsid w:val="004647B6"/>
    <w:rsid w:val="00465684"/>
    <w:rsid w:val="00465D99"/>
    <w:rsid w:val="00465E68"/>
    <w:rsid w:val="00465FEC"/>
    <w:rsid w:val="004665F1"/>
    <w:rsid w:val="00467331"/>
    <w:rsid w:val="00467FCE"/>
    <w:rsid w:val="004703F2"/>
    <w:rsid w:val="00470F94"/>
    <w:rsid w:val="00471260"/>
    <w:rsid w:val="00471A6F"/>
    <w:rsid w:val="00471DE9"/>
    <w:rsid w:val="00471ED8"/>
    <w:rsid w:val="0047273A"/>
    <w:rsid w:val="00472953"/>
    <w:rsid w:val="004733AE"/>
    <w:rsid w:val="0047367D"/>
    <w:rsid w:val="004737C1"/>
    <w:rsid w:val="00474035"/>
    <w:rsid w:val="00474205"/>
    <w:rsid w:val="00474350"/>
    <w:rsid w:val="004743E7"/>
    <w:rsid w:val="0047463D"/>
    <w:rsid w:val="0047483D"/>
    <w:rsid w:val="0047488B"/>
    <w:rsid w:val="004757B9"/>
    <w:rsid w:val="00475C6D"/>
    <w:rsid w:val="00475E14"/>
    <w:rsid w:val="004767EA"/>
    <w:rsid w:val="004769D4"/>
    <w:rsid w:val="00477A6C"/>
    <w:rsid w:val="00477FFD"/>
    <w:rsid w:val="004802A9"/>
    <w:rsid w:val="00480CC8"/>
    <w:rsid w:val="00481842"/>
    <w:rsid w:val="00482DED"/>
    <w:rsid w:val="00483193"/>
    <w:rsid w:val="0048330B"/>
    <w:rsid w:val="0048374E"/>
    <w:rsid w:val="00483914"/>
    <w:rsid w:val="00483F7E"/>
    <w:rsid w:val="00484EA8"/>
    <w:rsid w:val="0048514F"/>
    <w:rsid w:val="00485AAA"/>
    <w:rsid w:val="00485B5E"/>
    <w:rsid w:val="00485D6D"/>
    <w:rsid w:val="00486BFB"/>
    <w:rsid w:val="00487583"/>
    <w:rsid w:val="00492D2E"/>
    <w:rsid w:val="00492E58"/>
    <w:rsid w:val="00493557"/>
    <w:rsid w:val="00493C38"/>
    <w:rsid w:val="00494118"/>
    <w:rsid w:val="00495590"/>
    <w:rsid w:val="00495FBA"/>
    <w:rsid w:val="0049691E"/>
    <w:rsid w:val="00497477"/>
    <w:rsid w:val="0049781D"/>
    <w:rsid w:val="00497A17"/>
    <w:rsid w:val="004A082B"/>
    <w:rsid w:val="004A1005"/>
    <w:rsid w:val="004A255F"/>
    <w:rsid w:val="004A2B0B"/>
    <w:rsid w:val="004A2F73"/>
    <w:rsid w:val="004A4425"/>
    <w:rsid w:val="004A6E44"/>
    <w:rsid w:val="004A748B"/>
    <w:rsid w:val="004A7DEA"/>
    <w:rsid w:val="004B0556"/>
    <w:rsid w:val="004B08D6"/>
    <w:rsid w:val="004B0BAB"/>
    <w:rsid w:val="004B1276"/>
    <w:rsid w:val="004B14D6"/>
    <w:rsid w:val="004B1910"/>
    <w:rsid w:val="004B1F15"/>
    <w:rsid w:val="004B26E1"/>
    <w:rsid w:val="004B3526"/>
    <w:rsid w:val="004B3619"/>
    <w:rsid w:val="004B3B3E"/>
    <w:rsid w:val="004B3CC9"/>
    <w:rsid w:val="004B3E99"/>
    <w:rsid w:val="004B3F85"/>
    <w:rsid w:val="004B4E5F"/>
    <w:rsid w:val="004B5B65"/>
    <w:rsid w:val="004B5F29"/>
    <w:rsid w:val="004B64C3"/>
    <w:rsid w:val="004B7CEB"/>
    <w:rsid w:val="004C07C8"/>
    <w:rsid w:val="004C0844"/>
    <w:rsid w:val="004C14CF"/>
    <w:rsid w:val="004C1B0B"/>
    <w:rsid w:val="004C1E78"/>
    <w:rsid w:val="004C234F"/>
    <w:rsid w:val="004C2527"/>
    <w:rsid w:val="004C31A6"/>
    <w:rsid w:val="004C3312"/>
    <w:rsid w:val="004C3EDB"/>
    <w:rsid w:val="004C4288"/>
    <w:rsid w:val="004C469E"/>
    <w:rsid w:val="004C4B03"/>
    <w:rsid w:val="004C4B65"/>
    <w:rsid w:val="004C4D4F"/>
    <w:rsid w:val="004D004B"/>
    <w:rsid w:val="004D061E"/>
    <w:rsid w:val="004D111B"/>
    <w:rsid w:val="004D1372"/>
    <w:rsid w:val="004D158B"/>
    <w:rsid w:val="004D2CBB"/>
    <w:rsid w:val="004D2CBC"/>
    <w:rsid w:val="004D372F"/>
    <w:rsid w:val="004D3AF0"/>
    <w:rsid w:val="004D3DEC"/>
    <w:rsid w:val="004D444C"/>
    <w:rsid w:val="004D538D"/>
    <w:rsid w:val="004D5785"/>
    <w:rsid w:val="004D57F6"/>
    <w:rsid w:val="004D584F"/>
    <w:rsid w:val="004D6AE1"/>
    <w:rsid w:val="004D6F23"/>
    <w:rsid w:val="004D75D1"/>
    <w:rsid w:val="004D7709"/>
    <w:rsid w:val="004D7B41"/>
    <w:rsid w:val="004D7E59"/>
    <w:rsid w:val="004E0D75"/>
    <w:rsid w:val="004E1730"/>
    <w:rsid w:val="004E1D00"/>
    <w:rsid w:val="004E238B"/>
    <w:rsid w:val="004E2AB7"/>
    <w:rsid w:val="004E2C53"/>
    <w:rsid w:val="004E2EA0"/>
    <w:rsid w:val="004E2F5B"/>
    <w:rsid w:val="004E3519"/>
    <w:rsid w:val="004E3C34"/>
    <w:rsid w:val="004E3C7E"/>
    <w:rsid w:val="004E40F9"/>
    <w:rsid w:val="004E4169"/>
    <w:rsid w:val="004E43A5"/>
    <w:rsid w:val="004E4C69"/>
    <w:rsid w:val="004E50AF"/>
    <w:rsid w:val="004E604E"/>
    <w:rsid w:val="004E65AD"/>
    <w:rsid w:val="004E6842"/>
    <w:rsid w:val="004E6BCB"/>
    <w:rsid w:val="004F0199"/>
    <w:rsid w:val="004F240A"/>
    <w:rsid w:val="004F2DDF"/>
    <w:rsid w:val="004F4436"/>
    <w:rsid w:val="004F4865"/>
    <w:rsid w:val="004F4F96"/>
    <w:rsid w:val="004F50CC"/>
    <w:rsid w:val="004F5B5B"/>
    <w:rsid w:val="004F5C91"/>
    <w:rsid w:val="004F5DFA"/>
    <w:rsid w:val="004F661C"/>
    <w:rsid w:val="004F6A32"/>
    <w:rsid w:val="004F6AEB"/>
    <w:rsid w:val="004F7280"/>
    <w:rsid w:val="004F7763"/>
    <w:rsid w:val="004F79F7"/>
    <w:rsid w:val="004F7A8B"/>
    <w:rsid w:val="004F7E13"/>
    <w:rsid w:val="005025C6"/>
    <w:rsid w:val="0050285C"/>
    <w:rsid w:val="00502BD1"/>
    <w:rsid w:val="00503E27"/>
    <w:rsid w:val="00504A60"/>
    <w:rsid w:val="00504B1E"/>
    <w:rsid w:val="00504D94"/>
    <w:rsid w:val="00505CE8"/>
    <w:rsid w:val="00507606"/>
    <w:rsid w:val="00507AA7"/>
    <w:rsid w:val="0051039F"/>
    <w:rsid w:val="005106A4"/>
    <w:rsid w:val="00513717"/>
    <w:rsid w:val="00513910"/>
    <w:rsid w:val="005141B1"/>
    <w:rsid w:val="005141FF"/>
    <w:rsid w:val="00515619"/>
    <w:rsid w:val="00516BB1"/>
    <w:rsid w:val="00516CB9"/>
    <w:rsid w:val="00517333"/>
    <w:rsid w:val="005175D3"/>
    <w:rsid w:val="005178CE"/>
    <w:rsid w:val="00520135"/>
    <w:rsid w:val="005212A3"/>
    <w:rsid w:val="0052157F"/>
    <w:rsid w:val="005221BE"/>
    <w:rsid w:val="0052281D"/>
    <w:rsid w:val="00523A2D"/>
    <w:rsid w:val="00523D19"/>
    <w:rsid w:val="005245E2"/>
    <w:rsid w:val="005246A8"/>
    <w:rsid w:val="00525776"/>
    <w:rsid w:val="00526091"/>
    <w:rsid w:val="00526543"/>
    <w:rsid w:val="005265CE"/>
    <w:rsid w:val="005265D6"/>
    <w:rsid w:val="00527163"/>
    <w:rsid w:val="00530A08"/>
    <w:rsid w:val="00530E68"/>
    <w:rsid w:val="00530FF9"/>
    <w:rsid w:val="00531870"/>
    <w:rsid w:val="0053191D"/>
    <w:rsid w:val="00532537"/>
    <w:rsid w:val="00532765"/>
    <w:rsid w:val="0053417E"/>
    <w:rsid w:val="0053426B"/>
    <w:rsid w:val="00534C99"/>
    <w:rsid w:val="005350F4"/>
    <w:rsid w:val="005358E4"/>
    <w:rsid w:val="00535B2F"/>
    <w:rsid w:val="00535FD5"/>
    <w:rsid w:val="005370B9"/>
    <w:rsid w:val="005378FC"/>
    <w:rsid w:val="005379B3"/>
    <w:rsid w:val="00541F00"/>
    <w:rsid w:val="005421CB"/>
    <w:rsid w:val="005428F9"/>
    <w:rsid w:val="00542BAE"/>
    <w:rsid w:val="00542D60"/>
    <w:rsid w:val="005431CE"/>
    <w:rsid w:val="00543299"/>
    <w:rsid w:val="00543EFF"/>
    <w:rsid w:val="00544230"/>
    <w:rsid w:val="005459EF"/>
    <w:rsid w:val="00545D1A"/>
    <w:rsid w:val="00545EAE"/>
    <w:rsid w:val="005469E8"/>
    <w:rsid w:val="00546DB9"/>
    <w:rsid w:val="00547CB7"/>
    <w:rsid w:val="0055081C"/>
    <w:rsid w:val="00550A55"/>
    <w:rsid w:val="00551E2C"/>
    <w:rsid w:val="00552D5D"/>
    <w:rsid w:val="00552D83"/>
    <w:rsid w:val="0055324A"/>
    <w:rsid w:val="00553326"/>
    <w:rsid w:val="00553681"/>
    <w:rsid w:val="00554E32"/>
    <w:rsid w:val="00554EB1"/>
    <w:rsid w:val="0055551C"/>
    <w:rsid w:val="00555A0A"/>
    <w:rsid w:val="00555C68"/>
    <w:rsid w:val="0055609B"/>
    <w:rsid w:val="005563B8"/>
    <w:rsid w:val="005564BE"/>
    <w:rsid w:val="00557A6F"/>
    <w:rsid w:val="00557DCF"/>
    <w:rsid w:val="0055C3F7"/>
    <w:rsid w:val="005605C8"/>
    <w:rsid w:val="005605FD"/>
    <w:rsid w:val="00561B19"/>
    <w:rsid w:val="00561D65"/>
    <w:rsid w:val="005626D0"/>
    <w:rsid w:val="00562757"/>
    <w:rsid w:val="00562AA9"/>
    <w:rsid w:val="00562EFE"/>
    <w:rsid w:val="00563C62"/>
    <w:rsid w:val="00563D9D"/>
    <w:rsid w:val="00564410"/>
    <w:rsid w:val="00565645"/>
    <w:rsid w:val="00565D31"/>
    <w:rsid w:val="0056667D"/>
    <w:rsid w:val="0056728A"/>
    <w:rsid w:val="005673C6"/>
    <w:rsid w:val="00567FB6"/>
    <w:rsid w:val="00570F8A"/>
    <w:rsid w:val="00572BD1"/>
    <w:rsid w:val="00572DE4"/>
    <w:rsid w:val="00573A97"/>
    <w:rsid w:val="00574110"/>
    <w:rsid w:val="005746C2"/>
    <w:rsid w:val="005746E1"/>
    <w:rsid w:val="00574866"/>
    <w:rsid w:val="00574993"/>
    <w:rsid w:val="005751AA"/>
    <w:rsid w:val="00575427"/>
    <w:rsid w:val="005758CA"/>
    <w:rsid w:val="00575B7D"/>
    <w:rsid w:val="005764C8"/>
    <w:rsid w:val="005765DB"/>
    <w:rsid w:val="0057661D"/>
    <w:rsid w:val="00576D56"/>
    <w:rsid w:val="0057760C"/>
    <w:rsid w:val="005805DA"/>
    <w:rsid w:val="005805FA"/>
    <w:rsid w:val="00580E27"/>
    <w:rsid w:val="00580EFD"/>
    <w:rsid w:val="005816FB"/>
    <w:rsid w:val="00581EEA"/>
    <w:rsid w:val="00581F08"/>
    <w:rsid w:val="00582011"/>
    <w:rsid w:val="0058284D"/>
    <w:rsid w:val="00582E22"/>
    <w:rsid w:val="005838E6"/>
    <w:rsid w:val="00584458"/>
    <w:rsid w:val="0058521E"/>
    <w:rsid w:val="005853EF"/>
    <w:rsid w:val="00585DF8"/>
    <w:rsid w:val="00585EB8"/>
    <w:rsid w:val="00586101"/>
    <w:rsid w:val="0058686A"/>
    <w:rsid w:val="005870D4"/>
    <w:rsid w:val="00587C5F"/>
    <w:rsid w:val="00587F40"/>
    <w:rsid w:val="0059213A"/>
    <w:rsid w:val="00592B6E"/>
    <w:rsid w:val="00594314"/>
    <w:rsid w:val="00594DAA"/>
    <w:rsid w:val="00595A4F"/>
    <w:rsid w:val="00595F09"/>
    <w:rsid w:val="0059670F"/>
    <w:rsid w:val="0059686C"/>
    <w:rsid w:val="0059760D"/>
    <w:rsid w:val="00597893"/>
    <w:rsid w:val="005A05CD"/>
    <w:rsid w:val="005A13AA"/>
    <w:rsid w:val="005A1D49"/>
    <w:rsid w:val="005A1F50"/>
    <w:rsid w:val="005A3A71"/>
    <w:rsid w:val="005A3C4F"/>
    <w:rsid w:val="005A3DE7"/>
    <w:rsid w:val="005A52B7"/>
    <w:rsid w:val="005A53D5"/>
    <w:rsid w:val="005A5957"/>
    <w:rsid w:val="005A5A47"/>
    <w:rsid w:val="005A667C"/>
    <w:rsid w:val="005A7BC3"/>
    <w:rsid w:val="005B0261"/>
    <w:rsid w:val="005B05F5"/>
    <w:rsid w:val="005B08E5"/>
    <w:rsid w:val="005B1D14"/>
    <w:rsid w:val="005B207E"/>
    <w:rsid w:val="005B20C9"/>
    <w:rsid w:val="005B2CA4"/>
    <w:rsid w:val="005B2F16"/>
    <w:rsid w:val="005B2FD6"/>
    <w:rsid w:val="005B3517"/>
    <w:rsid w:val="005B3E47"/>
    <w:rsid w:val="005B3F49"/>
    <w:rsid w:val="005B5E6C"/>
    <w:rsid w:val="005B68BD"/>
    <w:rsid w:val="005B6F6E"/>
    <w:rsid w:val="005B7793"/>
    <w:rsid w:val="005B7AD1"/>
    <w:rsid w:val="005C1364"/>
    <w:rsid w:val="005C1BC5"/>
    <w:rsid w:val="005C2C5A"/>
    <w:rsid w:val="005C3413"/>
    <w:rsid w:val="005C364F"/>
    <w:rsid w:val="005C4436"/>
    <w:rsid w:val="005C4B0B"/>
    <w:rsid w:val="005C4E35"/>
    <w:rsid w:val="005C4E64"/>
    <w:rsid w:val="005C4F04"/>
    <w:rsid w:val="005C51BA"/>
    <w:rsid w:val="005C53B2"/>
    <w:rsid w:val="005C5B29"/>
    <w:rsid w:val="005C7200"/>
    <w:rsid w:val="005C7848"/>
    <w:rsid w:val="005D02C8"/>
    <w:rsid w:val="005D041E"/>
    <w:rsid w:val="005D042C"/>
    <w:rsid w:val="005D0981"/>
    <w:rsid w:val="005D0CE7"/>
    <w:rsid w:val="005D0CF1"/>
    <w:rsid w:val="005D2DA9"/>
    <w:rsid w:val="005D2DAF"/>
    <w:rsid w:val="005D2F12"/>
    <w:rsid w:val="005D307F"/>
    <w:rsid w:val="005D376A"/>
    <w:rsid w:val="005D3A02"/>
    <w:rsid w:val="005D4731"/>
    <w:rsid w:val="005D496E"/>
    <w:rsid w:val="005D4A0B"/>
    <w:rsid w:val="005D4C1D"/>
    <w:rsid w:val="005D547B"/>
    <w:rsid w:val="005D5688"/>
    <w:rsid w:val="005D5FDD"/>
    <w:rsid w:val="005D62D8"/>
    <w:rsid w:val="005D6A01"/>
    <w:rsid w:val="005D6A25"/>
    <w:rsid w:val="005D7050"/>
    <w:rsid w:val="005D762D"/>
    <w:rsid w:val="005E0DA9"/>
    <w:rsid w:val="005E11C0"/>
    <w:rsid w:val="005E17E5"/>
    <w:rsid w:val="005E1AAE"/>
    <w:rsid w:val="005E2155"/>
    <w:rsid w:val="005E25F8"/>
    <w:rsid w:val="005E299F"/>
    <w:rsid w:val="005E2B44"/>
    <w:rsid w:val="005E2BD2"/>
    <w:rsid w:val="005E34BF"/>
    <w:rsid w:val="005E3872"/>
    <w:rsid w:val="005E47DA"/>
    <w:rsid w:val="005E4B6B"/>
    <w:rsid w:val="005E580B"/>
    <w:rsid w:val="005E5CF4"/>
    <w:rsid w:val="005E5E94"/>
    <w:rsid w:val="005E6383"/>
    <w:rsid w:val="005E65DE"/>
    <w:rsid w:val="005E69C2"/>
    <w:rsid w:val="005E6A31"/>
    <w:rsid w:val="005E7B63"/>
    <w:rsid w:val="005F218D"/>
    <w:rsid w:val="005F3600"/>
    <w:rsid w:val="005F4AFD"/>
    <w:rsid w:val="005F5A56"/>
    <w:rsid w:val="005F5CD0"/>
    <w:rsid w:val="005F6072"/>
    <w:rsid w:val="005F6D4C"/>
    <w:rsid w:val="005F7306"/>
    <w:rsid w:val="005F7F3C"/>
    <w:rsid w:val="0060055C"/>
    <w:rsid w:val="006007F7"/>
    <w:rsid w:val="0060094D"/>
    <w:rsid w:val="00601924"/>
    <w:rsid w:val="00601C75"/>
    <w:rsid w:val="00601EEE"/>
    <w:rsid w:val="006021C4"/>
    <w:rsid w:val="00602E7B"/>
    <w:rsid w:val="00604331"/>
    <w:rsid w:val="00604573"/>
    <w:rsid w:val="006046F5"/>
    <w:rsid w:val="006061DB"/>
    <w:rsid w:val="00607D7C"/>
    <w:rsid w:val="006103C8"/>
    <w:rsid w:val="00610D45"/>
    <w:rsid w:val="0061127F"/>
    <w:rsid w:val="0061160C"/>
    <w:rsid w:val="00612C74"/>
    <w:rsid w:val="00612CF2"/>
    <w:rsid w:val="00612E80"/>
    <w:rsid w:val="00613543"/>
    <w:rsid w:val="0061362E"/>
    <w:rsid w:val="00613A89"/>
    <w:rsid w:val="0061419B"/>
    <w:rsid w:val="00614F02"/>
    <w:rsid w:val="00615127"/>
    <w:rsid w:val="00615294"/>
    <w:rsid w:val="00615C01"/>
    <w:rsid w:val="0061643F"/>
    <w:rsid w:val="0061676F"/>
    <w:rsid w:val="00617370"/>
    <w:rsid w:val="00617407"/>
    <w:rsid w:val="00617939"/>
    <w:rsid w:val="00617965"/>
    <w:rsid w:val="00617DC8"/>
    <w:rsid w:val="00620B6B"/>
    <w:rsid w:val="00621026"/>
    <w:rsid w:val="006212A6"/>
    <w:rsid w:val="006222C4"/>
    <w:rsid w:val="00622F05"/>
    <w:rsid w:val="006232A9"/>
    <w:rsid w:val="00624BC6"/>
    <w:rsid w:val="00625A4D"/>
    <w:rsid w:val="00625B58"/>
    <w:rsid w:val="00625F4B"/>
    <w:rsid w:val="00626151"/>
    <w:rsid w:val="00626BDC"/>
    <w:rsid w:val="00627548"/>
    <w:rsid w:val="00630C97"/>
    <w:rsid w:val="00630D69"/>
    <w:rsid w:val="0063114F"/>
    <w:rsid w:val="006314C5"/>
    <w:rsid w:val="00631CAE"/>
    <w:rsid w:val="00632134"/>
    <w:rsid w:val="0063297E"/>
    <w:rsid w:val="00633A6D"/>
    <w:rsid w:val="00633ABF"/>
    <w:rsid w:val="00634501"/>
    <w:rsid w:val="0063486B"/>
    <w:rsid w:val="00634CC7"/>
    <w:rsid w:val="00635C5E"/>
    <w:rsid w:val="00635F14"/>
    <w:rsid w:val="00636056"/>
    <w:rsid w:val="00636B96"/>
    <w:rsid w:val="00637429"/>
    <w:rsid w:val="0063761D"/>
    <w:rsid w:val="00637ED8"/>
    <w:rsid w:val="00640096"/>
    <w:rsid w:val="006407F4"/>
    <w:rsid w:val="00640BD6"/>
    <w:rsid w:val="006413B6"/>
    <w:rsid w:val="0064176F"/>
    <w:rsid w:val="00641922"/>
    <w:rsid w:val="00641F48"/>
    <w:rsid w:val="00642044"/>
    <w:rsid w:val="0064333F"/>
    <w:rsid w:val="0064351E"/>
    <w:rsid w:val="00643DBD"/>
    <w:rsid w:val="006442A6"/>
    <w:rsid w:val="0064508B"/>
    <w:rsid w:val="0064615D"/>
    <w:rsid w:val="006461F5"/>
    <w:rsid w:val="00646B27"/>
    <w:rsid w:val="00646D3C"/>
    <w:rsid w:val="00646EF7"/>
    <w:rsid w:val="006478D8"/>
    <w:rsid w:val="00650128"/>
    <w:rsid w:val="00650661"/>
    <w:rsid w:val="00650B53"/>
    <w:rsid w:val="0065105A"/>
    <w:rsid w:val="00652AC2"/>
    <w:rsid w:val="00652D0E"/>
    <w:rsid w:val="00652F11"/>
    <w:rsid w:val="00653108"/>
    <w:rsid w:val="006535F0"/>
    <w:rsid w:val="00654A72"/>
    <w:rsid w:val="00655C0D"/>
    <w:rsid w:val="00656803"/>
    <w:rsid w:val="0065680C"/>
    <w:rsid w:val="00656D2E"/>
    <w:rsid w:val="0065787A"/>
    <w:rsid w:val="00657F4F"/>
    <w:rsid w:val="00661775"/>
    <w:rsid w:val="006618D3"/>
    <w:rsid w:val="00661B6A"/>
    <w:rsid w:val="00662096"/>
    <w:rsid w:val="0066234F"/>
    <w:rsid w:val="006623A7"/>
    <w:rsid w:val="00662458"/>
    <w:rsid w:val="00662686"/>
    <w:rsid w:val="00662D7B"/>
    <w:rsid w:val="00664D69"/>
    <w:rsid w:val="006654E8"/>
    <w:rsid w:val="00666B1D"/>
    <w:rsid w:val="00666C5C"/>
    <w:rsid w:val="00667346"/>
    <w:rsid w:val="0066749C"/>
    <w:rsid w:val="006702D1"/>
    <w:rsid w:val="00670805"/>
    <w:rsid w:val="00670822"/>
    <w:rsid w:val="00670CFD"/>
    <w:rsid w:val="00671434"/>
    <w:rsid w:val="00671453"/>
    <w:rsid w:val="00671537"/>
    <w:rsid w:val="006717F8"/>
    <w:rsid w:val="0067362F"/>
    <w:rsid w:val="0067443A"/>
    <w:rsid w:val="00674E1F"/>
    <w:rsid w:val="00675031"/>
    <w:rsid w:val="0067527D"/>
    <w:rsid w:val="006768C4"/>
    <w:rsid w:val="00680BAD"/>
    <w:rsid w:val="00681408"/>
    <w:rsid w:val="006822EC"/>
    <w:rsid w:val="0068417E"/>
    <w:rsid w:val="00684C88"/>
    <w:rsid w:val="00685C10"/>
    <w:rsid w:val="00686438"/>
    <w:rsid w:val="00686B22"/>
    <w:rsid w:val="00686CB3"/>
    <w:rsid w:val="00687802"/>
    <w:rsid w:val="00687C9D"/>
    <w:rsid w:val="00690348"/>
    <w:rsid w:val="00690525"/>
    <w:rsid w:val="00691111"/>
    <w:rsid w:val="00691976"/>
    <w:rsid w:val="00691BDD"/>
    <w:rsid w:val="0069231C"/>
    <w:rsid w:val="00692F51"/>
    <w:rsid w:val="0069453E"/>
    <w:rsid w:val="00694579"/>
    <w:rsid w:val="00694ED7"/>
    <w:rsid w:val="00696204"/>
    <w:rsid w:val="00696D92"/>
    <w:rsid w:val="006970FF"/>
    <w:rsid w:val="00697118"/>
    <w:rsid w:val="00697B21"/>
    <w:rsid w:val="006A035E"/>
    <w:rsid w:val="006A0E6E"/>
    <w:rsid w:val="006A18C3"/>
    <w:rsid w:val="006A1DFC"/>
    <w:rsid w:val="006A2D60"/>
    <w:rsid w:val="006A3F18"/>
    <w:rsid w:val="006A471F"/>
    <w:rsid w:val="006A4F27"/>
    <w:rsid w:val="006A53F5"/>
    <w:rsid w:val="006A642D"/>
    <w:rsid w:val="006A727B"/>
    <w:rsid w:val="006A77FA"/>
    <w:rsid w:val="006B111B"/>
    <w:rsid w:val="006B1248"/>
    <w:rsid w:val="006B14E7"/>
    <w:rsid w:val="006B169B"/>
    <w:rsid w:val="006B20D4"/>
    <w:rsid w:val="006B261D"/>
    <w:rsid w:val="006B28D5"/>
    <w:rsid w:val="006B28FC"/>
    <w:rsid w:val="006B29FF"/>
    <w:rsid w:val="006B2CE5"/>
    <w:rsid w:val="006B3216"/>
    <w:rsid w:val="006B3AC6"/>
    <w:rsid w:val="006B4B53"/>
    <w:rsid w:val="006B528C"/>
    <w:rsid w:val="006B6796"/>
    <w:rsid w:val="006B6D6A"/>
    <w:rsid w:val="006B78FA"/>
    <w:rsid w:val="006C0E1E"/>
    <w:rsid w:val="006C1082"/>
    <w:rsid w:val="006C1AE1"/>
    <w:rsid w:val="006C1C40"/>
    <w:rsid w:val="006C2B44"/>
    <w:rsid w:val="006C370F"/>
    <w:rsid w:val="006C540A"/>
    <w:rsid w:val="006C584D"/>
    <w:rsid w:val="006C58B6"/>
    <w:rsid w:val="006C5BD8"/>
    <w:rsid w:val="006C5DB4"/>
    <w:rsid w:val="006C5E1C"/>
    <w:rsid w:val="006C730D"/>
    <w:rsid w:val="006C778A"/>
    <w:rsid w:val="006D0282"/>
    <w:rsid w:val="006D0420"/>
    <w:rsid w:val="006D11BF"/>
    <w:rsid w:val="006D1954"/>
    <w:rsid w:val="006D2A1B"/>
    <w:rsid w:val="006D3299"/>
    <w:rsid w:val="006D33FC"/>
    <w:rsid w:val="006D37C4"/>
    <w:rsid w:val="006D4E13"/>
    <w:rsid w:val="006D54CD"/>
    <w:rsid w:val="006D5E8B"/>
    <w:rsid w:val="006D5F6B"/>
    <w:rsid w:val="006D6475"/>
    <w:rsid w:val="006D6528"/>
    <w:rsid w:val="006D68EC"/>
    <w:rsid w:val="006D741B"/>
    <w:rsid w:val="006D7DA7"/>
    <w:rsid w:val="006D7E92"/>
    <w:rsid w:val="006E11B5"/>
    <w:rsid w:val="006E1B40"/>
    <w:rsid w:val="006E1C53"/>
    <w:rsid w:val="006E295E"/>
    <w:rsid w:val="006E2BA8"/>
    <w:rsid w:val="006E2C24"/>
    <w:rsid w:val="006E2F10"/>
    <w:rsid w:val="006E352F"/>
    <w:rsid w:val="006E371F"/>
    <w:rsid w:val="006E41C8"/>
    <w:rsid w:val="006E48B5"/>
    <w:rsid w:val="006E4C88"/>
    <w:rsid w:val="006E5176"/>
    <w:rsid w:val="006E57DB"/>
    <w:rsid w:val="006E65EA"/>
    <w:rsid w:val="006E69C8"/>
    <w:rsid w:val="006E7198"/>
    <w:rsid w:val="006E7449"/>
    <w:rsid w:val="006F0334"/>
    <w:rsid w:val="006F04AF"/>
    <w:rsid w:val="006F0561"/>
    <w:rsid w:val="006F0685"/>
    <w:rsid w:val="006F1703"/>
    <w:rsid w:val="006F191A"/>
    <w:rsid w:val="006F19C9"/>
    <w:rsid w:val="006F1E08"/>
    <w:rsid w:val="006F3504"/>
    <w:rsid w:val="006F3894"/>
    <w:rsid w:val="006F53B8"/>
    <w:rsid w:val="006F547D"/>
    <w:rsid w:val="006F5604"/>
    <w:rsid w:val="006F5AA9"/>
    <w:rsid w:val="006F625E"/>
    <w:rsid w:val="006F752B"/>
    <w:rsid w:val="006F792D"/>
    <w:rsid w:val="00700208"/>
    <w:rsid w:val="00700535"/>
    <w:rsid w:val="00700828"/>
    <w:rsid w:val="00700C5E"/>
    <w:rsid w:val="00700C73"/>
    <w:rsid w:val="00700CC9"/>
    <w:rsid w:val="00700E0B"/>
    <w:rsid w:val="007026A6"/>
    <w:rsid w:val="00703683"/>
    <w:rsid w:val="007040D3"/>
    <w:rsid w:val="00706472"/>
    <w:rsid w:val="00707D69"/>
    <w:rsid w:val="007114C6"/>
    <w:rsid w:val="00711951"/>
    <w:rsid w:val="00713173"/>
    <w:rsid w:val="00714756"/>
    <w:rsid w:val="00714A08"/>
    <w:rsid w:val="00715F2F"/>
    <w:rsid w:val="00716047"/>
    <w:rsid w:val="00716523"/>
    <w:rsid w:val="00716733"/>
    <w:rsid w:val="0071673B"/>
    <w:rsid w:val="0071707D"/>
    <w:rsid w:val="00717913"/>
    <w:rsid w:val="007200D4"/>
    <w:rsid w:val="00720957"/>
    <w:rsid w:val="00720DD2"/>
    <w:rsid w:val="00720DD4"/>
    <w:rsid w:val="007218AA"/>
    <w:rsid w:val="00721F03"/>
    <w:rsid w:val="00721F20"/>
    <w:rsid w:val="007220F9"/>
    <w:rsid w:val="00722CB4"/>
    <w:rsid w:val="0072407A"/>
    <w:rsid w:val="00724B56"/>
    <w:rsid w:val="00726204"/>
    <w:rsid w:val="0072631E"/>
    <w:rsid w:val="00726F0D"/>
    <w:rsid w:val="0072775A"/>
    <w:rsid w:val="00727B1A"/>
    <w:rsid w:val="007305F2"/>
    <w:rsid w:val="00731BFD"/>
    <w:rsid w:val="0073234A"/>
    <w:rsid w:val="007325CC"/>
    <w:rsid w:val="0073262A"/>
    <w:rsid w:val="00732953"/>
    <w:rsid w:val="00732DC4"/>
    <w:rsid w:val="00733ACD"/>
    <w:rsid w:val="00733FFF"/>
    <w:rsid w:val="00734C65"/>
    <w:rsid w:val="00734CEF"/>
    <w:rsid w:val="00735621"/>
    <w:rsid w:val="00735849"/>
    <w:rsid w:val="00735B24"/>
    <w:rsid w:val="00736131"/>
    <w:rsid w:val="00736E45"/>
    <w:rsid w:val="007402EA"/>
    <w:rsid w:val="007405E1"/>
    <w:rsid w:val="00741149"/>
    <w:rsid w:val="0074120B"/>
    <w:rsid w:val="0074140D"/>
    <w:rsid w:val="00741D0C"/>
    <w:rsid w:val="00741F65"/>
    <w:rsid w:val="00741F72"/>
    <w:rsid w:val="00742201"/>
    <w:rsid w:val="007425F4"/>
    <w:rsid w:val="007437C0"/>
    <w:rsid w:val="00743AC0"/>
    <w:rsid w:val="00743B78"/>
    <w:rsid w:val="007442DA"/>
    <w:rsid w:val="007447F2"/>
    <w:rsid w:val="00745676"/>
    <w:rsid w:val="007464DB"/>
    <w:rsid w:val="00746B01"/>
    <w:rsid w:val="00747ADB"/>
    <w:rsid w:val="00747F41"/>
    <w:rsid w:val="007503D1"/>
    <w:rsid w:val="00751049"/>
    <w:rsid w:val="007516F7"/>
    <w:rsid w:val="00751E0B"/>
    <w:rsid w:val="00752512"/>
    <w:rsid w:val="00753E26"/>
    <w:rsid w:val="007544D3"/>
    <w:rsid w:val="007549E5"/>
    <w:rsid w:val="00754AA0"/>
    <w:rsid w:val="00754DA3"/>
    <w:rsid w:val="00755AAF"/>
    <w:rsid w:val="007561FC"/>
    <w:rsid w:val="00756574"/>
    <w:rsid w:val="007565DF"/>
    <w:rsid w:val="00757E2B"/>
    <w:rsid w:val="00760947"/>
    <w:rsid w:val="007614FA"/>
    <w:rsid w:val="0076168F"/>
    <w:rsid w:val="00763DFF"/>
    <w:rsid w:val="0076535D"/>
    <w:rsid w:val="007669B1"/>
    <w:rsid w:val="00766B80"/>
    <w:rsid w:val="00766BDF"/>
    <w:rsid w:val="00766D10"/>
    <w:rsid w:val="00767DFA"/>
    <w:rsid w:val="00767FF0"/>
    <w:rsid w:val="00770F6A"/>
    <w:rsid w:val="00771524"/>
    <w:rsid w:val="0077175A"/>
    <w:rsid w:val="00771B4B"/>
    <w:rsid w:val="0077217A"/>
    <w:rsid w:val="0077272F"/>
    <w:rsid w:val="007729A7"/>
    <w:rsid w:val="00772E04"/>
    <w:rsid w:val="00773555"/>
    <w:rsid w:val="007739F6"/>
    <w:rsid w:val="00773B4E"/>
    <w:rsid w:val="00774097"/>
    <w:rsid w:val="007754BB"/>
    <w:rsid w:val="007754DA"/>
    <w:rsid w:val="00775CFB"/>
    <w:rsid w:val="00775D84"/>
    <w:rsid w:val="00776BF1"/>
    <w:rsid w:val="0077702C"/>
    <w:rsid w:val="0077710E"/>
    <w:rsid w:val="007771AD"/>
    <w:rsid w:val="0077785F"/>
    <w:rsid w:val="00780E79"/>
    <w:rsid w:val="00781363"/>
    <w:rsid w:val="00781AD7"/>
    <w:rsid w:val="0078382F"/>
    <w:rsid w:val="007840AA"/>
    <w:rsid w:val="007842AF"/>
    <w:rsid w:val="007848B4"/>
    <w:rsid w:val="00784D7D"/>
    <w:rsid w:val="00785395"/>
    <w:rsid w:val="00785402"/>
    <w:rsid w:val="0078555B"/>
    <w:rsid w:val="00785A3D"/>
    <w:rsid w:val="00785CE0"/>
    <w:rsid w:val="00785E97"/>
    <w:rsid w:val="00785EDB"/>
    <w:rsid w:val="00785FBB"/>
    <w:rsid w:val="007868D8"/>
    <w:rsid w:val="007876F4"/>
    <w:rsid w:val="00787E20"/>
    <w:rsid w:val="007929F9"/>
    <w:rsid w:val="00793591"/>
    <w:rsid w:val="00793A87"/>
    <w:rsid w:val="007941B6"/>
    <w:rsid w:val="007941DD"/>
    <w:rsid w:val="0079431C"/>
    <w:rsid w:val="007946AA"/>
    <w:rsid w:val="00794A33"/>
    <w:rsid w:val="00794BFE"/>
    <w:rsid w:val="00794C45"/>
    <w:rsid w:val="00794D06"/>
    <w:rsid w:val="00794F3F"/>
    <w:rsid w:val="00796BBE"/>
    <w:rsid w:val="00796DF4"/>
    <w:rsid w:val="007971D6"/>
    <w:rsid w:val="007A03F6"/>
    <w:rsid w:val="007A09E6"/>
    <w:rsid w:val="007A1158"/>
    <w:rsid w:val="007A278E"/>
    <w:rsid w:val="007A2F24"/>
    <w:rsid w:val="007A535A"/>
    <w:rsid w:val="007A6139"/>
    <w:rsid w:val="007B03D7"/>
    <w:rsid w:val="007B08C9"/>
    <w:rsid w:val="007B0C41"/>
    <w:rsid w:val="007B0E57"/>
    <w:rsid w:val="007B12F5"/>
    <w:rsid w:val="007B246E"/>
    <w:rsid w:val="007B24BA"/>
    <w:rsid w:val="007B2A84"/>
    <w:rsid w:val="007B3816"/>
    <w:rsid w:val="007B3BC5"/>
    <w:rsid w:val="007B4338"/>
    <w:rsid w:val="007B48E4"/>
    <w:rsid w:val="007B5921"/>
    <w:rsid w:val="007B5E43"/>
    <w:rsid w:val="007B66FC"/>
    <w:rsid w:val="007B75B1"/>
    <w:rsid w:val="007B77B5"/>
    <w:rsid w:val="007C0588"/>
    <w:rsid w:val="007C094E"/>
    <w:rsid w:val="007C0A88"/>
    <w:rsid w:val="007C0EF4"/>
    <w:rsid w:val="007C11E0"/>
    <w:rsid w:val="007C15AA"/>
    <w:rsid w:val="007C171D"/>
    <w:rsid w:val="007C187E"/>
    <w:rsid w:val="007C1BD4"/>
    <w:rsid w:val="007C2301"/>
    <w:rsid w:val="007C3C17"/>
    <w:rsid w:val="007C4050"/>
    <w:rsid w:val="007C55BE"/>
    <w:rsid w:val="007C5AE8"/>
    <w:rsid w:val="007C5D07"/>
    <w:rsid w:val="007C5D34"/>
    <w:rsid w:val="007C63C3"/>
    <w:rsid w:val="007C67C1"/>
    <w:rsid w:val="007C6B3B"/>
    <w:rsid w:val="007C7EF8"/>
    <w:rsid w:val="007D0803"/>
    <w:rsid w:val="007D0D4E"/>
    <w:rsid w:val="007D1152"/>
    <w:rsid w:val="007D1773"/>
    <w:rsid w:val="007D1958"/>
    <w:rsid w:val="007D198A"/>
    <w:rsid w:val="007D1B31"/>
    <w:rsid w:val="007D21DA"/>
    <w:rsid w:val="007D2370"/>
    <w:rsid w:val="007D23A8"/>
    <w:rsid w:val="007D23E5"/>
    <w:rsid w:val="007D287D"/>
    <w:rsid w:val="007D3852"/>
    <w:rsid w:val="007D3A77"/>
    <w:rsid w:val="007D3B54"/>
    <w:rsid w:val="007D43A5"/>
    <w:rsid w:val="007D4E6C"/>
    <w:rsid w:val="007D52A8"/>
    <w:rsid w:val="007D624E"/>
    <w:rsid w:val="007D6BE2"/>
    <w:rsid w:val="007D7209"/>
    <w:rsid w:val="007E0F6E"/>
    <w:rsid w:val="007E1CE8"/>
    <w:rsid w:val="007E1EF6"/>
    <w:rsid w:val="007E20C5"/>
    <w:rsid w:val="007E23CF"/>
    <w:rsid w:val="007E2BBD"/>
    <w:rsid w:val="007E371E"/>
    <w:rsid w:val="007E4F9F"/>
    <w:rsid w:val="007E5F52"/>
    <w:rsid w:val="007E5FC5"/>
    <w:rsid w:val="007E641F"/>
    <w:rsid w:val="007E7A00"/>
    <w:rsid w:val="007E7BD9"/>
    <w:rsid w:val="007E7D51"/>
    <w:rsid w:val="007E7F86"/>
    <w:rsid w:val="007F0434"/>
    <w:rsid w:val="007F0B76"/>
    <w:rsid w:val="007F0DFB"/>
    <w:rsid w:val="007F1119"/>
    <w:rsid w:val="007F12F6"/>
    <w:rsid w:val="007F1AED"/>
    <w:rsid w:val="007F1E69"/>
    <w:rsid w:val="007F2205"/>
    <w:rsid w:val="007F298C"/>
    <w:rsid w:val="007F2A03"/>
    <w:rsid w:val="007F2FC6"/>
    <w:rsid w:val="007F34A6"/>
    <w:rsid w:val="007F3862"/>
    <w:rsid w:val="007F3CEC"/>
    <w:rsid w:val="007F3CF0"/>
    <w:rsid w:val="007F3D02"/>
    <w:rsid w:val="007F4232"/>
    <w:rsid w:val="007F4585"/>
    <w:rsid w:val="007F4C80"/>
    <w:rsid w:val="007F4EFB"/>
    <w:rsid w:val="007F52EC"/>
    <w:rsid w:val="007F634F"/>
    <w:rsid w:val="007F7092"/>
    <w:rsid w:val="007F7365"/>
    <w:rsid w:val="007F78CD"/>
    <w:rsid w:val="007F79BD"/>
    <w:rsid w:val="00800DC8"/>
    <w:rsid w:val="00801DBE"/>
    <w:rsid w:val="00802991"/>
    <w:rsid w:val="00803239"/>
    <w:rsid w:val="008035B1"/>
    <w:rsid w:val="008037DF"/>
    <w:rsid w:val="0080389B"/>
    <w:rsid w:val="0080403A"/>
    <w:rsid w:val="0080434D"/>
    <w:rsid w:val="00806CAE"/>
    <w:rsid w:val="008077F6"/>
    <w:rsid w:val="008079C1"/>
    <w:rsid w:val="00810813"/>
    <w:rsid w:val="008112DE"/>
    <w:rsid w:val="00812093"/>
    <w:rsid w:val="00812568"/>
    <w:rsid w:val="00812DE6"/>
    <w:rsid w:val="00813332"/>
    <w:rsid w:val="0081350A"/>
    <w:rsid w:val="00813803"/>
    <w:rsid w:val="0081405D"/>
    <w:rsid w:val="008143A3"/>
    <w:rsid w:val="00814528"/>
    <w:rsid w:val="0081456C"/>
    <w:rsid w:val="00815A28"/>
    <w:rsid w:val="00815BDC"/>
    <w:rsid w:val="00815C76"/>
    <w:rsid w:val="00815D86"/>
    <w:rsid w:val="00815E97"/>
    <w:rsid w:val="00815ECE"/>
    <w:rsid w:val="00815F09"/>
    <w:rsid w:val="008168EB"/>
    <w:rsid w:val="008168FD"/>
    <w:rsid w:val="00816C2B"/>
    <w:rsid w:val="00816C8F"/>
    <w:rsid w:val="00816F03"/>
    <w:rsid w:val="008174D4"/>
    <w:rsid w:val="008224B2"/>
    <w:rsid w:val="00822D01"/>
    <w:rsid w:val="00822FDF"/>
    <w:rsid w:val="00823990"/>
    <w:rsid w:val="008239A9"/>
    <w:rsid w:val="00824003"/>
    <w:rsid w:val="00824A26"/>
    <w:rsid w:val="00824A9A"/>
    <w:rsid w:val="0082511A"/>
    <w:rsid w:val="0082556F"/>
    <w:rsid w:val="00826CD3"/>
    <w:rsid w:val="00826CF2"/>
    <w:rsid w:val="0082720B"/>
    <w:rsid w:val="00827483"/>
    <w:rsid w:val="00827F4C"/>
    <w:rsid w:val="008304A4"/>
    <w:rsid w:val="008306F9"/>
    <w:rsid w:val="00830701"/>
    <w:rsid w:val="00830C00"/>
    <w:rsid w:val="00831100"/>
    <w:rsid w:val="0083142E"/>
    <w:rsid w:val="00832ED3"/>
    <w:rsid w:val="008335D7"/>
    <w:rsid w:val="00833886"/>
    <w:rsid w:val="00833DDF"/>
    <w:rsid w:val="00834730"/>
    <w:rsid w:val="008349FB"/>
    <w:rsid w:val="00834EF6"/>
    <w:rsid w:val="0083508A"/>
    <w:rsid w:val="0083528A"/>
    <w:rsid w:val="00836016"/>
    <w:rsid w:val="008364E2"/>
    <w:rsid w:val="00836A80"/>
    <w:rsid w:val="008374E2"/>
    <w:rsid w:val="0084155A"/>
    <w:rsid w:val="00841CB8"/>
    <w:rsid w:val="008425E2"/>
    <w:rsid w:val="00843143"/>
    <w:rsid w:val="008438ED"/>
    <w:rsid w:val="00844815"/>
    <w:rsid w:val="00845F7B"/>
    <w:rsid w:val="00845FA4"/>
    <w:rsid w:val="00846085"/>
    <w:rsid w:val="00846434"/>
    <w:rsid w:val="008471E1"/>
    <w:rsid w:val="008501D9"/>
    <w:rsid w:val="00850236"/>
    <w:rsid w:val="0085040E"/>
    <w:rsid w:val="008504A2"/>
    <w:rsid w:val="00850605"/>
    <w:rsid w:val="008519B6"/>
    <w:rsid w:val="00851AEB"/>
    <w:rsid w:val="00851C51"/>
    <w:rsid w:val="0085243B"/>
    <w:rsid w:val="00852482"/>
    <w:rsid w:val="00853D00"/>
    <w:rsid w:val="0085513A"/>
    <w:rsid w:val="008551D8"/>
    <w:rsid w:val="0085542E"/>
    <w:rsid w:val="00855591"/>
    <w:rsid w:val="0085590B"/>
    <w:rsid w:val="00856FDE"/>
    <w:rsid w:val="008577EC"/>
    <w:rsid w:val="00857841"/>
    <w:rsid w:val="00857DFA"/>
    <w:rsid w:val="00860F0C"/>
    <w:rsid w:val="008612F0"/>
    <w:rsid w:val="00861446"/>
    <w:rsid w:val="00862522"/>
    <w:rsid w:val="00863C67"/>
    <w:rsid w:val="0086413B"/>
    <w:rsid w:val="00864B3E"/>
    <w:rsid w:val="008659DE"/>
    <w:rsid w:val="0086641F"/>
    <w:rsid w:val="00866593"/>
    <w:rsid w:val="00866D3F"/>
    <w:rsid w:val="00866F45"/>
    <w:rsid w:val="0086736F"/>
    <w:rsid w:val="008673E4"/>
    <w:rsid w:val="008674A4"/>
    <w:rsid w:val="00870C96"/>
    <w:rsid w:val="008717D6"/>
    <w:rsid w:val="00871F85"/>
    <w:rsid w:val="0087212D"/>
    <w:rsid w:val="00872360"/>
    <w:rsid w:val="008723CC"/>
    <w:rsid w:val="00872BE8"/>
    <w:rsid w:val="00873483"/>
    <w:rsid w:val="008737E3"/>
    <w:rsid w:val="00873E61"/>
    <w:rsid w:val="00874300"/>
    <w:rsid w:val="00874ADD"/>
    <w:rsid w:val="00875AB9"/>
    <w:rsid w:val="008767F1"/>
    <w:rsid w:val="00876C93"/>
    <w:rsid w:val="0087733A"/>
    <w:rsid w:val="00880373"/>
    <w:rsid w:val="00880750"/>
    <w:rsid w:val="0088075C"/>
    <w:rsid w:val="00880C93"/>
    <w:rsid w:val="00880DFE"/>
    <w:rsid w:val="008814F8"/>
    <w:rsid w:val="008823B2"/>
    <w:rsid w:val="00884E14"/>
    <w:rsid w:val="00884FE7"/>
    <w:rsid w:val="00885220"/>
    <w:rsid w:val="00885454"/>
    <w:rsid w:val="008858ED"/>
    <w:rsid w:val="00885C28"/>
    <w:rsid w:val="00886012"/>
    <w:rsid w:val="008861F2"/>
    <w:rsid w:val="00886846"/>
    <w:rsid w:val="008871A1"/>
    <w:rsid w:val="008874CA"/>
    <w:rsid w:val="008875F3"/>
    <w:rsid w:val="00887B71"/>
    <w:rsid w:val="008908A2"/>
    <w:rsid w:val="00890CEE"/>
    <w:rsid w:val="00891147"/>
    <w:rsid w:val="0089119D"/>
    <w:rsid w:val="008912BA"/>
    <w:rsid w:val="00892A8B"/>
    <w:rsid w:val="00893A86"/>
    <w:rsid w:val="00894546"/>
    <w:rsid w:val="00894AD0"/>
    <w:rsid w:val="00894E79"/>
    <w:rsid w:val="008954A7"/>
    <w:rsid w:val="00895635"/>
    <w:rsid w:val="00895845"/>
    <w:rsid w:val="008968AF"/>
    <w:rsid w:val="00896AD0"/>
    <w:rsid w:val="00897C91"/>
    <w:rsid w:val="008A0051"/>
    <w:rsid w:val="008A0286"/>
    <w:rsid w:val="008A0A62"/>
    <w:rsid w:val="008A0D75"/>
    <w:rsid w:val="008A11C8"/>
    <w:rsid w:val="008A1BDB"/>
    <w:rsid w:val="008A1CCB"/>
    <w:rsid w:val="008A2502"/>
    <w:rsid w:val="008A2F5E"/>
    <w:rsid w:val="008A3138"/>
    <w:rsid w:val="008A4944"/>
    <w:rsid w:val="008A4FE9"/>
    <w:rsid w:val="008A5D0F"/>
    <w:rsid w:val="008A5F15"/>
    <w:rsid w:val="008A7770"/>
    <w:rsid w:val="008A7A79"/>
    <w:rsid w:val="008B0D62"/>
    <w:rsid w:val="008B13D8"/>
    <w:rsid w:val="008B1E31"/>
    <w:rsid w:val="008B2123"/>
    <w:rsid w:val="008B213B"/>
    <w:rsid w:val="008B2426"/>
    <w:rsid w:val="008B26A7"/>
    <w:rsid w:val="008B2A7C"/>
    <w:rsid w:val="008B2ECD"/>
    <w:rsid w:val="008B30DF"/>
    <w:rsid w:val="008B3354"/>
    <w:rsid w:val="008B4884"/>
    <w:rsid w:val="008B51FF"/>
    <w:rsid w:val="008B591F"/>
    <w:rsid w:val="008B5F34"/>
    <w:rsid w:val="008B6183"/>
    <w:rsid w:val="008B6687"/>
    <w:rsid w:val="008B7260"/>
    <w:rsid w:val="008B7340"/>
    <w:rsid w:val="008B7DFE"/>
    <w:rsid w:val="008C01AB"/>
    <w:rsid w:val="008C0909"/>
    <w:rsid w:val="008C0EA4"/>
    <w:rsid w:val="008C1A1A"/>
    <w:rsid w:val="008C2FC8"/>
    <w:rsid w:val="008C3614"/>
    <w:rsid w:val="008C46F8"/>
    <w:rsid w:val="008C492E"/>
    <w:rsid w:val="008C5594"/>
    <w:rsid w:val="008C562A"/>
    <w:rsid w:val="008C6DAE"/>
    <w:rsid w:val="008D0BE2"/>
    <w:rsid w:val="008D1099"/>
    <w:rsid w:val="008D141D"/>
    <w:rsid w:val="008D170D"/>
    <w:rsid w:val="008D317D"/>
    <w:rsid w:val="008D4831"/>
    <w:rsid w:val="008D49ED"/>
    <w:rsid w:val="008D4BA9"/>
    <w:rsid w:val="008D5588"/>
    <w:rsid w:val="008D56FB"/>
    <w:rsid w:val="008D5A12"/>
    <w:rsid w:val="008D68E7"/>
    <w:rsid w:val="008D7B22"/>
    <w:rsid w:val="008E00E5"/>
    <w:rsid w:val="008E15C9"/>
    <w:rsid w:val="008E1F23"/>
    <w:rsid w:val="008E283D"/>
    <w:rsid w:val="008E2D5B"/>
    <w:rsid w:val="008E2F3A"/>
    <w:rsid w:val="008E2FC1"/>
    <w:rsid w:val="008E3402"/>
    <w:rsid w:val="008E3BEA"/>
    <w:rsid w:val="008E3C7A"/>
    <w:rsid w:val="008E3DB6"/>
    <w:rsid w:val="008E42E5"/>
    <w:rsid w:val="008E4307"/>
    <w:rsid w:val="008E52C2"/>
    <w:rsid w:val="008E5AB9"/>
    <w:rsid w:val="008E6269"/>
    <w:rsid w:val="008E6451"/>
    <w:rsid w:val="008E6BBE"/>
    <w:rsid w:val="008E7B69"/>
    <w:rsid w:val="008F01B6"/>
    <w:rsid w:val="008F024D"/>
    <w:rsid w:val="008F0414"/>
    <w:rsid w:val="008F074F"/>
    <w:rsid w:val="008F0A46"/>
    <w:rsid w:val="008F166D"/>
    <w:rsid w:val="008F280B"/>
    <w:rsid w:val="008F4F63"/>
    <w:rsid w:val="008F5222"/>
    <w:rsid w:val="008F5580"/>
    <w:rsid w:val="008F5703"/>
    <w:rsid w:val="008F586A"/>
    <w:rsid w:val="008F670A"/>
    <w:rsid w:val="008F6739"/>
    <w:rsid w:val="008F7155"/>
    <w:rsid w:val="008F738B"/>
    <w:rsid w:val="008F7B3E"/>
    <w:rsid w:val="008F7CA4"/>
    <w:rsid w:val="00900301"/>
    <w:rsid w:val="009009CE"/>
    <w:rsid w:val="00900A94"/>
    <w:rsid w:val="00901B81"/>
    <w:rsid w:val="009029C7"/>
    <w:rsid w:val="00902B1A"/>
    <w:rsid w:val="00902D05"/>
    <w:rsid w:val="0090321A"/>
    <w:rsid w:val="00903D91"/>
    <w:rsid w:val="00904513"/>
    <w:rsid w:val="00905253"/>
    <w:rsid w:val="00905424"/>
    <w:rsid w:val="00905BB3"/>
    <w:rsid w:val="00905F06"/>
    <w:rsid w:val="00906B7E"/>
    <w:rsid w:val="0090713E"/>
    <w:rsid w:val="009075E4"/>
    <w:rsid w:val="009078AA"/>
    <w:rsid w:val="00907BD9"/>
    <w:rsid w:val="00907C6E"/>
    <w:rsid w:val="0091111C"/>
    <w:rsid w:val="0091111E"/>
    <w:rsid w:val="0091112D"/>
    <w:rsid w:val="009113AE"/>
    <w:rsid w:val="00912C22"/>
    <w:rsid w:val="00913270"/>
    <w:rsid w:val="009132C7"/>
    <w:rsid w:val="00913D16"/>
    <w:rsid w:val="009148C9"/>
    <w:rsid w:val="0091525C"/>
    <w:rsid w:val="00915708"/>
    <w:rsid w:val="0091598E"/>
    <w:rsid w:val="00916050"/>
    <w:rsid w:val="00916D03"/>
    <w:rsid w:val="00917005"/>
    <w:rsid w:val="00917728"/>
    <w:rsid w:val="00920092"/>
    <w:rsid w:val="009204E3"/>
    <w:rsid w:val="009212EE"/>
    <w:rsid w:val="009214E4"/>
    <w:rsid w:val="00922E4D"/>
    <w:rsid w:val="00922F81"/>
    <w:rsid w:val="009231A0"/>
    <w:rsid w:val="00924C8D"/>
    <w:rsid w:val="009250CB"/>
    <w:rsid w:val="0092598B"/>
    <w:rsid w:val="00927634"/>
    <w:rsid w:val="00927E5C"/>
    <w:rsid w:val="009301C2"/>
    <w:rsid w:val="00931A1E"/>
    <w:rsid w:val="00931BF0"/>
    <w:rsid w:val="009321A7"/>
    <w:rsid w:val="00934825"/>
    <w:rsid w:val="0093485D"/>
    <w:rsid w:val="009350ED"/>
    <w:rsid w:val="009369D4"/>
    <w:rsid w:val="00936F31"/>
    <w:rsid w:val="00937929"/>
    <w:rsid w:val="00940069"/>
    <w:rsid w:val="009405AB"/>
    <w:rsid w:val="0094095F"/>
    <w:rsid w:val="00940DCF"/>
    <w:rsid w:val="009413DF"/>
    <w:rsid w:val="00941512"/>
    <w:rsid w:val="00941702"/>
    <w:rsid w:val="00941775"/>
    <w:rsid w:val="00943434"/>
    <w:rsid w:val="0094390D"/>
    <w:rsid w:val="00944A93"/>
    <w:rsid w:val="00945BEA"/>
    <w:rsid w:val="00945DB4"/>
    <w:rsid w:val="00946CE4"/>
    <w:rsid w:val="00946D8A"/>
    <w:rsid w:val="00947444"/>
    <w:rsid w:val="009501E8"/>
    <w:rsid w:val="00950916"/>
    <w:rsid w:val="009511B2"/>
    <w:rsid w:val="009517D5"/>
    <w:rsid w:val="00951F5D"/>
    <w:rsid w:val="009524BA"/>
    <w:rsid w:val="00952794"/>
    <w:rsid w:val="00952A3F"/>
    <w:rsid w:val="00953008"/>
    <w:rsid w:val="00953636"/>
    <w:rsid w:val="009536D7"/>
    <w:rsid w:val="009547E5"/>
    <w:rsid w:val="00954BF5"/>
    <w:rsid w:val="00955465"/>
    <w:rsid w:val="0095728B"/>
    <w:rsid w:val="00957311"/>
    <w:rsid w:val="00957681"/>
    <w:rsid w:val="00957718"/>
    <w:rsid w:val="0096230B"/>
    <w:rsid w:val="00962623"/>
    <w:rsid w:val="009629F1"/>
    <w:rsid w:val="00962CAF"/>
    <w:rsid w:val="009637CD"/>
    <w:rsid w:val="0096394D"/>
    <w:rsid w:val="00964A5C"/>
    <w:rsid w:val="009654DF"/>
    <w:rsid w:val="0096572D"/>
    <w:rsid w:val="009657BB"/>
    <w:rsid w:val="009658B0"/>
    <w:rsid w:val="009661C0"/>
    <w:rsid w:val="00966EAE"/>
    <w:rsid w:val="0096745A"/>
    <w:rsid w:val="009675C0"/>
    <w:rsid w:val="00967E30"/>
    <w:rsid w:val="009700A9"/>
    <w:rsid w:val="00971126"/>
    <w:rsid w:val="00971E15"/>
    <w:rsid w:val="00972350"/>
    <w:rsid w:val="009730C4"/>
    <w:rsid w:val="009730D1"/>
    <w:rsid w:val="00973CE0"/>
    <w:rsid w:val="00973EC5"/>
    <w:rsid w:val="00974F37"/>
    <w:rsid w:val="0097503C"/>
    <w:rsid w:val="00975A10"/>
    <w:rsid w:val="0097640F"/>
    <w:rsid w:val="009764CF"/>
    <w:rsid w:val="0098051F"/>
    <w:rsid w:val="009805FB"/>
    <w:rsid w:val="00981490"/>
    <w:rsid w:val="009815F8"/>
    <w:rsid w:val="009816D1"/>
    <w:rsid w:val="009818ED"/>
    <w:rsid w:val="00982D55"/>
    <w:rsid w:val="00982EF5"/>
    <w:rsid w:val="00982FFD"/>
    <w:rsid w:val="0098312A"/>
    <w:rsid w:val="00983D7D"/>
    <w:rsid w:val="00983FA6"/>
    <w:rsid w:val="00984522"/>
    <w:rsid w:val="00984EFF"/>
    <w:rsid w:val="009857AC"/>
    <w:rsid w:val="00985CB9"/>
    <w:rsid w:val="00986B52"/>
    <w:rsid w:val="00990B20"/>
    <w:rsid w:val="00990D35"/>
    <w:rsid w:val="00990E3D"/>
    <w:rsid w:val="0099194E"/>
    <w:rsid w:val="00991A92"/>
    <w:rsid w:val="0099212A"/>
    <w:rsid w:val="009931BE"/>
    <w:rsid w:val="009935A9"/>
    <w:rsid w:val="00993635"/>
    <w:rsid w:val="009942B4"/>
    <w:rsid w:val="00994983"/>
    <w:rsid w:val="00994FDD"/>
    <w:rsid w:val="0099532F"/>
    <w:rsid w:val="00995680"/>
    <w:rsid w:val="00995BDF"/>
    <w:rsid w:val="0099623B"/>
    <w:rsid w:val="009963BF"/>
    <w:rsid w:val="009A02C2"/>
    <w:rsid w:val="009A04C0"/>
    <w:rsid w:val="009A1299"/>
    <w:rsid w:val="009A1E79"/>
    <w:rsid w:val="009A2291"/>
    <w:rsid w:val="009A25A2"/>
    <w:rsid w:val="009A33CE"/>
    <w:rsid w:val="009A42AB"/>
    <w:rsid w:val="009A510B"/>
    <w:rsid w:val="009A5652"/>
    <w:rsid w:val="009A5D96"/>
    <w:rsid w:val="009A6031"/>
    <w:rsid w:val="009A61C2"/>
    <w:rsid w:val="009A6991"/>
    <w:rsid w:val="009A6D59"/>
    <w:rsid w:val="009A71F5"/>
    <w:rsid w:val="009A77F9"/>
    <w:rsid w:val="009B0351"/>
    <w:rsid w:val="009B1142"/>
    <w:rsid w:val="009B24AE"/>
    <w:rsid w:val="009B2E09"/>
    <w:rsid w:val="009B2F3C"/>
    <w:rsid w:val="009B3A7C"/>
    <w:rsid w:val="009B41C7"/>
    <w:rsid w:val="009B4D7D"/>
    <w:rsid w:val="009B5159"/>
    <w:rsid w:val="009B567C"/>
    <w:rsid w:val="009B5C87"/>
    <w:rsid w:val="009B60DD"/>
    <w:rsid w:val="009B64CD"/>
    <w:rsid w:val="009B6E24"/>
    <w:rsid w:val="009B744F"/>
    <w:rsid w:val="009C001D"/>
    <w:rsid w:val="009C04E7"/>
    <w:rsid w:val="009C0F07"/>
    <w:rsid w:val="009C11E5"/>
    <w:rsid w:val="009C1D16"/>
    <w:rsid w:val="009C2081"/>
    <w:rsid w:val="009C213C"/>
    <w:rsid w:val="009C22C1"/>
    <w:rsid w:val="009C2678"/>
    <w:rsid w:val="009C32ED"/>
    <w:rsid w:val="009C3841"/>
    <w:rsid w:val="009C3A01"/>
    <w:rsid w:val="009C3B4A"/>
    <w:rsid w:val="009C4A02"/>
    <w:rsid w:val="009C4ABC"/>
    <w:rsid w:val="009C4F6C"/>
    <w:rsid w:val="009C5561"/>
    <w:rsid w:val="009C564D"/>
    <w:rsid w:val="009C6022"/>
    <w:rsid w:val="009C6C3C"/>
    <w:rsid w:val="009C7AC7"/>
    <w:rsid w:val="009D0985"/>
    <w:rsid w:val="009D2053"/>
    <w:rsid w:val="009D2BBA"/>
    <w:rsid w:val="009D3108"/>
    <w:rsid w:val="009D3148"/>
    <w:rsid w:val="009D4EE0"/>
    <w:rsid w:val="009D5288"/>
    <w:rsid w:val="009D7D7C"/>
    <w:rsid w:val="009E1C6D"/>
    <w:rsid w:val="009E21FC"/>
    <w:rsid w:val="009E23CB"/>
    <w:rsid w:val="009E2733"/>
    <w:rsid w:val="009E2819"/>
    <w:rsid w:val="009E30AC"/>
    <w:rsid w:val="009E3475"/>
    <w:rsid w:val="009E36D1"/>
    <w:rsid w:val="009E3E72"/>
    <w:rsid w:val="009E421E"/>
    <w:rsid w:val="009E4942"/>
    <w:rsid w:val="009E4B21"/>
    <w:rsid w:val="009E52E3"/>
    <w:rsid w:val="009E5C15"/>
    <w:rsid w:val="009E5E4E"/>
    <w:rsid w:val="009E67DD"/>
    <w:rsid w:val="009E6968"/>
    <w:rsid w:val="009E697E"/>
    <w:rsid w:val="009E6B50"/>
    <w:rsid w:val="009E7722"/>
    <w:rsid w:val="009E7A9E"/>
    <w:rsid w:val="009E7ACA"/>
    <w:rsid w:val="009F03E5"/>
    <w:rsid w:val="009F0737"/>
    <w:rsid w:val="009F0CAA"/>
    <w:rsid w:val="009F1821"/>
    <w:rsid w:val="009F3635"/>
    <w:rsid w:val="009F39EE"/>
    <w:rsid w:val="009F4453"/>
    <w:rsid w:val="009F4AC4"/>
    <w:rsid w:val="009F4B58"/>
    <w:rsid w:val="009F4C78"/>
    <w:rsid w:val="009F4DF5"/>
    <w:rsid w:val="009F5809"/>
    <w:rsid w:val="009F58AE"/>
    <w:rsid w:val="009F5CFE"/>
    <w:rsid w:val="009F60F1"/>
    <w:rsid w:val="009F6968"/>
    <w:rsid w:val="009F7787"/>
    <w:rsid w:val="00A0136A"/>
    <w:rsid w:val="00A01711"/>
    <w:rsid w:val="00A02191"/>
    <w:rsid w:val="00A02EC2"/>
    <w:rsid w:val="00A03C77"/>
    <w:rsid w:val="00A03D12"/>
    <w:rsid w:val="00A04D5E"/>
    <w:rsid w:val="00A05286"/>
    <w:rsid w:val="00A05C44"/>
    <w:rsid w:val="00A066D9"/>
    <w:rsid w:val="00A06FB4"/>
    <w:rsid w:val="00A101CB"/>
    <w:rsid w:val="00A10BAC"/>
    <w:rsid w:val="00A11BF9"/>
    <w:rsid w:val="00A11E23"/>
    <w:rsid w:val="00A12A26"/>
    <w:rsid w:val="00A12CC0"/>
    <w:rsid w:val="00A158DB"/>
    <w:rsid w:val="00A15E0C"/>
    <w:rsid w:val="00A166D9"/>
    <w:rsid w:val="00A16DE2"/>
    <w:rsid w:val="00A17609"/>
    <w:rsid w:val="00A21739"/>
    <w:rsid w:val="00A224B5"/>
    <w:rsid w:val="00A228F0"/>
    <w:rsid w:val="00A229BF"/>
    <w:rsid w:val="00A243C8"/>
    <w:rsid w:val="00A24539"/>
    <w:rsid w:val="00A250EA"/>
    <w:rsid w:val="00A2525C"/>
    <w:rsid w:val="00A258AC"/>
    <w:rsid w:val="00A25B56"/>
    <w:rsid w:val="00A25B85"/>
    <w:rsid w:val="00A267E3"/>
    <w:rsid w:val="00A26AC1"/>
    <w:rsid w:val="00A26C5E"/>
    <w:rsid w:val="00A26CFD"/>
    <w:rsid w:val="00A2716E"/>
    <w:rsid w:val="00A279BF"/>
    <w:rsid w:val="00A27BA0"/>
    <w:rsid w:val="00A27EC8"/>
    <w:rsid w:val="00A30169"/>
    <w:rsid w:val="00A30E7C"/>
    <w:rsid w:val="00A31412"/>
    <w:rsid w:val="00A3155E"/>
    <w:rsid w:val="00A315DC"/>
    <w:rsid w:val="00A32A9D"/>
    <w:rsid w:val="00A352BE"/>
    <w:rsid w:val="00A35630"/>
    <w:rsid w:val="00A36540"/>
    <w:rsid w:val="00A36CBA"/>
    <w:rsid w:val="00A400FB"/>
    <w:rsid w:val="00A407B2"/>
    <w:rsid w:val="00A40AF2"/>
    <w:rsid w:val="00A4135B"/>
    <w:rsid w:val="00A41F05"/>
    <w:rsid w:val="00A42482"/>
    <w:rsid w:val="00A42CC0"/>
    <w:rsid w:val="00A42ED9"/>
    <w:rsid w:val="00A42F3D"/>
    <w:rsid w:val="00A430AA"/>
    <w:rsid w:val="00A43102"/>
    <w:rsid w:val="00A43A5F"/>
    <w:rsid w:val="00A43AD4"/>
    <w:rsid w:val="00A43CD8"/>
    <w:rsid w:val="00A43F59"/>
    <w:rsid w:val="00A44C83"/>
    <w:rsid w:val="00A4696C"/>
    <w:rsid w:val="00A47E45"/>
    <w:rsid w:val="00A50904"/>
    <w:rsid w:val="00A50F89"/>
    <w:rsid w:val="00A51018"/>
    <w:rsid w:val="00A51DA4"/>
    <w:rsid w:val="00A53655"/>
    <w:rsid w:val="00A53A65"/>
    <w:rsid w:val="00A53D59"/>
    <w:rsid w:val="00A53F2E"/>
    <w:rsid w:val="00A54704"/>
    <w:rsid w:val="00A561A2"/>
    <w:rsid w:val="00A561A9"/>
    <w:rsid w:val="00A5653E"/>
    <w:rsid w:val="00A566C9"/>
    <w:rsid w:val="00A5711A"/>
    <w:rsid w:val="00A57697"/>
    <w:rsid w:val="00A6002E"/>
    <w:rsid w:val="00A60156"/>
    <w:rsid w:val="00A60B07"/>
    <w:rsid w:val="00A613C7"/>
    <w:rsid w:val="00A61E70"/>
    <w:rsid w:val="00A62752"/>
    <w:rsid w:val="00A62ADE"/>
    <w:rsid w:val="00A6319F"/>
    <w:rsid w:val="00A635CE"/>
    <w:rsid w:val="00A6386A"/>
    <w:rsid w:val="00A63C81"/>
    <w:rsid w:val="00A63F49"/>
    <w:rsid w:val="00A64450"/>
    <w:rsid w:val="00A656EF"/>
    <w:rsid w:val="00A65A52"/>
    <w:rsid w:val="00A65ED7"/>
    <w:rsid w:val="00A7009D"/>
    <w:rsid w:val="00A70546"/>
    <w:rsid w:val="00A70B74"/>
    <w:rsid w:val="00A71356"/>
    <w:rsid w:val="00A7167E"/>
    <w:rsid w:val="00A71B9A"/>
    <w:rsid w:val="00A7323B"/>
    <w:rsid w:val="00A7325D"/>
    <w:rsid w:val="00A733F5"/>
    <w:rsid w:val="00A734B7"/>
    <w:rsid w:val="00A738C4"/>
    <w:rsid w:val="00A7504E"/>
    <w:rsid w:val="00A75723"/>
    <w:rsid w:val="00A773E7"/>
    <w:rsid w:val="00A7779D"/>
    <w:rsid w:val="00A779D4"/>
    <w:rsid w:val="00A806F1"/>
    <w:rsid w:val="00A8093B"/>
    <w:rsid w:val="00A80A3D"/>
    <w:rsid w:val="00A8169D"/>
    <w:rsid w:val="00A836D3"/>
    <w:rsid w:val="00A8381F"/>
    <w:rsid w:val="00A841A1"/>
    <w:rsid w:val="00A848B6"/>
    <w:rsid w:val="00A84AB1"/>
    <w:rsid w:val="00A85C1F"/>
    <w:rsid w:val="00A86DBA"/>
    <w:rsid w:val="00A86EE0"/>
    <w:rsid w:val="00A86EFA"/>
    <w:rsid w:val="00A87679"/>
    <w:rsid w:val="00A87F4F"/>
    <w:rsid w:val="00A90700"/>
    <w:rsid w:val="00A90798"/>
    <w:rsid w:val="00A91EFF"/>
    <w:rsid w:val="00A9224B"/>
    <w:rsid w:val="00A93026"/>
    <w:rsid w:val="00A9390E"/>
    <w:rsid w:val="00A93AF2"/>
    <w:rsid w:val="00A94739"/>
    <w:rsid w:val="00A94B67"/>
    <w:rsid w:val="00A9533C"/>
    <w:rsid w:val="00A9541E"/>
    <w:rsid w:val="00A9583F"/>
    <w:rsid w:val="00A95F57"/>
    <w:rsid w:val="00A97066"/>
    <w:rsid w:val="00A9765B"/>
    <w:rsid w:val="00A97A46"/>
    <w:rsid w:val="00A97E04"/>
    <w:rsid w:val="00AA010E"/>
    <w:rsid w:val="00AA020C"/>
    <w:rsid w:val="00AA24C1"/>
    <w:rsid w:val="00AA2BFB"/>
    <w:rsid w:val="00AA3325"/>
    <w:rsid w:val="00AA332C"/>
    <w:rsid w:val="00AA3724"/>
    <w:rsid w:val="00AA3E39"/>
    <w:rsid w:val="00AA4459"/>
    <w:rsid w:val="00AA4A77"/>
    <w:rsid w:val="00AA4A7B"/>
    <w:rsid w:val="00AA577D"/>
    <w:rsid w:val="00AA6D8F"/>
    <w:rsid w:val="00AA6F40"/>
    <w:rsid w:val="00AA707F"/>
    <w:rsid w:val="00AA72D4"/>
    <w:rsid w:val="00AA73A2"/>
    <w:rsid w:val="00AB0563"/>
    <w:rsid w:val="00AB108A"/>
    <w:rsid w:val="00AB1518"/>
    <w:rsid w:val="00AB19AF"/>
    <w:rsid w:val="00AB1BC0"/>
    <w:rsid w:val="00AB3B97"/>
    <w:rsid w:val="00AB44B8"/>
    <w:rsid w:val="00AB50F3"/>
    <w:rsid w:val="00AB51F4"/>
    <w:rsid w:val="00AB5D43"/>
    <w:rsid w:val="00AB5E2F"/>
    <w:rsid w:val="00AB631A"/>
    <w:rsid w:val="00AB6906"/>
    <w:rsid w:val="00AB7043"/>
    <w:rsid w:val="00AB706C"/>
    <w:rsid w:val="00AB7DDA"/>
    <w:rsid w:val="00AC07FA"/>
    <w:rsid w:val="00AC0FA0"/>
    <w:rsid w:val="00AC1058"/>
    <w:rsid w:val="00AC122B"/>
    <w:rsid w:val="00AC24D9"/>
    <w:rsid w:val="00AC2617"/>
    <w:rsid w:val="00AC4239"/>
    <w:rsid w:val="00AC4B57"/>
    <w:rsid w:val="00AC58F6"/>
    <w:rsid w:val="00AC6A2A"/>
    <w:rsid w:val="00AC75DD"/>
    <w:rsid w:val="00AC7769"/>
    <w:rsid w:val="00AD0500"/>
    <w:rsid w:val="00AD050B"/>
    <w:rsid w:val="00AD067B"/>
    <w:rsid w:val="00AD0A6D"/>
    <w:rsid w:val="00AD0AE2"/>
    <w:rsid w:val="00AD1050"/>
    <w:rsid w:val="00AD14B3"/>
    <w:rsid w:val="00AD1D29"/>
    <w:rsid w:val="00AD2A56"/>
    <w:rsid w:val="00AD2CE8"/>
    <w:rsid w:val="00AD373C"/>
    <w:rsid w:val="00AD388A"/>
    <w:rsid w:val="00AD410F"/>
    <w:rsid w:val="00AD41E1"/>
    <w:rsid w:val="00AD42F9"/>
    <w:rsid w:val="00AD4675"/>
    <w:rsid w:val="00AD4B30"/>
    <w:rsid w:val="00AD5327"/>
    <w:rsid w:val="00AD5D91"/>
    <w:rsid w:val="00AD6C52"/>
    <w:rsid w:val="00AD6E75"/>
    <w:rsid w:val="00AD6F40"/>
    <w:rsid w:val="00AD7570"/>
    <w:rsid w:val="00AE0B19"/>
    <w:rsid w:val="00AE0EFB"/>
    <w:rsid w:val="00AE114E"/>
    <w:rsid w:val="00AE1ECB"/>
    <w:rsid w:val="00AE2F54"/>
    <w:rsid w:val="00AE2F9A"/>
    <w:rsid w:val="00AE3BFD"/>
    <w:rsid w:val="00AE3FD2"/>
    <w:rsid w:val="00AE4178"/>
    <w:rsid w:val="00AE430C"/>
    <w:rsid w:val="00AE46E8"/>
    <w:rsid w:val="00AE6163"/>
    <w:rsid w:val="00AE62AB"/>
    <w:rsid w:val="00AE66AB"/>
    <w:rsid w:val="00AE6CEA"/>
    <w:rsid w:val="00AE6E75"/>
    <w:rsid w:val="00AE726E"/>
    <w:rsid w:val="00AE744A"/>
    <w:rsid w:val="00AE780F"/>
    <w:rsid w:val="00AF0009"/>
    <w:rsid w:val="00AF0CA2"/>
    <w:rsid w:val="00AF0EEE"/>
    <w:rsid w:val="00AF1C90"/>
    <w:rsid w:val="00AF1F8E"/>
    <w:rsid w:val="00AF2350"/>
    <w:rsid w:val="00AF23BE"/>
    <w:rsid w:val="00AF241A"/>
    <w:rsid w:val="00AF26C7"/>
    <w:rsid w:val="00AF28A6"/>
    <w:rsid w:val="00AF2BE9"/>
    <w:rsid w:val="00AF3DFF"/>
    <w:rsid w:val="00AF4197"/>
    <w:rsid w:val="00AF48FB"/>
    <w:rsid w:val="00AF49A5"/>
    <w:rsid w:val="00AF5585"/>
    <w:rsid w:val="00AF5A43"/>
    <w:rsid w:val="00AF5E22"/>
    <w:rsid w:val="00AF6AD3"/>
    <w:rsid w:val="00AF777A"/>
    <w:rsid w:val="00AF7DA5"/>
    <w:rsid w:val="00B0011C"/>
    <w:rsid w:val="00B00481"/>
    <w:rsid w:val="00B004C5"/>
    <w:rsid w:val="00B00668"/>
    <w:rsid w:val="00B00A6F"/>
    <w:rsid w:val="00B012B0"/>
    <w:rsid w:val="00B0246A"/>
    <w:rsid w:val="00B03106"/>
    <w:rsid w:val="00B037F7"/>
    <w:rsid w:val="00B03D19"/>
    <w:rsid w:val="00B04292"/>
    <w:rsid w:val="00B0479A"/>
    <w:rsid w:val="00B04984"/>
    <w:rsid w:val="00B053A6"/>
    <w:rsid w:val="00B0669D"/>
    <w:rsid w:val="00B06C0F"/>
    <w:rsid w:val="00B07014"/>
    <w:rsid w:val="00B071C5"/>
    <w:rsid w:val="00B073AB"/>
    <w:rsid w:val="00B07B38"/>
    <w:rsid w:val="00B07EDF"/>
    <w:rsid w:val="00B0A7D2"/>
    <w:rsid w:val="00B1004C"/>
    <w:rsid w:val="00B10A55"/>
    <w:rsid w:val="00B10AB9"/>
    <w:rsid w:val="00B10B6E"/>
    <w:rsid w:val="00B11035"/>
    <w:rsid w:val="00B117C6"/>
    <w:rsid w:val="00B128E2"/>
    <w:rsid w:val="00B12F37"/>
    <w:rsid w:val="00B134A9"/>
    <w:rsid w:val="00B13A1B"/>
    <w:rsid w:val="00B1451F"/>
    <w:rsid w:val="00B14C83"/>
    <w:rsid w:val="00B15FFC"/>
    <w:rsid w:val="00B16869"/>
    <w:rsid w:val="00B16C39"/>
    <w:rsid w:val="00B17765"/>
    <w:rsid w:val="00B17F1E"/>
    <w:rsid w:val="00B213AF"/>
    <w:rsid w:val="00B21C64"/>
    <w:rsid w:val="00B2224D"/>
    <w:rsid w:val="00B22713"/>
    <w:rsid w:val="00B238E6"/>
    <w:rsid w:val="00B24E81"/>
    <w:rsid w:val="00B2538B"/>
    <w:rsid w:val="00B262A1"/>
    <w:rsid w:val="00B2651D"/>
    <w:rsid w:val="00B2658D"/>
    <w:rsid w:val="00B26E92"/>
    <w:rsid w:val="00B278F2"/>
    <w:rsid w:val="00B27CD6"/>
    <w:rsid w:val="00B2C015"/>
    <w:rsid w:val="00B308EC"/>
    <w:rsid w:val="00B30CE0"/>
    <w:rsid w:val="00B312AC"/>
    <w:rsid w:val="00B31574"/>
    <w:rsid w:val="00B315C3"/>
    <w:rsid w:val="00B332CF"/>
    <w:rsid w:val="00B336C4"/>
    <w:rsid w:val="00B337CC"/>
    <w:rsid w:val="00B347D4"/>
    <w:rsid w:val="00B35552"/>
    <w:rsid w:val="00B36064"/>
    <w:rsid w:val="00B363D6"/>
    <w:rsid w:val="00B36BBF"/>
    <w:rsid w:val="00B37CB2"/>
    <w:rsid w:val="00B40413"/>
    <w:rsid w:val="00B405B5"/>
    <w:rsid w:val="00B406BD"/>
    <w:rsid w:val="00B40F7C"/>
    <w:rsid w:val="00B41030"/>
    <w:rsid w:val="00B41A65"/>
    <w:rsid w:val="00B427C3"/>
    <w:rsid w:val="00B446AD"/>
    <w:rsid w:val="00B456FF"/>
    <w:rsid w:val="00B45B81"/>
    <w:rsid w:val="00B45DEB"/>
    <w:rsid w:val="00B4695C"/>
    <w:rsid w:val="00B47F3E"/>
    <w:rsid w:val="00B50C15"/>
    <w:rsid w:val="00B51536"/>
    <w:rsid w:val="00B518CC"/>
    <w:rsid w:val="00B520D8"/>
    <w:rsid w:val="00B5263A"/>
    <w:rsid w:val="00B52671"/>
    <w:rsid w:val="00B533D0"/>
    <w:rsid w:val="00B53D8C"/>
    <w:rsid w:val="00B547B1"/>
    <w:rsid w:val="00B54CF1"/>
    <w:rsid w:val="00B54D70"/>
    <w:rsid w:val="00B557BD"/>
    <w:rsid w:val="00B561B7"/>
    <w:rsid w:val="00B5662F"/>
    <w:rsid w:val="00B567AF"/>
    <w:rsid w:val="00B57964"/>
    <w:rsid w:val="00B60043"/>
    <w:rsid w:val="00B6082C"/>
    <w:rsid w:val="00B614D2"/>
    <w:rsid w:val="00B619BC"/>
    <w:rsid w:val="00B61B62"/>
    <w:rsid w:val="00B6328E"/>
    <w:rsid w:val="00B635F1"/>
    <w:rsid w:val="00B638FC"/>
    <w:rsid w:val="00B63C29"/>
    <w:rsid w:val="00B64402"/>
    <w:rsid w:val="00B64AE6"/>
    <w:rsid w:val="00B64B68"/>
    <w:rsid w:val="00B64CD1"/>
    <w:rsid w:val="00B65ABD"/>
    <w:rsid w:val="00B660ED"/>
    <w:rsid w:val="00B66541"/>
    <w:rsid w:val="00B66620"/>
    <w:rsid w:val="00B66677"/>
    <w:rsid w:val="00B66DC8"/>
    <w:rsid w:val="00B67320"/>
    <w:rsid w:val="00B71CDA"/>
    <w:rsid w:val="00B7326C"/>
    <w:rsid w:val="00B73309"/>
    <w:rsid w:val="00B737A0"/>
    <w:rsid w:val="00B73E46"/>
    <w:rsid w:val="00B74359"/>
    <w:rsid w:val="00B74A21"/>
    <w:rsid w:val="00B75713"/>
    <w:rsid w:val="00B7578F"/>
    <w:rsid w:val="00B76CE5"/>
    <w:rsid w:val="00B76FE1"/>
    <w:rsid w:val="00B779B4"/>
    <w:rsid w:val="00B77B13"/>
    <w:rsid w:val="00B8130F"/>
    <w:rsid w:val="00B818EB"/>
    <w:rsid w:val="00B81A5F"/>
    <w:rsid w:val="00B81BCC"/>
    <w:rsid w:val="00B822D5"/>
    <w:rsid w:val="00B82AAC"/>
    <w:rsid w:val="00B8321F"/>
    <w:rsid w:val="00B836C1"/>
    <w:rsid w:val="00B84337"/>
    <w:rsid w:val="00B8492C"/>
    <w:rsid w:val="00B85142"/>
    <w:rsid w:val="00B85D39"/>
    <w:rsid w:val="00B86537"/>
    <w:rsid w:val="00B86988"/>
    <w:rsid w:val="00B87985"/>
    <w:rsid w:val="00B879B9"/>
    <w:rsid w:val="00B87D96"/>
    <w:rsid w:val="00B91377"/>
    <w:rsid w:val="00B91431"/>
    <w:rsid w:val="00B91799"/>
    <w:rsid w:val="00B92299"/>
    <w:rsid w:val="00B926A2"/>
    <w:rsid w:val="00B929AF"/>
    <w:rsid w:val="00B92DE2"/>
    <w:rsid w:val="00B930A1"/>
    <w:rsid w:val="00B935F0"/>
    <w:rsid w:val="00B93CAE"/>
    <w:rsid w:val="00B94B8D"/>
    <w:rsid w:val="00B95B60"/>
    <w:rsid w:val="00B95F5D"/>
    <w:rsid w:val="00B96570"/>
    <w:rsid w:val="00B96E29"/>
    <w:rsid w:val="00B96F64"/>
    <w:rsid w:val="00B97525"/>
    <w:rsid w:val="00B97F3B"/>
    <w:rsid w:val="00BA065C"/>
    <w:rsid w:val="00BA07C4"/>
    <w:rsid w:val="00BA09CD"/>
    <w:rsid w:val="00BA102A"/>
    <w:rsid w:val="00BA24BB"/>
    <w:rsid w:val="00BA26CB"/>
    <w:rsid w:val="00BA272E"/>
    <w:rsid w:val="00BA35B7"/>
    <w:rsid w:val="00BA4206"/>
    <w:rsid w:val="00BA58BC"/>
    <w:rsid w:val="00BA6A2C"/>
    <w:rsid w:val="00BA7876"/>
    <w:rsid w:val="00BA7A9A"/>
    <w:rsid w:val="00BA7EFB"/>
    <w:rsid w:val="00BB0140"/>
    <w:rsid w:val="00BB0884"/>
    <w:rsid w:val="00BB13DA"/>
    <w:rsid w:val="00BB144F"/>
    <w:rsid w:val="00BB3190"/>
    <w:rsid w:val="00BB325C"/>
    <w:rsid w:val="00BB3412"/>
    <w:rsid w:val="00BB363A"/>
    <w:rsid w:val="00BB3C25"/>
    <w:rsid w:val="00BB3F62"/>
    <w:rsid w:val="00BB4896"/>
    <w:rsid w:val="00BB5861"/>
    <w:rsid w:val="00BB5ABC"/>
    <w:rsid w:val="00BB5C19"/>
    <w:rsid w:val="00BB635E"/>
    <w:rsid w:val="00BB7877"/>
    <w:rsid w:val="00BC15B7"/>
    <w:rsid w:val="00BC18CC"/>
    <w:rsid w:val="00BC2A1A"/>
    <w:rsid w:val="00BC2DE3"/>
    <w:rsid w:val="00BC3162"/>
    <w:rsid w:val="00BC31F6"/>
    <w:rsid w:val="00BC35A3"/>
    <w:rsid w:val="00BC3B38"/>
    <w:rsid w:val="00BC3CA1"/>
    <w:rsid w:val="00BC3D72"/>
    <w:rsid w:val="00BC4342"/>
    <w:rsid w:val="00BC4770"/>
    <w:rsid w:val="00BC47AE"/>
    <w:rsid w:val="00BC555E"/>
    <w:rsid w:val="00BC5649"/>
    <w:rsid w:val="00BC583D"/>
    <w:rsid w:val="00BC5AB6"/>
    <w:rsid w:val="00BC5DDB"/>
    <w:rsid w:val="00BC6184"/>
    <w:rsid w:val="00BC6C8D"/>
    <w:rsid w:val="00BC7989"/>
    <w:rsid w:val="00BD0D2C"/>
    <w:rsid w:val="00BD11C3"/>
    <w:rsid w:val="00BD1295"/>
    <w:rsid w:val="00BD1363"/>
    <w:rsid w:val="00BD1BE1"/>
    <w:rsid w:val="00BD238E"/>
    <w:rsid w:val="00BD2E82"/>
    <w:rsid w:val="00BD2F05"/>
    <w:rsid w:val="00BD305C"/>
    <w:rsid w:val="00BD3D87"/>
    <w:rsid w:val="00BD40D3"/>
    <w:rsid w:val="00BD46AA"/>
    <w:rsid w:val="00BD4860"/>
    <w:rsid w:val="00BD509A"/>
    <w:rsid w:val="00BD5A3F"/>
    <w:rsid w:val="00BD7384"/>
    <w:rsid w:val="00BD7570"/>
    <w:rsid w:val="00BD77F2"/>
    <w:rsid w:val="00BD7BAC"/>
    <w:rsid w:val="00BD7BE8"/>
    <w:rsid w:val="00BE06FC"/>
    <w:rsid w:val="00BE2A86"/>
    <w:rsid w:val="00BE2B52"/>
    <w:rsid w:val="00BE2B61"/>
    <w:rsid w:val="00BE2BF6"/>
    <w:rsid w:val="00BE3217"/>
    <w:rsid w:val="00BE3D42"/>
    <w:rsid w:val="00BE4876"/>
    <w:rsid w:val="00BE52F1"/>
    <w:rsid w:val="00BE60DA"/>
    <w:rsid w:val="00BE6E2A"/>
    <w:rsid w:val="00BE774C"/>
    <w:rsid w:val="00BE7AD3"/>
    <w:rsid w:val="00BE7ED9"/>
    <w:rsid w:val="00BF10FA"/>
    <w:rsid w:val="00BF12B2"/>
    <w:rsid w:val="00BF21BA"/>
    <w:rsid w:val="00BF2398"/>
    <w:rsid w:val="00BF387C"/>
    <w:rsid w:val="00BF3E4D"/>
    <w:rsid w:val="00BF3EE7"/>
    <w:rsid w:val="00BF4341"/>
    <w:rsid w:val="00BF6049"/>
    <w:rsid w:val="00BF6941"/>
    <w:rsid w:val="00BF776D"/>
    <w:rsid w:val="00C01BE3"/>
    <w:rsid w:val="00C02143"/>
    <w:rsid w:val="00C0229C"/>
    <w:rsid w:val="00C025E6"/>
    <w:rsid w:val="00C02ABD"/>
    <w:rsid w:val="00C03304"/>
    <w:rsid w:val="00C0342E"/>
    <w:rsid w:val="00C0392D"/>
    <w:rsid w:val="00C04428"/>
    <w:rsid w:val="00C048F3"/>
    <w:rsid w:val="00C05A68"/>
    <w:rsid w:val="00C0635E"/>
    <w:rsid w:val="00C06974"/>
    <w:rsid w:val="00C10C2B"/>
    <w:rsid w:val="00C112D8"/>
    <w:rsid w:val="00C11670"/>
    <w:rsid w:val="00C1192B"/>
    <w:rsid w:val="00C119AA"/>
    <w:rsid w:val="00C11ED7"/>
    <w:rsid w:val="00C124FF"/>
    <w:rsid w:val="00C12502"/>
    <w:rsid w:val="00C127A7"/>
    <w:rsid w:val="00C12937"/>
    <w:rsid w:val="00C130E4"/>
    <w:rsid w:val="00C13165"/>
    <w:rsid w:val="00C137E5"/>
    <w:rsid w:val="00C13949"/>
    <w:rsid w:val="00C14062"/>
    <w:rsid w:val="00C14978"/>
    <w:rsid w:val="00C14A89"/>
    <w:rsid w:val="00C156C1"/>
    <w:rsid w:val="00C161C8"/>
    <w:rsid w:val="00C16655"/>
    <w:rsid w:val="00C1763A"/>
    <w:rsid w:val="00C17793"/>
    <w:rsid w:val="00C20367"/>
    <w:rsid w:val="00C203FB"/>
    <w:rsid w:val="00C204FD"/>
    <w:rsid w:val="00C2079B"/>
    <w:rsid w:val="00C20B37"/>
    <w:rsid w:val="00C21CBE"/>
    <w:rsid w:val="00C2266E"/>
    <w:rsid w:val="00C22725"/>
    <w:rsid w:val="00C231A7"/>
    <w:rsid w:val="00C24150"/>
    <w:rsid w:val="00C25AA5"/>
    <w:rsid w:val="00C25F0A"/>
    <w:rsid w:val="00C26189"/>
    <w:rsid w:val="00C262CB"/>
    <w:rsid w:val="00C27AFB"/>
    <w:rsid w:val="00C27BB5"/>
    <w:rsid w:val="00C27BDB"/>
    <w:rsid w:val="00C3020C"/>
    <w:rsid w:val="00C306A8"/>
    <w:rsid w:val="00C31D62"/>
    <w:rsid w:val="00C31F80"/>
    <w:rsid w:val="00C32443"/>
    <w:rsid w:val="00C324DA"/>
    <w:rsid w:val="00C32B30"/>
    <w:rsid w:val="00C32E8F"/>
    <w:rsid w:val="00C33425"/>
    <w:rsid w:val="00C34C86"/>
    <w:rsid w:val="00C34DAE"/>
    <w:rsid w:val="00C34F66"/>
    <w:rsid w:val="00C35194"/>
    <w:rsid w:val="00C358ED"/>
    <w:rsid w:val="00C35BA3"/>
    <w:rsid w:val="00C35D3F"/>
    <w:rsid w:val="00C3605C"/>
    <w:rsid w:val="00C363ED"/>
    <w:rsid w:val="00C36A11"/>
    <w:rsid w:val="00C36FD6"/>
    <w:rsid w:val="00C376A3"/>
    <w:rsid w:val="00C377E9"/>
    <w:rsid w:val="00C40352"/>
    <w:rsid w:val="00C41851"/>
    <w:rsid w:val="00C41A7C"/>
    <w:rsid w:val="00C4227F"/>
    <w:rsid w:val="00C4374A"/>
    <w:rsid w:val="00C437D4"/>
    <w:rsid w:val="00C43CDD"/>
    <w:rsid w:val="00C4466E"/>
    <w:rsid w:val="00C44C36"/>
    <w:rsid w:val="00C44D8E"/>
    <w:rsid w:val="00C44D91"/>
    <w:rsid w:val="00C44EA2"/>
    <w:rsid w:val="00C44EC1"/>
    <w:rsid w:val="00C44F69"/>
    <w:rsid w:val="00C451B6"/>
    <w:rsid w:val="00C4539C"/>
    <w:rsid w:val="00C455D2"/>
    <w:rsid w:val="00C466A5"/>
    <w:rsid w:val="00C46BC8"/>
    <w:rsid w:val="00C46FBF"/>
    <w:rsid w:val="00C47AE8"/>
    <w:rsid w:val="00C501C9"/>
    <w:rsid w:val="00C5028E"/>
    <w:rsid w:val="00C50AE9"/>
    <w:rsid w:val="00C50F93"/>
    <w:rsid w:val="00C51308"/>
    <w:rsid w:val="00C5176C"/>
    <w:rsid w:val="00C51824"/>
    <w:rsid w:val="00C51F07"/>
    <w:rsid w:val="00C52153"/>
    <w:rsid w:val="00C53586"/>
    <w:rsid w:val="00C536A8"/>
    <w:rsid w:val="00C53716"/>
    <w:rsid w:val="00C537B5"/>
    <w:rsid w:val="00C54570"/>
    <w:rsid w:val="00C54C51"/>
    <w:rsid w:val="00C54F9F"/>
    <w:rsid w:val="00C55F41"/>
    <w:rsid w:val="00C5697B"/>
    <w:rsid w:val="00C56AC5"/>
    <w:rsid w:val="00C57EB8"/>
    <w:rsid w:val="00C605A7"/>
    <w:rsid w:val="00C60A40"/>
    <w:rsid w:val="00C60D17"/>
    <w:rsid w:val="00C6135B"/>
    <w:rsid w:val="00C61826"/>
    <w:rsid w:val="00C62642"/>
    <w:rsid w:val="00C62A4F"/>
    <w:rsid w:val="00C62B3E"/>
    <w:rsid w:val="00C63739"/>
    <w:rsid w:val="00C644DA"/>
    <w:rsid w:val="00C644DD"/>
    <w:rsid w:val="00C652F5"/>
    <w:rsid w:val="00C65C1B"/>
    <w:rsid w:val="00C65CD8"/>
    <w:rsid w:val="00C66028"/>
    <w:rsid w:val="00C67985"/>
    <w:rsid w:val="00C67FAC"/>
    <w:rsid w:val="00C7089E"/>
    <w:rsid w:val="00C71128"/>
    <w:rsid w:val="00C71163"/>
    <w:rsid w:val="00C712BB"/>
    <w:rsid w:val="00C717B0"/>
    <w:rsid w:val="00C717DE"/>
    <w:rsid w:val="00C71A79"/>
    <w:rsid w:val="00C72C11"/>
    <w:rsid w:val="00C7342D"/>
    <w:rsid w:val="00C7393B"/>
    <w:rsid w:val="00C741AA"/>
    <w:rsid w:val="00C74F7E"/>
    <w:rsid w:val="00C76268"/>
    <w:rsid w:val="00C76D1D"/>
    <w:rsid w:val="00C76F1C"/>
    <w:rsid w:val="00C774A3"/>
    <w:rsid w:val="00C778EF"/>
    <w:rsid w:val="00C802B1"/>
    <w:rsid w:val="00C8106A"/>
    <w:rsid w:val="00C81A2B"/>
    <w:rsid w:val="00C81FF5"/>
    <w:rsid w:val="00C825A5"/>
    <w:rsid w:val="00C825EC"/>
    <w:rsid w:val="00C826A5"/>
    <w:rsid w:val="00C827CB"/>
    <w:rsid w:val="00C8344E"/>
    <w:rsid w:val="00C83CD7"/>
    <w:rsid w:val="00C83F9C"/>
    <w:rsid w:val="00C843ED"/>
    <w:rsid w:val="00C8453E"/>
    <w:rsid w:val="00C8495B"/>
    <w:rsid w:val="00C850B6"/>
    <w:rsid w:val="00C8510E"/>
    <w:rsid w:val="00C85D29"/>
    <w:rsid w:val="00C86C17"/>
    <w:rsid w:val="00C903E6"/>
    <w:rsid w:val="00C90BA2"/>
    <w:rsid w:val="00C911E2"/>
    <w:rsid w:val="00C92011"/>
    <w:rsid w:val="00C92068"/>
    <w:rsid w:val="00C921B5"/>
    <w:rsid w:val="00C9326A"/>
    <w:rsid w:val="00C93C88"/>
    <w:rsid w:val="00C93DE5"/>
    <w:rsid w:val="00C94683"/>
    <w:rsid w:val="00C94CC2"/>
    <w:rsid w:val="00C955CA"/>
    <w:rsid w:val="00C97CD5"/>
    <w:rsid w:val="00CA05AD"/>
    <w:rsid w:val="00CA2304"/>
    <w:rsid w:val="00CA3CFD"/>
    <w:rsid w:val="00CA40D1"/>
    <w:rsid w:val="00CA7764"/>
    <w:rsid w:val="00CB1266"/>
    <w:rsid w:val="00CB1B32"/>
    <w:rsid w:val="00CB1E4F"/>
    <w:rsid w:val="00CB243C"/>
    <w:rsid w:val="00CB3C55"/>
    <w:rsid w:val="00CB4478"/>
    <w:rsid w:val="00CB47BC"/>
    <w:rsid w:val="00CB5B2D"/>
    <w:rsid w:val="00CB6031"/>
    <w:rsid w:val="00CB67B7"/>
    <w:rsid w:val="00CB6962"/>
    <w:rsid w:val="00CB6A60"/>
    <w:rsid w:val="00CB713E"/>
    <w:rsid w:val="00CB7F24"/>
    <w:rsid w:val="00CC04E4"/>
    <w:rsid w:val="00CC0795"/>
    <w:rsid w:val="00CC250D"/>
    <w:rsid w:val="00CC2FCE"/>
    <w:rsid w:val="00CC471E"/>
    <w:rsid w:val="00CC48A3"/>
    <w:rsid w:val="00CC5097"/>
    <w:rsid w:val="00CC51EF"/>
    <w:rsid w:val="00CC56EF"/>
    <w:rsid w:val="00CC57D1"/>
    <w:rsid w:val="00CC596F"/>
    <w:rsid w:val="00CC6120"/>
    <w:rsid w:val="00CC7806"/>
    <w:rsid w:val="00CC7F00"/>
    <w:rsid w:val="00CD037A"/>
    <w:rsid w:val="00CD07B6"/>
    <w:rsid w:val="00CD1336"/>
    <w:rsid w:val="00CD142B"/>
    <w:rsid w:val="00CD1D26"/>
    <w:rsid w:val="00CD2D21"/>
    <w:rsid w:val="00CD31EE"/>
    <w:rsid w:val="00CD3D96"/>
    <w:rsid w:val="00CD46BA"/>
    <w:rsid w:val="00CD495D"/>
    <w:rsid w:val="00CD4AC7"/>
    <w:rsid w:val="00CD50D7"/>
    <w:rsid w:val="00CD521A"/>
    <w:rsid w:val="00CD53FB"/>
    <w:rsid w:val="00CD58C9"/>
    <w:rsid w:val="00CD5CB3"/>
    <w:rsid w:val="00CD5E78"/>
    <w:rsid w:val="00CD62AF"/>
    <w:rsid w:val="00CD64D6"/>
    <w:rsid w:val="00CD6607"/>
    <w:rsid w:val="00CD70F4"/>
    <w:rsid w:val="00CE2D3A"/>
    <w:rsid w:val="00CE3974"/>
    <w:rsid w:val="00CE417B"/>
    <w:rsid w:val="00CE4B87"/>
    <w:rsid w:val="00CE5146"/>
    <w:rsid w:val="00CE62AE"/>
    <w:rsid w:val="00CE63B0"/>
    <w:rsid w:val="00CE63B5"/>
    <w:rsid w:val="00CE7194"/>
    <w:rsid w:val="00CE76CC"/>
    <w:rsid w:val="00CF0B47"/>
    <w:rsid w:val="00CF108C"/>
    <w:rsid w:val="00CF1AA2"/>
    <w:rsid w:val="00CF1B3F"/>
    <w:rsid w:val="00CF1C5E"/>
    <w:rsid w:val="00CF244E"/>
    <w:rsid w:val="00CF3095"/>
    <w:rsid w:val="00CF3C96"/>
    <w:rsid w:val="00CF4395"/>
    <w:rsid w:val="00CF4DF3"/>
    <w:rsid w:val="00CF4E4E"/>
    <w:rsid w:val="00CF6337"/>
    <w:rsid w:val="00CF6974"/>
    <w:rsid w:val="00CF6F34"/>
    <w:rsid w:val="00D00115"/>
    <w:rsid w:val="00D0077A"/>
    <w:rsid w:val="00D00943"/>
    <w:rsid w:val="00D00ADE"/>
    <w:rsid w:val="00D00B82"/>
    <w:rsid w:val="00D01354"/>
    <w:rsid w:val="00D024D2"/>
    <w:rsid w:val="00D051BD"/>
    <w:rsid w:val="00D052F0"/>
    <w:rsid w:val="00D05C9D"/>
    <w:rsid w:val="00D05DED"/>
    <w:rsid w:val="00D06625"/>
    <w:rsid w:val="00D069D6"/>
    <w:rsid w:val="00D06DC1"/>
    <w:rsid w:val="00D07B09"/>
    <w:rsid w:val="00D1003A"/>
    <w:rsid w:val="00D10AD1"/>
    <w:rsid w:val="00D10B62"/>
    <w:rsid w:val="00D11DA9"/>
    <w:rsid w:val="00D13C15"/>
    <w:rsid w:val="00D143B8"/>
    <w:rsid w:val="00D153D0"/>
    <w:rsid w:val="00D160CF"/>
    <w:rsid w:val="00D1672C"/>
    <w:rsid w:val="00D1682F"/>
    <w:rsid w:val="00D16CD7"/>
    <w:rsid w:val="00D17554"/>
    <w:rsid w:val="00D17CD9"/>
    <w:rsid w:val="00D17D26"/>
    <w:rsid w:val="00D20BD7"/>
    <w:rsid w:val="00D20F29"/>
    <w:rsid w:val="00D20F52"/>
    <w:rsid w:val="00D21000"/>
    <w:rsid w:val="00D221C3"/>
    <w:rsid w:val="00D22C60"/>
    <w:rsid w:val="00D22DDF"/>
    <w:rsid w:val="00D2304F"/>
    <w:rsid w:val="00D2387F"/>
    <w:rsid w:val="00D23A7B"/>
    <w:rsid w:val="00D2475D"/>
    <w:rsid w:val="00D258CB"/>
    <w:rsid w:val="00D25CF1"/>
    <w:rsid w:val="00D265A0"/>
    <w:rsid w:val="00D2663A"/>
    <w:rsid w:val="00D305AA"/>
    <w:rsid w:val="00D309B8"/>
    <w:rsid w:val="00D31540"/>
    <w:rsid w:val="00D31F3C"/>
    <w:rsid w:val="00D32624"/>
    <w:rsid w:val="00D327B8"/>
    <w:rsid w:val="00D334FD"/>
    <w:rsid w:val="00D3356D"/>
    <w:rsid w:val="00D33686"/>
    <w:rsid w:val="00D33A32"/>
    <w:rsid w:val="00D34812"/>
    <w:rsid w:val="00D34E1F"/>
    <w:rsid w:val="00D35052"/>
    <w:rsid w:val="00D3535D"/>
    <w:rsid w:val="00D3547E"/>
    <w:rsid w:val="00D35FD8"/>
    <w:rsid w:val="00D3604E"/>
    <w:rsid w:val="00D36419"/>
    <w:rsid w:val="00D36788"/>
    <w:rsid w:val="00D367E7"/>
    <w:rsid w:val="00D36D2C"/>
    <w:rsid w:val="00D37DFB"/>
    <w:rsid w:val="00D40018"/>
    <w:rsid w:val="00D40097"/>
    <w:rsid w:val="00D41CBF"/>
    <w:rsid w:val="00D422B8"/>
    <w:rsid w:val="00D42A84"/>
    <w:rsid w:val="00D42C4D"/>
    <w:rsid w:val="00D42ED8"/>
    <w:rsid w:val="00D430CB"/>
    <w:rsid w:val="00D431CB"/>
    <w:rsid w:val="00D43338"/>
    <w:rsid w:val="00D43DFB"/>
    <w:rsid w:val="00D44050"/>
    <w:rsid w:val="00D443CB"/>
    <w:rsid w:val="00D4449E"/>
    <w:rsid w:val="00D45172"/>
    <w:rsid w:val="00D45C02"/>
    <w:rsid w:val="00D46218"/>
    <w:rsid w:val="00D466E5"/>
    <w:rsid w:val="00D47209"/>
    <w:rsid w:val="00D5020D"/>
    <w:rsid w:val="00D50A3E"/>
    <w:rsid w:val="00D51A77"/>
    <w:rsid w:val="00D5253C"/>
    <w:rsid w:val="00D52A78"/>
    <w:rsid w:val="00D52E01"/>
    <w:rsid w:val="00D52E10"/>
    <w:rsid w:val="00D53B5B"/>
    <w:rsid w:val="00D5406A"/>
    <w:rsid w:val="00D54299"/>
    <w:rsid w:val="00D544F9"/>
    <w:rsid w:val="00D55166"/>
    <w:rsid w:val="00D55A41"/>
    <w:rsid w:val="00D56165"/>
    <w:rsid w:val="00D56CF1"/>
    <w:rsid w:val="00D57262"/>
    <w:rsid w:val="00D57A81"/>
    <w:rsid w:val="00D57B1D"/>
    <w:rsid w:val="00D57D15"/>
    <w:rsid w:val="00D60C1C"/>
    <w:rsid w:val="00D61577"/>
    <w:rsid w:val="00D61D1E"/>
    <w:rsid w:val="00D63023"/>
    <w:rsid w:val="00D63195"/>
    <w:rsid w:val="00D64B85"/>
    <w:rsid w:val="00D65030"/>
    <w:rsid w:val="00D65FAE"/>
    <w:rsid w:val="00D660AE"/>
    <w:rsid w:val="00D66C5D"/>
    <w:rsid w:val="00D67CED"/>
    <w:rsid w:val="00D7091B"/>
    <w:rsid w:val="00D71088"/>
    <w:rsid w:val="00D715F7"/>
    <w:rsid w:val="00D71F10"/>
    <w:rsid w:val="00D723A6"/>
    <w:rsid w:val="00D730FD"/>
    <w:rsid w:val="00D73487"/>
    <w:rsid w:val="00D737E6"/>
    <w:rsid w:val="00D752C3"/>
    <w:rsid w:val="00D75E36"/>
    <w:rsid w:val="00D77274"/>
    <w:rsid w:val="00D82273"/>
    <w:rsid w:val="00D82B3F"/>
    <w:rsid w:val="00D830CD"/>
    <w:rsid w:val="00D83929"/>
    <w:rsid w:val="00D83D3A"/>
    <w:rsid w:val="00D83E3E"/>
    <w:rsid w:val="00D841A1"/>
    <w:rsid w:val="00D841E2"/>
    <w:rsid w:val="00D8590C"/>
    <w:rsid w:val="00D85B10"/>
    <w:rsid w:val="00D8664B"/>
    <w:rsid w:val="00D86765"/>
    <w:rsid w:val="00D86823"/>
    <w:rsid w:val="00D86945"/>
    <w:rsid w:val="00D86C3E"/>
    <w:rsid w:val="00D86E95"/>
    <w:rsid w:val="00D86F8D"/>
    <w:rsid w:val="00D91910"/>
    <w:rsid w:val="00D92295"/>
    <w:rsid w:val="00D92EFA"/>
    <w:rsid w:val="00D92F40"/>
    <w:rsid w:val="00D93E42"/>
    <w:rsid w:val="00D94253"/>
    <w:rsid w:val="00D9444E"/>
    <w:rsid w:val="00D94EFB"/>
    <w:rsid w:val="00D9545B"/>
    <w:rsid w:val="00D95DB2"/>
    <w:rsid w:val="00D95FAF"/>
    <w:rsid w:val="00D962C1"/>
    <w:rsid w:val="00D965B8"/>
    <w:rsid w:val="00D96B16"/>
    <w:rsid w:val="00D96E2A"/>
    <w:rsid w:val="00D97FA5"/>
    <w:rsid w:val="00DA005D"/>
    <w:rsid w:val="00DA146D"/>
    <w:rsid w:val="00DA1B0A"/>
    <w:rsid w:val="00DA1DB7"/>
    <w:rsid w:val="00DA1E55"/>
    <w:rsid w:val="00DA2879"/>
    <w:rsid w:val="00DA308F"/>
    <w:rsid w:val="00DA3A98"/>
    <w:rsid w:val="00DA5314"/>
    <w:rsid w:val="00DA5471"/>
    <w:rsid w:val="00DA5CCC"/>
    <w:rsid w:val="00DA5D12"/>
    <w:rsid w:val="00DA60AD"/>
    <w:rsid w:val="00DB0337"/>
    <w:rsid w:val="00DB0DA1"/>
    <w:rsid w:val="00DB1453"/>
    <w:rsid w:val="00DB191E"/>
    <w:rsid w:val="00DB1DF6"/>
    <w:rsid w:val="00DB1E3A"/>
    <w:rsid w:val="00DB1F2B"/>
    <w:rsid w:val="00DB2F6E"/>
    <w:rsid w:val="00DB2FA9"/>
    <w:rsid w:val="00DB3072"/>
    <w:rsid w:val="00DB3121"/>
    <w:rsid w:val="00DB3174"/>
    <w:rsid w:val="00DB4BF8"/>
    <w:rsid w:val="00DB4D39"/>
    <w:rsid w:val="00DB4D99"/>
    <w:rsid w:val="00DB5699"/>
    <w:rsid w:val="00DB5AF6"/>
    <w:rsid w:val="00DB5DD7"/>
    <w:rsid w:val="00DB664F"/>
    <w:rsid w:val="00DB672E"/>
    <w:rsid w:val="00DB68A7"/>
    <w:rsid w:val="00DB7737"/>
    <w:rsid w:val="00DC0750"/>
    <w:rsid w:val="00DC1009"/>
    <w:rsid w:val="00DC16D7"/>
    <w:rsid w:val="00DC210D"/>
    <w:rsid w:val="00DC2A0E"/>
    <w:rsid w:val="00DC2E57"/>
    <w:rsid w:val="00DC3148"/>
    <w:rsid w:val="00DC34A1"/>
    <w:rsid w:val="00DC3625"/>
    <w:rsid w:val="00DC36DF"/>
    <w:rsid w:val="00DC4660"/>
    <w:rsid w:val="00DC5288"/>
    <w:rsid w:val="00DC66CE"/>
    <w:rsid w:val="00DC68CD"/>
    <w:rsid w:val="00DC7AF6"/>
    <w:rsid w:val="00DD019C"/>
    <w:rsid w:val="00DD1030"/>
    <w:rsid w:val="00DD1FE4"/>
    <w:rsid w:val="00DD203A"/>
    <w:rsid w:val="00DD252E"/>
    <w:rsid w:val="00DD311D"/>
    <w:rsid w:val="00DD405C"/>
    <w:rsid w:val="00DD4074"/>
    <w:rsid w:val="00DD42FA"/>
    <w:rsid w:val="00DD44AF"/>
    <w:rsid w:val="00DD4C9C"/>
    <w:rsid w:val="00DD4C9F"/>
    <w:rsid w:val="00DD618E"/>
    <w:rsid w:val="00DD771F"/>
    <w:rsid w:val="00DE050F"/>
    <w:rsid w:val="00DE0A31"/>
    <w:rsid w:val="00DE0AE4"/>
    <w:rsid w:val="00DE135E"/>
    <w:rsid w:val="00DE1AB4"/>
    <w:rsid w:val="00DE1D6A"/>
    <w:rsid w:val="00DE1F2A"/>
    <w:rsid w:val="00DE20FE"/>
    <w:rsid w:val="00DE2611"/>
    <w:rsid w:val="00DE2891"/>
    <w:rsid w:val="00DE2B69"/>
    <w:rsid w:val="00DE4CE8"/>
    <w:rsid w:val="00DE4DFA"/>
    <w:rsid w:val="00DE5782"/>
    <w:rsid w:val="00DE663C"/>
    <w:rsid w:val="00DE6779"/>
    <w:rsid w:val="00DE6867"/>
    <w:rsid w:val="00DE688A"/>
    <w:rsid w:val="00DE6A23"/>
    <w:rsid w:val="00DE741A"/>
    <w:rsid w:val="00DE74BD"/>
    <w:rsid w:val="00DE789B"/>
    <w:rsid w:val="00DE7DE9"/>
    <w:rsid w:val="00DF080D"/>
    <w:rsid w:val="00DF0862"/>
    <w:rsid w:val="00DF0DE5"/>
    <w:rsid w:val="00DF16BB"/>
    <w:rsid w:val="00DF19D7"/>
    <w:rsid w:val="00DF21DA"/>
    <w:rsid w:val="00DF45B6"/>
    <w:rsid w:val="00DF5A51"/>
    <w:rsid w:val="00DF6B7D"/>
    <w:rsid w:val="00E004D1"/>
    <w:rsid w:val="00E00F24"/>
    <w:rsid w:val="00E01471"/>
    <w:rsid w:val="00E01B97"/>
    <w:rsid w:val="00E01BE0"/>
    <w:rsid w:val="00E01CFC"/>
    <w:rsid w:val="00E02671"/>
    <w:rsid w:val="00E027BA"/>
    <w:rsid w:val="00E02D4F"/>
    <w:rsid w:val="00E02DD4"/>
    <w:rsid w:val="00E02DFB"/>
    <w:rsid w:val="00E02F2A"/>
    <w:rsid w:val="00E03054"/>
    <w:rsid w:val="00E03495"/>
    <w:rsid w:val="00E034CE"/>
    <w:rsid w:val="00E03784"/>
    <w:rsid w:val="00E0524F"/>
    <w:rsid w:val="00E05D88"/>
    <w:rsid w:val="00E067AE"/>
    <w:rsid w:val="00E06E16"/>
    <w:rsid w:val="00E07725"/>
    <w:rsid w:val="00E07726"/>
    <w:rsid w:val="00E079CD"/>
    <w:rsid w:val="00E100B0"/>
    <w:rsid w:val="00E10EB3"/>
    <w:rsid w:val="00E112CA"/>
    <w:rsid w:val="00E119D0"/>
    <w:rsid w:val="00E11A62"/>
    <w:rsid w:val="00E11ED0"/>
    <w:rsid w:val="00E1213D"/>
    <w:rsid w:val="00E128AC"/>
    <w:rsid w:val="00E12F1B"/>
    <w:rsid w:val="00E145E7"/>
    <w:rsid w:val="00E149DF"/>
    <w:rsid w:val="00E149E9"/>
    <w:rsid w:val="00E158EB"/>
    <w:rsid w:val="00E15FBB"/>
    <w:rsid w:val="00E163BB"/>
    <w:rsid w:val="00E164C1"/>
    <w:rsid w:val="00E169C7"/>
    <w:rsid w:val="00E16D6B"/>
    <w:rsid w:val="00E170E5"/>
    <w:rsid w:val="00E17714"/>
    <w:rsid w:val="00E20B7E"/>
    <w:rsid w:val="00E213DD"/>
    <w:rsid w:val="00E214E3"/>
    <w:rsid w:val="00E22C72"/>
    <w:rsid w:val="00E24811"/>
    <w:rsid w:val="00E260DD"/>
    <w:rsid w:val="00E26420"/>
    <w:rsid w:val="00E26516"/>
    <w:rsid w:val="00E26B6E"/>
    <w:rsid w:val="00E26EFE"/>
    <w:rsid w:val="00E27771"/>
    <w:rsid w:val="00E27BF2"/>
    <w:rsid w:val="00E304F7"/>
    <w:rsid w:val="00E309FC"/>
    <w:rsid w:val="00E30DBE"/>
    <w:rsid w:val="00E31301"/>
    <w:rsid w:val="00E31315"/>
    <w:rsid w:val="00E31B6B"/>
    <w:rsid w:val="00E31F35"/>
    <w:rsid w:val="00E33655"/>
    <w:rsid w:val="00E34628"/>
    <w:rsid w:val="00E34646"/>
    <w:rsid w:val="00E346B0"/>
    <w:rsid w:val="00E34D99"/>
    <w:rsid w:val="00E360C2"/>
    <w:rsid w:val="00E36728"/>
    <w:rsid w:val="00E36FC8"/>
    <w:rsid w:val="00E37617"/>
    <w:rsid w:val="00E40A9B"/>
    <w:rsid w:val="00E41838"/>
    <w:rsid w:val="00E41F8A"/>
    <w:rsid w:val="00E4206F"/>
    <w:rsid w:val="00E42A7F"/>
    <w:rsid w:val="00E42EEC"/>
    <w:rsid w:val="00E43D94"/>
    <w:rsid w:val="00E43EA5"/>
    <w:rsid w:val="00E44565"/>
    <w:rsid w:val="00E45077"/>
    <w:rsid w:val="00E45194"/>
    <w:rsid w:val="00E4563E"/>
    <w:rsid w:val="00E457EF"/>
    <w:rsid w:val="00E459B0"/>
    <w:rsid w:val="00E45C82"/>
    <w:rsid w:val="00E45D95"/>
    <w:rsid w:val="00E46196"/>
    <w:rsid w:val="00E465AA"/>
    <w:rsid w:val="00E46DA5"/>
    <w:rsid w:val="00E474D2"/>
    <w:rsid w:val="00E50499"/>
    <w:rsid w:val="00E50A9E"/>
    <w:rsid w:val="00E50DB6"/>
    <w:rsid w:val="00E5146D"/>
    <w:rsid w:val="00E517FE"/>
    <w:rsid w:val="00E51E85"/>
    <w:rsid w:val="00E51F52"/>
    <w:rsid w:val="00E52C63"/>
    <w:rsid w:val="00E53464"/>
    <w:rsid w:val="00E53C06"/>
    <w:rsid w:val="00E53D78"/>
    <w:rsid w:val="00E55264"/>
    <w:rsid w:val="00E5527E"/>
    <w:rsid w:val="00E567B6"/>
    <w:rsid w:val="00E56ADD"/>
    <w:rsid w:val="00E5778A"/>
    <w:rsid w:val="00E57EFA"/>
    <w:rsid w:val="00E61235"/>
    <w:rsid w:val="00E61497"/>
    <w:rsid w:val="00E621FB"/>
    <w:rsid w:val="00E62AA5"/>
    <w:rsid w:val="00E639E8"/>
    <w:rsid w:val="00E63F58"/>
    <w:rsid w:val="00E64DB3"/>
    <w:rsid w:val="00E65E26"/>
    <w:rsid w:val="00E66B1F"/>
    <w:rsid w:val="00E66CCC"/>
    <w:rsid w:val="00E67314"/>
    <w:rsid w:val="00E702AD"/>
    <w:rsid w:val="00E70CF7"/>
    <w:rsid w:val="00E72AE3"/>
    <w:rsid w:val="00E72D73"/>
    <w:rsid w:val="00E72ED9"/>
    <w:rsid w:val="00E730F1"/>
    <w:rsid w:val="00E738D2"/>
    <w:rsid w:val="00E73980"/>
    <w:rsid w:val="00E7444E"/>
    <w:rsid w:val="00E746CC"/>
    <w:rsid w:val="00E74B29"/>
    <w:rsid w:val="00E74B8C"/>
    <w:rsid w:val="00E74CCD"/>
    <w:rsid w:val="00E74F50"/>
    <w:rsid w:val="00E756F4"/>
    <w:rsid w:val="00E75AAA"/>
    <w:rsid w:val="00E7620E"/>
    <w:rsid w:val="00E76B26"/>
    <w:rsid w:val="00E76BA7"/>
    <w:rsid w:val="00E77DC6"/>
    <w:rsid w:val="00E80204"/>
    <w:rsid w:val="00E80676"/>
    <w:rsid w:val="00E80B3F"/>
    <w:rsid w:val="00E81881"/>
    <w:rsid w:val="00E82A00"/>
    <w:rsid w:val="00E82B61"/>
    <w:rsid w:val="00E82D7F"/>
    <w:rsid w:val="00E82E04"/>
    <w:rsid w:val="00E83FB4"/>
    <w:rsid w:val="00E846BE"/>
    <w:rsid w:val="00E85104"/>
    <w:rsid w:val="00E86156"/>
    <w:rsid w:val="00E86D1C"/>
    <w:rsid w:val="00E87617"/>
    <w:rsid w:val="00E902F0"/>
    <w:rsid w:val="00E90CA8"/>
    <w:rsid w:val="00E9127A"/>
    <w:rsid w:val="00E92051"/>
    <w:rsid w:val="00E922A7"/>
    <w:rsid w:val="00E92F24"/>
    <w:rsid w:val="00E9332B"/>
    <w:rsid w:val="00E939E0"/>
    <w:rsid w:val="00E95395"/>
    <w:rsid w:val="00E96A22"/>
    <w:rsid w:val="00E97D0E"/>
    <w:rsid w:val="00EA1907"/>
    <w:rsid w:val="00EA201B"/>
    <w:rsid w:val="00EA2DC8"/>
    <w:rsid w:val="00EA361F"/>
    <w:rsid w:val="00EA3F12"/>
    <w:rsid w:val="00EA44AB"/>
    <w:rsid w:val="00EA51A3"/>
    <w:rsid w:val="00EA569F"/>
    <w:rsid w:val="00EA57AF"/>
    <w:rsid w:val="00EA5824"/>
    <w:rsid w:val="00EA6296"/>
    <w:rsid w:val="00EA6599"/>
    <w:rsid w:val="00EA7059"/>
    <w:rsid w:val="00EA7AAF"/>
    <w:rsid w:val="00EB070B"/>
    <w:rsid w:val="00EB0ACD"/>
    <w:rsid w:val="00EB1860"/>
    <w:rsid w:val="00EB1ECA"/>
    <w:rsid w:val="00EB23D4"/>
    <w:rsid w:val="00EB2BD3"/>
    <w:rsid w:val="00EB2CEE"/>
    <w:rsid w:val="00EB2FBC"/>
    <w:rsid w:val="00EB32BB"/>
    <w:rsid w:val="00EB35AF"/>
    <w:rsid w:val="00EB404D"/>
    <w:rsid w:val="00EB4207"/>
    <w:rsid w:val="00EB4553"/>
    <w:rsid w:val="00EB54CC"/>
    <w:rsid w:val="00EB560A"/>
    <w:rsid w:val="00EB691E"/>
    <w:rsid w:val="00EB7304"/>
    <w:rsid w:val="00EB7C77"/>
    <w:rsid w:val="00EC19C0"/>
    <w:rsid w:val="00EC1D1F"/>
    <w:rsid w:val="00EC211C"/>
    <w:rsid w:val="00EC24DB"/>
    <w:rsid w:val="00EC2CE2"/>
    <w:rsid w:val="00EC487C"/>
    <w:rsid w:val="00EC599D"/>
    <w:rsid w:val="00EC661B"/>
    <w:rsid w:val="00EC76A1"/>
    <w:rsid w:val="00ED05C8"/>
    <w:rsid w:val="00ED05E5"/>
    <w:rsid w:val="00ED0AA1"/>
    <w:rsid w:val="00ED0BA6"/>
    <w:rsid w:val="00ED1A83"/>
    <w:rsid w:val="00ED27D2"/>
    <w:rsid w:val="00ED2AB2"/>
    <w:rsid w:val="00ED31AE"/>
    <w:rsid w:val="00ED4E4D"/>
    <w:rsid w:val="00ED5C79"/>
    <w:rsid w:val="00ED5F3F"/>
    <w:rsid w:val="00ED6704"/>
    <w:rsid w:val="00ED6B41"/>
    <w:rsid w:val="00ED7072"/>
    <w:rsid w:val="00ED757F"/>
    <w:rsid w:val="00ED7F9C"/>
    <w:rsid w:val="00EE04A6"/>
    <w:rsid w:val="00EE07E1"/>
    <w:rsid w:val="00EE0DF4"/>
    <w:rsid w:val="00EE1AB2"/>
    <w:rsid w:val="00EE1B74"/>
    <w:rsid w:val="00EE1BFE"/>
    <w:rsid w:val="00EE1D9B"/>
    <w:rsid w:val="00EE1E55"/>
    <w:rsid w:val="00EE2532"/>
    <w:rsid w:val="00EE2A77"/>
    <w:rsid w:val="00EE2D33"/>
    <w:rsid w:val="00EE3641"/>
    <w:rsid w:val="00EE46EE"/>
    <w:rsid w:val="00EE5584"/>
    <w:rsid w:val="00EE5D43"/>
    <w:rsid w:val="00EE607C"/>
    <w:rsid w:val="00EE6464"/>
    <w:rsid w:val="00EE6A5E"/>
    <w:rsid w:val="00EE6D4C"/>
    <w:rsid w:val="00EE703C"/>
    <w:rsid w:val="00EE7ACB"/>
    <w:rsid w:val="00EE7B34"/>
    <w:rsid w:val="00EF0AE6"/>
    <w:rsid w:val="00EF0C4B"/>
    <w:rsid w:val="00EF0F48"/>
    <w:rsid w:val="00EF249F"/>
    <w:rsid w:val="00EF31F2"/>
    <w:rsid w:val="00EF3D01"/>
    <w:rsid w:val="00EF3E2F"/>
    <w:rsid w:val="00EF46CD"/>
    <w:rsid w:val="00EF514B"/>
    <w:rsid w:val="00EF563C"/>
    <w:rsid w:val="00EF7159"/>
    <w:rsid w:val="00EF7848"/>
    <w:rsid w:val="00EF7B42"/>
    <w:rsid w:val="00EF7FE7"/>
    <w:rsid w:val="00F03770"/>
    <w:rsid w:val="00F039EB"/>
    <w:rsid w:val="00F05A5B"/>
    <w:rsid w:val="00F05EA5"/>
    <w:rsid w:val="00F064B2"/>
    <w:rsid w:val="00F06B53"/>
    <w:rsid w:val="00F101A9"/>
    <w:rsid w:val="00F105A7"/>
    <w:rsid w:val="00F129DF"/>
    <w:rsid w:val="00F12F71"/>
    <w:rsid w:val="00F13737"/>
    <w:rsid w:val="00F14BAD"/>
    <w:rsid w:val="00F15034"/>
    <w:rsid w:val="00F15272"/>
    <w:rsid w:val="00F160A5"/>
    <w:rsid w:val="00F164C3"/>
    <w:rsid w:val="00F16ACB"/>
    <w:rsid w:val="00F17BFC"/>
    <w:rsid w:val="00F17C50"/>
    <w:rsid w:val="00F20781"/>
    <w:rsid w:val="00F20886"/>
    <w:rsid w:val="00F20AF4"/>
    <w:rsid w:val="00F21162"/>
    <w:rsid w:val="00F22191"/>
    <w:rsid w:val="00F22218"/>
    <w:rsid w:val="00F22C26"/>
    <w:rsid w:val="00F2357A"/>
    <w:rsid w:val="00F23E13"/>
    <w:rsid w:val="00F243BA"/>
    <w:rsid w:val="00F24541"/>
    <w:rsid w:val="00F24763"/>
    <w:rsid w:val="00F24E0D"/>
    <w:rsid w:val="00F25218"/>
    <w:rsid w:val="00F2570B"/>
    <w:rsid w:val="00F25A8D"/>
    <w:rsid w:val="00F26187"/>
    <w:rsid w:val="00F262D2"/>
    <w:rsid w:val="00F27D7A"/>
    <w:rsid w:val="00F27EA6"/>
    <w:rsid w:val="00F27EDB"/>
    <w:rsid w:val="00F30A95"/>
    <w:rsid w:val="00F30CCA"/>
    <w:rsid w:val="00F30E85"/>
    <w:rsid w:val="00F311FF"/>
    <w:rsid w:val="00F31F60"/>
    <w:rsid w:val="00F33869"/>
    <w:rsid w:val="00F3430A"/>
    <w:rsid w:val="00F34C1A"/>
    <w:rsid w:val="00F34CBC"/>
    <w:rsid w:val="00F34F50"/>
    <w:rsid w:val="00F355FA"/>
    <w:rsid w:val="00F37BA1"/>
    <w:rsid w:val="00F40B83"/>
    <w:rsid w:val="00F41131"/>
    <w:rsid w:val="00F4142D"/>
    <w:rsid w:val="00F416A9"/>
    <w:rsid w:val="00F419DE"/>
    <w:rsid w:val="00F42260"/>
    <w:rsid w:val="00F422FF"/>
    <w:rsid w:val="00F43381"/>
    <w:rsid w:val="00F43EFC"/>
    <w:rsid w:val="00F446AE"/>
    <w:rsid w:val="00F451A9"/>
    <w:rsid w:val="00F46EB6"/>
    <w:rsid w:val="00F46F26"/>
    <w:rsid w:val="00F46F88"/>
    <w:rsid w:val="00F474C2"/>
    <w:rsid w:val="00F47B17"/>
    <w:rsid w:val="00F50218"/>
    <w:rsid w:val="00F504E3"/>
    <w:rsid w:val="00F507D1"/>
    <w:rsid w:val="00F50B8E"/>
    <w:rsid w:val="00F51B36"/>
    <w:rsid w:val="00F51C22"/>
    <w:rsid w:val="00F53D7A"/>
    <w:rsid w:val="00F53EE6"/>
    <w:rsid w:val="00F53FED"/>
    <w:rsid w:val="00F54044"/>
    <w:rsid w:val="00F5433B"/>
    <w:rsid w:val="00F548EF"/>
    <w:rsid w:val="00F54D5D"/>
    <w:rsid w:val="00F55123"/>
    <w:rsid w:val="00F55399"/>
    <w:rsid w:val="00F56532"/>
    <w:rsid w:val="00F565CB"/>
    <w:rsid w:val="00F57098"/>
    <w:rsid w:val="00F5713D"/>
    <w:rsid w:val="00F57443"/>
    <w:rsid w:val="00F57499"/>
    <w:rsid w:val="00F57E94"/>
    <w:rsid w:val="00F605A6"/>
    <w:rsid w:val="00F60687"/>
    <w:rsid w:val="00F60831"/>
    <w:rsid w:val="00F61DF3"/>
    <w:rsid w:val="00F62038"/>
    <w:rsid w:val="00F62964"/>
    <w:rsid w:val="00F6365A"/>
    <w:rsid w:val="00F63803"/>
    <w:rsid w:val="00F64B11"/>
    <w:rsid w:val="00F64D4E"/>
    <w:rsid w:val="00F64DDF"/>
    <w:rsid w:val="00F655B7"/>
    <w:rsid w:val="00F65CF4"/>
    <w:rsid w:val="00F66E45"/>
    <w:rsid w:val="00F66F5B"/>
    <w:rsid w:val="00F66F83"/>
    <w:rsid w:val="00F6748F"/>
    <w:rsid w:val="00F67B4C"/>
    <w:rsid w:val="00F7033A"/>
    <w:rsid w:val="00F70F73"/>
    <w:rsid w:val="00F72346"/>
    <w:rsid w:val="00F72CB9"/>
    <w:rsid w:val="00F72ECC"/>
    <w:rsid w:val="00F74936"/>
    <w:rsid w:val="00F75E25"/>
    <w:rsid w:val="00F76F6A"/>
    <w:rsid w:val="00F774A0"/>
    <w:rsid w:val="00F774D1"/>
    <w:rsid w:val="00F77A32"/>
    <w:rsid w:val="00F77A52"/>
    <w:rsid w:val="00F8011D"/>
    <w:rsid w:val="00F802FE"/>
    <w:rsid w:val="00F807D1"/>
    <w:rsid w:val="00F8087F"/>
    <w:rsid w:val="00F81297"/>
    <w:rsid w:val="00F81335"/>
    <w:rsid w:val="00F81B00"/>
    <w:rsid w:val="00F81B77"/>
    <w:rsid w:val="00F81CEA"/>
    <w:rsid w:val="00F82677"/>
    <w:rsid w:val="00F828CF"/>
    <w:rsid w:val="00F82A37"/>
    <w:rsid w:val="00F82C4D"/>
    <w:rsid w:val="00F83335"/>
    <w:rsid w:val="00F83584"/>
    <w:rsid w:val="00F83A22"/>
    <w:rsid w:val="00F84738"/>
    <w:rsid w:val="00F85069"/>
    <w:rsid w:val="00F85898"/>
    <w:rsid w:val="00F8591A"/>
    <w:rsid w:val="00F85EBC"/>
    <w:rsid w:val="00F86069"/>
    <w:rsid w:val="00F8658F"/>
    <w:rsid w:val="00F87026"/>
    <w:rsid w:val="00F9037D"/>
    <w:rsid w:val="00F90637"/>
    <w:rsid w:val="00F90A29"/>
    <w:rsid w:val="00F90B52"/>
    <w:rsid w:val="00F90DFC"/>
    <w:rsid w:val="00F91368"/>
    <w:rsid w:val="00F92079"/>
    <w:rsid w:val="00F92091"/>
    <w:rsid w:val="00F920BA"/>
    <w:rsid w:val="00F921E3"/>
    <w:rsid w:val="00F922E7"/>
    <w:rsid w:val="00F924E1"/>
    <w:rsid w:val="00F93609"/>
    <w:rsid w:val="00F937FF"/>
    <w:rsid w:val="00F93872"/>
    <w:rsid w:val="00F9389C"/>
    <w:rsid w:val="00F9393C"/>
    <w:rsid w:val="00F958E1"/>
    <w:rsid w:val="00F95AC0"/>
    <w:rsid w:val="00F95BB8"/>
    <w:rsid w:val="00F95F0B"/>
    <w:rsid w:val="00F97222"/>
    <w:rsid w:val="00F97240"/>
    <w:rsid w:val="00F974D6"/>
    <w:rsid w:val="00F97D6F"/>
    <w:rsid w:val="00F97F82"/>
    <w:rsid w:val="00FA10AD"/>
    <w:rsid w:val="00FA17D8"/>
    <w:rsid w:val="00FA2890"/>
    <w:rsid w:val="00FA28CC"/>
    <w:rsid w:val="00FA28F8"/>
    <w:rsid w:val="00FA2CE7"/>
    <w:rsid w:val="00FA3F59"/>
    <w:rsid w:val="00FA4D48"/>
    <w:rsid w:val="00FA5E78"/>
    <w:rsid w:val="00FA5FBF"/>
    <w:rsid w:val="00FA65CC"/>
    <w:rsid w:val="00FA7034"/>
    <w:rsid w:val="00FA7459"/>
    <w:rsid w:val="00FA7DB5"/>
    <w:rsid w:val="00FB0435"/>
    <w:rsid w:val="00FB06FE"/>
    <w:rsid w:val="00FB0787"/>
    <w:rsid w:val="00FB13B1"/>
    <w:rsid w:val="00FB15AC"/>
    <w:rsid w:val="00FB1619"/>
    <w:rsid w:val="00FB1660"/>
    <w:rsid w:val="00FB1B9B"/>
    <w:rsid w:val="00FB243C"/>
    <w:rsid w:val="00FB3212"/>
    <w:rsid w:val="00FB459D"/>
    <w:rsid w:val="00FB4A85"/>
    <w:rsid w:val="00FB5FFD"/>
    <w:rsid w:val="00FB6163"/>
    <w:rsid w:val="00FB675D"/>
    <w:rsid w:val="00FB7E56"/>
    <w:rsid w:val="00FC0004"/>
    <w:rsid w:val="00FC07A7"/>
    <w:rsid w:val="00FC082D"/>
    <w:rsid w:val="00FC0B90"/>
    <w:rsid w:val="00FC10A6"/>
    <w:rsid w:val="00FC123B"/>
    <w:rsid w:val="00FC12E6"/>
    <w:rsid w:val="00FC276F"/>
    <w:rsid w:val="00FC4CD7"/>
    <w:rsid w:val="00FC590D"/>
    <w:rsid w:val="00FC59E9"/>
    <w:rsid w:val="00FC5D58"/>
    <w:rsid w:val="00FC5FF9"/>
    <w:rsid w:val="00FC61BF"/>
    <w:rsid w:val="00FC6724"/>
    <w:rsid w:val="00FC682A"/>
    <w:rsid w:val="00FC7334"/>
    <w:rsid w:val="00FD009D"/>
    <w:rsid w:val="00FD00AD"/>
    <w:rsid w:val="00FD00E1"/>
    <w:rsid w:val="00FD0203"/>
    <w:rsid w:val="00FD04F9"/>
    <w:rsid w:val="00FD0DA3"/>
    <w:rsid w:val="00FD148F"/>
    <w:rsid w:val="00FD15C3"/>
    <w:rsid w:val="00FD2347"/>
    <w:rsid w:val="00FD2CF7"/>
    <w:rsid w:val="00FD2D99"/>
    <w:rsid w:val="00FD35A3"/>
    <w:rsid w:val="00FD3E4D"/>
    <w:rsid w:val="00FD41C7"/>
    <w:rsid w:val="00FD424E"/>
    <w:rsid w:val="00FD5521"/>
    <w:rsid w:val="00FD59A4"/>
    <w:rsid w:val="00FD5A5D"/>
    <w:rsid w:val="00FD5A9C"/>
    <w:rsid w:val="00FD5BB1"/>
    <w:rsid w:val="00FD72FF"/>
    <w:rsid w:val="00FD7DB4"/>
    <w:rsid w:val="00FE007A"/>
    <w:rsid w:val="00FE0E50"/>
    <w:rsid w:val="00FE10F5"/>
    <w:rsid w:val="00FE1739"/>
    <w:rsid w:val="00FE2768"/>
    <w:rsid w:val="00FE29AF"/>
    <w:rsid w:val="00FE4CCB"/>
    <w:rsid w:val="00FE5382"/>
    <w:rsid w:val="00FE585C"/>
    <w:rsid w:val="00FE6B63"/>
    <w:rsid w:val="00FE6C38"/>
    <w:rsid w:val="00FE7203"/>
    <w:rsid w:val="00FE7546"/>
    <w:rsid w:val="00FE7F3B"/>
    <w:rsid w:val="00FF0399"/>
    <w:rsid w:val="00FF0498"/>
    <w:rsid w:val="00FF04AC"/>
    <w:rsid w:val="00FF1C1B"/>
    <w:rsid w:val="00FF2576"/>
    <w:rsid w:val="00FF2BFE"/>
    <w:rsid w:val="00FF3B6C"/>
    <w:rsid w:val="00FF3DE8"/>
    <w:rsid w:val="00FF4349"/>
    <w:rsid w:val="00FF50ED"/>
    <w:rsid w:val="00FF5500"/>
    <w:rsid w:val="00FF59F4"/>
    <w:rsid w:val="0100FB2F"/>
    <w:rsid w:val="0124F8D0"/>
    <w:rsid w:val="0167213C"/>
    <w:rsid w:val="01D8500F"/>
    <w:rsid w:val="01DA4641"/>
    <w:rsid w:val="0226F5A6"/>
    <w:rsid w:val="02381BFD"/>
    <w:rsid w:val="024EB87D"/>
    <w:rsid w:val="026EA9DC"/>
    <w:rsid w:val="02A71871"/>
    <w:rsid w:val="02AB77B9"/>
    <w:rsid w:val="02B6FC83"/>
    <w:rsid w:val="02B9D87C"/>
    <w:rsid w:val="02D92E6C"/>
    <w:rsid w:val="02F2BFCA"/>
    <w:rsid w:val="033CBB52"/>
    <w:rsid w:val="0350CC58"/>
    <w:rsid w:val="03774DC2"/>
    <w:rsid w:val="038874A9"/>
    <w:rsid w:val="039C1C43"/>
    <w:rsid w:val="03F7058D"/>
    <w:rsid w:val="0420759A"/>
    <w:rsid w:val="0459A9DF"/>
    <w:rsid w:val="04AB3585"/>
    <w:rsid w:val="04BEAE14"/>
    <w:rsid w:val="04CCE8F3"/>
    <w:rsid w:val="05031338"/>
    <w:rsid w:val="059EAA78"/>
    <w:rsid w:val="05D701C4"/>
    <w:rsid w:val="05EE184B"/>
    <w:rsid w:val="06BE6B42"/>
    <w:rsid w:val="072B69A1"/>
    <w:rsid w:val="073DDDEC"/>
    <w:rsid w:val="07611579"/>
    <w:rsid w:val="078B4B11"/>
    <w:rsid w:val="08072A9A"/>
    <w:rsid w:val="0815628E"/>
    <w:rsid w:val="0865B941"/>
    <w:rsid w:val="0865C7C6"/>
    <w:rsid w:val="086CC2BA"/>
    <w:rsid w:val="092CF657"/>
    <w:rsid w:val="0978DC98"/>
    <w:rsid w:val="09980982"/>
    <w:rsid w:val="09A05A16"/>
    <w:rsid w:val="09A9892E"/>
    <w:rsid w:val="09BAA58B"/>
    <w:rsid w:val="09DB76A4"/>
    <w:rsid w:val="09E3E192"/>
    <w:rsid w:val="09E42DAD"/>
    <w:rsid w:val="09E590E4"/>
    <w:rsid w:val="0A14631A"/>
    <w:rsid w:val="0A1E5E11"/>
    <w:rsid w:val="0A81C880"/>
    <w:rsid w:val="0ACFF782"/>
    <w:rsid w:val="0AD3333F"/>
    <w:rsid w:val="0B0C7F0D"/>
    <w:rsid w:val="0B5B4674"/>
    <w:rsid w:val="0B87A370"/>
    <w:rsid w:val="0B9AD7D1"/>
    <w:rsid w:val="0BDBFB96"/>
    <w:rsid w:val="0BE722D0"/>
    <w:rsid w:val="0C04D1C6"/>
    <w:rsid w:val="0C153470"/>
    <w:rsid w:val="0C344CB7"/>
    <w:rsid w:val="0C3F6685"/>
    <w:rsid w:val="0C547E67"/>
    <w:rsid w:val="0C5F0062"/>
    <w:rsid w:val="0CBED487"/>
    <w:rsid w:val="0CD7FAD8"/>
    <w:rsid w:val="0CF350CB"/>
    <w:rsid w:val="0D029A7A"/>
    <w:rsid w:val="0D0CFCB2"/>
    <w:rsid w:val="0D2256FE"/>
    <w:rsid w:val="0D55842D"/>
    <w:rsid w:val="0D834C73"/>
    <w:rsid w:val="0D83DE87"/>
    <w:rsid w:val="0E18081C"/>
    <w:rsid w:val="0E3650BF"/>
    <w:rsid w:val="0E79811C"/>
    <w:rsid w:val="0E7B8D98"/>
    <w:rsid w:val="0E923133"/>
    <w:rsid w:val="0ED8A08A"/>
    <w:rsid w:val="0F0E04F3"/>
    <w:rsid w:val="0F27E13F"/>
    <w:rsid w:val="0F293564"/>
    <w:rsid w:val="0F3BA9F0"/>
    <w:rsid w:val="0FD05FBE"/>
    <w:rsid w:val="10556C04"/>
    <w:rsid w:val="1058AAC4"/>
    <w:rsid w:val="10817866"/>
    <w:rsid w:val="10E7D9FE"/>
    <w:rsid w:val="114B0BB6"/>
    <w:rsid w:val="116683B3"/>
    <w:rsid w:val="1167407F"/>
    <w:rsid w:val="1192439E"/>
    <w:rsid w:val="11EEF022"/>
    <w:rsid w:val="11F80C26"/>
    <w:rsid w:val="126F3FAC"/>
    <w:rsid w:val="12ADF386"/>
    <w:rsid w:val="12EA2335"/>
    <w:rsid w:val="1303BF6E"/>
    <w:rsid w:val="1319AAA2"/>
    <w:rsid w:val="13615651"/>
    <w:rsid w:val="1391A282"/>
    <w:rsid w:val="13AD92F7"/>
    <w:rsid w:val="13E91E83"/>
    <w:rsid w:val="1409ECBD"/>
    <w:rsid w:val="14644C8F"/>
    <w:rsid w:val="14944C17"/>
    <w:rsid w:val="149B6ED0"/>
    <w:rsid w:val="14AD237F"/>
    <w:rsid w:val="14DA98EE"/>
    <w:rsid w:val="14ECF8E1"/>
    <w:rsid w:val="1512B265"/>
    <w:rsid w:val="151A7F68"/>
    <w:rsid w:val="1545AA5C"/>
    <w:rsid w:val="1547C17C"/>
    <w:rsid w:val="15754AA5"/>
    <w:rsid w:val="165B49B3"/>
    <w:rsid w:val="16605762"/>
    <w:rsid w:val="16AF0EDB"/>
    <w:rsid w:val="17B96C1D"/>
    <w:rsid w:val="181DED80"/>
    <w:rsid w:val="183EA69C"/>
    <w:rsid w:val="18CB26DA"/>
    <w:rsid w:val="18D34789"/>
    <w:rsid w:val="192BF0FB"/>
    <w:rsid w:val="194903FB"/>
    <w:rsid w:val="19E8310D"/>
    <w:rsid w:val="1A4614CA"/>
    <w:rsid w:val="1A756518"/>
    <w:rsid w:val="1A89CE0F"/>
    <w:rsid w:val="1A90E010"/>
    <w:rsid w:val="1AD77D95"/>
    <w:rsid w:val="1AF915F6"/>
    <w:rsid w:val="1B0DF01C"/>
    <w:rsid w:val="1B594A0E"/>
    <w:rsid w:val="1B7C993B"/>
    <w:rsid w:val="1B9EE97C"/>
    <w:rsid w:val="1BD9A472"/>
    <w:rsid w:val="1C532202"/>
    <w:rsid w:val="1C668F3A"/>
    <w:rsid w:val="1C6BE199"/>
    <w:rsid w:val="1C6EBD87"/>
    <w:rsid w:val="1D05663E"/>
    <w:rsid w:val="1D903D77"/>
    <w:rsid w:val="1DC295AC"/>
    <w:rsid w:val="1DCFB99A"/>
    <w:rsid w:val="1E2C26CC"/>
    <w:rsid w:val="1E4261EF"/>
    <w:rsid w:val="1E7C50DD"/>
    <w:rsid w:val="1EB72017"/>
    <w:rsid w:val="1EC95454"/>
    <w:rsid w:val="1ED5CBE6"/>
    <w:rsid w:val="1F5C71B7"/>
    <w:rsid w:val="1F5CEAE1"/>
    <w:rsid w:val="1F72FBC8"/>
    <w:rsid w:val="1F7FEF2C"/>
    <w:rsid w:val="1F95FE20"/>
    <w:rsid w:val="1FB1183E"/>
    <w:rsid w:val="1FB54F26"/>
    <w:rsid w:val="200B0CD0"/>
    <w:rsid w:val="202C6338"/>
    <w:rsid w:val="2064DA3E"/>
    <w:rsid w:val="207CF632"/>
    <w:rsid w:val="20A8457E"/>
    <w:rsid w:val="20D50842"/>
    <w:rsid w:val="20D5C6FF"/>
    <w:rsid w:val="20F6F579"/>
    <w:rsid w:val="210059FA"/>
    <w:rsid w:val="2119DAAA"/>
    <w:rsid w:val="215B8115"/>
    <w:rsid w:val="217A4E53"/>
    <w:rsid w:val="222FC9D2"/>
    <w:rsid w:val="224C17B5"/>
    <w:rsid w:val="22643097"/>
    <w:rsid w:val="2265C3B4"/>
    <w:rsid w:val="229EF884"/>
    <w:rsid w:val="22D38012"/>
    <w:rsid w:val="2306DA77"/>
    <w:rsid w:val="239BF360"/>
    <w:rsid w:val="239D25D6"/>
    <w:rsid w:val="23D709D1"/>
    <w:rsid w:val="2403B042"/>
    <w:rsid w:val="24165250"/>
    <w:rsid w:val="242C5B6A"/>
    <w:rsid w:val="2438C2D7"/>
    <w:rsid w:val="247DF6EA"/>
    <w:rsid w:val="24B449A2"/>
    <w:rsid w:val="24D0B171"/>
    <w:rsid w:val="24D8524E"/>
    <w:rsid w:val="2502ABAA"/>
    <w:rsid w:val="25251398"/>
    <w:rsid w:val="258839FC"/>
    <w:rsid w:val="25BA4A99"/>
    <w:rsid w:val="262551F7"/>
    <w:rsid w:val="263DD992"/>
    <w:rsid w:val="26948DF6"/>
    <w:rsid w:val="26E99CB9"/>
    <w:rsid w:val="27219D2D"/>
    <w:rsid w:val="276854B3"/>
    <w:rsid w:val="276F9B7E"/>
    <w:rsid w:val="27B5EC93"/>
    <w:rsid w:val="27F2E476"/>
    <w:rsid w:val="2826901E"/>
    <w:rsid w:val="282DF240"/>
    <w:rsid w:val="28635E71"/>
    <w:rsid w:val="286D958D"/>
    <w:rsid w:val="287B3522"/>
    <w:rsid w:val="28844EA1"/>
    <w:rsid w:val="28B1681B"/>
    <w:rsid w:val="28E46F66"/>
    <w:rsid w:val="28F383EB"/>
    <w:rsid w:val="28F950B3"/>
    <w:rsid w:val="2906ED84"/>
    <w:rsid w:val="290B6BDF"/>
    <w:rsid w:val="2915395A"/>
    <w:rsid w:val="29F8D42A"/>
    <w:rsid w:val="2A086D99"/>
    <w:rsid w:val="2AA36BC3"/>
    <w:rsid w:val="2AA73C40"/>
    <w:rsid w:val="2ADFE44D"/>
    <w:rsid w:val="2B2D5D2E"/>
    <w:rsid w:val="2B5CF261"/>
    <w:rsid w:val="2B9E3349"/>
    <w:rsid w:val="2BCB581F"/>
    <w:rsid w:val="2BDEC732"/>
    <w:rsid w:val="2C3978E5"/>
    <w:rsid w:val="2C430CA1"/>
    <w:rsid w:val="2C9B73BD"/>
    <w:rsid w:val="2CD1D6B7"/>
    <w:rsid w:val="2CE7A3EC"/>
    <w:rsid w:val="2CE9A734"/>
    <w:rsid w:val="2CEC7CF3"/>
    <w:rsid w:val="2D00C6A4"/>
    <w:rsid w:val="2D06B263"/>
    <w:rsid w:val="2D3B211D"/>
    <w:rsid w:val="2D89DE9C"/>
    <w:rsid w:val="2DA871C0"/>
    <w:rsid w:val="2DB8A107"/>
    <w:rsid w:val="2DD0C962"/>
    <w:rsid w:val="2DDEDD02"/>
    <w:rsid w:val="2DF8055F"/>
    <w:rsid w:val="2E21BCF6"/>
    <w:rsid w:val="2E2A9287"/>
    <w:rsid w:val="2E615D56"/>
    <w:rsid w:val="2E73173C"/>
    <w:rsid w:val="2E94C281"/>
    <w:rsid w:val="2ED13182"/>
    <w:rsid w:val="2EEFDB97"/>
    <w:rsid w:val="2F6724D2"/>
    <w:rsid w:val="2F7CD432"/>
    <w:rsid w:val="308B7453"/>
    <w:rsid w:val="30906A71"/>
    <w:rsid w:val="3098EBBB"/>
    <w:rsid w:val="30BAF053"/>
    <w:rsid w:val="30F216F4"/>
    <w:rsid w:val="3114BB27"/>
    <w:rsid w:val="3125C3F0"/>
    <w:rsid w:val="317CF9E0"/>
    <w:rsid w:val="31898B51"/>
    <w:rsid w:val="31E897CF"/>
    <w:rsid w:val="31EF094A"/>
    <w:rsid w:val="32173123"/>
    <w:rsid w:val="32F8713E"/>
    <w:rsid w:val="3316BCAD"/>
    <w:rsid w:val="334AD68B"/>
    <w:rsid w:val="33985007"/>
    <w:rsid w:val="33A3E570"/>
    <w:rsid w:val="33AF1530"/>
    <w:rsid w:val="33B74BEF"/>
    <w:rsid w:val="33B92F08"/>
    <w:rsid w:val="33E7F679"/>
    <w:rsid w:val="341162E5"/>
    <w:rsid w:val="34485078"/>
    <w:rsid w:val="348B53F7"/>
    <w:rsid w:val="34D1645D"/>
    <w:rsid w:val="351B0D32"/>
    <w:rsid w:val="3548BF91"/>
    <w:rsid w:val="35851362"/>
    <w:rsid w:val="35DFEF41"/>
    <w:rsid w:val="35E097B1"/>
    <w:rsid w:val="368A035C"/>
    <w:rsid w:val="36EC839F"/>
    <w:rsid w:val="36F93559"/>
    <w:rsid w:val="36FF4A1A"/>
    <w:rsid w:val="373575A1"/>
    <w:rsid w:val="37A58201"/>
    <w:rsid w:val="37FF138F"/>
    <w:rsid w:val="38156269"/>
    <w:rsid w:val="38C339E9"/>
    <w:rsid w:val="393C883F"/>
    <w:rsid w:val="3952064D"/>
    <w:rsid w:val="39656D5D"/>
    <w:rsid w:val="399462EC"/>
    <w:rsid w:val="39A688E8"/>
    <w:rsid w:val="39D3CD59"/>
    <w:rsid w:val="3A041B7F"/>
    <w:rsid w:val="3A359ADD"/>
    <w:rsid w:val="3A5E2536"/>
    <w:rsid w:val="3A94DE3B"/>
    <w:rsid w:val="3A95BE74"/>
    <w:rsid w:val="3AB95B74"/>
    <w:rsid w:val="3B012809"/>
    <w:rsid w:val="3B2DB7B2"/>
    <w:rsid w:val="3B3480B1"/>
    <w:rsid w:val="3B46BCD0"/>
    <w:rsid w:val="3BA8C376"/>
    <w:rsid w:val="3C4625CC"/>
    <w:rsid w:val="3C5DCCF7"/>
    <w:rsid w:val="3C73E142"/>
    <w:rsid w:val="3C97C693"/>
    <w:rsid w:val="3DD3553B"/>
    <w:rsid w:val="3E2F1F24"/>
    <w:rsid w:val="3E64E90D"/>
    <w:rsid w:val="3E8D5A01"/>
    <w:rsid w:val="3EB4E7E5"/>
    <w:rsid w:val="3EC75DD4"/>
    <w:rsid w:val="3F10CC5E"/>
    <w:rsid w:val="3F133503"/>
    <w:rsid w:val="3F542743"/>
    <w:rsid w:val="3FFB6B24"/>
    <w:rsid w:val="3FFD3B4F"/>
    <w:rsid w:val="40035F01"/>
    <w:rsid w:val="40170D69"/>
    <w:rsid w:val="404681FF"/>
    <w:rsid w:val="405BCE26"/>
    <w:rsid w:val="40D418F5"/>
    <w:rsid w:val="40EFD05A"/>
    <w:rsid w:val="411DC04F"/>
    <w:rsid w:val="412CA18E"/>
    <w:rsid w:val="414B3CCE"/>
    <w:rsid w:val="41696D29"/>
    <w:rsid w:val="42043588"/>
    <w:rsid w:val="420DEA48"/>
    <w:rsid w:val="4220E647"/>
    <w:rsid w:val="4291257D"/>
    <w:rsid w:val="429A5132"/>
    <w:rsid w:val="429BE4B6"/>
    <w:rsid w:val="42C871EF"/>
    <w:rsid w:val="42F9AA24"/>
    <w:rsid w:val="4335E34D"/>
    <w:rsid w:val="4370E7F1"/>
    <w:rsid w:val="43CB53F1"/>
    <w:rsid w:val="4408E427"/>
    <w:rsid w:val="44209431"/>
    <w:rsid w:val="442BFF0B"/>
    <w:rsid w:val="44940EB5"/>
    <w:rsid w:val="44A62CC1"/>
    <w:rsid w:val="44CF117F"/>
    <w:rsid w:val="44DCE7D5"/>
    <w:rsid w:val="44DD626C"/>
    <w:rsid w:val="4509B2B3"/>
    <w:rsid w:val="4536B8D7"/>
    <w:rsid w:val="456690F0"/>
    <w:rsid w:val="456BB02D"/>
    <w:rsid w:val="459E41C6"/>
    <w:rsid w:val="45A61273"/>
    <w:rsid w:val="45B499BB"/>
    <w:rsid w:val="45C06E29"/>
    <w:rsid w:val="45F366FE"/>
    <w:rsid w:val="45F8F3D2"/>
    <w:rsid w:val="460DFA42"/>
    <w:rsid w:val="46C48599"/>
    <w:rsid w:val="46E7B539"/>
    <w:rsid w:val="47026151"/>
    <w:rsid w:val="47339158"/>
    <w:rsid w:val="47412C1F"/>
    <w:rsid w:val="47721FB5"/>
    <w:rsid w:val="47C1BC34"/>
    <w:rsid w:val="47D24541"/>
    <w:rsid w:val="47FB58F2"/>
    <w:rsid w:val="480E20C1"/>
    <w:rsid w:val="48837274"/>
    <w:rsid w:val="48B8F086"/>
    <w:rsid w:val="49BE7BF4"/>
    <w:rsid w:val="49D8144F"/>
    <w:rsid w:val="4A049472"/>
    <w:rsid w:val="4A410762"/>
    <w:rsid w:val="4A499E3A"/>
    <w:rsid w:val="4A84B6EB"/>
    <w:rsid w:val="4A881125"/>
    <w:rsid w:val="4A897B66"/>
    <w:rsid w:val="4ACF0FC4"/>
    <w:rsid w:val="4AD383D4"/>
    <w:rsid w:val="4AE55639"/>
    <w:rsid w:val="4B19E3A2"/>
    <w:rsid w:val="4B6B509F"/>
    <w:rsid w:val="4BC6F232"/>
    <w:rsid w:val="4BFD17B4"/>
    <w:rsid w:val="4C17D469"/>
    <w:rsid w:val="4C45E778"/>
    <w:rsid w:val="4C5A54DA"/>
    <w:rsid w:val="4C8FB23D"/>
    <w:rsid w:val="4CBA14A0"/>
    <w:rsid w:val="4CCD70EF"/>
    <w:rsid w:val="4D39DF77"/>
    <w:rsid w:val="4D572F1B"/>
    <w:rsid w:val="4D8A6120"/>
    <w:rsid w:val="4D9774C4"/>
    <w:rsid w:val="4DD992B0"/>
    <w:rsid w:val="4DF0ED9D"/>
    <w:rsid w:val="4E1CD18A"/>
    <w:rsid w:val="4EABA7DC"/>
    <w:rsid w:val="4EADFDC5"/>
    <w:rsid w:val="4EBCE86A"/>
    <w:rsid w:val="4EE3121F"/>
    <w:rsid w:val="4EF9C80E"/>
    <w:rsid w:val="4F21F061"/>
    <w:rsid w:val="4F6B5EA4"/>
    <w:rsid w:val="4F709FB5"/>
    <w:rsid w:val="4F95BA20"/>
    <w:rsid w:val="4FA91FB6"/>
    <w:rsid w:val="5023E00B"/>
    <w:rsid w:val="506A7567"/>
    <w:rsid w:val="50F1F3DC"/>
    <w:rsid w:val="5100E456"/>
    <w:rsid w:val="512193F8"/>
    <w:rsid w:val="5132386E"/>
    <w:rsid w:val="515001BD"/>
    <w:rsid w:val="517B67D3"/>
    <w:rsid w:val="51B086D2"/>
    <w:rsid w:val="525AE230"/>
    <w:rsid w:val="527A0D16"/>
    <w:rsid w:val="52988D90"/>
    <w:rsid w:val="529C78E2"/>
    <w:rsid w:val="52AA59E5"/>
    <w:rsid w:val="52B066D9"/>
    <w:rsid w:val="52F189B8"/>
    <w:rsid w:val="53294A02"/>
    <w:rsid w:val="5342A6F4"/>
    <w:rsid w:val="5346A748"/>
    <w:rsid w:val="5371069B"/>
    <w:rsid w:val="53E89A0A"/>
    <w:rsid w:val="5453EF21"/>
    <w:rsid w:val="5498CCFF"/>
    <w:rsid w:val="54E0D782"/>
    <w:rsid w:val="54EAEE91"/>
    <w:rsid w:val="54F183FB"/>
    <w:rsid w:val="554365E2"/>
    <w:rsid w:val="5543C5D9"/>
    <w:rsid w:val="555286DD"/>
    <w:rsid w:val="555500B0"/>
    <w:rsid w:val="5565A678"/>
    <w:rsid w:val="55769CF1"/>
    <w:rsid w:val="561F3D1A"/>
    <w:rsid w:val="56361965"/>
    <w:rsid w:val="56381BA9"/>
    <w:rsid w:val="56660457"/>
    <w:rsid w:val="568AF582"/>
    <w:rsid w:val="56D37009"/>
    <w:rsid w:val="56FC9A37"/>
    <w:rsid w:val="5709F96E"/>
    <w:rsid w:val="5712CC3C"/>
    <w:rsid w:val="572A92D5"/>
    <w:rsid w:val="5758FC76"/>
    <w:rsid w:val="577CA21C"/>
    <w:rsid w:val="57D3592D"/>
    <w:rsid w:val="57E49404"/>
    <w:rsid w:val="57EFB190"/>
    <w:rsid w:val="5829736B"/>
    <w:rsid w:val="58E39F39"/>
    <w:rsid w:val="59116843"/>
    <w:rsid w:val="5995C926"/>
    <w:rsid w:val="59EF5C89"/>
    <w:rsid w:val="5A04E8D8"/>
    <w:rsid w:val="5A1B8ABC"/>
    <w:rsid w:val="5A6D86AE"/>
    <w:rsid w:val="5A81F8D7"/>
    <w:rsid w:val="5B434BDB"/>
    <w:rsid w:val="5B606F3A"/>
    <w:rsid w:val="5B621A7B"/>
    <w:rsid w:val="5B82D230"/>
    <w:rsid w:val="5B8B404C"/>
    <w:rsid w:val="5B923B85"/>
    <w:rsid w:val="5BAFAEA2"/>
    <w:rsid w:val="5BB508E3"/>
    <w:rsid w:val="5BD60E96"/>
    <w:rsid w:val="5C110C75"/>
    <w:rsid w:val="5C2DB562"/>
    <w:rsid w:val="5C51678D"/>
    <w:rsid w:val="5C71DA9F"/>
    <w:rsid w:val="5CA91EF4"/>
    <w:rsid w:val="5CC7A0DE"/>
    <w:rsid w:val="5CD146CF"/>
    <w:rsid w:val="5CF0DFC3"/>
    <w:rsid w:val="5D1DDB0C"/>
    <w:rsid w:val="5D5E58CF"/>
    <w:rsid w:val="5D81B711"/>
    <w:rsid w:val="5D8D8FDA"/>
    <w:rsid w:val="5E100D89"/>
    <w:rsid w:val="5E1729E0"/>
    <w:rsid w:val="5E53D588"/>
    <w:rsid w:val="5F0A94DB"/>
    <w:rsid w:val="5F69A5AA"/>
    <w:rsid w:val="5F817796"/>
    <w:rsid w:val="5F98C762"/>
    <w:rsid w:val="5FEB2FD1"/>
    <w:rsid w:val="6026EE24"/>
    <w:rsid w:val="6051767E"/>
    <w:rsid w:val="609FA0DD"/>
    <w:rsid w:val="60DB4006"/>
    <w:rsid w:val="60E749F8"/>
    <w:rsid w:val="6105AA56"/>
    <w:rsid w:val="61069F18"/>
    <w:rsid w:val="6156EA22"/>
    <w:rsid w:val="6190C60D"/>
    <w:rsid w:val="6195F48F"/>
    <w:rsid w:val="61B6D30B"/>
    <w:rsid w:val="61E96473"/>
    <w:rsid w:val="61ED1DE3"/>
    <w:rsid w:val="6221F059"/>
    <w:rsid w:val="623FF3FE"/>
    <w:rsid w:val="62CEE643"/>
    <w:rsid w:val="62E8977A"/>
    <w:rsid w:val="62EF1BC6"/>
    <w:rsid w:val="6353BCF5"/>
    <w:rsid w:val="6364578A"/>
    <w:rsid w:val="63AD2B1A"/>
    <w:rsid w:val="63E488D1"/>
    <w:rsid w:val="64133758"/>
    <w:rsid w:val="64437C33"/>
    <w:rsid w:val="64A2EE1A"/>
    <w:rsid w:val="64B4E444"/>
    <w:rsid w:val="64D1A2B9"/>
    <w:rsid w:val="65405DB5"/>
    <w:rsid w:val="654DB569"/>
    <w:rsid w:val="658A5E4C"/>
    <w:rsid w:val="659EA249"/>
    <w:rsid w:val="65A0EA0A"/>
    <w:rsid w:val="6665531A"/>
    <w:rsid w:val="66967F15"/>
    <w:rsid w:val="66F10084"/>
    <w:rsid w:val="66FCDB6B"/>
    <w:rsid w:val="66FDA78A"/>
    <w:rsid w:val="670F44BD"/>
    <w:rsid w:val="678F0FCE"/>
    <w:rsid w:val="67C2BDC9"/>
    <w:rsid w:val="68554E60"/>
    <w:rsid w:val="6856DB83"/>
    <w:rsid w:val="687785EE"/>
    <w:rsid w:val="6881205D"/>
    <w:rsid w:val="68A3845B"/>
    <w:rsid w:val="68A3956C"/>
    <w:rsid w:val="68AAB2C2"/>
    <w:rsid w:val="68F299B7"/>
    <w:rsid w:val="690C6FB2"/>
    <w:rsid w:val="69866141"/>
    <w:rsid w:val="698C9226"/>
    <w:rsid w:val="69A38844"/>
    <w:rsid w:val="6A4A4CE2"/>
    <w:rsid w:val="6A5C144A"/>
    <w:rsid w:val="6A79104B"/>
    <w:rsid w:val="6B32C08F"/>
    <w:rsid w:val="6B523BCE"/>
    <w:rsid w:val="6C085388"/>
    <w:rsid w:val="6C4FABA9"/>
    <w:rsid w:val="6C597AE3"/>
    <w:rsid w:val="6CCB3688"/>
    <w:rsid w:val="6D161312"/>
    <w:rsid w:val="6D215AF5"/>
    <w:rsid w:val="6D2C5F44"/>
    <w:rsid w:val="6D6514A1"/>
    <w:rsid w:val="6D7E23E5"/>
    <w:rsid w:val="6D8310EA"/>
    <w:rsid w:val="6DA90ECB"/>
    <w:rsid w:val="6E3ADE9A"/>
    <w:rsid w:val="6EBC5E12"/>
    <w:rsid w:val="6ECFB34D"/>
    <w:rsid w:val="6EDB1CEF"/>
    <w:rsid w:val="6F00CBE9"/>
    <w:rsid w:val="6F27C91D"/>
    <w:rsid w:val="6F424F65"/>
    <w:rsid w:val="6FCF7DC8"/>
    <w:rsid w:val="701DD7A4"/>
    <w:rsid w:val="704AD992"/>
    <w:rsid w:val="70569390"/>
    <w:rsid w:val="70A209C6"/>
    <w:rsid w:val="70D22288"/>
    <w:rsid w:val="70DEDA12"/>
    <w:rsid w:val="70ED8240"/>
    <w:rsid w:val="70F67DC7"/>
    <w:rsid w:val="7103D6C6"/>
    <w:rsid w:val="711802CE"/>
    <w:rsid w:val="71301293"/>
    <w:rsid w:val="713BBC32"/>
    <w:rsid w:val="7179FB08"/>
    <w:rsid w:val="7210144B"/>
    <w:rsid w:val="7227080F"/>
    <w:rsid w:val="7287372E"/>
    <w:rsid w:val="733FAE9C"/>
    <w:rsid w:val="7352036A"/>
    <w:rsid w:val="735A4ECC"/>
    <w:rsid w:val="7368C444"/>
    <w:rsid w:val="73C00FEF"/>
    <w:rsid w:val="73C3D06A"/>
    <w:rsid w:val="741FF55E"/>
    <w:rsid w:val="7423CF7E"/>
    <w:rsid w:val="744DB738"/>
    <w:rsid w:val="745ECC15"/>
    <w:rsid w:val="746380D4"/>
    <w:rsid w:val="74C5DC92"/>
    <w:rsid w:val="74DE8EF0"/>
    <w:rsid w:val="74E22A05"/>
    <w:rsid w:val="75083E92"/>
    <w:rsid w:val="75AD9D2C"/>
    <w:rsid w:val="762B2015"/>
    <w:rsid w:val="7638C34B"/>
    <w:rsid w:val="76470D1F"/>
    <w:rsid w:val="77CA75DC"/>
    <w:rsid w:val="785BEA8F"/>
    <w:rsid w:val="78C258CE"/>
    <w:rsid w:val="79195014"/>
    <w:rsid w:val="792618E6"/>
    <w:rsid w:val="793AA3A5"/>
    <w:rsid w:val="795F7441"/>
    <w:rsid w:val="79603B8C"/>
    <w:rsid w:val="798E53C8"/>
    <w:rsid w:val="79E9CA6A"/>
    <w:rsid w:val="7A4E78DA"/>
    <w:rsid w:val="7A5CA6ED"/>
    <w:rsid w:val="7AB51429"/>
    <w:rsid w:val="7B1F7325"/>
    <w:rsid w:val="7B59C42F"/>
    <w:rsid w:val="7B5C3306"/>
    <w:rsid w:val="7B6A63B5"/>
    <w:rsid w:val="7B91971A"/>
    <w:rsid w:val="7BAC8D95"/>
    <w:rsid w:val="7BC5679B"/>
    <w:rsid w:val="7BD6C86F"/>
    <w:rsid w:val="7BE40937"/>
    <w:rsid w:val="7BF0D942"/>
    <w:rsid w:val="7C0F8A6A"/>
    <w:rsid w:val="7C2179A7"/>
    <w:rsid w:val="7C31A29D"/>
    <w:rsid w:val="7C420A72"/>
    <w:rsid w:val="7C86EB01"/>
    <w:rsid w:val="7CB0BB21"/>
    <w:rsid w:val="7CF80367"/>
    <w:rsid w:val="7D4DCD42"/>
    <w:rsid w:val="7D6AF07E"/>
    <w:rsid w:val="7D7B1F52"/>
    <w:rsid w:val="7D8BF663"/>
    <w:rsid w:val="7D992CBB"/>
    <w:rsid w:val="7E460460"/>
    <w:rsid w:val="7E78F13E"/>
    <w:rsid w:val="7E89FA87"/>
    <w:rsid w:val="7EA70EDF"/>
    <w:rsid w:val="7EE2CA6F"/>
    <w:rsid w:val="7F2533EF"/>
    <w:rsid w:val="7F37AD88"/>
    <w:rsid w:val="7F9D6DB9"/>
    <w:rsid w:val="7FA43D4C"/>
    <w:rsid w:val="7FBC8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6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D7"/>
    <w:pPr>
      <w:overflowPunct w:val="0"/>
      <w:autoSpaceDE w:val="0"/>
      <w:autoSpaceDN w:val="0"/>
      <w:adjustRightInd w:val="0"/>
      <w:spacing w:after="0" w:line="240" w:lineRule="auto"/>
      <w:textAlignment w:val="baseline"/>
    </w:pPr>
  </w:style>
  <w:style w:type="paragraph" w:styleId="Heading1">
    <w:name w:val="heading 1"/>
    <w:basedOn w:val="Normal"/>
    <w:next w:val="Normal"/>
    <w:link w:val="Heading1Char"/>
    <w:uiPriority w:val="9"/>
    <w:qFormat/>
    <w:rsid w:val="00CD50D7"/>
    <w:pPr>
      <w:keepNext/>
      <w:outlineLvl w:val="0"/>
    </w:pPr>
    <w:rPr>
      <w:b/>
      <w:bCs/>
    </w:rPr>
  </w:style>
  <w:style w:type="paragraph" w:styleId="Heading2">
    <w:name w:val="heading 2"/>
    <w:basedOn w:val="Normal"/>
    <w:next w:val="Normal"/>
    <w:link w:val="Heading2Char"/>
    <w:uiPriority w:val="9"/>
    <w:unhideWhenUsed/>
    <w:qFormat/>
    <w:rsid w:val="008E3C7A"/>
    <w:pPr>
      <w:outlineLvl w:val="1"/>
    </w:pPr>
    <w:rPr>
      <w:b/>
    </w:rPr>
  </w:style>
  <w:style w:type="paragraph" w:styleId="Heading3">
    <w:name w:val="heading 3"/>
    <w:basedOn w:val="Normal"/>
    <w:next w:val="Normal"/>
    <w:link w:val="Heading3Char"/>
    <w:uiPriority w:val="9"/>
    <w:semiHidden/>
    <w:unhideWhenUsed/>
    <w:qFormat/>
    <w:rsid w:val="002324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D7"/>
    <w:rPr>
      <w:rFonts w:eastAsia="Times New Roman" w:cs="Times New Roman"/>
      <w:b/>
      <w:bCs/>
      <w:szCs w:val="20"/>
    </w:rPr>
  </w:style>
  <w:style w:type="paragraph" w:styleId="BodyTextIndent">
    <w:name w:val="Body Text Indent"/>
    <w:basedOn w:val="Normal"/>
    <w:link w:val="BodyTextIndentChar"/>
    <w:rsid w:val="00CD50D7"/>
    <w:pPr>
      <w:ind w:left="720" w:hanging="720"/>
      <w:jc w:val="both"/>
    </w:pPr>
  </w:style>
  <w:style w:type="character" w:customStyle="1" w:styleId="BodyTextIndentChar">
    <w:name w:val="Body Text Indent Char"/>
    <w:basedOn w:val="DefaultParagraphFont"/>
    <w:link w:val="BodyTextIndent"/>
    <w:rsid w:val="00CD50D7"/>
    <w:rPr>
      <w:rFonts w:eastAsia="Times New Roman" w:cs="Times New Roman"/>
      <w:szCs w:val="20"/>
    </w:rPr>
  </w:style>
  <w:style w:type="paragraph" w:styleId="BodyText">
    <w:name w:val="Body Text"/>
    <w:basedOn w:val="Normal"/>
    <w:link w:val="BodyTextChar"/>
    <w:rsid w:val="00CD50D7"/>
  </w:style>
  <w:style w:type="character" w:customStyle="1" w:styleId="BodyTextChar">
    <w:name w:val="Body Text Char"/>
    <w:basedOn w:val="DefaultParagraphFont"/>
    <w:link w:val="BodyText"/>
    <w:rsid w:val="00CD50D7"/>
    <w:rPr>
      <w:rFonts w:eastAsia="Times New Roman" w:cs="Times New Roman"/>
      <w:szCs w:val="20"/>
    </w:rPr>
  </w:style>
  <w:style w:type="paragraph" w:styleId="BodyText3">
    <w:name w:val="Body Text 3"/>
    <w:basedOn w:val="Normal"/>
    <w:link w:val="BodyText3Char"/>
    <w:rsid w:val="00CD50D7"/>
    <w:pPr>
      <w:tabs>
        <w:tab w:val="left" w:pos="7371"/>
      </w:tabs>
      <w:jc w:val="right"/>
    </w:pPr>
  </w:style>
  <w:style w:type="character" w:customStyle="1" w:styleId="BodyText3Char">
    <w:name w:val="Body Text 3 Char"/>
    <w:basedOn w:val="DefaultParagraphFont"/>
    <w:link w:val="BodyText3"/>
    <w:rsid w:val="00CD50D7"/>
    <w:rPr>
      <w:rFonts w:eastAsia="Times New Roman" w:cs="Times New Roman"/>
      <w:sz w:val="20"/>
      <w:szCs w:val="20"/>
    </w:rPr>
  </w:style>
  <w:style w:type="table" w:styleId="TableGrid">
    <w:name w:val="Table Grid"/>
    <w:basedOn w:val="TableNormal"/>
    <w:uiPriority w:val="39"/>
    <w:rsid w:val="00CD50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50D7"/>
    <w:pPr>
      <w:tabs>
        <w:tab w:val="center" w:pos="4153"/>
        <w:tab w:val="right" w:pos="8306"/>
      </w:tabs>
    </w:pPr>
  </w:style>
  <w:style w:type="character" w:customStyle="1" w:styleId="HeaderChar">
    <w:name w:val="Header Char"/>
    <w:basedOn w:val="DefaultParagraphFont"/>
    <w:link w:val="Header"/>
    <w:uiPriority w:val="99"/>
    <w:rsid w:val="00CD50D7"/>
    <w:rPr>
      <w:rFonts w:eastAsia="Times New Roman" w:cs="Times New Roman"/>
      <w:sz w:val="20"/>
      <w:szCs w:val="20"/>
    </w:rPr>
  </w:style>
  <w:style w:type="paragraph" w:styleId="Footer">
    <w:name w:val="footer"/>
    <w:basedOn w:val="Normal"/>
    <w:link w:val="FooterChar"/>
    <w:uiPriority w:val="99"/>
    <w:rsid w:val="00CD50D7"/>
    <w:pPr>
      <w:tabs>
        <w:tab w:val="center" w:pos="4153"/>
        <w:tab w:val="right" w:pos="8306"/>
      </w:tabs>
    </w:pPr>
  </w:style>
  <w:style w:type="character" w:customStyle="1" w:styleId="FooterChar">
    <w:name w:val="Footer Char"/>
    <w:basedOn w:val="DefaultParagraphFont"/>
    <w:link w:val="Footer"/>
    <w:uiPriority w:val="99"/>
    <w:rsid w:val="00CD50D7"/>
    <w:rPr>
      <w:rFonts w:eastAsia="Times New Roman" w:cs="Times New Roman"/>
      <w:sz w:val="20"/>
      <w:szCs w:val="20"/>
    </w:rPr>
  </w:style>
  <w:style w:type="character" w:styleId="PageNumber">
    <w:name w:val="page number"/>
    <w:basedOn w:val="DefaultParagraphFont"/>
    <w:rsid w:val="00CD50D7"/>
  </w:style>
  <w:style w:type="paragraph" w:styleId="FootnoteText">
    <w:name w:val="footnote text"/>
    <w:basedOn w:val="Normal"/>
    <w:link w:val="FootnoteTextChar"/>
    <w:semiHidden/>
    <w:rsid w:val="00CD50D7"/>
    <w:pPr>
      <w:overflowPunct/>
      <w:autoSpaceDE/>
      <w:autoSpaceDN/>
      <w:adjustRightInd/>
      <w:textAlignment w:val="auto"/>
    </w:pPr>
    <w:rPr>
      <w:rFonts w:ascii="Times New Roman" w:hAnsi="Times New Roman"/>
      <w:lang w:eastAsia="en-GB"/>
    </w:rPr>
  </w:style>
  <w:style w:type="character" w:customStyle="1" w:styleId="FootnoteTextChar">
    <w:name w:val="Footnote Text Char"/>
    <w:basedOn w:val="DefaultParagraphFont"/>
    <w:link w:val="FootnoteText"/>
    <w:semiHidden/>
    <w:rsid w:val="00CD50D7"/>
    <w:rPr>
      <w:rFonts w:ascii="Times New Roman" w:eastAsia="Times New Roman" w:hAnsi="Times New Roman" w:cs="Times New Roman"/>
      <w:sz w:val="20"/>
      <w:szCs w:val="20"/>
      <w:lang w:eastAsia="en-GB"/>
    </w:rPr>
  </w:style>
  <w:style w:type="character" w:styleId="FootnoteReference">
    <w:name w:val="footnote reference"/>
    <w:semiHidden/>
    <w:rsid w:val="00CD50D7"/>
    <w:rPr>
      <w:vertAlign w:val="superscript"/>
    </w:rPr>
  </w:style>
  <w:style w:type="paragraph" w:customStyle="1" w:styleId="FRMActHeading1">
    <w:name w:val="FRM Act Heading 1"/>
    <w:basedOn w:val="Normal"/>
    <w:rsid w:val="00CD50D7"/>
    <w:pPr>
      <w:overflowPunct/>
      <w:autoSpaceDE/>
      <w:autoSpaceDN/>
      <w:adjustRightInd/>
      <w:textAlignment w:val="auto"/>
    </w:pPr>
    <w:rPr>
      <w:b/>
      <w:szCs w:val="24"/>
      <w:lang w:eastAsia="en-GB"/>
    </w:rPr>
  </w:style>
  <w:style w:type="paragraph" w:styleId="BalloonText">
    <w:name w:val="Balloon Text"/>
    <w:basedOn w:val="Normal"/>
    <w:link w:val="BalloonTextChar"/>
    <w:uiPriority w:val="99"/>
    <w:rsid w:val="00CD50D7"/>
    <w:rPr>
      <w:rFonts w:ascii="Tahoma" w:hAnsi="Tahoma" w:cs="Tahoma"/>
      <w:sz w:val="16"/>
      <w:szCs w:val="16"/>
    </w:rPr>
  </w:style>
  <w:style w:type="character" w:customStyle="1" w:styleId="BalloonTextChar">
    <w:name w:val="Balloon Text Char"/>
    <w:basedOn w:val="DefaultParagraphFont"/>
    <w:link w:val="BalloonText"/>
    <w:uiPriority w:val="99"/>
    <w:rsid w:val="00CD50D7"/>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CD50D7"/>
    <w:pPr>
      <w:overflowPunct/>
      <w:autoSpaceDE/>
      <w:autoSpaceDN/>
      <w:adjustRightInd/>
      <w:ind w:left="720"/>
      <w:textAlignment w:val="auto"/>
    </w:pPr>
    <w:rPr>
      <w:rFonts w:ascii="Calibri" w:eastAsia="Calibri" w:hAnsi="Calibri"/>
    </w:rPr>
  </w:style>
  <w:style w:type="character" w:styleId="CommentReference">
    <w:name w:val="annotation reference"/>
    <w:uiPriority w:val="99"/>
    <w:unhideWhenUsed/>
    <w:rsid w:val="00CD50D7"/>
    <w:rPr>
      <w:sz w:val="16"/>
      <w:szCs w:val="16"/>
    </w:rPr>
  </w:style>
  <w:style w:type="paragraph" w:styleId="CommentText">
    <w:name w:val="annotation text"/>
    <w:basedOn w:val="Normal"/>
    <w:link w:val="CommentTextChar"/>
    <w:uiPriority w:val="99"/>
    <w:unhideWhenUsed/>
    <w:rsid w:val="00CD50D7"/>
  </w:style>
  <w:style w:type="character" w:customStyle="1" w:styleId="CommentTextChar">
    <w:name w:val="Comment Text Char"/>
    <w:basedOn w:val="DefaultParagraphFont"/>
    <w:link w:val="CommentText"/>
    <w:uiPriority w:val="99"/>
    <w:rsid w:val="00CD50D7"/>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CD50D7"/>
    <w:rPr>
      <w:b/>
      <w:bCs/>
    </w:rPr>
  </w:style>
  <w:style w:type="character" w:customStyle="1" w:styleId="CommentSubjectChar">
    <w:name w:val="Comment Subject Char"/>
    <w:basedOn w:val="CommentTextChar"/>
    <w:link w:val="CommentSubject"/>
    <w:uiPriority w:val="99"/>
    <w:rsid w:val="00CD50D7"/>
    <w:rPr>
      <w:rFonts w:eastAsia="Times New Roman" w:cs="Times New Roman"/>
      <w:b/>
      <w:bCs/>
      <w:sz w:val="20"/>
      <w:szCs w:val="20"/>
    </w:rPr>
  </w:style>
  <w:style w:type="paragraph" w:styleId="NormalWeb">
    <w:name w:val="Normal (Web)"/>
    <w:basedOn w:val="Normal"/>
    <w:uiPriority w:val="99"/>
    <w:unhideWhenUsed/>
    <w:rsid w:val="00CD50D7"/>
    <w:pPr>
      <w:overflowPunct/>
      <w:autoSpaceDE/>
      <w:autoSpaceDN/>
      <w:adjustRightInd/>
      <w:textAlignment w:val="auto"/>
    </w:pPr>
    <w:rPr>
      <w:rFonts w:ascii="Times New Roman" w:hAnsi="Times New Roman"/>
      <w:sz w:val="18"/>
      <w:szCs w:val="18"/>
      <w:lang w:eastAsia="en-GB"/>
    </w:rPr>
  </w:style>
  <w:style w:type="paragraph" w:styleId="NoSpacing">
    <w:name w:val="No Spacing"/>
    <w:uiPriority w:val="1"/>
    <w:qFormat/>
    <w:rsid w:val="00CD50D7"/>
    <w:pPr>
      <w:spacing w:after="0" w:line="240" w:lineRule="auto"/>
    </w:pPr>
    <w:rPr>
      <w:rFonts w:eastAsia="Calibri" w:cs="Times New Roman"/>
      <w:sz w:val="20"/>
    </w:rPr>
  </w:style>
  <w:style w:type="paragraph" w:styleId="Title">
    <w:name w:val="Title"/>
    <w:basedOn w:val="Normal"/>
    <w:next w:val="Normal"/>
    <w:link w:val="TitleChar"/>
    <w:uiPriority w:val="99"/>
    <w:qFormat/>
    <w:rsid w:val="00CD50D7"/>
    <w:pPr>
      <w:pBdr>
        <w:bottom w:val="single" w:sz="8" w:space="4" w:color="4F81BD"/>
      </w:pBdr>
      <w:overflowPunct/>
      <w:autoSpaceDE/>
      <w:autoSpaceDN/>
      <w:adjustRightInd/>
      <w:spacing w:after="300"/>
      <w:contextualSpacing/>
      <w:textAlignment w:val="auto"/>
    </w:pPr>
    <w:rPr>
      <w:rFonts w:ascii="Cambria" w:hAnsi="Cambria"/>
      <w:color w:val="17365D"/>
      <w:spacing w:val="5"/>
      <w:kern w:val="28"/>
      <w:sz w:val="52"/>
      <w:szCs w:val="52"/>
      <w:lang w:eastAsia="en-GB"/>
    </w:rPr>
  </w:style>
  <w:style w:type="character" w:customStyle="1" w:styleId="TitleChar">
    <w:name w:val="Title Char"/>
    <w:basedOn w:val="DefaultParagraphFont"/>
    <w:link w:val="Title"/>
    <w:uiPriority w:val="99"/>
    <w:rsid w:val="00CD50D7"/>
    <w:rPr>
      <w:rFonts w:ascii="Cambria" w:eastAsia="Times New Roman" w:hAnsi="Cambria" w:cs="Times New Roman"/>
      <w:color w:val="17365D"/>
      <w:spacing w:val="5"/>
      <w:kern w:val="28"/>
      <w:sz w:val="52"/>
      <w:szCs w:val="52"/>
      <w:lang w:eastAsia="en-GB"/>
    </w:rPr>
  </w:style>
  <w:style w:type="character" w:styleId="Hyperlink">
    <w:name w:val="Hyperlink"/>
    <w:rsid w:val="00CD50D7"/>
    <w:rPr>
      <w:color w:val="0000FF"/>
      <w:u w:val="single"/>
    </w:rPr>
  </w:style>
  <w:style w:type="character" w:styleId="FollowedHyperlink">
    <w:name w:val="FollowedHyperlink"/>
    <w:uiPriority w:val="99"/>
    <w:rsid w:val="00CD50D7"/>
    <w:rPr>
      <w:color w:val="800080"/>
      <w:u w:val="single"/>
    </w:rPr>
  </w:style>
  <w:style w:type="paragraph" w:styleId="PlainText">
    <w:name w:val="Plain Text"/>
    <w:basedOn w:val="Normal"/>
    <w:link w:val="PlainTextChar"/>
    <w:uiPriority w:val="99"/>
    <w:unhideWhenUsed/>
    <w:rsid w:val="00CD50D7"/>
    <w:pPr>
      <w:overflowPunct/>
      <w:autoSpaceDE/>
      <w:autoSpaceDN/>
      <w:adjustRightInd/>
      <w:textAlignment w:val="auto"/>
    </w:pPr>
    <w:rPr>
      <w:rFonts w:ascii="Calibri" w:hAnsi="Calibri"/>
      <w:szCs w:val="21"/>
      <w:lang w:eastAsia="en-GB"/>
    </w:rPr>
  </w:style>
  <w:style w:type="character" w:customStyle="1" w:styleId="PlainTextChar">
    <w:name w:val="Plain Text Char"/>
    <w:basedOn w:val="DefaultParagraphFont"/>
    <w:link w:val="PlainText"/>
    <w:uiPriority w:val="99"/>
    <w:rsid w:val="00CD50D7"/>
    <w:rPr>
      <w:rFonts w:ascii="Calibri" w:eastAsia="Times New Roman" w:hAnsi="Calibri" w:cs="Times New Roman"/>
      <w:szCs w:val="21"/>
      <w:lang w:eastAsia="en-GB"/>
    </w:rPr>
  </w:style>
  <w:style w:type="paragraph" w:customStyle="1" w:styleId="Pa29">
    <w:name w:val="Pa29"/>
    <w:basedOn w:val="Normal"/>
    <w:next w:val="Normal"/>
    <w:uiPriority w:val="99"/>
    <w:rsid w:val="00CD50D7"/>
    <w:pPr>
      <w:overflowPunct/>
      <w:spacing w:line="181" w:lineRule="atLeast"/>
      <w:textAlignment w:val="auto"/>
    </w:pPr>
    <w:rPr>
      <w:rFonts w:ascii="RotisSemiSans" w:eastAsia="Calibri" w:hAnsi="RotisSemiSans"/>
      <w:sz w:val="24"/>
      <w:szCs w:val="24"/>
    </w:rPr>
  </w:style>
  <w:style w:type="paragraph" w:styleId="Revision">
    <w:name w:val="Revision"/>
    <w:hidden/>
    <w:uiPriority w:val="99"/>
    <w:semiHidden/>
    <w:rsid w:val="007561FC"/>
    <w:pPr>
      <w:spacing w:after="0" w:line="240" w:lineRule="auto"/>
    </w:pPr>
    <w:rPr>
      <w:rFonts w:eastAsia="Times New Roman" w:cs="Times New Roman"/>
      <w:sz w:val="20"/>
      <w:szCs w:val="20"/>
    </w:rPr>
  </w:style>
  <w:style w:type="character" w:customStyle="1" w:styleId="veryhardreadability">
    <w:name w:val="veryhardreadability"/>
    <w:basedOn w:val="DefaultParagraphFont"/>
    <w:rsid w:val="00441FCC"/>
  </w:style>
  <w:style w:type="table" w:styleId="PlainTable2">
    <w:name w:val="Plain Table 2"/>
    <w:basedOn w:val="TableNormal"/>
    <w:uiPriority w:val="42"/>
    <w:rsid w:val="00DB3174"/>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DB3174"/>
    <w:rPr>
      <w:rFonts w:ascii="Calibri" w:eastAsia="Calibri" w:hAnsi="Calibri" w:cs="Times New Roman"/>
    </w:rPr>
  </w:style>
  <w:style w:type="character" w:customStyle="1" w:styleId="Heading2Char">
    <w:name w:val="Heading 2 Char"/>
    <w:basedOn w:val="DefaultParagraphFont"/>
    <w:link w:val="Heading2"/>
    <w:uiPriority w:val="9"/>
    <w:rsid w:val="008E3C7A"/>
    <w:rPr>
      <w:rFonts w:eastAsia="Times New Roman"/>
      <w:b/>
    </w:rPr>
  </w:style>
  <w:style w:type="table" w:customStyle="1" w:styleId="TableGrid1">
    <w:name w:val="Table Grid1"/>
    <w:basedOn w:val="TableNormal"/>
    <w:next w:val="TableGrid"/>
    <w:uiPriority w:val="39"/>
    <w:rsid w:val="00633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1E85"/>
    <w:pPr>
      <w:autoSpaceDE w:val="0"/>
      <w:autoSpaceDN w:val="0"/>
      <w:adjustRightInd w:val="0"/>
      <w:spacing w:after="0" w:line="240" w:lineRule="auto"/>
    </w:pPr>
    <w:rPr>
      <w:rFonts w:eastAsia="Times New Roman"/>
      <w:color w:val="000000"/>
      <w:sz w:val="24"/>
      <w:szCs w:val="24"/>
    </w:rPr>
  </w:style>
  <w:style w:type="table" w:customStyle="1" w:styleId="TableGrid2">
    <w:name w:val="Table Grid2"/>
    <w:basedOn w:val="TableNormal"/>
    <w:next w:val="TableGrid"/>
    <w:uiPriority w:val="39"/>
    <w:rsid w:val="00E50A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60BA9"/>
  </w:style>
  <w:style w:type="character" w:styleId="UnresolvedMention">
    <w:name w:val="Unresolved Mention"/>
    <w:basedOn w:val="DefaultParagraphFont"/>
    <w:uiPriority w:val="99"/>
    <w:unhideWhenUsed/>
    <w:rsid w:val="00155F04"/>
    <w:rPr>
      <w:color w:val="605E5C"/>
      <w:shd w:val="clear" w:color="auto" w:fill="E1DFDD"/>
    </w:rPr>
  </w:style>
  <w:style w:type="table" w:customStyle="1" w:styleId="TableGrid11">
    <w:name w:val="Table Grid11"/>
    <w:basedOn w:val="TableNormal"/>
    <w:next w:val="TableGrid"/>
    <w:uiPriority w:val="39"/>
    <w:rsid w:val="00134DA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16AEC"/>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7A81"/>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63C29"/>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D6704"/>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73C6"/>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55A41"/>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5A41"/>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55A41"/>
    <w:rPr>
      <w:color w:val="2B579A"/>
      <w:shd w:val="clear" w:color="auto" w:fill="E1DFDD"/>
    </w:rPr>
  </w:style>
  <w:style w:type="paragraph" w:customStyle="1" w:styleId="paragraph">
    <w:name w:val="paragraph"/>
    <w:basedOn w:val="Normal"/>
    <w:rsid w:val="00D55A4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en-GB"/>
    </w:rPr>
  </w:style>
  <w:style w:type="table" w:customStyle="1" w:styleId="TableGrid12">
    <w:name w:val="Table Grid12"/>
    <w:basedOn w:val="TableNormal"/>
    <w:next w:val="TableGrid"/>
    <w:uiPriority w:val="39"/>
    <w:rsid w:val="00BD2F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83335"/>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15B1D"/>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15B1D"/>
  </w:style>
  <w:style w:type="character" w:customStyle="1" w:styleId="eop">
    <w:name w:val="eop"/>
    <w:basedOn w:val="DefaultParagraphFont"/>
    <w:rsid w:val="00115B1D"/>
  </w:style>
  <w:style w:type="table" w:customStyle="1" w:styleId="TableGrid3">
    <w:name w:val="Table Grid3"/>
    <w:basedOn w:val="TableNormal"/>
    <w:next w:val="TableGrid"/>
    <w:uiPriority w:val="39"/>
    <w:rsid w:val="00E57E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96CB0"/>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143A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8143A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1700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75AF9"/>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75AF9"/>
    <w:rPr>
      <w:rFonts w:ascii="Segoe UI" w:hAnsi="Segoe UI" w:cs="Segoe UI" w:hint="default"/>
      <w:sz w:val="18"/>
      <w:szCs w:val="18"/>
    </w:rPr>
  </w:style>
  <w:style w:type="character" w:customStyle="1" w:styleId="ui-provider">
    <w:name w:val="ui-provider"/>
    <w:basedOn w:val="DefaultParagraphFont"/>
    <w:rsid w:val="00275AF9"/>
  </w:style>
  <w:style w:type="table" w:customStyle="1" w:styleId="TableGrid16">
    <w:name w:val="Table Grid16"/>
    <w:basedOn w:val="TableNormal"/>
    <w:next w:val="TableGrid"/>
    <w:uiPriority w:val="59"/>
    <w:rsid w:val="00530A0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32469"/>
    <w:rPr>
      <w:rFonts w:asciiTheme="majorHAnsi" w:eastAsiaTheme="majorEastAsia" w:hAnsiTheme="majorHAnsi" w:cstheme="majorBidi"/>
      <w:color w:val="1F4D78" w:themeColor="accent1" w:themeShade="7F"/>
      <w:sz w:val="24"/>
      <w:szCs w:val="24"/>
    </w:rPr>
  </w:style>
  <w:style w:type="paragraph" w:customStyle="1" w:styleId="BodyText1">
    <w:name w:val="Body Text1"/>
    <w:basedOn w:val="Normal"/>
    <w:qFormat/>
    <w:rsid w:val="00B64402"/>
    <w:pPr>
      <w:overflowPunct/>
      <w:autoSpaceDE/>
      <w:autoSpaceDN/>
      <w:adjustRightInd/>
      <w:spacing w:after="240" w:line="360" w:lineRule="auto"/>
      <w:textAlignment w:val="auto"/>
    </w:pPr>
    <w:rPr>
      <w:rFonts w:asciiTheme="minorHAnsi" w:eastAsiaTheme="minorEastAsia" w:hAnsiTheme="minorHAnsi" w:cstheme="minorBidi"/>
      <w:sz w:val="24"/>
      <w:szCs w:val="24"/>
    </w:rPr>
  </w:style>
  <w:style w:type="table" w:customStyle="1" w:styleId="TableGrid17">
    <w:name w:val="Table Grid17"/>
    <w:basedOn w:val="TableNormal"/>
    <w:next w:val="TableGrid"/>
    <w:uiPriority w:val="39"/>
    <w:rsid w:val="001D4BD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427C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15034"/>
    <w:pPr>
      <w:spacing w:after="0" w:line="240" w:lineRule="auto"/>
    </w:pPr>
    <w:rPr>
      <w:rFonts w:eastAsia="Aptos"/>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1213D"/>
    <w:pPr>
      <w:spacing w:after="0" w:line="240" w:lineRule="auto"/>
    </w:pPr>
    <w:rPr>
      <w:rFonts w:eastAsia="Aptos"/>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547">
      <w:bodyDiv w:val="1"/>
      <w:marLeft w:val="0"/>
      <w:marRight w:val="0"/>
      <w:marTop w:val="0"/>
      <w:marBottom w:val="0"/>
      <w:divBdr>
        <w:top w:val="none" w:sz="0" w:space="0" w:color="auto"/>
        <w:left w:val="none" w:sz="0" w:space="0" w:color="auto"/>
        <w:bottom w:val="none" w:sz="0" w:space="0" w:color="auto"/>
        <w:right w:val="none" w:sz="0" w:space="0" w:color="auto"/>
      </w:divBdr>
    </w:div>
    <w:div w:id="214778014">
      <w:bodyDiv w:val="1"/>
      <w:marLeft w:val="0"/>
      <w:marRight w:val="0"/>
      <w:marTop w:val="0"/>
      <w:marBottom w:val="0"/>
      <w:divBdr>
        <w:top w:val="none" w:sz="0" w:space="0" w:color="auto"/>
        <w:left w:val="none" w:sz="0" w:space="0" w:color="auto"/>
        <w:bottom w:val="none" w:sz="0" w:space="0" w:color="auto"/>
        <w:right w:val="none" w:sz="0" w:space="0" w:color="auto"/>
      </w:divBdr>
      <w:divsChild>
        <w:div w:id="1146704739">
          <w:marLeft w:val="0"/>
          <w:marRight w:val="0"/>
          <w:marTop w:val="0"/>
          <w:marBottom w:val="0"/>
          <w:divBdr>
            <w:top w:val="none" w:sz="0" w:space="0" w:color="auto"/>
            <w:left w:val="none" w:sz="0" w:space="0" w:color="auto"/>
            <w:bottom w:val="none" w:sz="0" w:space="0" w:color="auto"/>
            <w:right w:val="none" w:sz="0" w:space="0" w:color="auto"/>
          </w:divBdr>
          <w:divsChild>
            <w:div w:id="854343052">
              <w:marLeft w:val="0"/>
              <w:marRight w:val="0"/>
              <w:marTop w:val="0"/>
              <w:marBottom w:val="0"/>
              <w:divBdr>
                <w:top w:val="none" w:sz="0" w:space="0" w:color="auto"/>
                <w:left w:val="none" w:sz="0" w:space="0" w:color="auto"/>
                <w:bottom w:val="none" w:sz="0" w:space="0" w:color="auto"/>
                <w:right w:val="none" w:sz="0" w:space="0" w:color="auto"/>
              </w:divBdr>
              <w:divsChild>
                <w:div w:id="2146312482">
                  <w:marLeft w:val="0"/>
                  <w:marRight w:val="0"/>
                  <w:marTop w:val="0"/>
                  <w:marBottom w:val="0"/>
                  <w:divBdr>
                    <w:top w:val="none" w:sz="0" w:space="0" w:color="auto"/>
                    <w:left w:val="none" w:sz="0" w:space="0" w:color="auto"/>
                    <w:bottom w:val="none" w:sz="0" w:space="0" w:color="auto"/>
                    <w:right w:val="none" w:sz="0" w:space="0" w:color="auto"/>
                  </w:divBdr>
                  <w:divsChild>
                    <w:div w:id="585067391">
                      <w:marLeft w:val="0"/>
                      <w:marRight w:val="0"/>
                      <w:marTop w:val="0"/>
                      <w:marBottom w:val="0"/>
                      <w:divBdr>
                        <w:top w:val="none" w:sz="0" w:space="0" w:color="auto"/>
                        <w:left w:val="none" w:sz="0" w:space="0" w:color="auto"/>
                        <w:bottom w:val="none" w:sz="0" w:space="0" w:color="auto"/>
                        <w:right w:val="none" w:sz="0" w:space="0" w:color="auto"/>
                      </w:divBdr>
                      <w:divsChild>
                        <w:div w:id="1709525849">
                          <w:marLeft w:val="0"/>
                          <w:marRight w:val="0"/>
                          <w:marTop w:val="0"/>
                          <w:marBottom w:val="0"/>
                          <w:divBdr>
                            <w:top w:val="none" w:sz="0" w:space="0" w:color="auto"/>
                            <w:left w:val="none" w:sz="0" w:space="0" w:color="auto"/>
                            <w:bottom w:val="none" w:sz="0" w:space="0" w:color="auto"/>
                            <w:right w:val="none" w:sz="0" w:space="0" w:color="auto"/>
                          </w:divBdr>
                          <w:divsChild>
                            <w:div w:id="119498118">
                              <w:marLeft w:val="0"/>
                              <w:marRight w:val="0"/>
                              <w:marTop w:val="0"/>
                              <w:marBottom w:val="0"/>
                              <w:divBdr>
                                <w:top w:val="none" w:sz="0" w:space="0" w:color="auto"/>
                                <w:left w:val="none" w:sz="0" w:space="0" w:color="auto"/>
                                <w:bottom w:val="none" w:sz="0" w:space="0" w:color="auto"/>
                                <w:right w:val="none" w:sz="0" w:space="0" w:color="auto"/>
                              </w:divBdr>
                              <w:divsChild>
                                <w:div w:id="1814985206">
                                  <w:marLeft w:val="0"/>
                                  <w:marRight w:val="0"/>
                                  <w:marTop w:val="0"/>
                                  <w:marBottom w:val="0"/>
                                  <w:divBdr>
                                    <w:top w:val="none" w:sz="0" w:space="0" w:color="auto"/>
                                    <w:left w:val="none" w:sz="0" w:space="0" w:color="auto"/>
                                    <w:bottom w:val="none" w:sz="0" w:space="0" w:color="auto"/>
                                    <w:right w:val="none" w:sz="0" w:space="0" w:color="auto"/>
                                  </w:divBdr>
                                  <w:divsChild>
                                    <w:div w:id="1945071003">
                                      <w:marLeft w:val="0"/>
                                      <w:marRight w:val="0"/>
                                      <w:marTop w:val="0"/>
                                      <w:marBottom w:val="0"/>
                                      <w:divBdr>
                                        <w:top w:val="none" w:sz="0" w:space="0" w:color="auto"/>
                                        <w:left w:val="none" w:sz="0" w:space="0" w:color="auto"/>
                                        <w:bottom w:val="none" w:sz="0" w:space="0" w:color="auto"/>
                                        <w:right w:val="none" w:sz="0" w:space="0" w:color="auto"/>
                                      </w:divBdr>
                                      <w:divsChild>
                                        <w:div w:id="157501498">
                                          <w:marLeft w:val="0"/>
                                          <w:marRight w:val="0"/>
                                          <w:marTop w:val="0"/>
                                          <w:marBottom w:val="0"/>
                                          <w:divBdr>
                                            <w:top w:val="none" w:sz="0" w:space="0" w:color="auto"/>
                                            <w:left w:val="none" w:sz="0" w:space="0" w:color="auto"/>
                                            <w:bottom w:val="none" w:sz="0" w:space="0" w:color="auto"/>
                                            <w:right w:val="none" w:sz="0" w:space="0" w:color="auto"/>
                                          </w:divBdr>
                                          <w:divsChild>
                                            <w:div w:id="627470094">
                                              <w:marLeft w:val="0"/>
                                              <w:marRight w:val="0"/>
                                              <w:marTop w:val="0"/>
                                              <w:marBottom w:val="0"/>
                                              <w:divBdr>
                                                <w:top w:val="none" w:sz="0" w:space="0" w:color="auto"/>
                                                <w:left w:val="none" w:sz="0" w:space="0" w:color="auto"/>
                                                <w:bottom w:val="none" w:sz="0" w:space="0" w:color="auto"/>
                                                <w:right w:val="none" w:sz="0" w:space="0" w:color="auto"/>
                                              </w:divBdr>
                                              <w:divsChild>
                                                <w:div w:id="13945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688627">
      <w:bodyDiv w:val="1"/>
      <w:marLeft w:val="0"/>
      <w:marRight w:val="0"/>
      <w:marTop w:val="0"/>
      <w:marBottom w:val="0"/>
      <w:divBdr>
        <w:top w:val="none" w:sz="0" w:space="0" w:color="auto"/>
        <w:left w:val="none" w:sz="0" w:space="0" w:color="auto"/>
        <w:bottom w:val="none" w:sz="0" w:space="0" w:color="auto"/>
        <w:right w:val="none" w:sz="0" w:space="0" w:color="auto"/>
      </w:divBdr>
    </w:div>
    <w:div w:id="244535855">
      <w:bodyDiv w:val="1"/>
      <w:marLeft w:val="0"/>
      <w:marRight w:val="0"/>
      <w:marTop w:val="0"/>
      <w:marBottom w:val="0"/>
      <w:divBdr>
        <w:top w:val="none" w:sz="0" w:space="0" w:color="auto"/>
        <w:left w:val="none" w:sz="0" w:space="0" w:color="auto"/>
        <w:bottom w:val="none" w:sz="0" w:space="0" w:color="auto"/>
        <w:right w:val="none" w:sz="0" w:space="0" w:color="auto"/>
      </w:divBdr>
    </w:div>
    <w:div w:id="250312754">
      <w:bodyDiv w:val="1"/>
      <w:marLeft w:val="0"/>
      <w:marRight w:val="0"/>
      <w:marTop w:val="0"/>
      <w:marBottom w:val="0"/>
      <w:divBdr>
        <w:top w:val="none" w:sz="0" w:space="0" w:color="auto"/>
        <w:left w:val="none" w:sz="0" w:space="0" w:color="auto"/>
        <w:bottom w:val="none" w:sz="0" w:space="0" w:color="auto"/>
        <w:right w:val="none" w:sz="0" w:space="0" w:color="auto"/>
      </w:divBdr>
    </w:div>
    <w:div w:id="343753274">
      <w:bodyDiv w:val="1"/>
      <w:marLeft w:val="0"/>
      <w:marRight w:val="0"/>
      <w:marTop w:val="0"/>
      <w:marBottom w:val="0"/>
      <w:divBdr>
        <w:top w:val="none" w:sz="0" w:space="0" w:color="auto"/>
        <w:left w:val="none" w:sz="0" w:space="0" w:color="auto"/>
        <w:bottom w:val="none" w:sz="0" w:space="0" w:color="auto"/>
        <w:right w:val="none" w:sz="0" w:space="0" w:color="auto"/>
      </w:divBdr>
    </w:div>
    <w:div w:id="418600223">
      <w:bodyDiv w:val="1"/>
      <w:marLeft w:val="0"/>
      <w:marRight w:val="0"/>
      <w:marTop w:val="0"/>
      <w:marBottom w:val="0"/>
      <w:divBdr>
        <w:top w:val="none" w:sz="0" w:space="0" w:color="auto"/>
        <w:left w:val="none" w:sz="0" w:space="0" w:color="auto"/>
        <w:bottom w:val="none" w:sz="0" w:space="0" w:color="auto"/>
        <w:right w:val="none" w:sz="0" w:space="0" w:color="auto"/>
      </w:divBdr>
    </w:div>
    <w:div w:id="500589756">
      <w:bodyDiv w:val="1"/>
      <w:marLeft w:val="0"/>
      <w:marRight w:val="0"/>
      <w:marTop w:val="0"/>
      <w:marBottom w:val="0"/>
      <w:divBdr>
        <w:top w:val="none" w:sz="0" w:space="0" w:color="auto"/>
        <w:left w:val="none" w:sz="0" w:space="0" w:color="auto"/>
        <w:bottom w:val="none" w:sz="0" w:space="0" w:color="auto"/>
        <w:right w:val="none" w:sz="0" w:space="0" w:color="auto"/>
      </w:divBdr>
      <w:divsChild>
        <w:div w:id="1421560371">
          <w:marLeft w:val="0"/>
          <w:marRight w:val="0"/>
          <w:marTop w:val="0"/>
          <w:marBottom w:val="0"/>
          <w:divBdr>
            <w:top w:val="none" w:sz="0" w:space="0" w:color="auto"/>
            <w:left w:val="none" w:sz="0" w:space="0" w:color="auto"/>
            <w:bottom w:val="none" w:sz="0" w:space="0" w:color="auto"/>
            <w:right w:val="none" w:sz="0" w:space="0" w:color="auto"/>
          </w:divBdr>
          <w:divsChild>
            <w:div w:id="403262648">
              <w:marLeft w:val="0"/>
              <w:marRight w:val="0"/>
              <w:marTop w:val="0"/>
              <w:marBottom w:val="0"/>
              <w:divBdr>
                <w:top w:val="none" w:sz="0" w:space="0" w:color="auto"/>
                <w:left w:val="none" w:sz="0" w:space="0" w:color="auto"/>
                <w:bottom w:val="none" w:sz="0" w:space="0" w:color="auto"/>
                <w:right w:val="none" w:sz="0" w:space="0" w:color="auto"/>
              </w:divBdr>
              <w:divsChild>
                <w:div w:id="365176488">
                  <w:marLeft w:val="0"/>
                  <w:marRight w:val="0"/>
                  <w:marTop w:val="0"/>
                  <w:marBottom w:val="0"/>
                  <w:divBdr>
                    <w:top w:val="none" w:sz="0" w:space="0" w:color="auto"/>
                    <w:left w:val="none" w:sz="0" w:space="0" w:color="auto"/>
                    <w:bottom w:val="none" w:sz="0" w:space="0" w:color="auto"/>
                    <w:right w:val="none" w:sz="0" w:space="0" w:color="auto"/>
                  </w:divBdr>
                  <w:divsChild>
                    <w:div w:id="214435561">
                      <w:marLeft w:val="0"/>
                      <w:marRight w:val="0"/>
                      <w:marTop w:val="0"/>
                      <w:marBottom w:val="0"/>
                      <w:divBdr>
                        <w:top w:val="none" w:sz="0" w:space="0" w:color="auto"/>
                        <w:left w:val="none" w:sz="0" w:space="0" w:color="auto"/>
                        <w:bottom w:val="none" w:sz="0" w:space="0" w:color="auto"/>
                        <w:right w:val="none" w:sz="0" w:space="0" w:color="auto"/>
                      </w:divBdr>
                      <w:divsChild>
                        <w:div w:id="899559644">
                          <w:marLeft w:val="0"/>
                          <w:marRight w:val="0"/>
                          <w:marTop w:val="0"/>
                          <w:marBottom w:val="0"/>
                          <w:divBdr>
                            <w:top w:val="none" w:sz="0" w:space="0" w:color="auto"/>
                            <w:left w:val="none" w:sz="0" w:space="0" w:color="auto"/>
                            <w:bottom w:val="none" w:sz="0" w:space="0" w:color="auto"/>
                            <w:right w:val="none" w:sz="0" w:space="0" w:color="auto"/>
                          </w:divBdr>
                          <w:divsChild>
                            <w:div w:id="1383823390">
                              <w:marLeft w:val="0"/>
                              <w:marRight w:val="0"/>
                              <w:marTop w:val="0"/>
                              <w:marBottom w:val="0"/>
                              <w:divBdr>
                                <w:top w:val="none" w:sz="0" w:space="0" w:color="auto"/>
                                <w:left w:val="none" w:sz="0" w:space="0" w:color="auto"/>
                                <w:bottom w:val="none" w:sz="0" w:space="0" w:color="auto"/>
                                <w:right w:val="none" w:sz="0" w:space="0" w:color="auto"/>
                              </w:divBdr>
                              <w:divsChild>
                                <w:div w:id="812722871">
                                  <w:marLeft w:val="0"/>
                                  <w:marRight w:val="0"/>
                                  <w:marTop w:val="0"/>
                                  <w:marBottom w:val="0"/>
                                  <w:divBdr>
                                    <w:top w:val="none" w:sz="0" w:space="0" w:color="auto"/>
                                    <w:left w:val="none" w:sz="0" w:space="0" w:color="auto"/>
                                    <w:bottom w:val="none" w:sz="0" w:space="0" w:color="auto"/>
                                    <w:right w:val="none" w:sz="0" w:space="0" w:color="auto"/>
                                  </w:divBdr>
                                  <w:divsChild>
                                    <w:div w:id="118187803">
                                      <w:marLeft w:val="0"/>
                                      <w:marRight w:val="0"/>
                                      <w:marTop w:val="0"/>
                                      <w:marBottom w:val="0"/>
                                      <w:divBdr>
                                        <w:top w:val="none" w:sz="0" w:space="0" w:color="auto"/>
                                        <w:left w:val="none" w:sz="0" w:space="0" w:color="auto"/>
                                        <w:bottom w:val="none" w:sz="0" w:space="0" w:color="auto"/>
                                        <w:right w:val="none" w:sz="0" w:space="0" w:color="auto"/>
                                      </w:divBdr>
                                      <w:divsChild>
                                        <w:div w:id="152717497">
                                          <w:marLeft w:val="0"/>
                                          <w:marRight w:val="0"/>
                                          <w:marTop w:val="0"/>
                                          <w:marBottom w:val="0"/>
                                          <w:divBdr>
                                            <w:top w:val="none" w:sz="0" w:space="0" w:color="auto"/>
                                            <w:left w:val="none" w:sz="0" w:space="0" w:color="auto"/>
                                            <w:bottom w:val="none" w:sz="0" w:space="0" w:color="auto"/>
                                            <w:right w:val="none" w:sz="0" w:space="0" w:color="auto"/>
                                          </w:divBdr>
                                          <w:divsChild>
                                            <w:div w:id="308483894">
                                              <w:marLeft w:val="0"/>
                                              <w:marRight w:val="0"/>
                                              <w:marTop w:val="0"/>
                                              <w:marBottom w:val="0"/>
                                              <w:divBdr>
                                                <w:top w:val="none" w:sz="0" w:space="0" w:color="auto"/>
                                                <w:left w:val="none" w:sz="0" w:space="0" w:color="auto"/>
                                                <w:bottom w:val="none" w:sz="0" w:space="0" w:color="auto"/>
                                                <w:right w:val="none" w:sz="0" w:space="0" w:color="auto"/>
                                              </w:divBdr>
                                              <w:divsChild>
                                                <w:div w:id="771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576867">
      <w:bodyDiv w:val="1"/>
      <w:marLeft w:val="0"/>
      <w:marRight w:val="0"/>
      <w:marTop w:val="0"/>
      <w:marBottom w:val="0"/>
      <w:divBdr>
        <w:top w:val="none" w:sz="0" w:space="0" w:color="auto"/>
        <w:left w:val="none" w:sz="0" w:space="0" w:color="auto"/>
        <w:bottom w:val="none" w:sz="0" w:space="0" w:color="auto"/>
        <w:right w:val="none" w:sz="0" w:space="0" w:color="auto"/>
      </w:divBdr>
    </w:div>
    <w:div w:id="845482052">
      <w:bodyDiv w:val="1"/>
      <w:marLeft w:val="0"/>
      <w:marRight w:val="0"/>
      <w:marTop w:val="0"/>
      <w:marBottom w:val="0"/>
      <w:divBdr>
        <w:top w:val="none" w:sz="0" w:space="0" w:color="auto"/>
        <w:left w:val="none" w:sz="0" w:space="0" w:color="auto"/>
        <w:bottom w:val="none" w:sz="0" w:space="0" w:color="auto"/>
        <w:right w:val="none" w:sz="0" w:space="0" w:color="auto"/>
      </w:divBdr>
      <w:divsChild>
        <w:div w:id="1838106163">
          <w:marLeft w:val="0"/>
          <w:marRight w:val="0"/>
          <w:marTop w:val="0"/>
          <w:marBottom w:val="0"/>
          <w:divBdr>
            <w:top w:val="none" w:sz="0" w:space="0" w:color="auto"/>
            <w:left w:val="none" w:sz="0" w:space="0" w:color="auto"/>
            <w:bottom w:val="none" w:sz="0" w:space="0" w:color="auto"/>
            <w:right w:val="none" w:sz="0" w:space="0" w:color="auto"/>
          </w:divBdr>
          <w:divsChild>
            <w:div w:id="1453673300">
              <w:marLeft w:val="0"/>
              <w:marRight w:val="0"/>
              <w:marTop w:val="0"/>
              <w:marBottom w:val="0"/>
              <w:divBdr>
                <w:top w:val="none" w:sz="0" w:space="0" w:color="auto"/>
                <w:left w:val="none" w:sz="0" w:space="0" w:color="auto"/>
                <w:bottom w:val="none" w:sz="0" w:space="0" w:color="auto"/>
                <w:right w:val="none" w:sz="0" w:space="0" w:color="auto"/>
              </w:divBdr>
              <w:divsChild>
                <w:div w:id="895509813">
                  <w:marLeft w:val="0"/>
                  <w:marRight w:val="0"/>
                  <w:marTop w:val="0"/>
                  <w:marBottom w:val="0"/>
                  <w:divBdr>
                    <w:top w:val="none" w:sz="0" w:space="0" w:color="auto"/>
                    <w:left w:val="none" w:sz="0" w:space="0" w:color="auto"/>
                    <w:bottom w:val="none" w:sz="0" w:space="0" w:color="auto"/>
                    <w:right w:val="none" w:sz="0" w:space="0" w:color="auto"/>
                  </w:divBdr>
                  <w:divsChild>
                    <w:div w:id="528571870">
                      <w:marLeft w:val="0"/>
                      <w:marRight w:val="0"/>
                      <w:marTop w:val="0"/>
                      <w:marBottom w:val="0"/>
                      <w:divBdr>
                        <w:top w:val="none" w:sz="0" w:space="0" w:color="auto"/>
                        <w:left w:val="none" w:sz="0" w:space="0" w:color="auto"/>
                        <w:bottom w:val="none" w:sz="0" w:space="0" w:color="auto"/>
                        <w:right w:val="none" w:sz="0" w:space="0" w:color="auto"/>
                      </w:divBdr>
                      <w:divsChild>
                        <w:div w:id="1238440776">
                          <w:marLeft w:val="0"/>
                          <w:marRight w:val="0"/>
                          <w:marTop w:val="0"/>
                          <w:marBottom w:val="0"/>
                          <w:divBdr>
                            <w:top w:val="none" w:sz="0" w:space="0" w:color="auto"/>
                            <w:left w:val="none" w:sz="0" w:space="0" w:color="auto"/>
                            <w:bottom w:val="none" w:sz="0" w:space="0" w:color="auto"/>
                            <w:right w:val="none" w:sz="0" w:space="0" w:color="auto"/>
                          </w:divBdr>
                          <w:divsChild>
                            <w:div w:id="1023168026">
                              <w:marLeft w:val="0"/>
                              <w:marRight w:val="0"/>
                              <w:marTop w:val="0"/>
                              <w:marBottom w:val="0"/>
                              <w:divBdr>
                                <w:top w:val="none" w:sz="0" w:space="0" w:color="auto"/>
                                <w:left w:val="none" w:sz="0" w:space="0" w:color="auto"/>
                                <w:bottom w:val="none" w:sz="0" w:space="0" w:color="auto"/>
                                <w:right w:val="none" w:sz="0" w:space="0" w:color="auto"/>
                              </w:divBdr>
                              <w:divsChild>
                                <w:div w:id="362873287">
                                  <w:marLeft w:val="0"/>
                                  <w:marRight w:val="0"/>
                                  <w:marTop w:val="0"/>
                                  <w:marBottom w:val="0"/>
                                  <w:divBdr>
                                    <w:top w:val="none" w:sz="0" w:space="0" w:color="auto"/>
                                    <w:left w:val="none" w:sz="0" w:space="0" w:color="auto"/>
                                    <w:bottom w:val="none" w:sz="0" w:space="0" w:color="auto"/>
                                    <w:right w:val="none" w:sz="0" w:space="0" w:color="auto"/>
                                  </w:divBdr>
                                  <w:divsChild>
                                    <w:div w:id="729160193">
                                      <w:marLeft w:val="0"/>
                                      <w:marRight w:val="0"/>
                                      <w:marTop w:val="0"/>
                                      <w:marBottom w:val="0"/>
                                      <w:divBdr>
                                        <w:top w:val="none" w:sz="0" w:space="0" w:color="auto"/>
                                        <w:left w:val="none" w:sz="0" w:space="0" w:color="auto"/>
                                        <w:bottom w:val="none" w:sz="0" w:space="0" w:color="auto"/>
                                        <w:right w:val="none" w:sz="0" w:space="0" w:color="auto"/>
                                      </w:divBdr>
                                      <w:divsChild>
                                        <w:div w:id="807822731">
                                          <w:marLeft w:val="0"/>
                                          <w:marRight w:val="0"/>
                                          <w:marTop w:val="0"/>
                                          <w:marBottom w:val="0"/>
                                          <w:divBdr>
                                            <w:top w:val="none" w:sz="0" w:space="0" w:color="auto"/>
                                            <w:left w:val="none" w:sz="0" w:space="0" w:color="auto"/>
                                            <w:bottom w:val="none" w:sz="0" w:space="0" w:color="auto"/>
                                            <w:right w:val="none" w:sz="0" w:space="0" w:color="auto"/>
                                          </w:divBdr>
                                          <w:divsChild>
                                            <w:div w:id="2090927666">
                                              <w:marLeft w:val="0"/>
                                              <w:marRight w:val="0"/>
                                              <w:marTop w:val="0"/>
                                              <w:marBottom w:val="0"/>
                                              <w:divBdr>
                                                <w:top w:val="none" w:sz="0" w:space="0" w:color="auto"/>
                                                <w:left w:val="none" w:sz="0" w:space="0" w:color="auto"/>
                                                <w:bottom w:val="none" w:sz="0" w:space="0" w:color="auto"/>
                                                <w:right w:val="none" w:sz="0" w:space="0" w:color="auto"/>
                                              </w:divBdr>
                                              <w:divsChild>
                                                <w:div w:id="11330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160571">
      <w:bodyDiv w:val="1"/>
      <w:marLeft w:val="0"/>
      <w:marRight w:val="0"/>
      <w:marTop w:val="0"/>
      <w:marBottom w:val="0"/>
      <w:divBdr>
        <w:top w:val="none" w:sz="0" w:space="0" w:color="auto"/>
        <w:left w:val="none" w:sz="0" w:space="0" w:color="auto"/>
        <w:bottom w:val="none" w:sz="0" w:space="0" w:color="auto"/>
        <w:right w:val="none" w:sz="0" w:space="0" w:color="auto"/>
      </w:divBdr>
    </w:div>
    <w:div w:id="945700820">
      <w:bodyDiv w:val="1"/>
      <w:marLeft w:val="0"/>
      <w:marRight w:val="0"/>
      <w:marTop w:val="0"/>
      <w:marBottom w:val="0"/>
      <w:divBdr>
        <w:top w:val="none" w:sz="0" w:space="0" w:color="auto"/>
        <w:left w:val="none" w:sz="0" w:space="0" w:color="auto"/>
        <w:bottom w:val="none" w:sz="0" w:space="0" w:color="auto"/>
        <w:right w:val="none" w:sz="0" w:space="0" w:color="auto"/>
      </w:divBdr>
    </w:div>
    <w:div w:id="1150248879">
      <w:bodyDiv w:val="1"/>
      <w:marLeft w:val="0"/>
      <w:marRight w:val="0"/>
      <w:marTop w:val="0"/>
      <w:marBottom w:val="0"/>
      <w:divBdr>
        <w:top w:val="none" w:sz="0" w:space="0" w:color="auto"/>
        <w:left w:val="none" w:sz="0" w:space="0" w:color="auto"/>
        <w:bottom w:val="none" w:sz="0" w:space="0" w:color="auto"/>
        <w:right w:val="none" w:sz="0" w:space="0" w:color="auto"/>
      </w:divBdr>
    </w:div>
    <w:div w:id="1250963351">
      <w:bodyDiv w:val="1"/>
      <w:marLeft w:val="0"/>
      <w:marRight w:val="0"/>
      <w:marTop w:val="0"/>
      <w:marBottom w:val="0"/>
      <w:divBdr>
        <w:top w:val="none" w:sz="0" w:space="0" w:color="auto"/>
        <w:left w:val="none" w:sz="0" w:space="0" w:color="auto"/>
        <w:bottom w:val="none" w:sz="0" w:space="0" w:color="auto"/>
        <w:right w:val="none" w:sz="0" w:space="0" w:color="auto"/>
      </w:divBdr>
    </w:div>
    <w:div w:id="1392583886">
      <w:bodyDiv w:val="1"/>
      <w:marLeft w:val="0"/>
      <w:marRight w:val="0"/>
      <w:marTop w:val="0"/>
      <w:marBottom w:val="0"/>
      <w:divBdr>
        <w:top w:val="none" w:sz="0" w:space="0" w:color="auto"/>
        <w:left w:val="none" w:sz="0" w:space="0" w:color="auto"/>
        <w:bottom w:val="none" w:sz="0" w:space="0" w:color="auto"/>
        <w:right w:val="none" w:sz="0" w:space="0" w:color="auto"/>
      </w:divBdr>
    </w:div>
    <w:div w:id="1579091952">
      <w:bodyDiv w:val="1"/>
      <w:marLeft w:val="0"/>
      <w:marRight w:val="0"/>
      <w:marTop w:val="0"/>
      <w:marBottom w:val="0"/>
      <w:divBdr>
        <w:top w:val="none" w:sz="0" w:space="0" w:color="auto"/>
        <w:left w:val="none" w:sz="0" w:space="0" w:color="auto"/>
        <w:bottom w:val="none" w:sz="0" w:space="0" w:color="auto"/>
        <w:right w:val="none" w:sz="0" w:space="0" w:color="auto"/>
      </w:divBdr>
    </w:div>
    <w:div w:id="1641492531">
      <w:bodyDiv w:val="1"/>
      <w:marLeft w:val="0"/>
      <w:marRight w:val="0"/>
      <w:marTop w:val="0"/>
      <w:marBottom w:val="0"/>
      <w:divBdr>
        <w:top w:val="none" w:sz="0" w:space="0" w:color="auto"/>
        <w:left w:val="none" w:sz="0" w:space="0" w:color="auto"/>
        <w:bottom w:val="none" w:sz="0" w:space="0" w:color="auto"/>
        <w:right w:val="none" w:sz="0" w:space="0" w:color="auto"/>
      </w:divBdr>
    </w:div>
    <w:div w:id="1698503499">
      <w:bodyDiv w:val="1"/>
      <w:marLeft w:val="0"/>
      <w:marRight w:val="0"/>
      <w:marTop w:val="0"/>
      <w:marBottom w:val="0"/>
      <w:divBdr>
        <w:top w:val="none" w:sz="0" w:space="0" w:color="auto"/>
        <w:left w:val="none" w:sz="0" w:space="0" w:color="auto"/>
        <w:bottom w:val="none" w:sz="0" w:space="0" w:color="auto"/>
        <w:right w:val="none" w:sz="0" w:space="0" w:color="auto"/>
      </w:divBdr>
    </w:div>
    <w:div w:id="1838812036">
      <w:bodyDiv w:val="1"/>
      <w:marLeft w:val="0"/>
      <w:marRight w:val="0"/>
      <w:marTop w:val="0"/>
      <w:marBottom w:val="0"/>
      <w:divBdr>
        <w:top w:val="none" w:sz="0" w:space="0" w:color="auto"/>
        <w:left w:val="none" w:sz="0" w:space="0" w:color="auto"/>
        <w:bottom w:val="none" w:sz="0" w:space="0" w:color="auto"/>
        <w:right w:val="none" w:sz="0" w:space="0" w:color="auto"/>
      </w:divBdr>
    </w:div>
    <w:div w:id="1872839712">
      <w:bodyDiv w:val="1"/>
      <w:marLeft w:val="0"/>
      <w:marRight w:val="0"/>
      <w:marTop w:val="0"/>
      <w:marBottom w:val="0"/>
      <w:divBdr>
        <w:top w:val="none" w:sz="0" w:space="0" w:color="auto"/>
        <w:left w:val="none" w:sz="0" w:space="0" w:color="auto"/>
        <w:bottom w:val="none" w:sz="0" w:space="0" w:color="auto"/>
        <w:right w:val="none" w:sz="0" w:space="0" w:color="auto"/>
      </w:divBdr>
    </w:div>
    <w:div w:id="1959599849">
      <w:bodyDiv w:val="1"/>
      <w:marLeft w:val="0"/>
      <w:marRight w:val="0"/>
      <w:marTop w:val="0"/>
      <w:marBottom w:val="0"/>
      <w:divBdr>
        <w:top w:val="none" w:sz="0" w:space="0" w:color="auto"/>
        <w:left w:val="none" w:sz="0" w:space="0" w:color="auto"/>
        <w:bottom w:val="none" w:sz="0" w:space="0" w:color="auto"/>
        <w:right w:val="none" w:sz="0" w:space="0" w:color="auto"/>
      </w:divBdr>
    </w:div>
    <w:div w:id="2087259437">
      <w:bodyDiv w:val="1"/>
      <w:marLeft w:val="0"/>
      <w:marRight w:val="0"/>
      <w:marTop w:val="0"/>
      <w:marBottom w:val="0"/>
      <w:divBdr>
        <w:top w:val="none" w:sz="0" w:space="0" w:color="auto"/>
        <w:left w:val="none" w:sz="0" w:space="0" w:color="auto"/>
        <w:bottom w:val="none" w:sz="0" w:space="0" w:color="auto"/>
        <w:right w:val="none" w:sz="0" w:space="0" w:color="auto"/>
      </w:divBdr>
    </w:div>
    <w:div w:id="2087872019">
      <w:marLeft w:val="0"/>
      <w:marRight w:val="0"/>
      <w:marTop w:val="0"/>
      <w:marBottom w:val="0"/>
      <w:divBdr>
        <w:top w:val="none" w:sz="0" w:space="0" w:color="auto"/>
        <w:left w:val="none" w:sz="0" w:space="0" w:color="auto"/>
        <w:bottom w:val="none" w:sz="0" w:space="0" w:color="auto"/>
        <w:right w:val="none" w:sz="0" w:space="0" w:color="auto"/>
      </w:divBdr>
    </w:div>
    <w:div w:id="20980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7AB6-5B36-4E87-B7FB-8C578137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2026-06-25T08:16:00Z</dcterms:created>
  <dcterms:modified xsi:type="dcterms:W3CDTF">2026-06-25T08:17:00Z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52758980,23b5e68a,4dec3a9a,77588074</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6b0edaa7,508d27e0,215309c0</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2026-06-25T08:16:53Z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1cb44869-a855-424c-ac8c-df7bb7c1d2f8</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