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color w:val="auto"/>
          <w:sz w:val="24"/>
          <w:szCs w:val="24"/>
        </w:rPr>
        <w:id w:val="-191923907"/>
        <w:docPartObj>
          <w:docPartGallery w:val="Cover Pages"/>
          <w:docPartUnique/>
        </w:docPartObj>
      </w:sdtPr>
      <w:sdtEndPr/>
      <w:sdtContent>
        <w:p w14:paraId="2F702B48" w14:textId="2E9817FC" w:rsidR="0010613C" w:rsidRPr="00E236EE" w:rsidRDefault="00B14A1E" w:rsidP="000C55A9">
          <w:pPr>
            <w:pStyle w:val="Heading1"/>
            <w:spacing w:after="0" w:line="360" w:lineRule="auto"/>
          </w:pPr>
          <w:r w:rsidRPr="00E236EE">
            <w:t xml:space="preserve">Major </w:t>
          </w:r>
          <w:r w:rsidR="77775C12" w:rsidRPr="00E236EE">
            <w:t>n</w:t>
          </w:r>
          <w:r w:rsidRPr="00E236EE">
            <w:t>on-</w:t>
          </w:r>
          <w:r w:rsidR="2D2A5046" w:rsidRPr="00E236EE">
            <w:t>c</w:t>
          </w:r>
          <w:r w:rsidRPr="00E236EE">
            <w:t>ompliance:</w:t>
          </w:r>
          <w:r w:rsidR="0AA27ADB" w:rsidRPr="00E236EE">
            <w:t xml:space="preserve"> w</w:t>
          </w:r>
          <w:r w:rsidR="005B2620" w:rsidRPr="00E236EE">
            <w:t>aste</w:t>
          </w:r>
        </w:p>
        <w:p w14:paraId="60180D9B" w14:textId="7139CDFE" w:rsidR="0096745E" w:rsidRPr="0041135D" w:rsidRDefault="00F7795C" w:rsidP="000C55A9">
          <w:pPr>
            <w:pStyle w:val="Caption"/>
            <w:keepNext/>
            <w:spacing w:after="0" w:line="360" w:lineRule="auto"/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</w:pP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Table 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begin"/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instrText xml:space="preserve"> SEQ Table \* ARABIC </w:instrTex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separate"/>
          </w:r>
          <w:r w:rsidR="00EA3FD3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1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end"/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:</w:t>
          </w:r>
          <w:r w:rsidR="00603BE7" w:rsidRPr="0041135D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Major </w:t>
          </w:r>
          <w:r w:rsidR="0015498A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i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mpact</w:t>
          </w:r>
          <w:r w:rsidR="0015498A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 o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f</w:t>
          </w:r>
          <w:r w:rsidR="00BA62F7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 </w:t>
          </w:r>
          <w:r w:rsidR="0015498A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t</w:t>
          </w:r>
          <w:r w:rsidR="00BA62F7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he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 </w:t>
          </w:r>
          <w:r w:rsidR="0015498A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uthorised </w:t>
          </w:r>
          <w:r w:rsidR="0015498A"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41135D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ctivity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  <w:tblCaption w:val="Table 1:  Major impact of the authorised activity "/>
            <w:tblDescription w:val="Table containing 4 columns &quot;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 and how SEPA will assess."/>
          </w:tblPr>
          <w:tblGrid>
            <w:gridCol w:w="2939"/>
            <w:gridCol w:w="3257"/>
            <w:gridCol w:w="4473"/>
            <w:gridCol w:w="4473"/>
          </w:tblGrid>
          <w:tr w:rsidR="009553E9" w:rsidRPr="0041135D" w14:paraId="659EBCEC" w14:textId="333FF53B" w:rsidTr="5690EF6C">
            <w:trPr>
              <w:trHeight w:val="610"/>
              <w:tblHeader/>
            </w:trPr>
            <w:tc>
              <w:tcPr>
                <w:tcW w:w="970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37C4B58" w14:textId="77777777" w:rsidR="009553E9" w:rsidRPr="0041135D" w:rsidRDefault="009553E9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075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263534D" w14:textId="77777777" w:rsidR="009553E9" w:rsidRPr="0041135D" w:rsidRDefault="009553E9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477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77F6CD7" w14:textId="585BBCE3" w:rsidR="009553E9" w:rsidRPr="0041135D" w:rsidRDefault="009553E9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477" w:type="pct"/>
                <w:shd w:val="clear" w:color="auto" w:fill="016574" w:themeFill="accent6"/>
              </w:tcPr>
              <w:p w14:paraId="37AFA144" w14:textId="7F364F30" w:rsidR="009553E9" w:rsidRPr="0041135D" w:rsidRDefault="009553E9" w:rsidP="005F7BB5">
                <w:pPr>
                  <w:spacing w:before="120" w:after="0"/>
                  <w:ind w:lef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12693C" w:rsidRPr="0041135D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9553E9" w:rsidRPr="0041135D" w14:paraId="0560CB82" w14:textId="4F969B2C" w:rsidTr="5690EF6C">
            <w:trPr>
              <w:trHeight w:val="315"/>
            </w:trPr>
            <w:tc>
              <w:tcPr>
                <w:tcW w:w="97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C298DB" w14:textId="49E3F7B9" w:rsidR="009553E9" w:rsidRPr="0041135D" w:rsidRDefault="009553E9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hAnsi="Arial" w:cs="Arial"/>
                  </w:rPr>
                  <w:t>Any authorisation condition</w:t>
                </w:r>
                <w:r w:rsidR="00787EC4" w:rsidRPr="0041135D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07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F0EE4B" w14:textId="74590E36" w:rsidR="009553E9" w:rsidRPr="0041135D" w:rsidRDefault="009553E9" w:rsidP="000C55A9">
                <w:pPr>
                  <w:spacing w:before="120" w:after="0"/>
                  <w:ind w:right="180"/>
                  <w:textAlignment w:val="baseline"/>
                  <w:rPr>
                    <w:rFonts w:ascii="Arial" w:eastAsia="Aptos" w:hAnsi="Arial" w:cs="Arial"/>
                  </w:rPr>
                </w:pPr>
                <w:r w:rsidRPr="0041135D">
                  <w:rPr>
                    <w:rFonts w:ascii="Arial" w:eastAsia="Aptos" w:hAnsi="Arial" w:cs="Arial"/>
                  </w:rPr>
                  <w:t xml:space="preserve">Non-compliance causes or </w:t>
                </w:r>
                <w:r w:rsidR="00B54BE5">
                  <w:rPr>
                    <w:rFonts w:ascii="Arial" w:eastAsia="Aptos" w:hAnsi="Arial" w:cs="Arial"/>
                  </w:rPr>
                  <w:t>is likely</w:t>
                </w:r>
                <w:r w:rsidRPr="0041135D">
                  <w:rPr>
                    <w:rFonts w:ascii="Arial" w:eastAsia="Aptos" w:hAnsi="Arial" w:cs="Arial"/>
                  </w:rPr>
                  <w:t xml:space="preserve"> to cause:</w:t>
                </w:r>
              </w:p>
              <w:p w14:paraId="236CE114" w14:textId="24BE6ED0" w:rsidR="009553E9" w:rsidRPr="0041135D" w:rsidRDefault="009553E9" w:rsidP="000C55A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62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="Aptos" w:hAnsi="Arial" w:cs="Arial"/>
                    <w:sz w:val="24"/>
                    <w:szCs w:val="24"/>
                  </w:rPr>
                  <w:t>Category 1 or 2 environmental event.</w:t>
                </w:r>
              </w:p>
              <w:p w14:paraId="6D8B65CE" w14:textId="0BD18524" w:rsidR="009553E9" w:rsidRPr="0041135D" w:rsidRDefault="009553E9" w:rsidP="000C55A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62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>Breach of water or air quality standard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 or</w:t>
                </w:r>
              </w:p>
              <w:p w14:paraId="656ECB58" w14:textId="54055D95" w:rsidR="009553E9" w:rsidRPr="0041135D" w:rsidRDefault="009553E9" w:rsidP="000C55A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62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Significant adverse trend for groundwater.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3F13D2" w14:textId="6CE411CA" w:rsidR="009553E9" w:rsidRPr="0041135D" w:rsidRDefault="009553E9" w:rsidP="00513A5F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16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>Environmental events guidance.</w:t>
                </w:r>
              </w:p>
              <w:p w14:paraId="08296ED4" w14:textId="57B63935" w:rsidR="009553E9" w:rsidRPr="0041135D" w:rsidRDefault="009553E9" w:rsidP="00513A5F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16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>Determine if any environmental standards have been breached</w:t>
                </w:r>
                <w:r w:rsidR="00513A5F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31FA0A1C" w14:textId="73A6A272" w:rsidR="009553E9" w:rsidRPr="0041135D" w:rsidRDefault="009553E9" w:rsidP="00513A5F">
                <w:pPr>
                  <w:pStyle w:val="ListParagraph"/>
                  <w:numPr>
                    <w:ilvl w:val="0"/>
                    <w:numId w:val="16"/>
                  </w:numPr>
                  <w:spacing w:before="120" w:after="0" w:line="360" w:lineRule="auto"/>
                  <w:ind w:left="316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Local environmental standard.</w:t>
                </w:r>
              </w:p>
              <w:p w14:paraId="667BDB3D" w14:textId="51F3D5E6" w:rsidR="009553E9" w:rsidRPr="0041135D" w:rsidRDefault="2A822F67" w:rsidP="00513A5F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16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6A8B63BB">
                  <w:rPr>
                    <w:rFonts w:ascii="Arial" w:hAnsi="Arial" w:cs="Arial"/>
                    <w:sz w:val="24"/>
                    <w:szCs w:val="24"/>
                  </w:rPr>
                  <w:t>Groundwater monitoring</w:t>
                </w:r>
                <w:r w:rsidR="7E9B9C47" w:rsidRPr="6A8B63BB">
                  <w:rPr>
                    <w:rFonts w:ascii="Arial" w:hAnsi="Arial" w:cs="Arial"/>
                    <w:sz w:val="24"/>
                    <w:szCs w:val="24"/>
                  </w:rPr>
                  <w:t>,</w:t>
                </w:r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bookmarkStart w:id="0" w:name="_Int_99wruYFq"/>
                <w:r w:rsidRPr="6A8B63BB">
                  <w:rPr>
                    <w:rFonts w:ascii="Arial" w:hAnsi="Arial" w:cs="Arial"/>
                    <w:sz w:val="24"/>
                    <w:szCs w:val="24"/>
                  </w:rPr>
                  <w:t>investigation</w:t>
                </w:r>
                <w:bookmarkEnd w:id="0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 or modelling demonstrates significant and sustained adverse trend.</w:t>
                </w:r>
              </w:p>
            </w:tc>
            <w:tc>
              <w:tcPr>
                <w:tcW w:w="1477" w:type="pct"/>
              </w:tcPr>
              <w:p w14:paraId="66C01F8A" w14:textId="649A4248" w:rsidR="00513A5F" w:rsidRPr="00914089" w:rsidRDefault="784C75F2" w:rsidP="0047189A">
                <w:pPr>
                  <w:spacing w:before="120" w:after="0"/>
                  <w:ind w:left="113" w:right="113"/>
                </w:pPr>
                <w:r>
                  <w:t>Demonstrati</w:t>
                </w:r>
                <w:r w:rsidR="21E44010">
                  <w:t>on that</w:t>
                </w:r>
                <w:r>
                  <w:t xml:space="preserve"> the cause or </w:t>
                </w:r>
                <w:bookmarkStart w:id="1" w:name="_Int_kemORJLf"/>
                <w:r>
                  <w:t>likely cause</w:t>
                </w:r>
                <w:bookmarkEnd w:id="1"/>
                <w:r>
                  <w:t> of the harm has ceased </w:t>
                </w:r>
                <w:r w:rsidR="268591BA">
                  <w:t>or</w:t>
                </w:r>
                <w:r>
                  <w:t xml:space="preserve"> been resolved. This can include monitoring </w:t>
                </w:r>
                <w:r w:rsidR="268591BA">
                  <w:t>and</w:t>
                </w:r>
                <w:r>
                  <w:t xml:space="preserve"> modelling. </w:t>
                </w:r>
              </w:p>
              <w:p w14:paraId="5FCBB7E8" w14:textId="332327F1" w:rsidR="009553E9" w:rsidRPr="00513A5F" w:rsidRDefault="009553E9" w:rsidP="004B415C">
                <w:pPr>
                  <w:spacing w:before="120" w:after="0"/>
                  <w:ind w:left="32" w:right="113"/>
                  <w:rPr>
                    <w:rFonts w:ascii="Arial" w:hAnsi="Arial" w:cs="Arial"/>
                  </w:rPr>
                </w:pPr>
              </w:p>
            </w:tc>
          </w:tr>
          <w:tr w:rsidR="009553E9" w:rsidRPr="0041135D" w14:paraId="12E61C5D" w14:textId="2D3C8F98" w:rsidTr="5690EF6C">
            <w:trPr>
              <w:trHeight w:val="1154"/>
            </w:trPr>
            <w:tc>
              <w:tcPr>
                <w:tcW w:w="97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6BF185" w14:textId="58AB6273" w:rsidR="009553E9" w:rsidRPr="0041135D" w:rsidRDefault="2A822F67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6A8B63BB">
                  <w:rPr>
                    <w:rFonts w:ascii="Arial" w:hAnsi="Arial" w:cs="Arial"/>
                  </w:rPr>
                  <w:t xml:space="preserve">Conditions covering the control of nuisance, including but not limited to odour, noise, dust, litter, </w:t>
                </w:r>
                <w:bookmarkStart w:id="2" w:name="_Int_uiLVz7lp"/>
                <w:r w:rsidRPr="6A8B63BB">
                  <w:rPr>
                    <w:rFonts w:ascii="Arial" w:hAnsi="Arial" w:cs="Arial"/>
                  </w:rPr>
                  <w:t>aerosols</w:t>
                </w:r>
                <w:bookmarkEnd w:id="2"/>
                <w:r w:rsidRPr="6A8B63BB">
                  <w:rPr>
                    <w:rFonts w:ascii="Arial" w:hAnsi="Arial" w:cs="Arial"/>
                  </w:rPr>
                  <w:t xml:space="preserve"> and the presence of vermin</w:t>
                </w:r>
                <w:r w:rsidR="29E4A446" w:rsidRPr="6A8B63BB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07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8D179F" w14:textId="73AD3A67" w:rsidR="009553E9" w:rsidRPr="0041135D" w:rsidRDefault="009553E9" w:rsidP="000C55A9">
                <w:pPr>
                  <w:spacing w:before="120" w:after="0"/>
                  <w:ind w:right="180"/>
                  <w:textAlignment w:val="baseline"/>
                  <w:rPr>
                    <w:rFonts w:ascii="Arial" w:eastAsia="Aptos" w:hAnsi="Arial" w:cs="Arial"/>
                  </w:rPr>
                </w:pPr>
                <w:r w:rsidRPr="0041135D">
                  <w:rPr>
                    <w:rFonts w:ascii="Arial" w:eastAsia="Aptos" w:hAnsi="Arial" w:cs="Arial"/>
                  </w:rPr>
                  <w:t xml:space="preserve">Non-compliance causes or </w:t>
                </w:r>
                <w:r w:rsidR="002D1EB6">
                  <w:rPr>
                    <w:rFonts w:ascii="Arial" w:eastAsia="Aptos" w:hAnsi="Arial" w:cs="Arial"/>
                  </w:rPr>
                  <w:t xml:space="preserve">is likely </w:t>
                </w:r>
                <w:r w:rsidRPr="0041135D">
                  <w:rPr>
                    <w:rFonts w:ascii="Arial" w:eastAsia="Aptos" w:hAnsi="Arial" w:cs="Arial"/>
                  </w:rPr>
                  <w:t>to cause:</w:t>
                </w:r>
              </w:p>
              <w:p w14:paraId="72D00AD9" w14:textId="7129318A" w:rsidR="009553E9" w:rsidRPr="0041135D" w:rsidRDefault="009553E9" w:rsidP="000C55A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20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="Aptos" w:hAnsi="Arial" w:cs="Arial"/>
                    <w:sz w:val="24"/>
                    <w:szCs w:val="24"/>
                  </w:rPr>
                  <w:t>Category 1 or 2 environmental event.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0AD48CC2" w14:textId="3990DAAC" w:rsidR="009553E9" w:rsidRPr="0041135D" w:rsidRDefault="009553E9" w:rsidP="000C55A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20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Noise emission </w:t>
                </w:r>
                <w:r w:rsidR="007E7A70">
                  <w:rPr>
                    <w:rFonts w:ascii="Arial" w:hAnsi="Arial" w:cs="Arial"/>
                    <w:sz w:val="24"/>
                    <w:szCs w:val="24"/>
                  </w:rPr>
                  <w:t xml:space="preserve">that 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>leads to significant adverse impact.</w:t>
                </w:r>
              </w:p>
              <w:p w14:paraId="611D7D77" w14:textId="6B7C34AC" w:rsidR="009553E9" w:rsidRPr="0041135D" w:rsidRDefault="009553E9" w:rsidP="000C55A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20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Odour emission </w:t>
                </w:r>
                <w:r w:rsidR="007E7A70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 leads to offensive odour as defined by </w:t>
                </w:r>
                <w:hyperlink r:id="rId11" w:history="1">
                  <w:r w:rsidRPr="0041135D">
                    <w:rPr>
                      <w:rStyle w:val="Hyperlink"/>
                      <w:rFonts w:ascii="Arial" w:hAnsi="Arial" w:cs="Arial"/>
                      <w:color w:val="016574"/>
                      <w:sz w:val="24"/>
                      <w:szCs w:val="24"/>
                    </w:rPr>
                    <w:t>odour guidance</w:t>
                  </w:r>
                </w:hyperlink>
                <w:r w:rsidRPr="0041135D">
                  <w:rPr>
                    <w:sz w:val="24"/>
                    <w:szCs w:val="24"/>
                  </w:rPr>
                  <w:t>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D51CB1" w14:textId="545E6AA0" w:rsidR="009553E9" w:rsidRPr="0041135D" w:rsidRDefault="009553E9" w:rsidP="000C55A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16" w:hanging="284"/>
                  <w:contextualSpacing w:val="0"/>
                  <w:rPr>
                    <w:color w:val="016574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Environmental events guidance </w:t>
                </w:r>
                <w:hyperlink r:id="rId12" w:history="1">
                  <w:r w:rsidRPr="0041135D">
                    <w:rPr>
                      <w:rStyle w:val="Hyperlink"/>
                      <w:rFonts w:ascii="Arial" w:hAnsi="Arial" w:cs="Arial"/>
                      <w:color w:val="016574"/>
                      <w:sz w:val="24"/>
                      <w:szCs w:val="24"/>
                    </w:rPr>
                    <w:t>Odour guidance</w:t>
                  </w:r>
                </w:hyperlink>
                <w:r w:rsidRPr="0041135D">
                  <w:rPr>
                    <w:sz w:val="24"/>
                    <w:szCs w:val="24"/>
                  </w:rPr>
                  <w:t>.</w:t>
                </w:r>
              </w:p>
              <w:p w14:paraId="26BA877F" w14:textId="452D60C1" w:rsidR="009553E9" w:rsidRPr="0041135D" w:rsidRDefault="009553E9" w:rsidP="000C55A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16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="Arial" w:hAnsi="Arial" w:cs="Arial"/>
                    <w:sz w:val="24"/>
                    <w:szCs w:val="24"/>
                  </w:rPr>
                  <w:t>Noise: events categorisation guidance.</w:t>
                </w:r>
              </w:p>
              <w:p w14:paraId="43632BB3" w14:textId="16DD8D59" w:rsidR="009553E9" w:rsidRPr="0041135D" w:rsidRDefault="009553E9" w:rsidP="000C55A9">
                <w:pPr>
                  <w:spacing w:before="120" w:after="0"/>
                  <w:ind w:left="316" w:hanging="284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477" w:type="pct"/>
              </w:tcPr>
              <w:p w14:paraId="4B674BBD" w14:textId="736669E4" w:rsidR="00513A5F" w:rsidRPr="00513A5F" w:rsidRDefault="00375EFE" w:rsidP="0047189A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97" w:right="113" w:hanging="284"/>
                  <w:rPr>
                    <w:sz w:val="24"/>
                    <w:szCs w:val="24"/>
                  </w:rPr>
                </w:pPr>
                <w:r w:rsidRPr="6A8B63BB">
                  <w:rPr>
                    <w:rFonts w:ascii="Arial" w:hAnsi="Arial" w:cs="Arial"/>
                  </w:rPr>
                  <w:t>​</w:t>
                </w:r>
                <w:r w:rsidR="784C75F2" w:rsidRPr="6A8B63BB">
                  <w:rPr>
                    <w:sz w:val="24"/>
                    <w:szCs w:val="24"/>
                  </w:rPr>
                  <w:t>Demonstrati</w:t>
                </w:r>
                <w:r w:rsidR="71F008EE" w:rsidRPr="6A8B63BB">
                  <w:rPr>
                    <w:sz w:val="24"/>
                    <w:szCs w:val="24"/>
                  </w:rPr>
                  <w:t>on that</w:t>
                </w:r>
                <w:r w:rsidR="784C75F2" w:rsidRPr="6A8B63BB">
                  <w:rPr>
                    <w:sz w:val="24"/>
                    <w:szCs w:val="24"/>
                  </w:rPr>
                  <w:t xml:space="preserve"> the cause or </w:t>
                </w:r>
                <w:bookmarkStart w:id="3" w:name="_Int_u5aQmuZe"/>
                <w:r w:rsidR="784C75F2" w:rsidRPr="6A8B63BB">
                  <w:rPr>
                    <w:sz w:val="24"/>
                    <w:szCs w:val="24"/>
                  </w:rPr>
                  <w:t>likely cause</w:t>
                </w:r>
                <w:bookmarkEnd w:id="3"/>
                <w:r w:rsidR="784C75F2" w:rsidRPr="6A8B63BB">
                  <w:rPr>
                    <w:sz w:val="24"/>
                    <w:szCs w:val="24"/>
                  </w:rPr>
                  <w:t> of the harm has ceased </w:t>
                </w:r>
                <w:r w:rsidR="36038FA2" w:rsidRPr="6A8B63BB">
                  <w:rPr>
                    <w:sz w:val="24"/>
                    <w:szCs w:val="24"/>
                  </w:rPr>
                  <w:t>or</w:t>
                </w:r>
                <w:r w:rsidR="784C75F2" w:rsidRPr="6A8B63BB">
                  <w:rPr>
                    <w:sz w:val="24"/>
                    <w:szCs w:val="24"/>
                  </w:rPr>
                  <w:t xml:space="preserve"> been resolved. </w:t>
                </w:r>
              </w:p>
              <w:p w14:paraId="74F272CC" w14:textId="77777777" w:rsidR="00375EFE" w:rsidRDefault="00375EFE" w:rsidP="0047189A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97" w:right="113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513A5F">
                  <w:rPr>
                    <w:rFonts w:ascii="Arial" w:hAnsi="Arial" w:cs="Arial"/>
                    <w:sz w:val="24"/>
                    <w:szCs w:val="24"/>
                  </w:rPr>
                  <w:t>​Operator conducts monitoring</w:t>
                </w:r>
                <w:r w:rsidR="005E4A9A" w:rsidRPr="00513A5F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70CABC5F" w:rsidRPr="38E7FD12">
                  <w:rPr>
                    <w:rFonts w:ascii="Arial" w:hAnsi="Arial" w:cs="Arial"/>
                    <w:sz w:val="24"/>
                    <w:szCs w:val="24"/>
                  </w:rPr>
                  <w:t>or</w:t>
                </w:r>
                <w:r w:rsidR="005E4A9A" w:rsidRPr="00513A5F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513A5F">
                  <w:rPr>
                    <w:rFonts w:ascii="Arial" w:hAnsi="Arial" w:cs="Arial"/>
                    <w:sz w:val="24"/>
                    <w:szCs w:val="24"/>
                  </w:rPr>
                  <w:t>modelling to indicate compliance.</w:t>
                </w:r>
              </w:p>
              <w:p w14:paraId="075D830E" w14:textId="142AE097" w:rsidR="00375EFE" w:rsidRPr="00C03049" w:rsidRDefault="00C03049" w:rsidP="004B415C">
                <w:pPr>
                  <w:tabs>
                    <w:tab w:val="left" w:pos="3544"/>
                  </w:tabs>
                  <w:spacing w:before="120" w:after="0"/>
                  <w:ind w:right="113"/>
                </w:pPr>
                <w:r>
                  <w:lastRenderedPageBreak/>
                  <w:tab/>
                </w:r>
              </w:p>
            </w:tc>
          </w:tr>
          <w:tr w:rsidR="00E4770E" w:rsidRPr="0041135D" w14:paraId="7B9AEC13" w14:textId="77777777" w:rsidTr="5690EF6C">
            <w:trPr>
              <w:trHeight w:val="1154"/>
            </w:trPr>
            <w:tc>
              <w:tcPr>
                <w:tcW w:w="97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0DF0ABE" w14:textId="54C8983B" w:rsidR="0027292F" w:rsidRPr="00C03049" w:rsidRDefault="00D73AD6" w:rsidP="000C55A9">
                <w:pPr>
                  <w:spacing w:before="120" w:after="0"/>
                  <w:rPr>
                    <w:rFonts w:ascii="Arial" w:hAnsi="Arial" w:cs="Arial"/>
                    <w:color w:val="EE0000"/>
                  </w:rPr>
                </w:pPr>
                <w:r w:rsidRPr="00C03049">
                  <w:rPr>
                    <w:rFonts w:ascii="Arial" w:hAnsi="Arial" w:cs="Arial"/>
                    <w:color w:val="EE0000"/>
                  </w:rPr>
                  <w:lastRenderedPageBreak/>
                  <w:t>​</w:t>
                </w:r>
                <w:r w:rsidRPr="00C03049">
                  <w:rPr>
                    <w:rFonts w:ascii="Arial" w:hAnsi="Arial" w:cs="Arial"/>
                  </w:rPr>
                  <w:t>Single tier numeric limits set to achieve environmental standards</w:t>
                </w:r>
                <w:r w:rsidR="0041135D" w:rsidRPr="00C03049">
                  <w:rPr>
                    <w:rFonts w:ascii="Arial" w:hAnsi="Arial" w:cs="Arial"/>
                  </w:rPr>
                  <w:t>.</w:t>
                </w:r>
              </w:p>
              <w:p w14:paraId="02F0C4F2" w14:textId="7C1E6FA4" w:rsidR="00397130" w:rsidRPr="00C03049" w:rsidRDefault="00397130" w:rsidP="000C55A9">
                <w:pPr>
                  <w:spacing w:before="120" w:after="0"/>
                  <w:rPr>
                    <w:rFonts w:ascii="Arial" w:hAnsi="Arial" w:cs="Arial"/>
                    <w:color w:val="EE0000"/>
                  </w:rPr>
                </w:pPr>
              </w:p>
            </w:tc>
            <w:tc>
              <w:tcPr>
                <w:tcW w:w="107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94992FC" w14:textId="2E84098A" w:rsidR="004F4430" w:rsidRPr="00C03049" w:rsidRDefault="00DD787D" w:rsidP="0041135D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40" w:hanging="34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03049">
                  <w:rPr>
                    <w:rFonts w:ascii="Arial" w:eastAsia="Aptos" w:hAnsi="Arial" w:cs="Arial"/>
                    <w:color w:val="EE0000"/>
                    <w:sz w:val="24"/>
                    <w:szCs w:val="24"/>
                  </w:rPr>
                  <w:t>​</w:t>
                </w:r>
                <w:r w:rsidR="004F4430" w:rsidRPr="00C03049">
                  <w:rPr>
                    <w:rFonts w:cstheme="minorHAnsi"/>
                    <w:sz w:val="24"/>
                    <w:szCs w:val="24"/>
                  </w:rPr>
                  <w:t xml:space="preserve">More than twice the limit specified in authorisation. </w:t>
                </w:r>
              </w:p>
              <w:p w14:paraId="4698CAC1" w14:textId="77777777" w:rsidR="004F4430" w:rsidRPr="00C03049" w:rsidRDefault="004F4430" w:rsidP="0041135D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left="340" w:hanging="34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03049">
                  <w:rPr>
                    <w:rFonts w:cstheme="minorHAnsi"/>
                    <w:sz w:val="24"/>
                    <w:szCs w:val="24"/>
                  </w:rPr>
                  <w:t>Exceptions:</w:t>
                </w:r>
              </w:p>
              <w:p w14:paraId="6EA71598" w14:textId="77777777" w:rsidR="004F4430" w:rsidRPr="00C03049" w:rsidRDefault="004F4430" w:rsidP="0041135D">
                <w:pPr>
                  <w:pStyle w:val="ListParagraph"/>
                  <w:numPr>
                    <w:ilvl w:val="0"/>
                    <w:numId w:val="35"/>
                  </w:numPr>
                  <w:spacing w:before="120" w:after="0" w:line="360" w:lineRule="auto"/>
                  <w:contextualSpacing w:val="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03049">
                  <w:rPr>
                    <w:rFonts w:cstheme="minorHAnsi"/>
                    <w:sz w:val="24"/>
                    <w:szCs w:val="24"/>
                  </w:rPr>
                  <w:t>pH: limit exceeded by more than 1 unit.</w:t>
                </w:r>
              </w:p>
              <w:p w14:paraId="69C036ED" w14:textId="1A683A1B" w:rsidR="0027292F" w:rsidRPr="00C03049" w:rsidRDefault="004F4430" w:rsidP="5690EF6C">
                <w:pPr>
                  <w:pStyle w:val="ListParagraph"/>
                  <w:numPr>
                    <w:ilvl w:val="0"/>
                    <w:numId w:val="35"/>
                  </w:numPr>
                  <w:spacing w:before="120" w:after="0" w:line="360" w:lineRule="auto"/>
                  <w:contextualSpacing w:val="0"/>
                  <w:textAlignment w:val="baseline"/>
                  <w:rPr>
                    <w:sz w:val="24"/>
                    <w:szCs w:val="24"/>
                  </w:rPr>
                </w:pPr>
                <w:r w:rsidRPr="5690EF6C">
                  <w:rPr>
                    <w:sz w:val="24"/>
                    <w:szCs w:val="24"/>
                  </w:rPr>
                  <w:t>Temperature: exceeded by more than 5</w:t>
                </w:r>
                <w:r w:rsidRPr="5690EF6C">
                  <w:rPr>
                    <w:sz w:val="24"/>
                    <w:szCs w:val="24"/>
                    <w:vertAlign w:val="superscript"/>
                  </w:rPr>
                  <w:t>o</w:t>
                </w:r>
                <w:r w:rsidRPr="5690EF6C">
                  <w:rPr>
                    <w:sz w:val="24"/>
                    <w:szCs w:val="24"/>
                  </w:rPr>
                  <w:t>C.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6F3B54" w14:textId="77777777" w:rsidR="00866265" w:rsidRPr="00605777" w:rsidRDefault="00866265" w:rsidP="004B415C">
                <w:pPr>
                  <w:spacing w:before="120" w:after="0"/>
                  <w:ind w:right="113"/>
                  <w:rPr>
                    <w:rFonts w:cstheme="minorHAnsi"/>
                  </w:rPr>
                </w:pPr>
                <w:r w:rsidRPr="00605777">
                  <w:rPr>
                    <w:rFonts w:cstheme="minorHAnsi"/>
                  </w:rPr>
                  <w:t xml:space="preserve">Assess against authorisation limit using: </w:t>
                </w:r>
              </w:p>
              <w:p w14:paraId="7F43B877" w14:textId="77777777" w:rsidR="00866265" w:rsidRPr="00605777" w:rsidRDefault="00866265" w:rsidP="004B415C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right="113"/>
                  <w:contextualSpacing w:val="0"/>
                  <w:rPr>
                    <w:rFonts w:cstheme="minorHAnsi"/>
                    <w:sz w:val="24"/>
                    <w:szCs w:val="24"/>
                  </w:rPr>
                </w:pPr>
                <w:r w:rsidRPr="00605777">
                  <w:rPr>
                    <w:rFonts w:cstheme="minorHAnsi"/>
                    <w:sz w:val="24"/>
                    <w:szCs w:val="24"/>
                  </w:rPr>
                  <w:t>SEPA monitoring data.</w:t>
                </w:r>
              </w:p>
              <w:p w14:paraId="64089AD9" w14:textId="77777777" w:rsidR="00866265" w:rsidRPr="00605777" w:rsidRDefault="00401F5B" w:rsidP="004B415C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right="113"/>
                  <w:contextualSpacing w:val="0"/>
                  <w:rPr>
                    <w:rFonts w:cstheme="minorHAnsi"/>
                    <w:sz w:val="24"/>
                    <w:szCs w:val="24"/>
                  </w:rPr>
                </w:pPr>
                <w:r w:rsidRPr="00605777">
                  <w:rPr>
                    <w:rFonts w:cstheme="minorHAnsi"/>
                    <w:sz w:val="24"/>
                    <w:szCs w:val="24"/>
                  </w:rPr>
                  <w:t>Operator self-monitoring</w:t>
                </w:r>
                <w:r w:rsidR="00866265" w:rsidRPr="00605777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0E081917" w14:textId="4B0156E4" w:rsidR="0027292F" w:rsidRPr="00605777" w:rsidRDefault="0027292F" w:rsidP="004B415C">
                <w:pPr>
                  <w:pStyle w:val="ListParagraph"/>
                  <w:spacing w:before="120" w:after="0" w:line="360" w:lineRule="auto"/>
                  <w:ind w:right="113"/>
                  <w:contextualSpacing w:val="0"/>
                  <w:rPr>
                    <w:rFonts w:ascii="Arial" w:hAnsi="Arial" w:cs="Arial"/>
                    <w:color w:val="EE0000"/>
                    <w:sz w:val="24"/>
                    <w:szCs w:val="24"/>
                  </w:rPr>
                </w:pPr>
              </w:p>
            </w:tc>
            <w:tc>
              <w:tcPr>
                <w:tcW w:w="1477" w:type="pct"/>
              </w:tcPr>
              <w:p w14:paraId="67B73C8D" w14:textId="65FDB0E3" w:rsidR="00E4770E" w:rsidRPr="00605777" w:rsidRDefault="002D4D84" w:rsidP="0047189A">
                <w:pPr>
                  <w:spacing w:before="120" w:after="0"/>
                  <w:ind w:left="113" w:right="113"/>
                  <w:rPr>
                    <w:rFonts w:ascii="Arial" w:hAnsi="Arial" w:cs="Arial"/>
                    <w:color w:val="EE0000"/>
                  </w:rPr>
                </w:pPr>
                <w:r w:rsidRPr="00605777">
                  <w:rPr>
                    <w:rFonts w:ascii="Arial" w:hAnsi="Arial" w:cs="Arial"/>
                  </w:rPr>
                  <w:t>Major non-compliance remains until next compliant sample.</w:t>
                </w:r>
              </w:p>
            </w:tc>
          </w:tr>
        </w:tbl>
        <w:p w14:paraId="0EE8A471" w14:textId="77777777" w:rsidR="00744678" w:rsidRPr="0041135D" w:rsidRDefault="00744678" w:rsidP="000C55A9">
          <w:pPr>
            <w:spacing w:after="0"/>
          </w:pPr>
        </w:p>
        <w:p w14:paraId="0A472C1E" w14:textId="77777777" w:rsidR="00744678" w:rsidRPr="0041135D" w:rsidRDefault="00744678" w:rsidP="000C55A9">
          <w:pPr>
            <w:spacing w:after="0"/>
            <w:sectPr w:rsidR="00744678" w:rsidRPr="0041135D" w:rsidSect="00577FDE">
              <w:headerReference w:type="even" r:id="rId13"/>
              <w:headerReference w:type="default" r:id="rId14"/>
              <w:footerReference w:type="even" r:id="rId15"/>
              <w:footerReference w:type="default" r:id="rId16"/>
              <w:headerReference w:type="first" r:id="rId17"/>
              <w:footerReference w:type="first" r:id="rId18"/>
              <w:pgSz w:w="16840" w:h="11900" w:orient="landscape"/>
              <w:pgMar w:top="839" w:right="839" w:bottom="839" w:left="839" w:header="794" w:footer="567" w:gutter="0"/>
              <w:pgNumType w:start="1"/>
              <w:cols w:space="708"/>
              <w:titlePg/>
              <w:docGrid w:linePitch="360"/>
            </w:sectPr>
          </w:pPr>
        </w:p>
        <w:p w14:paraId="1738D155" w14:textId="57BE490B" w:rsidR="0096745E" w:rsidRPr="0041135D" w:rsidRDefault="00FA3DA6" w:rsidP="000C55A9">
          <w:pPr>
            <w:spacing w:after="0"/>
          </w:pPr>
          <w:r w:rsidRPr="0041135D">
            <w:rPr>
              <w:rFonts w:asciiTheme="majorHAnsi" w:hAnsiTheme="majorHAnsi" w:cstheme="majorBidi"/>
              <w:b/>
            </w:rPr>
            <w:lastRenderedPageBreak/>
            <w:t xml:space="preserve">Table </w:t>
          </w:r>
          <w:r w:rsidRPr="0041135D">
            <w:rPr>
              <w:rFonts w:asciiTheme="majorHAnsi" w:hAnsiTheme="majorHAnsi" w:cstheme="majorBidi"/>
              <w:b/>
              <w:i/>
            </w:rPr>
            <w:fldChar w:fldCharType="begin"/>
          </w:r>
          <w:r w:rsidRPr="0041135D">
            <w:rPr>
              <w:rFonts w:asciiTheme="majorHAnsi" w:hAnsiTheme="majorHAnsi" w:cstheme="majorBidi"/>
              <w:b/>
            </w:rPr>
            <w:instrText xml:space="preserve"> SEQ Table \* ARABIC </w:instrText>
          </w:r>
          <w:r w:rsidRPr="0041135D">
            <w:rPr>
              <w:rFonts w:asciiTheme="majorHAnsi" w:hAnsiTheme="majorHAnsi" w:cstheme="majorBidi"/>
              <w:b/>
              <w:i/>
            </w:rPr>
            <w:fldChar w:fldCharType="separate"/>
          </w:r>
          <w:r w:rsidR="00EA3FD3" w:rsidRPr="0041135D">
            <w:rPr>
              <w:rFonts w:asciiTheme="majorHAnsi" w:hAnsiTheme="majorHAnsi" w:cstheme="majorBidi"/>
              <w:b/>
            </w:rPr>
            <w:t>2</w:t>
          </w:r>
          <w:r w:rsidRPr="0041135D">
            <w:rPr>
              <w:rFonts w:asciiTheme="majorHAnsi" w:hAnsiTheme="majorHAnsi" w:cstheme="majorBidi"/>
              <w:b/>
              <w:i/>
            </w:rPr>
            <w:fldChar w:fldCharType="end"/>
          </w:r>
          <w:r w:rsidRPr="0041135D">
            <w:rPr>
              <w:rFonts w:asciiTheme="majorHAnsi" w:hAnsiTheme="majorHAnsi" w:cstheme="majorBidi"/>
              <w:b/>
            </w:rPr>
            <w:t>:</w:t>
          </w:r>
          <w:r w:rsidR="003728B2" w:rsidRPr="0041135D">
            <w:t xml:space="preserve"> </w:t>
          </w:r>
          <w:r w:rsidRPr="0041135D">
            <w:rPr>
              <w:rFonts w:asciiTheme="majorHAnsi" w:hAnsiTheme="majorHAnsi" w:cstheme="majorBidi"/>
              <w:b/>
            </w:rPr>
            <w:t xml:space="preserve">Scope </w:t>
          </w:r>
          <w:r w:rsidR="0015498A" w:rsidRPr="0041135D">
            <w:rPr>
              <w:rFonts w:asciiTheme="majorHAnsi" w:hAnsiTheme="majorHAnsi" w:cstheme="majorBidi"/>
              <w:b/>
            </w:rPr>
            <w:t>o</w:t>
          </w:r>
          <w:r w:rsidRPr="0041135D">
            <w:rPr>
              <w:rFonts w:asciiTheme="majorHAnsi" w:hAnsiTheme="majorHAnsi" w:cstheme="majorBidi"/>
              <w:b/>
            </w:rPr>
            <w:t xml:space="preserve">f </w:t>
          </w:r>
          <w:r w:rsidR="0015498A" w:rsidRPr="0041135D">
            <w:rPr>
              <w:rFonts w:asciiTheme="majorHAnsi" w:hAnsiTheme="majorHAnsi" w:cstheme="majorBidi"/>
              <w:b/>
            </w:rPr>
            <w:t>s</w:t>
          </w:r>
          <w:r w:rsidRPr="0041135D">
            <w:rPr>
              <w:rFonts w:asciiTheme="majorHAnsi" w:hAnsiTheme="majorHAnsi" w:cstheme="majorBidi"/>
              <w:b/>
            </w:rPr>
            <w:t xml:space="preserve">ite 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  <w:tblCaption w:val="Table 2:  Scope Of Site "/>
            <w:tblDescription w:val="Table containing 4 columns &quot; 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    </w:tblPr>
          <w:tblGrid>
            <w:gridCol w:w="2942"/>
            <w:gridCol w:w="3254"/>
            <w:gridCol w:w="4473"/>
            <w:gridCol w:w="4473"/>
          </w:tblGrid>
          <w:tr w:rsidR="00375EFE" w:rsidRPr="0041135D" w14:paraId="0B6EEDB7" w14:textId="5F0F3B99" w:rsidTr="5690EF6C">
            <w:trPr>
              <w:trHeight w:val="610"/>
              <w:tblHeader/>
            </w:trPr>
            <w:tc>
              <w:tcPr>
                <w:tcW w:w="971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B7879CB" w14:textId="77777777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074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E53F75" w14:textId="77777777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477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0C035C2" w14:textId="7833706F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477" w:type="pct"/>
                <w:shd w:val="clear" w:color="auto" w:fill="016574" w:themeFill="accent6"/>
              </w:tcPr>
              <w:p w14:paraId="666E43AE" w14:textId="0444B65B" w:rsidR="00375EFE" w:rsidRPr="0041135D" w:rsidRDefault="00375EFE" w:rsidP="00515FEE">
                <w:pPr>
                  <w:spacing w:before="120" w:after="0"/>
                  <w:ind w:lef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12693C" w:rsidRPr="0041135D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375EFE" w:rsidRPr="0041135D" w14:paraId="4D5D688F" w14:textId="23A01F9A" w:rsidTr="5690EF6C">
            <w:trPr>
              <w:trHeight w:val="315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A22C38" w14:textId="483DCB09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eastAsia="Times New Roman" w:hAnsi="Arial" w:cs="Arial"/>
                    <w:lang w:eastAsia="en-GB"/>
                  </w:rPr>
                  <w:t>Authorised activity</w:t>
                </w:r>
                <w:r w:rsidR="0041135D">
                  <w:rPr>
                    <w:rFonts w:ascii="Arial" w:eastAsia="Times New Roman" w:hAnsi="Arial" w:cs="Arial"/>
                    <w:lang w:eastAsia="en-GB"/>
                  </w:rPr>
                  <w:t>.</w:t>
                </w:r>
                <w:r w:rsidRPr="0041135D">
                  <w:rPr>
                    <w:rFonts w:ascii="Arial" w:eastAsia="Times New Roman" w:hAnsi="Arial" w:cs="Arial"/>
                    <w:lang w:eastAsia="en-GB"/>
                  </w:rPr>
                  <w:t xml:space="preserve"> 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005CFE" w14:textId="4F10F4B6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eastAsia="Times New Roman" w:hAnsi="Arial" w:cs="Arial"/>
                    <w:lang w:eastAsia="en-GB"/>
                  </w:rPr>
                  <w:t xml:space="preserve">Authorised person undertaking any waste activities (accepting, processing, storage of waste) </w:t>
                </w:r>
                <w:proofErr w:type="spellStart"/>
                <w:r w:rsidRPr="0041135D">
                  <w:rPr>
                    <w:rFonts w:ascii="Arial" w:eastAsia="Times New Roman" w:hAnsi="Arial" w:cs="Arial"/>
                    <w:lang w:eastAsia="en-GB"/>
                  </w:rPr>
                  <w:t>outwith</w:t>
                </w:r>
                <w:proofErr w:type="spellEnd"/>
                <w:r w:rsidRPr="0041135D">
                  <w:rPr>
                    <w:rFonts w:ascii="Arial" w:eastAsia="Times New Roman" w:hAnsi="Arial" w:cs="Arial"/>
                    <w:lang w:eastAsia="en-GB"/>
                  </w:rPr>
                  <w:t xml:space="preserve"> site boundaries </w:t>
                </w:r>
                <w:r w:rsidR="11159627" w:rsidRPr="38E7FD12">
                  <w:rPr>
                    <w:rFonts w:ascii="Arial" w:eastAsia="Times New Roman" w:hAnsi="Arial" w:cs="Arial"/>
                    <w:lang w:eastAsia="en-GB"/>
                  </w:rPr>
                  <w:t>or</w:t>
                </w:r>
                <w:r w:rsidRPr="0041135D">
                  <w:rPr>
                    <w:rFonts w:ascii="Arial" w:eastAsia="Times New Roman" w:hAnsi="Arial" w:cs="Arial"/>
                    <w:lang w:eastAsia="en-GB"/>
                  </w:rPr>
                  <w:t xml:space="preserve"> permitted working areas. 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0B8AD8" w14:textId="3A04FF5E" w:rsidR="00375EFE" w:rsidRPr="0041135D" w:rsidRDefault="00375EFE" w:rsidP="0041135D">
                <w:pPr>
                  <w:spacing w:before="120" w:after="0"/>
                  <w:ind w:left="43" w:right="432"/>
                  <w:textAlignment w:val="baseline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t>Site inspection.</w:t>
                </w:r>
              </w:p>
              <w:p w14:paraId="31081DEE" w14:textId="5E6B728F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477" w:type="pct"/>
              </w:tcPr>
              <w:p w14:paraId="7ED83A34" w14:textId="77777777" w:rsidR="0041135D" w:rsidRDefault="00FD17F0" w:rsidP="0047189A">
                <w:pPr>
                  <w:pStyle w:val="ListParagraph"/>
                  <w:numPr>
                    <w:ilvl w:val="0"/>
                    <w:numId w:val="15"/>
                  </w:numPr>
                  <w:spacing w:before="120" w:after="0" w:line="360" w:lineRule="auto"/>
                  <w:ind w:left="397" w:right="113" w:hanging="284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​Unauthorised activity has ceased. </w:t>
                </w:r>
              </w:p>
              <w:p w14:paraId="50E9192E" w14:textId="7FF2D24E" w:rsidR="00375EFE" w:rsidRPr="0041135D" w:rsidRDefault="00FD17F0" w:rsidP="0047189A">
                <w:pPr>
                  <w:pStyle w:val="ListParagraph"/>
                  <w:numPr>
                    <w:ilvl w:val="0"/>
                    <w:numId w:val="15"/>
                  </w:numPr>
                  <w:spacing w:before="120" w:after="0" w:line="360" w:lineRule="auto"/>
                  <w:ind w:left="397" w:right="113" w:hanging="284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Any unauthorised waste has been removed, or authorisation has been varied to include the activity </w:t>
                </w:r>
                <w:r w:rsidR="05ACE993" w:rsidRPr="6A8B63BB">
                  <w:rPr>
                    <w:rFonts w:ascii="Arial" w:hAnsi="Arial" w:cs="Arial"/>
                    <w:sz w:val="24"/>
                    <w:szCs w:val="24"/>
                  </w:rPr>
                  <w:t>or</w:t>
                </w:r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 waste type</w:t>
                </w:r>
                <w:bookmarkStart w:id="4" w:name="_Int_Z3hl4gWg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.  </w:t>
                </w:r>
                <w:bookmarkEnd w:id="4"/>
              </w:p>
            </w:tc>
          </w:tr>
          <w:tr w:rsidR="00375EFE" w:rsidRPr="0041135D" w14:paraId="44B77D0A" w14:textId="2B9C87A8" w:rsidTr="5690EF6C">
            <w:trPr>
              <w:trHeight w:val="315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9112BA" w14:textId="05A2F2B6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hAnsi="Arial" w:cs="Arial"/>
                    <w:spacing w:val="-2"/>
                  </w:rPr>
                  <w:t xml:space="preserve">Limit on the amount of waste that can be accepted, </w:t>
                </w:r>
                <w:bookmarkStart w:id="5" w:name="_Int_DB3xdneH"/>
                <w:r w:rsidRPr="0041135D">
                  <w:rPr>
                    <w:rFonts w:ascii="Arial" w:hAnsi="Arial" w:cs="Arial"/>
                    <w:spacing w:val="-2"/>
                  </w:rPr>
                  <w:t>stored</w:t>
                </w:r>
                <w:bookmarkEnd w:id="5"/>
                <w:r w:rsidRPr="0041135D">
                  <w:rPr>
                    <w:rFonts w:ascii="Arial" w:hAnsi="Arial" w:cs="Arial"/>
                    <w:spacing w:val="-2"/>
                  </w:rPr>
                  <w:t xml:space="preserve"> or treated on a site</w:t>
                </w:r>
                <w:r w:rsidR="0041135D">
                  <w:rPr>
                    <w:rFonts w:ascii="Arial" w:hAnsi="Arial" w:cs="Arial"/>
                    <w:spacing w:val="-2"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881D20" w14:textId="40C210EC" w:rsidR="00375EFE" w:rsidRPr="0041135D" w:rsidRDefault="00375EFE" w:rsidP="000C55A9">
                <w:pPr>
                  <w:spacing w:before="120" w:after="0"/>
                  <w:ind w:right="216"/>
                  <w:textAlignment w:val="baseline"/>
                  <w:rPr>
                    <w:rFonts w:ascii="Arial" w:hAnsi="Arial" w:cs="Arial"/>
                  </w:rPr>
                </w:pPr>
                <w:r w:rsidRPr="6A8B63BB">
                  <w:rPr>
                    <w:rFonts w:ascii="Arial" w:hAnsi="Arial" w:cs="Arial"/>
                  </w:rPr>
                  <w:t xml:space="preserve">Exceeding the limit that is authorised for acceptance, </w:t>
                </w:r>
                <w:bookmarkStart w:id="6" w:name="_Int_Pr90cl6v"/>
                <w:r w:rsidRPr="6A8B63BB">
                  <w:rPr>
                    <w:rFonts w:ascii="Arial" w:hAnsi="Arial" w:cs="Arial"/>
                  </w:rPr>
                  <w:t>storage</w:t>
                </w:r>
                <w:bookmarkEnd w:id="6"/>
                <w:r w:rsidRPr="6A8B63BB">
                  <w:rPr>
                    <w:rFonts w:ascii="Arial" w:hAnsi="Arial" w:cs="Arial"/>
                  </w:rPr>
                  <w:t xml:space="preserve"> or treatment on site where the authorised person is unable to manage the material in an effective manner – causing or </w:t>
                </w:r>
                <w:r w:rsidR="002B5ED3">
                  <w:rPr>
                    <w:rFonts w:ascii="Arial" w:hAnsi="Arial" w:cs="Arial"/>
                  </w:rPr>
                  <w:t>likely to</w:t>
                </w:r>
                <w:r w:rsidRPr="6A8B63BB">
                  <w:rPr>
                    <w:rFonts w:ascii="Arial" w:hAnsi="Arial" w:cs="Arial"/>
                  </w:rPr>
                  <w:t xml:space="preserve"> caus</w:t>
                </w:r>
                <w:r w:rsidR="002B5ED3">
                  <w:rPr>
                    <w:rFonts w:ascii="Arial" w:hAnsi="Arial" w:cs="Arial"/>
                  </w:rPr>
                  <w:t>e</w:t>
                </w:r>
                <w:r w:rsidRPr="6A8B63BB">
                  <w:rPr>
                    <w:rFonts w:ascii="Arial" w:hAnsi="Arial" w:cs="Arial"/>
                  </w:rPr>
                  <w:t xml:space="preserve"> a Category 1 or 2 environmental event.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B53479" w14:textId="6CC580DA" w:rsidR="00375EFE" w:rsidRPr="0041135D" w:rsidRDefault="00375EFE" w:rsidP="000C55A9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326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Site inspection, including on-site records review.</w:t>
                </w:r>
              </w:p>
              <w:p w14:paraId="085FDDB5" w14:textId="6FED24E0" w:rsidR="00375EFE" w:rsidRPr="0041135D" w:rsidRDefault="00375EFE" w:rsidP="000C55A9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326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Data return review. </w:t>
                </w:r>
              </w:p>
              <w:p w14:paraId="09D206E8" w14:textId="1EEEA77B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477" w:type="pct"/>
              </w:tcPr>
              <w:p w14:paraId="2F0D0090" w14:textId="68541AA3" w:rsidR="00375EFE" w:rsidRPr="004B415C" w:rsidRDefault="00FD17F0" w:rsidP="0047189A">
                <w:pPr>
                  <w:spacing w:before="120" w:after="0"/>
                  <w:ind w:left="113" w:right="113" w:firstLine="11"/>
                  <w:textAlignment w:val="baseline"/>
                  <w:rPr>
                    <w:rFonts w:ascii="Arial" w:hAnsi="Arial" w:cs="Arial"/>
                  </w:rPr>
                </w:pPr>
                <w:r w:rsidRPr="004B415C">
                  <w:rPr>
                    <w:rFonts w:ascii="Arial" w:hAnsi="Arial" w:cs="Arial"/>
                  </w:rPr>
                  <w:t>​Amount of waste stored on site reduced to within maximum storage limits</w:t>
                </w:r>
                <w:r w:rsidR="0019556F" w:rsidRPr="004B415C">
                  <w:rPr>
                    <w:rFonts w:ascii="Arial" w:hAnsi="Arial" w:cs="Arial"/>
                  </w:rPr>
                  <w:t xml:space="preserve">. </w:t>
                </w:r>
                <w:r w:rsidR="00D36A96" w:rsidRPr="004B415C">
                  <w:rPr>
                    <w:rFonts w:ascii="Arial" w:hAnsi="Arial" w:cs="Arial"/>
                  </w:rPr>
                  <w:t xml:space="preserve">Major non-compliance can be reduced to non-compliance once levels no longer cause or </w:t>
                </w:r>
                <w:r w:rsidR="009E636A">
                  <w:rPr>
                    <w:rFonts w:ascii="Arial" w:hAnsi="Arial" w:cs="Arial"/>
                  </w:rPr>
                  <w:t>are likely to</w:t>
                </w:r>
                <w:r w:rsidR="00D36A96" w:rsidRPr="004B415C">
                  <w:rPr>
                    <w:rFonts w:ascii="Arial" w:hAnsi="Arial" w:cs="Arial"/>
                  </w:rPr>
                  <w:t xml:space="preserve"> caus</w:t>
                </w:r>
                <w:r w:rsidR="009E636A">
                  <w:rPr>
                    <w:rFonts w:ascii="Arial" w:hAnsi="Arial" w:cs="Arial"/>
                  </w:rPr>
                  <w:t>e</w:t>
                </w:r>
                <w:r w:rsidR="00D36A96" w:rsidRPr="004B415C">
                  <w:rPr>
                    <w:rFonts w:ascii="Arial" w:hAnsi="Arial" w:cs="Arial"/>
                  </w:rPr>
                  <w:t xml:space="preserve"> a category 1 or 2 environmental event.</w:t>
                </w:r>
              </w:p>
            </w:tc>
          </w:tr>
          <w:tr w:rsidR="00375EFE" w:rsidRPr="0041135D" w14:paraId="19230FD6" w14:textId="2C556E1E" w:rsidTr="5690EF6C">
            <w:trPr>
              <w:trHeight w:val="300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70D8A0F" w14:textId="5745ECCF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hAnsi="Arial" w:cs="Arial"/>
                    <w:spacing w:val="-2"/>
                  </w:rPr>
                  <w:lastRenderedPageBreak/>
                  <w:t>Type of waste that can be accepted</w:t>
                </w:r>
                <w:r w:rsidR="0041135D">
                  <w:rPr>
                    <w:rFonts w:ascii="Arial" w:hAnsi="Arial" w:cs="Arial"/>
                    <w:spacing w:val="-2"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17A285" w14:textId="66F37F0E" w:rsidR="00375EFE" w:rsidRPr="00CA5869" w:rsidRDefault="00375EFE" w:rsidP="00CA5869">
                <w:pPr>
                  <w:pStyle w:val="ListParagraph"/>
                  <w:numPr>
                    <w:ilvl w:val="0"/>
                    <w:numId w:val="36"/>
                  </w:numPr>
                  <w:spacing w:before="120" w:after="0" w:line="360" w:lineRule="auto"/>
                  <w:ind w:left="341" w:right="180" w:hanging="284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CA5869">
                  <w:rPr>
                    <w:rFonts w:ascii="Arial" w:hAnsi="Arial" w:cs="Arial"/>
                    <w:sz w:val="24"/>
                    <w:szCs w:val="24"/>
                  </w:rPr>
                  <w:t xml:space="preserve">Accepting unauthorised waste. </w:t>
                </w:r>
              </w:p>
              <w:p w14:paraId="44BEC72F" w14:textId="5316FB2A" w:rsidR="00375EFE" w:rsidRPr="00CA5869" w:rsidRDefault="00375EFE" w:rsidP="00CA5869">
                <w:pPr>
                  <w:pStyle w:val="ListParagraph"/>
                  <w:numPr>
                    <w:ilvl w:val="0"/>
                    <w:numId w:val="36"/>
                  </w:numPr>
                  <w:spacing w:before="120" w:after="0" w:line="360" w:lineRule="auto"/>
                  <w:ind w:left="341" w:right="216" w:hanging="284"/>
                  <w:textAlignment w:val="baseline"/>
                  <w:rPr>
                    <w:rFonts w:ascii="Arial" w:hAnsi="Arial" w:cs="Arial"/>
                  </w:rPr>
                </w:pPr>
                <w:r w:rsidRPr="5690EF6C">
                  <w:rPr>
                    <w:rFonts w:ascii="Arial" w:hAnsi="Arial" w:cs="Arial"/>
                    <w:sz w:val="24"/>
                    <w:szCs w:val="24"/>
                  </w:rPr>
                  <w:t>Allowance made for some unauthorised waste entering site and being dealt with in accordance e.g. via quarantine procedures. Only where this does not happen, is this deemed major non-compliance.</w:t>
                </w:r>
              </w:p>
              <w:p w14:paraId="6E3A3B9E" w14:textId="65F43074" w:rsidR="00375EFE" w:rsidRPr="00CA5869" w:rsidRDefault="103BC507" w:rsidP="5690EF6C">
                <w:pPr>
                  <w:pStyle w:val="ListParagraph"/>
                  <w:numPr>
                    <w:ilvl w:val="0"/>
                    <w:numId w:val="36"/>
                  </w:numPr>
                  <w:spacing w:before="120" w:after="0" w:line="360" w:lineRule="auto"/>
                  <w:ind w:left="341" w:right="216" w:hanging="284"/>
                  <w:textAlignment w:val="baseline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5546CF">
                  <w:rPr>
                    <w:rFonts w:ascii="Arial" w:eastAsia="Aptos" w:hAnsi="Arial" w:cs="Arial"/>
                    <w:sz w:val="24"/>
                    <w:szCs w:val="24"/>
                  </w:rPr>
                  <w:t xml:space="preserve">The waste is not appropriate for </w:t>
                </w:r>
                <w:proofErr w:type="gramStart"/>
                <w:r w:rsidRPr="005546CF">
                  <w:rPr>
                    <w:rFonts w:ascii="Arial" w:eastAsia="Aptos" w:hAnsi="Arial" w:cs="Arial"/>
                    <w:sz w:val="24"/>
                    <w:szCs w:val="24"/>
                  </w:rPr>
                  <w:t>use  and</w:t>
                </w:r>
                <w:proofErr w:type="gramEnd"/>
                <w:r w:rsidRPr="005546CF">
                  <w:rPr>
                    <w:rFonts w:ascii="Arial" w:eastAsia="Aptos" w:hAnsi="Arial" w:cs="Arial"/>
                    <w:sz w:val="24"/>
                    <w:szCs w:val="24"/>
                  </w:rPr>
                  <w:t xml:space="preserve"> / or is likely to have an adverse impact on remediation </w:t>
                </w:r>
                <w:r w:rsidRPr="005546CF">
                  <w:rPr>
                    <w:rFonts w:ascii="Arial" w:eastAsia="Aptos" w:hAnsi="Arial" w:cs="Arial"/>
                    <w:sz w:val="24"/>
                    <w:szCs w:val="24"/>
                  </w:rPr>
                  <w:lastRenderedPageBreak/>
                  <w:t>and / or improvement of land.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DC3DF6" w14:textId="77ACA4FA" w:rsidR="00375EFE" w:rsidRPr="0041135D" w:rsidRDefault="00375EFE" w:rsidP="000C55A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26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Site inspection, including on-site records review.</w:t>
                </w:r>
              </w:p>
              <w:p w14:paraId="5641C29C" w14:textId="3541F18C" w:rsidR="00375EFE" w:rsidRPr="0041135D" w:rsidRDefault="00375EFE" w:rsidP="000C55A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26" w:right="252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Data return review. </w:t>
                </w:r>
              </w:p>
              <w:p w14:paraId="28CEAEC0" w14:textId="7EB55E86" w:rsidR="00375EFE" w:rsidRPr="0041135D" w:rsidRDefault="00375EFE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477" w:type="pct"/>
              </w:tcPr>
              <w:p w14:paraId="4E1F8146" w14:textId="77777777" w:rsidR="00375EFE" w:rsidRPr="0041135D" w:rsidRDefault="00FD17F0" w:rsidP="0047189A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70" w:right="113" w:hanging="357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6A8B63BB">
                  <w:rPr>
                    <w:rFonts w:ascii="Arial" w:hAnsi="Arial" w:cs="Arial"/>
                    <w:sz w:val="24"/>
                    <w:szCs w:val="24"/>
                  </w:rPr>
                  <w:t>​Unauthorised waste has been removed from site or is dealt with according to procedure</w:t>
                </w:r>
                <w:bookmarkStart w:id="7" w:name="_Int_rcbUyuzU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.  </w:t>
                </w:r>
                <w:bookmarkEnd w:id="7"/>
              </w:p>
              <w:p w14:paraId="4E33F72B" w14:textId="0E13CAB9" w:rsidR="006A6ADC" w:rsidRPr="0041135D" w:rsidRDefault="006A6ADC" w:rsidP="0047189A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70" w:right="113" w:hanging="357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t xml:space="preserve">Where that is not possible, information submission </w:t>
                </w:r>
                <w:r w:rsidR="00E6002D">
                  <w:rPr>
                    <w:rFonts w:ascii="Arial" w:hAnsi="Arial" w:cs="Arial"/>
                  </w:rPr>
                  <w:t>that</w:t>
                </w:r>
                <w:r w:rsidRPr="0041135D">
                  <w:rPr>
                    <w:rFonts w:ascii="Arial" w:hAnsi="Arial" w:cs="Arial"/>
                  </w:rPr>
                  <w:t xml:space="preserve"> includes:</w:t>
                </w:r>
              </w:p>
              <w:p w14:paraId="3A9E19CB" w14:textId="4A227612" w:rsidR="006A6ADC" w:rsidRPr="0041135D" w:rsidRDefault="006A6ADC" w:rsidP="004B415C">
                <w:pPr>
                  <w:pStyle w:val="ListParagraph"/>
                  <w:numPr>
                    <w:ilvl w:val="0"/>
                    <w:numId w:val="45"/>
                  </w:numPr>
                  <w:spacing w:before="120" w:after="0" w:line="360" w:lineRule="auto"/>
                  <w:ind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Corrective actions</w:t>
                </w:r>
                <w:r w:rsidR="00F52FEE">
                  <w:rPr>
                    <w:rFonts w:ascii="Arial" w:hAnsi="Arial" w:cs="Arial"/>
                    <w:sz w:val="24"/>
                    <w:szCs w:val="24"/>
                  </w:rPr>
                  <w:t xml:space="preserve"> and 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>reasons for accepting unauthorised wastes</w:t>
                </w:r>
                <w:r w:rsidR="00FA5D26" w:rsidRPr="0041135D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E504D2C" w14:textId="706A9F49" w:rsidR="006A6ADC" w:rsidRPr="0041135D" w:rsidRDefault="006A6ADC" w:rsidP="004B415C">
                <w:pPr>
                  <w:pStyle w:val="ListParagraph"/>
                  <w:numPr>
                    <w:ilvl w:val="0"/>
                    <w:numId w:val="45"/>
                  </w:numPr>
                  <w:spacing w:before="120" w:after="0" w:line="360" w:lineRule="auto"/>
                  <w:ind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Assessment of </w:t>
                </w:r>
                <w:r w:rsidR="00F52FEE" w:rsidRPr="6A8B63BB">
                  <w:rPr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bookmarkStart w:id="8" w:name="_Int_Z0RKBTuC"/>
                <w:r w:rsidR="00F52FEE" w:rsidRPr="6A8B63BB">
                  <w:rPr>
                    <w:rFonts w:ascii="Arial" w:hAnsi="Arial" w:cs="Arial"/>
                    <w:sz w:val="24"/>
                    <w:szCs w:val="24"/>
                  </w:rPr>
                  <w:t xml:space="preserve">likely </w:t>
                </w:r>
                <w:r w:rsidRPr="6A8B63BB">
                  <w:rPr>
                    <w:rFonts w:ascii="Arial" w:hAnsi="Arial" w:cs="Arial"/>
                    <w:sz w:val="24"/>
                    <w:szCs w:val="24"/>
                  </w:rPr>
                  <w:t>impact</w:t>
                </w:r>
                <w:bookmarkEnd w:id="8"/>
                <w:r w:rsidR="00FA5D26" w:rsidRPr="6A8B63BB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49AD7550" w14:textId="0AF2A31D" w:rsidR="006A6ADC" w:rsidRPr="0041135D" w:rsidRDefault="006A6ADC" w:rsidP="004B415C">
                <w:pPr>
                  <w:pStyle w:val="ListParagraph"/>
                  <w:numPr>
                    <w:ilvl w:val="0"/>
                    <w:numId w:val="45"/>
                  </w:numPr>
                  <w:spacing w:before="120" w:after="0" w:line="360" w:lineRule="auto"/>
                  <w:ind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Evidence that the waste is no longer being accepted</w:t>
                </w:r>
                <w:r w:rsidR="00FA5D26" w:rsidRPr="0041135D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646E4884" w14:textId="5E4D4A4A" w:rsidR="00375EFE" w:rsidRPr="0041135D" w:rsidRDefault="006A6ADC" w:rsidP="0047189A">
                <w:pPr>
                  <w:pStyle w:val="ListParagraph"/>
                  <w:numPr>
                    <w:ilvl w:val="0"/>
                    <w:numId w:val="48"/>
                  </w:numPr>
                  <w:spacing w:before="120" w:after="0" w:line="360" w:lineRule="auto"/>
                  <w:ind w:left="470" w:right="113" w:hanging="357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SEPA will assess submission and ascertain if enough information is provided to re</w:t>
                </w:r>
                <w:r w:rsidR="008A62A7">
                  <w:rPr>
                    <w:rFonts w:ascii="Arial" w:hAnsi="Arial" w:cs="Arial"/>
                    <w:sz w:val="24"/>
                    <w:szCs w:val="24"/>
                  </w:rPr>
                  <w:t>solve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DA0BE5">
                  <w:rPr>
                    <w:rFonts w:ascii="Arial" w:hAnsi="Arial" w:cs="Arial"/>
                    <w:sz w:val="24"/>
                    <w:szCs w:val="24"/>
                  </w:rPr>
                  <w:t>MNC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tr>
        </w:tbl>
        <w:p w14:paraId="4A2157E2" w14:textId="77777777" w:rsidR="00F811AB" w:rsidRPr="0041135D" w:rsidRDefault="00F811AB" w:rsidP="000C55A9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sectPr w:rsidR="00F811AB" w:rsidRPr="0041135D" w:rsidSect="00B4384A">
              <w:headerReference w:type="even" r:id="rId19"/>
              <w:headerReference w:type="default" r:id="rId20"/>
              <w:footerReference w:type="even" r:id="rId21"/>
              <w:footerReference w:type="default" r:id="rId22"/>
              <w:headerReference w:type="first" r:id="rId23"/>
              <w:footerReference w:type="first" r:id="rId24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1CCDBA18" w14:textId="4B5B71F6" w:rsidR="0096745E" w:rsidRPr="0041135D" w:rsidRDefault="009F461F" w:rsidP="000C55A9">
          <w:pPr>
            <w:spacing w:after="0"/>
          </w:pPr>
          <w:r w:rsidRPr="0041135D">
            <w:rPr>
              <w:rFonts w:asciiTheme="majorHAnsi" w:hAnsiTheme="majorHAnsi" w:cstheme="majorBidi"/>
              <w:b/>
            </w:rPr>
            <w:lastRenderedPageBreak/>
            <w:t xml:space="preserve">Table </w:t>
          </w:r>
          <w:r w:rsidRPr="0041135D">
            <w:rPr>
              <w:rFonts w:asciiTheme="majorHAnsi" w:hAnsiTheme="majorHAnsi" w:cstheme="majorBidi"/>
              <w:b/>
              <w:i/>
            </w:rPr>
            <w:fldChar w:fldCharType="begin"/>
          </w:r>
          <w:r w:rsidRPr="0041135D">
            <w:rPr>
              <w:rFonts w:asciiTheme="majorHAnsi" w:hAnsiTheme="majorHAnsi" w:cstheme="majorBidi"/>
              <w:b/>
            </w:rPr>
            <w:instrText xml:space="preserve"> SEQ Table \* ARABIC </w:instrText>
          </w:r>
          <w:r w:rsidRPr="0041135D">
            <w:rPr>
              <w:rFonts w:asciiTheme="majorHAnsi" w:hAnsiTheme="majorHAnsi" w:cstheme="majorBidi"/>
              <w:b/>
              <w:i/>
            </w:rPr>
            <w:fldChar w:fldCharType="separate"/>
          </w:r>
          <w:r w:rsidR="00EA3FD3" w:rsidRPr="0041135D">
            <w:rPr>
              <w:rFonts w:asciiTheme="majorHAnsi" w:hAnsiTheme="majorHAnsi" w:cstheme="majorBidi"/>
              <w:b/>
            </w:rPr>
            <w:t>3</w:t>
          </w:r>
          <w:r w:rsidRPr="0041135D">
            <w:rPr>
              <w:rFonts w:asciiTheme="majorHAnsi" w:hAnsiTheme="majorHAnsi" w:cstheme="majorBidi"/>
              <w:b/>
              <w:i/>
            </w:rPr>
            <w:fldChar w:fldCharType="end"/>
          </w:r>
          <w:r w:rsidRPr="0041135D">
            <w:rPr>
              <w:rFonts w:asciiTheme="majorHAnsi" w:hAnsiTheme="majorHAnsi" w:cstheme="majorBidi"/>
              <w:b/>
            </w:rPr>
            <w:t>:</w:t>
          </w:r>
          <w:r w:rsidR="007F3718" w:rsidRPr="0041135D">
            <w:t xml:space="preserve"> </w:t>
          </w:r>
          <w:r w:rsidRPr="0041135D">
            <w:rPr>
              <w:rFonts w:asciiTheme="majorHAnsi" w:hAnsiTheme="majorHAnsi" w:cstheme="majorBidi"/>
              <w:b/>
            </w:rPr>
            <w:t>Un</w:t>
          </w:r>
          <w:r w:rsidR="009F3A7A" w:rsidRPr="0041135D">
            <w:rPr>
              <w:rFonts w:asciiTheme="majorHAnsi" w:hAnsiTheme="majorHAnsi" w:cstheme="majorBidi"/>
              <w:b/>
            </w:rPr>
            <w:t xml:space="preserve">derstanding </w:t>
          </w:r>
          <w:r w:rsidR="0078627A" w:rsidRPr="0041135D">
            <w:rPr>
              <w:rFonts w:asciiTheme="majorHAnsi" w:hAnsiTheme="majorHAnsi" w:cstheme="majorBidi"/>
              <w:b/>
            </w:rPr>
            <w:t>o</w:t>
          </w:r>
          <w:r w:rsidR="009F3A7A" w:rsidRPr="0041135D">
            <w:rPr>
              <w:rFonts w:asciiTheme="majorHAnsi" w:hAnsiTheme="majorHAnsi" w:cstheme="majorBidi"/>
              <w:b/>
            </w:rPr>
            <w:t xml:space="preserve">f </w:t>
          </w:r>
          <w:r w:rsidR="0078627A" w:rsidRPr="0041135D">
            <w:rPr>
              <w:rFonts w:asciiTheme="majorHAnsi" w:hAnsiTheme="majorHAnsi" w:cstheme="majorBidi"/>
              <w:b/>
            </w:rPr>
            <w:t>au</w:t>
          </w:r>
          <w:r w:rsidR="009F3A7A" w:rsidRPr="0041135D">
            <w:rPr>
              <w:rFonts w:asciiTheme="majorHAnsi" w:hAnsiTheme="majorHAnsi" w:cstheme="majorBidi"/>
              <w:b/>
            </w:rPr>
            <w:t xml:space="preserve">thorised </w:t>
          </w:r>
          <w:r w:rsidR="0078627A" w:rsidRPr="0041135D">
            <w:rPr>
              <w:rFonts w:asciiTheme="majorHAnsi" w:hAnsiTheme="majorHAnsi" w:cstheme="majorBidi"/>
              <w:b/>
            </w:rPr>
            <w:t>a</w:t>
          </w:r>
          <w:r w:rsidR="009F3A7A" w:rsidRPr="0041135D">
            <w:rPr>
              <w:rFonts w:asciiTheme="majorHAnsi" w:hAnsiTheme="majorHAnsi" w:cstheme="majorBidi"/>
              <w:b/>
            </w:rPr>
            <w:t>ctivities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  <w:tblCaption w:val="Table 3: Understanding of authorised activities "/>
            <w:tblDescription w:val="Table containing 4 columns &quot;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 and how SEPA will assess."/>
          </w:tblPr>
          <w:tblGrid>
            <w:gridCol w:w="2939"/>
            <w:gridCol w:w="3257"/>
            <w:gridCol w:w="4473"/>
            <w:gridCol w:w="4473"/>
          </w:tblGrid>
          <w:tr w:rsidR="00FD17F0" w:rsidRPr="0041135D" w14:paraId="0C6D9933" w14:textId="4C2DDFEA" w:rsidTr="6A8B63BB">
            <w:trPr>
              <w:trHeight w:val="610"/>
              <w:tblHeader/>
            </w:trPr>
            <w:tc>
              <w:tcPr>
                <w:tcW w:w="970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3DB234" w14:textId="77777777" w:rsidR="00FD17F0" w:rsidRPr="0041135D" w:rsidRDefault="00FD17F0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075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EA4D3C" w14:textId="77777777" w:rsidR="00FD17F0" w:rsidRPr="0041135D" w:rsidRDefault="00FD17F0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477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5A1B032" w14:textId="54836061" w:rsidR="00FD17F0" w:rsidRPr="0041135D" w:rsidRDefault="00FD17F0" w:rsidP="000C55A9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477" w:type="pct"/>
                <w:shd w:val="clear" w:color="auto" w:fill="016574" w:themeFill="accent6"/>
              </w:tcPr>
              <w:p w14:paraId="16F40168" w14:textId="696CCFBB" w:rsidR="00FD17F0" w:rsidRPr="0041135D" w:rsidRDefault="00FD17F0" w:rsidP="002512F8">
                <w:pPr>
                  <w:spacing w:before="120" w:after="0"/>
                  <w:ind w:lef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12693C" w:rsidRPr="0041135D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FD17F0" w:rsidRPr="0041135D" w14:paraId="6B658A86" w14:textId="6D6B2DC2" w:rsidTr="6A8B63BB">
            <w:trPr>
              <w:trHeight w:val="315"/>
            </w:trPr>
            <w:tc>
              <w:tcPr>
                <w:tcW w:w="97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39AFEFC" w14:textId="0B448E09" w:rsidR="00FD17F0" w:rsidRPr="0041135D" w:rsidRDefault="00FD17F0" w:rsidP="000C55A9">
                <w:pPr>
                  <w:spacing w:before="120" w:after="0"/>
                  <w:rPr>
                    <w:rFonts w:ascii="Arial" w:hAnsi="Arial" w:cs="Arial"/>
                    <w:lang w:eastAsia="en-GB"/>
                  </w:rPr>
                </w:pPr>
                <w:r w:rsidRPr="0041135D">
                  <w:rPr>
                    <w:rFonts w:ascii="Arial" w:hAnsi="Arial" w:cs="Arial"/>
                  </w:rPr>
                  <w:t xml:space="preserve">Requirement to report incidents </w:t>
                </w:r>
                <w:r w:rsidR="3974BC83" w:rsidRPr="38E7FD12">
                  <w:rPr>
                    <w:rFonts w:ascii="Arial" w:hAnsi="Arial" w:cs="Arial"/>
                  </w:rPr>
                  <w:t>and</w:t>
                </w:r>
                <w:r w:rsidRPr="0041135D">
                  <w:rPr>
                    <w:rFonts w:ascii="Arial" w:hAnsi="Arial" w:cs="Arial"/>
                  </w:rPr>
                  <w:t xml:space="preserve"> events (either in operation of plant or environmental events).</w:t>
                </w:r>
              </w:p>
            </w:tc>
            <w:tc>
              <w:tcPr>
                <w:tcW w:w="107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0D80FC" w14:textId="085E2505" w:rsidR="00FD17F0" w:rsidRPr="0090731C" w:rsidRDefault="00FD17F0" w:rsidP="0090731C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82" w:hanging="425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90731C">
                  <w:rPr>
                    <w:rFonts w:ascii="Arial" w:eastAsia="Aptos" w:hAnsi="Arial" w:cs="Arial"/>
                    <w:sz w:val="24"/>
                    <w:szCs w:val="24"/>
                  </w:rPr>
                  <w:t xml:space="preserve">Unless specified otherwise in the </w:t>
                </w:r>
                <w:r w:rsidR="45269D25" w:rsidRPr="0090731C">
                  <w:rPr>
                    <w:rFonts w:ascii="Arial" w:eastAsia="Aptos" w:hAnsi="Arial" w:cs="Arial"/>
                    <w:sz w:val="24"/>
                    <w:szCs w:val="24"/>
                  </w:rPr>
                  <w:t>authorisation</w:t>
                </w:r>
                <w:r w:rsidRPr="0090731C">
                  <w:rPr>
                    <w:rFonts w:ascii="Arial" w:eastAsia="Aptos" w:hAnsi="Arial" w:cs="Arial"/>
                    <w:sz w:val="24"/>
                    <w:szCs w:val="24"/>
                  </w:rPr>
                  <w:t>, failure to notify SEPA within 24 hours of an event that has caused or could cause an adverse impact upon the environment</w:t>
                </w:r>
                <w:r w:rsidR="6DF306F8" w:rsidRPr="0090731C">
                  <w:rPr>
                    <w:rFonts w:ascii="Arial" w:eastAsia="Aptos" w:hAnsi="Arial" w:cs="Arial"/>
                    <w:sz w:val="24"/>
                    <w:szCs w:val="24"/>
                  </w:rPr>
                  <w:t xml:space="preserve"> and</w:t>
                </w:r>
                <w:r w:rsidR="6ADF6DFC" w:rsidRPr="0090731C">
                  <w:rPr>
                    <w:rFonts w:ascii="Arial" w:eastAsia="Aptos" w:hAnsi="Arial" w:cs="Arial"/>
                    <w:sz w:val="24"/>
                    <w:szCs w:val="24"/>
                  </w:rPr>
                  <w:t xml:space="preserve"> </w:t>
                </w:r>
                <w:r w:rsidRPr="0090731C">
                  <w:rPr>
                    <w:rFonts w:ascii="Arial" w:eastAsia="Aptos" w:hAnsi="Arial" w:cs="Arial"/>
                    <w:sz w:val="24"/>
                    <w:szCs w:val="24"/>
                  </w:rPr>
                  <w:t>human health.</w:t>
                </w:r>
              </w:p>
              <w:p w14:paraId="36951C13" w14:textId="60ADC11F" w:rsidR="00FD17F0" w:rsidRPr="0090731C" w:rsidRDefault="00FD17F0" w:rsidP="0090731C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82" w:hanging="425"/>
                  <w:rPr>
                    <w:rFonts w:ascii="Arial" w:eastAsia="Aptos" w:hAnsi="Arial" w:cs="Arial"/>
                  </w:rPr>
                </w:pPr>
                <w:r w:rsidRPr="0090731C">
                  <w:rPr>
                    <w:rFonts w:ascii="Arial" w:eastAsia="Aptos" w:hAnsi="Arial" w:cs="Arial"/>
                    <w:sz w:val="24"/>
                    <w:szCs w:val="24"/>
                  </w:rPr>
                  <w:t xml:space="preserve">Failure to submit a report within 14 days or the report does not comply with the information </w:t>
                </w:r>
                <w:r w:rsidRPr="0090731C">
                  <w:rPr>
                    <w:rFonts w:ascii="Arial" w:eastAsia="Aptos" w:hAnsi="Arial" w:cs="Arial"/>
                    <w:sz w:val="24"/>
                    <w:szCs w:val="24"/>
                  </w:rPr>
                  <w:lastRenderedPageBreak/>
                  <w:t>requirements specified in the authorisation.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A9A14D" w14:textId="17790CF6" w:rsidR="00FD17F0" w:rsidRPr="0041135D" w:rsidRDefault="00FD17F0" w:rsidP="00E04A8E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ind w:left="494" w:hanging="425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Assess incident against incident</w:t>
                </w:r>
                <w:r w:rsidR="51F8998E" w:rsidRPr="38E7FD12">
                  <w:rPr>
                    <w:rFonts w:ascii="Arial" w:hAnsi="Arial" w:cs="Arial"/>
                    <w:sz w:val="24"/>
                    <w:szCs w:val="24"/>
                  </w:rPr>
                  <w:t xml:space="preserve"> or 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>event conditions in authorisation and environmental events guidance.</w:t>
                </w:r>
              </w:p>
              <w:p w14:paraId="7383548C" w14:textId="77777777" w:rsidR="00E04A8E" w:rsidRPr="0041135D" w:rsidRDefault="00E04A8E" w:rsidP="00E04A8E">
                <w:pPr>
                  <w:pStyle w:val="ListParagraph"/>
                  <w:numPr>
                    <w:ilvl w:val="0"/>
                    <w:numId w:val="11"/>
                  </w:numPr>
                  <w:spacing w:before="120" w:after="120" w:line="360" w:lineRule="auto"/>
                  <w:ind w:left="494" w:hanging="425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Operator incident report submitted in accordance with authorisation conditions.</w:t>
                </w:r>
              </w:p>
              <w:p w14:paraId="6C041415" w14:textId="77777777" w:rsidR="00E04A8E" w:rsidRPr="0041135D" w:rsidRDefault="00E04A8E" w:rsidP="00E04A8E">
                <w:pPr>
                  <w:spacing w:before="120" w:after="0"/>
                  <w:ind w:left="360"/>
                  <w:rPr>
                    <w:rFonts w:ascii="Arial" w:hAnsi="Arial" w:cs="Arial"/>
                  </w:rPr>
                </w:pPr>
              </w:p>
              <w:p w14:paraId="75E1E4B8" w14:textId="5ACBF3FD" w:rsidR="00FD17F0" w:rsidRPr="0041135D" w:rsidRDefault="00FD17F0" w:rsidP="000C55A9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477" w:type="pct"/>
              </w:tcPr>
              <w:p w14:paraId="441C820F" w14:textId="38BEAB06" w:rsidR="13955638" w:rsidRPr="0041135D" w:rsidRDefault="13955638" w:rsidP="0047189A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ind w:left="340" w:right="113" w:hanging="227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The operator has notified SEPA of the incident</w:t>
                </w:r>
                <w:r w:rsidR="00224228" w:rsidRPr="0041135D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21A42360" w:rsidRPr="38E7FD12">
                  <w:rPr>
                    <w:rFonts w:ascii="Arial" w:hAnsi="Arial" w:cs="Arial"/>
                    <w:sz w:val="24"/>
                    <w:szCs w:val="24"/>
                  </w:rPr>
                  <w:t>or</w:t>
                </w:r>
                <w:r w:rsidR="00224228" w:rsidRPr="0041135D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>event and provided a report of adequate quality</w:t>
                </w:r>
                <w:r w:rsidR="00086F2F">
                  <w:rPr>
                    <w:rStyle w:val="FootnoteReference"/>
                    <w:rFonts w:ascii="Arial" w:hAnsi="Arial" w:cs="Arial"/>
                    <w:sz w:val="24"/>
                    <w:szCs w:val="24"/>
                  </w:rPr>
                  <w:footnoteReference w:id="2"/>
                </w: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. </w:t>
                </w:r>
              </w:p>
              <w:p w14:paraId="43C75F2A" w14:textId="1ECCDD19" w:rsidR="00FD17F0" w:rsidRPr="0041135D" w:rsidRDefault="13955638" w:rsidP="0047189A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ind w:left="340" w:right="113" w:hanging="227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Operator has put </w:t>
                </w:r>
                <w:r w:rsidR="5B76A18C" w:rsidRPr="0041135D">
                  <w:rPr>
                    <w:rFonts w:ascii="Arial" w:hAnsi="Arial" w:cs="Arial"/>
                    <w:sz w:val="24"/>
                    <w:szCs w:val="24"/>
                  </w:rPr>
                  <w:t>s</w:t>
                </w:r>
                <w:r w:rsidR="7435BC31" w:rsidRPr="0041135D">
                  <w:rPr>
                    <w:rFonts w:ascii="Arial" w:hAnsi="Arial" w:cs="Arial"/>
                    <w:sz w:val="24"/>
                    <w:szCs w:val="24"/>
                  </w:rPr>
                  <w:t>ystems in place to ensure that incidents are reported within the required timescale</w:t>
                </w:r>
                <w:r w:rsidR="00FA5D26" w:rsidRPr="0041135D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tr>
          <w:tr w:rsidR="00F55C11" w:rsidRPr="0041135D" w14:paraId="1D1208BF" w14:textId="36D3F423" w:rsidTr="6A8B63BB">
            <w:trPr>
              <w:trHeight w:val="315"/>
            </w:trPr>
            <w:tc>
              <w:tcPr>
                <w:tcW w:w="97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09DB9A0" w14:textId="4BB8A5D8" w:rsidR="00F55C11" w:rsidRPr="0041135D" w:rsidRDefault="00F55C11" w:rsidP="00F55C11">
                <w:pPr>
                  <w:spacing w:before="120" w:after="0"/>
                  <w:textAlignment w:val="baseline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t>Requirement to submit data (records, reports, data)</w:t>
                </w:r>
                <w:r>
                  <w:rPr>
                    <w:rFonts w:ascii="Arial" w:hAnsi="Arial" w:cs="Arial"/>
                  </w:rPr>
                  <w:t>.</w:t>
                </w:r>
              </w:p>
              <w:p w14:paraId="429BEE73" w14:textId="77777777" w:rsidR="00F55C11" w:rsidRPr="0041135D" w:rsidRDefault="00F55C11" w:rsidP="00F55C1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07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3177B0E" w14:textId="413EBF0F" w:rsidR="00F55C11" w:rsidRPr="0041135D" w:rsidRDefault="00F55C11" w:rsidP="00F55C1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eastAsia="Aptos" w:hAnsi="Arial" w:cs="Arial"/>
                  </w:rPr>
                  <w:t>Failure to make a routine data return (including nil returns) of adequate quality within 30 days of the required submission date.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33526D" w14:textId="22202B3C" w:rsidR="00F55C11" w:rsidRPr="0041135D" w:rsidRDefault="00F55C11" w:rsidP="00F55C11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ind w:left="453" w:right="216" w:hanging="425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>SEPA will assess submission to confirm it has been received within the correct timescale.</w:t>
                </w:r>
              </w:p>
              <w:p w14:paraId="3F99E811" w14:textId="16DDDA15" w:rsidR="00F55C11" w:rsidRPr="0041135D" w:rsidRDefault="00F55C11" w:rsidP="00F55C11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ind w:left="453" w:right="216" w:hanging="425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6A8B63BB">
                  <w:rPr>
                    <w:rFonts w:ascii="Arial" w:hAnsi="Arial" w:cs="Arial"/>
                    <w:sz w:val="24"/>
                    <w:szCs w:val="24"/>
                  </w:rPr>
                  <w:t>Adequate quality includes a data report that has the required evidential data e.g. numerical measurements but also compliance context</w:t>
                </w:r>
                <w:bookmarkStart w:id="9" w:name="_Int_8Yk628Np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.  </w:t>
                </w:r>
                <w:bookmarkEnd w:id="9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If the report is not in the correct format and </w:t>
                </w:r>
                <w:bookmarkStart w:id="10" w:name="_Int_RKxPzDZx"/>
                <w:r w:rsidRPr="6A8B63BB">
                  <w:rPr>
                    <w:rFonts w:ascii="Arial" w:hAnsi="Arial" w:cs="Arial"/>
                    <w:sz w:val="24"/>
                    <w:szCs w:val="24"/>
                  </w:rPr>
                  <w:t>can’t</w:t>
                </w:r>
                <w:bookmarkEnd w:id="10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 be assessed</w:t>
                </w:r>
                <w:bookmarkStart w:id="11" w:name="_Int_p2LZqooj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.  </w:t>
                </w:r>
                <w:bookmarkEnd w:id="11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66D8BAA6" w14:textId="5E468F60" w:rsidR="00F55C11" w:rsidRPr="0041135D" w:rsidRDefault="00F55C11" w:rsidP="00F55C11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ind w:left="453" w:right="216" w:hanging="425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sz w:val="24"/>
                    <w:szCs w:val="24"/>
                  </w:rPr>
                  <w:t xml:space="preserve">If operator is near the compliance limit, information should be included about how this will be managed going forward. </w:t>
                </w:r>
              </w:p>
            </w:tc>
            <w:tc>
              <w:tcPr>
                <w:tcW w:w="1477" w:type="pct"/>
              </w:tcPr>
              <w:p w14:paraId="79D1FA35" w14:textId="77777777" w:rsidR="00F55C11" w:rsidRPr="00C95A72" w:rsidRDefault="00F55C11" w:rsidP="0047189A">
                <w:pPr>
                  <w:pStyle w:val="ListParagraph"/>
                  <w:numPr>
                    <w:ilvl w:val="0"/>
                    <w:numId w:val="42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Required data submission.</w:t>
                </w:r>
              </w:p>
              <w:p w14:paraId="0778AB09" w14:textId="1E98655B" w:rsidR="00F55C11" w:rsidRPr="00C95A72" w:rsidRDefault="00F55C11" w:rsidP="0047189A">
                <w:pPr>
                  <w:pStyle w:val="ListParagraph"/>
                  <w:numPr>
                    <w:ilvl w:val="0"/>
                    <w:numId w:val="42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Or if no data available,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MNC will be </w:t>
                </w:r>
                <w:r w:rsidR="000E13C3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resolved on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receipt of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an information submission </w:t>
                </w:r>
                <w:r w:rsidR="00E6002D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includes:</w:t>
                </w:r>
              </w:p>
              <w:p w14:paraId="3B461B69" w14:textId="1DC96213" w:rsidR="00F55C11" w:rsidRPr="00C95A72" w:rsidRDefault="00F55C11" w:rsidP="004B415C">
                <w:pPr>
                  <w:pStyle w:val="ListParagraph"/>
                  <w:numPr>
                    <w:ilvl w:val="0"/>
                    <w:numId w:val="43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Corrective actions</w:t>
                </w:r>
                <w:r w:rsidR="00831AF6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and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reasons for missing information.</w:t>
                </w:r>
              </w:p>
              <w:p w14:paraId="0B966C41" w14:textId="6C99C0C3" w:rsidR="00F55C11" w:rsidRPr="00C95A72" w:rsidRDefault="00F55C11" w:rsidP="004B415C">
                <w:pPr>
                  <w:pStyle w:val="ListParagraph"/>
                  <w:numPr>
                    <w:ilvl w:val="0"/>
                    <w:numId w:val="43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Assessment of </w:t>
                </w:r>
                <w:r w:rsidR="00F52FEE"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the </w:t>
                </w:r>
                <w:bookmarkStart w:id="12" w:name="_Int_Ps4Vt14r"/>
                <w:r w:rsidR="00F52FEE"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likely</w:t>
                </w:r>
                <w:r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impact</w:t>
                </w:r>
                <w:bookmarkEnd w:id="12"/>
                <w:r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from missing data.</w:t>
                </w:r>
              </w:p>
              <w:p w14:paraId="24C3BCAD" w14:textId="53991AE3" w:rsidR="00F55C11" w:rsidRPr="00C95A72" w:rsidRDefault="00F55C11" w:rsidP="004B415C">
                <w:pPr>
                  <w:pStyle w:val="ListParagraph"/>
                  <w:numPr>
                    <w:ilvl w:val="0"/>
                    <w:numId w:val="43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Evidence that the records are now being </w:t>
                </w:r>
                <w:r w:rsidR="00C2613E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recorded and kept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.</w:t>
                </w:r>
              </w:p>
              <w:p w14:paraId="7C49BB20" w14:textId="1AFFFCC6" w:rsidR="00F55C11" w:rsidRPr="000E13C3" w:rsidRDefault="00F55C11" w:rsidP="0047189A">
                <w:pPr>
                  <w:pStyle w:val="ListParagraph"/>
                  <w:numPr>
                    <w:ilvl w:val="0"/>
                    <w:numId w:val="44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="Arial" w:hAnsi="Arial" w:cs="Arial"/>
                  </w:rPr>
                </w:pPr>
                <w:r w:rsidRPr="000E13C3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SEPA will assess submission and ascertain if enough information is provided to </w:t>
                </w:r>
                <w:r w:rsidR="00F6225C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resolve MNC</w:t>
                </w:r>
                <w:r w:rsidRPr="000E13C3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tr>
          <w:tr w:rsidR="00F55C11" w:rsidRPr="0041135D" w14:paraId="2E915545" w14:textId="314FC665" w:rsidTr="6A8B63BB">
            <w:trPr>
              <w:trHeight w:val="315"/>
            </w:trPr>
            <w:tc>
              <w:tcPr>
                <w:tcW w:w="97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3335C9" w14:textId="54C97858" w:rsidR="00F55C11" w:rsidRPr="0041135D" w:rsidRDefault="00F55C11" w:rsidP="00F55C1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hAnsi="Arial" w:cs="Arial"/>
                  </w:rPr>
                  <w:lastRenderedPageBreak/>
                  <w:t>Requirement to keep records</w:t>
                </w:r>
                <w:r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07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D2614E" w14:textId="72E3A02B" w:rsidR="00F55C11" w:rsidRPr="0041135D" w:rsidRDefault="00F55C11" w:rsidP="00F55C11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="Aptos" w:hAnsi="Arial" w:cs="Arial"/>
                    <w:sz w:val="24"/>
                    <w:szCs w:val="24"/>
                  </w:rPr>
                  <w:t>Failure to provide upon request information required by the authorisation.</w:t>
                </w:r>
              </w:p>
              <w:p w14:paraId="3E4F43F3" w14:textId="58F8C91F" w:rsidR="00F55C11" w:rsidRPr="0041135D" w:rsidRDefault="00F55C11" w:rsidP="00F55C11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="Aptos" w:hAnsi="Arial" w:cs="Arial"/>
                    <w:sz w:val="24"/>
                    <w:szCs w:val="24"/>
                  </w:rPr>
                  <w:t xml:space="preserve">Information submitted is not true and accurate. </w:t>
                </w:r>
              </w:p>
              <w:p w14:paraId="29A33703" w14:textId="290616BE" w:rsidR="00F55C11" w:rsidRPr="000C6153" w:rsidRDefault="00F55C11" w:rsidP="00F55C11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0C6153">
                  <w:rPr>
                    <w:rFonts w:ascii="Arial" w:eastAsia="Aptos" w:hAnsi="Arial" w:cs="Arial"/>
                    <w:sz w:val="24"/>
                    <w:szCs w:val="24"/>
                  </w:rPr>
                  <w:t xml:space="preserve">Records are not kept for the minimum duration. 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DC1DC9B" w14:textId="571F4F67" w:rsidR="00F55C11" w:rsidRPr="0041135D" w:rsidRDefault="00F55C11" w:rsidP="000976FC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left="493" w:hanging="425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41135D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Records not kept or available on site. </w:t>
                </w:r>
              </w:p>
              <w:p w14:paraId="75824381" w14:textId="608941D5" w:rsidR="00F55C11" w:rsidRPr="0041135D" w:rsidRDefault="00F55C11" w:rsidP="000976FC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left="493" w:hanging="425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41135D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No information provided when requested.</w:t>
                </w:r>
              </w:p>
            </w:tc>
            <w:tc>
              <w:tcPr>
                <w:tcW w:w="1477" w:type="pct"/>
              </w:tcPr>
              <w:p w14:paraId="6631DA1A" w14:textId="77777777" w:rsidR="0048078E" w:rsidRPr="00C95A72" w:rsidRDefault="0048078E" w:rsidP="0047189A">
                <w:pPr>
                  <w:pStyle w:val="ListParagraph"/>
                  <w:numPr>
                    <w:ilvl w:val="0"/>
                    <w:numId w:val="42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Required data submission.</w:t>
                </w:r>
              </w:p>
              <w:p w14:paraId="21891361" w14:textId="348AD21C" w:rsidR="0048078E" w:rsidRPr="00C95A72" w:rsidRDefault="0048078E" w:rsidP="0047189A">
                <w:pPr>
                  <w:pStyle w:val="ListParagraph"/>
                  <w:numPr>
                    <w:ilvl w:val="0"/>
                    <w:numId w:val="42"/>
                  </w:numPr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Or if no data available,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MNC will be resolved on receipt of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an information submission </w:t>
                </w:r>
                <w:r w:rsidR="00E6002D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includes:</w:t>
                </w:r>
              </w:p>
              <w:p w14:paraId="22B9345A" w14:textId="25736EDF" w:rsidR="0048078E" w:rsidRPr="00C95A72" w:rsidRDefault="0048078E" w:rsidP="004B415C">
                <w:pPr>
                  <w:pStyle w:val="ListParagraph"/>
                  <w:numPr>
                    <w:ilvl w:val="0"/>
                    <w:numId w:val="43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Corrective actions</w:t>
                </w:r>
                <w:r w:rsidR="007326B1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and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reasons for missing information.</w:t>
                </w:r>
              </w:p>
              <w:p w14:paraId="361A1871" w14:textId="4B29CF58" w:rsidR="0048078E" w:rsidRPr="00C95A72" w:rsidRDefault="0048078E" w:rsidP="004B415C">
                <w:pPr>
                  <w:pStyle w:val="ListParagraph"/>
                  <w:numPr>
                    <w:ilvl w:val="0"/>
                    <w:numId w:val="43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Assessment of </w:t>
                </w:r>
                <w:r w:rsidR="009A1A2A"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the </w:t>
                </w:r>
                <w:bookmarkStart w:id="13" w:name="_Int_8uz1AIiU"/>
                <w:r w:rsidR="009A1A2A"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likely</w:t>
                </w:r>
                <w:r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impact</w:t>
                </w:r>
                <w:bookmarkEnd w:id="13"/>
                <w:r w:rsidRPr="6A8B63BB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from missing data.</w:t>
                </w:r>
              </w:p>
              <w:p w14:paraId="22288649" w14:textId="7318B962" w:rsidR="0048078E" w:rsidRPr="00C95A72" w:rsidRDefault="0048078E" w:rsidP="004B415C">
                <w:pPr>
                  <w:pStyle w:val="ListParagraph"/>
                  <w:numPr>
                    <w:ilvl w:val="0"/>
                    <w:numId w:val="43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Evidence that the records are now being </w:t>
                </w:r>
                <w:r w:rsidR="00C2613E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recorded and kept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.</w:t>
                </w:r>
              </w:p>
              <w:p w14:paraId="5C7ACE81" w14:textId="3B8C69DF" w:rsidR="00F55C11" w:rsidRPr="0041135D" w:rsidRDefault="0048078E" w:rsidP="0047189A">
                <w:pPr>
                  <w:pStyle w:val="ListParagraph"/>
                  <w:numPr>
                    <w:ilvl w:val="0"/>
                    <w:numId w:val="33"/>
                  </w:numPr>
                  <w:spacing w:before="120" w:after="0" w:line="360" w:lineRule="auto"/>
                  <w:ind w:left="397" w:right="113" w:hanging="284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0E13C3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SEPA will assess submission and ascertain if enough information is provided to </w:t>
                </w:r>
                <w:r w:rsidR="00495118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resolve MNC</w:t>
                </w:r>
                <w:r w:rsidRPr="000E13C3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tr>
        </w:tbl>
        <w:p w14:paraId="17DAC6DC" w14:textId="27D57F1B" w:rsidR="00555C22" w:rsidRPr="0041135D" w:rsidRDefault="00555C22" w:rsidP="00555C22">
          <w:pPr>
            <w:spacing w:before="120" w:after="120"/>
            <w:sectPr w:rsidR="00555C22" w:rsidRPr="0041135D" w:rsidSect="00C03049">
              <w:headerReference w:type="first" r:id="rId25"/>
              <w:pgSz w:w="16840" w:h="11900" w:orient="landscape"/>
              <w:pgMar w:top="839" w:right="839" w:bottom="839" w:left="839" w:header="794" w:footer="567" w:gutter="0"/>
              <w:pgNumType w:start="6"/>
              <w:cols w:space="708"/>
              <w:titlePg/>
              <w:docGrid w:linePitch="360"/>
            </w:sectPr>
          </w:pPr>
        </w:p>
        <w:p w14:paraId="2BABFB06" w14:textId="7ABBFDC8" w:rsidR="009F3A7A" w:rsidRPr="0041135D" w:rsidRDefault="009F3A7A" w:rsidP="000C55A9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EA3FD3" w:rsidRPr="0041135D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4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127A5C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BC0B39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Overall </w:t>
          </w:r>
          <w:r w:rsidR="0078627A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m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anagement </w:t>
          </w:r>
          <w:r w:rsidR="0078627A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o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f </w:t>
          </w:r>
          <w:r w:rsidR="0078627A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auth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orised </w:t>
          </w:r>
          <w:r w:rsidR="0078627A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ctivities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  <w:tblCaption w:val="Table 4:  Overall Management Of Authorised Activities"/>
            <w:tblDescription w:val="Table containing 4 columns &quot;Authorisation Condition&quot;, &quot;Major Non-Compliance&quot;, &quot;How Will SEPA Assess / Supporting Guidance&quot; and &quot;Return To Compliance Examples&quot; and 6 rows. Table highlights conditions within authorisations, when the condition would become major non-compliant, how SEPA will assess and actions the site would have to undertake to return to compliance. "/>
          </w:tblPr>
          <w:tblGrid>
            <w:gridCol w:w="2942"/>
            <w:gridCol w:w="3254"/>
            <w:gridCol w:w="4473"/>
            <w:gridCol w:w="4473"/>
          </w:tblGrid>
          <w:tr w:rsidR="00EF4BD8" w:rsidRPr="0041135D" w14:paraId="5BF06F8F" w14:textId="6948B631" w:rsidTr="6A8B63BB">
            <w:trPr>
              <w:trHeight w:val="610"/>
              <w:tblHeader/>
            </w:trPr>
            <w:tc>
              <w:tcPr>
                <w:tcW w:w="971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A5B1F23" w14:textId="77777777" w:rsidR="00EF4BD8" w:rsidRPr="0041135D" w:rsidRDefault="00EF4BD8" w:rsidP="008D75D8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074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4C6793A" w14:textId="77777777" w:rsidR="00EF4BD8" w:rsidRPr="0041135D" w:rsidRDefault="00EF4BD8" w:rsidP="008D75D8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477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25751F" w14:textId="347D8215" w:rsidR="00EF4BD8" w:rsidRPr="0041135D" w:rsidRDefault="00EF4BD8" w:rsidP="008D75D8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477" w:type="pct"/>
                <w:shd w:val="clear" w:color="auto" w:fill="016574" w:themeFill="accent6"/>
              </w:tcPr>
              <w:p w14:paraId="2582661F" w14:textId="38E94C37" w:rsidR="00EF4BD8" w:rsidRPr="0041135D" w:rsidRDefault="00EF4BD8" w:rsidP="002512F8">
                <w:pPr>
                  <w:spacing w:before="120" w:after="0"/>
                  <w:ind w:lef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12693C" w:rsidRPr="0041135D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EF4BD8" w:rsidRPr="0041135D" w14:paraId="5D2B4D97" w14:textId="118AE6A3" w:rsidTr="6A8B63BB">
            <w:trPr>
              <w:trHeight w:val="392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76DBA3" w14:textId="070588E6" w:rsidR="00EF4BD8" w:rsidRPr="0041135D" w:rsidRDefault="00EF4BD8" w:rsidP="008D75D8">
                <w:pPr>
                  <w:spacing w:before="120" w:after="0"/>
                  <w:rPr>
                    <w:rFonts w:asciiTheme="majorHAnsi" w:eastAsia="Aptos" w:hAnsiTheme="majorHAnsi" w:cstheme="majorHAnsi"/>
                  </w:rPr>
                </w:pPr>
                <w:r w:rsidRPr="0041135D">
                  <w:rPr>
                    <w:rFonts w:asciiTheme="majorHAnsi" w:eastAsia="Aptos" w:hAnsiTheme="majorHAnsi" w:cstheme="majorHAnsi"/>
                  </w:rPr>
                  <w:t>Authorised person must ensure compliance with the conditions of this authorisation</w:t>
                </w:r>
                <w:r w:rsidR="0044369E">
                  <w:rPr>
                    <w:rFonts w:asciiTheme="majorHAnsi" w:eastAsia="Aptos" w:hAnsiTheme="majorHAnsi" w:cstheme="majorHAnsi"/>
                  </w:rPr>
                  <w:t>.</w:t>
                </w:r>
              </w:p>
              <w:p w14:paraId="31F4A5F4" w14:textId="6E2ABEAB" w:rsidR="00EF4BD8" w:rsidRPr="0041135D" w:rsidRDefault="00EF4BD8" w:rsidP="008D75D8">
                <w:pPr>
                  <w:spacing w:before="120" w:after="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8F55CA" w14:textId="725ED7EA" w:rsidR="00EF4BD8" w:rsidRPr="0041135D" w:rsidRDefault="00EF4BD8" w:rsidP="008D75D8">
                <w:pPr>
                  <w:spacing w:before="120" w:after="0"/>
                  <w:ind w:right="180"/>
                  <w:textAlignment w:val="baseline"/>
                  <w:rPr>
                    <w:rFonts w:asciiTheme="majorHAnsi" w:eastAsia="Aptos" w:hAnsiTheme="majorHAnsi" w:cstheme="majorHAnsi"/>
                  </w:rPr>
                </w:pPr>
                <w:r w:rsidRPr="0041135D">
                  <w:rPr>
                    <w:rFonts w:asciiTheme="majorHAnsi" w:eastAsia="Aptos" w:hAnsiTheme="majorHAnsi" w:cstheme="majorHAnsi"/>
                  </w:rPr>
                  <w:t xml:space="preserve">Non-compliance causes or </w:t>
                </w:r>
                <w:r w:rsidR="005A710D">
                  <w:rPr>
                    <w:rFonts w:asciiTheme="majorHAnsi" w:eastAsia="Aptos" w:hAnsiTheme="majorHAnsi" w:cstheme="majorHAnsi"/>
                  </w:rPr>
                  <w:t>is likely</w:t>
                </w:r>
                <w:r w:rsidRPr="0041135D">
                  <w:rPr>
                    <w:rFonts w:asciiTheme="majorHAnsi" w:eastAsia="Aptos" w:hAnsiTheme="majorHAnsi" w:cstheme="majorHAnsi"/>
                  </w:rPr>
                  <w:t xml:space="preserve"> to cause </w:t>
                </w:r>
                <w:r w:rsidR="005A710D">
                  <w:rPr>
                    <w:rFonts w:asciiTheme="majorHAnsi" w:eastAsia="Aptos" w:hAnsiTheme="majorHAnsi" w:cstheme="majorHAnsi"/>
                  </w:rPr>
                  <w:t xml:space="preserve">a </w:t>
                </w:r>
                <w:r w:rsidRPr="0041135D">
                  <w:rPr>
                    <w:rFonts w:asciiTheme="majorHAnsi" w:eastAsia="Aptos" w:hAnsiTheme="majorHAnsi" w:cstheme="majorHAnsi"/>
                  </w:rPr>
                  <w:t>Category 1 or 2 environmental event.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487BFA" w14:textId="4F1655C1" w:rsidR="00EF4BD8" w:rsidRPr="0041135D" w:rsidRDefault="00EF4BD8" w:rsidP="008D75D8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t xml:space="preserve">Ensuring compliance with conditions requires an authorised person to have robust management control measures in place. </w:t>
                </w:r>
              </w:p>
              <w:p w14:paraId="00C8F46D" w14:textId="3E581571" w:rsidR="00EF4BD8" w:rsidRPr="0041135D" w:rsidRDefault="00EF4BD8" w:rsidP="008D75D8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t>In assessing compliance with this condition, the following will be considered:</w:t>
                </w:r>
              </w:p>
              <w:p w14:paraId="38559B77" w14:textId="14D4F08C" w:rsidR="00EF4BD8" w:rsidRPr="0041135D" w:rsidRDefault="00EF4BD8" w:rsidP="008D75D8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right="288"/>
                  <w:contextualSpacing w:val="0"/>
                  <w:textAlignment w:val="baseline"/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t>Technical competence.</w:t>
                </w:r>
              </w:p>
              <w:p w14:paraId="473A01F8" w14:textId="1658A8BF" w:rsidR="00EF4BD8" w:rsidRPr="0041135D" w:rsidRDefault="00EF4BD8" w:rsidP="008D75D8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right="288"/>
                  <w:contextualSpacing w:val="0"/>
                  <w:textAlignment w:val="baseline"/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</w:pPr>
                <w:r w:rsidRPr="38E7FD1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Ability of responsible person on site during inspection to demonstrate knowledge of authorisation requirements </w:t>
                </w:r>
                <w:r w:rsidR="68F626B3" w:rsidRPr="38E7FD12">
                  <w:rPr>
                    <w:rFonts w:asciiTheme="majorHAnsi" w:hAnsiTheme="majorHAnsi" w:cstheme="majorBidi"/>
                    <w:sz w:val="24"/>
                    <w:szCs w:val="24"/>
                  </w:rPr>
                  <w:t>and</w:t>
                </w:r>
                <w:r w:rsidRPr="38E7FD1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operational pollution control procedures and processes required to ensure compliance. </w:t>
                </w:r>
              </w:p>
              <w:p w14:paraId="176A4EF4" w14:textId="37DE89D2" w:rsidR="00EF4BD8" w:rsidRPr="0041135D" w:rsidRDefault="00EF4BD8" w:rsidP="008D75D8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right="288"/>
                  <w:contextualSpacing w:val="0"/>
                  <w:textAlignment w:val="baseline"/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t>Staff training to ensure compliance.</w:t>
                </w:r>
              </w:p>
              <w:p w14:paraId="6463A188" w14:textId="02345650" w:rsidR="00EF4BD8" w:rsidRPr="0041135D" w:rsidRDefault="00EF4BD8" w:rsidP="008D75D8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right="288"/>
                  <w:contextualSpacing w:val="0"/>
                  <w:textAlignment w:val="baseline"/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lastRenderedPageBreak/>
                  <w:t>Adherence to management plans and processes.</w:t>
                </w:r>
              </w:p>
              <w:p w14:paraId="686DA79A" w14:textId="78ED8123" w:rsidR="00EF4BD8" w:rsidRPr="0041135D" w:rsidRDefault="00EF4BD8" w:rsidP="008D75D8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right="288"/>
                  <w:contextualSpacing w:val="0"/>
                  <w:textAlignment w:val="baseline"/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t>How plant and equipment is being operated</w:t>
                </w:r>
                <w:r w:rsidR="00D604E5" w:rsidRPr="0041135D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t xml:space="preserve"> </w:t>
                </w:r>
                <w:r w:rsidR="00A31AE0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t>and</w:t>
                </w:r>
                <w:r w:rsidR="00D604E5" w:rsidRPr="0041135D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t xml:space="preserve"> </w:t>
                </w:r>
                <w:r w:rsidRPr="0041135D">
                  <w:rPr>
                    <w:rFonts w:asciiTheme="majorHAnsi" w:eastAsiaTheme="minorEastAsia" w:hAnsiTheme="majorHAnsi" w:cstheme="majorHAnsi"/>
                    <w:sz w:val="24"/>
                    <w:szCs w:val="24"/>
                  </w:rPr>
                  <w:t>maintained.</w:t>
                </w:r>
              </w:p>
              <w:p w14:paraId="42DAD92F" w14:textId="0173785A" w:rsidR="00EF4BD8" w:rsidRPr="0041135D" w:rsidRDefault="00EF4BD8" w:rsidP="6A8B63BB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right="288"/>
                  <w:contextualSpacing w:val="0"/>
                  <w:textAlignment w:val="baseline"/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</w:pPr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Monitoring equipment </w:t>
                </w:r>
                <w:r w:rsidR="000A5A54"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is </w:t>
                </w:r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not present or not calibrated in line with </w:t>
                </w:r>
                <w:r w:rsidR="007B126C"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the </w:t>
                </w:r>
                <w:r w:rsidR="000B2E3D"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>manufacturer’s</w:t>
                </w:r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 guidance</w:t>
                </w:r>
                <w:r w:rsidR="007B126C"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>,</w:t>
                </w:r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 so operator has no early warning o</w:t>
                </w:r>
                <w:r w:rsidR="000B2E3D"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>f</w:t>
                </w:r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 </w:t>
                </w:r>
                <w:r w:rsidR="000B2E3D"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>a</w:t>
                </w:r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 </w:t>
                </w:r>
                <w:r w:rsidR="007B05F8"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likely </w:t>
                </w:r>
                <w:bookmarkStart w:id="14" w:name="_Int_kRNmb5lb"/>
                <w:proofErr w:type="gramStart"/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>Category</w:t>
                </w:r>
                <w:bookmarkEnd w:id="14"/>
                <w:proofErr w:type="gramEnd"/>
                <w:r w:rsidRPr="6A8B63BB">
                  <w:rPr>
                    <w:rFonts w:asciiTheme="majorHAnsi" w:eastAsiaTheme="minorEastAsia" w:hAnsiTheme="majorHAnsi" w:cstheme="majorBidi"/>
                    <w:sz w:val="24"/>
                    <w:szCs w:val="24"/>
                  </w:rPr>
                  <w:t xml:space="preserve"> 1 or 2 event. </w:t>
                </w:r>
              </w:p>
            </w:tc>
            <w:tc>
              <w:tcPr>
                <w:tcW w:w="1477" w:type="pct"/>
              </w:tcPr>
              <w:p w14:paraId="6048CF7F" w14:textId="7012D1CD" w:rsidR="005012A1" w:rsidRPr="0041135D" w:rsidRDefault="005012A1" w:rsidP="0047189A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391" w:right="113" w:hanging="278"/>
                  <w:textAlignment w:val="baseline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lastRenderedPageBreak/>
                  <w:t>Management system in place to control the site activities in accordance with the authorisation</w:t>
                </w:r>
                <w:r w:rsidR="0033179C"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>.</w:t>
                </w:r>
              </w:p>
              <w:p w14:paraId="644D2A41" w14:textId="1E6CC07B" w:rsidR="005012A1" w:rsidRPr="0041135D" w:rsidRDefault="005012A1" w:rsidP="0047189A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391" w:right="113" w:hanging="278"/>
                  <w:textAlignment w:val="baseline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Activities have ceased or reduced to levels </w:t>
                </w:r>
                <w:r w:rsidR="00405980">
                  <w:rPr>
                    <w:rFonts w:asciiTheme="majorHAnsi" w:hAnsiTheme="majorHAnsi" w:cstheme="majorHAnsi"/>
                    <w:sz w:val="24"/>
                    <w:szCs w:val="24"/>
                  </w:rPr>
                  <w:t>that</w:t>
                </w: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no longer cause or </w:t>
                </w:r>
                <w:r w:rsidR="00A03F1F">
                  <w:rPr>
                    <w:rFonts w:asciiTheme="majorHAnsi" w:hAnsiTheme="majorHAnsi" w:cstheme="majorHAnsi"/>
                    <w:sz w:val="24"/>
                    <w:szCs w:val="24"/>
                  </w:rPr>
                  <w:t>are likely to cause</w:t>
                </w: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a category 1 or 2 environmental event</w:t>
                </w:r>
                <w:r w:rsidR="0033179C"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>.</w:t>
                </w:r>
              </w:p>
              <w:p w14:paraId="7F5AE7C3" w14:textId="59A62809" w:rsidR="005012A1" w:rsidRPr="0041135D" w:rsidRDefault="005012A1" w:rsidP="0047189A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391" w:right="113" w:hanging="278"/>
                  <w:textAlignment w:val="baseline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>Evidence that site equipment or infrastructure is installed and operating in accordance with the authorisation</w:t>
                </w:r>
                <w:r w:rsidR="0033179C"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>.</w:t>
                </w: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  <w:p w14:paraId="18BEB24A" w14:textId="63367401" w:rsidR="00EF4BD8" w:rsidRPr="0041135D" w:rsidRDefault="00EF4BD8" w:rsidP="008D75D8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</w:p>
            </w:tc>
          </w:tr>
          <w:tr w:rsidR="00EF4BD8" w:rsidRPr="0041135D" w14:paraId="0CAF4F6C" w14:textId="3092F6CB" w:rsidTr="6A8B63BB">
            <w:trPr>
              <w:trHeight w:val="392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A69B9B" w14:textId="4C7D96D7" w:rsidR="00EF4BD8" w:rsidRPr="0041135D" w:rsidRDefault="00EF4BD8" w:rsidP="6A8B63BB">
                <w:pPr>
                  <w:spacing w:before="120" w:after="0"/>
                  <w:rPr>
                    <w:rFonts w:asciiTheme="majorHAnsi" w:eastAsia="Times New Roman" w:hAnsiTheme="majorHAnsi" w:cstheme="majorBidi"/>
                    <w:lang w:eastAsia="en-GB"/>
                  </w:rPr>
                </w:pPr>
                <w:r w:rsidRPr="6A8B63BB">
                  <w:rPr>
                    <w:rFonts w:asciiTheme="majorHAnsi" w:eastAsia="Aptos" w:hAnsiTheme="majorHAnsi" w:cstheme="majorBidi"/>
                  </w:rPr>
                  <w:t>Compliance with authorisation conditions</w:t>
                </w:r>
                <w:bookmarkStart w:id="15" w:name="_Int_Mupk4HCF"/>
                <w:r w:rsidR="009F2578" w:rsidRPr="6A8B63BB">
                  <w:rPr>
                    <w:rFonts w:asciiTheme="majorHAnsi" w:eastAsia="Aptos" w:hAnsiTheme="majorHAnsi" w:cstheme="majorBidi"/>
                  </w:rPr>
                  <w:t>.</w:t>
                </w:r>
                <w:r w:rsidRPr="6A8B63BB">
                  <w:rPr>
                    <w:rFonts w:asciiTheme="majorHAnsi" w:eastAsia="Arial" w:hAnsiTheme="majorHAnsi" w:cstheme="majorBidi"/>
                  </w:rPr>
                  <w:t> </w:t>
                </w:r>
                <w:r w:rsidRPr="6A8B63BB">
                  <w:rPr>
                    <w:rFonts w:asciiTheme="majorHAnsi" w:eastAsia="Aptos" w:hAnsiTheme="majorHAnsi" w:cstheme="majorBidi"/>
                  </w:rPr>
                  <w:t xml:space="preserve"> </w:t>
                </w:r>
                <w:bookmarkEnd w:id="15"/>
                <w:r w:rsidRPr="6A8B63BB">
                  <w:rPr>
                    <w:rFonts w:asciiTheme="majorHAnsi" w:eastAsia="Calibri" w:hAnsiTheme="majorHAnsi" w:cstheme="majorBidi"/>
                  </w:rPr>
                  <w:t xml:space="preserve"> 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76B19E" w14:textId="37CD664C" w:rsidR="00EF4BD8" w:rsidRPr="009F2578" w:rsidRDefault="00EF4BD8" w:rsidP="009F2578">
                <w:pPr>
                  <w:pStyle w:val="ListParagraph"/>
                  <w:numPr>
                    <w:ilvl w:val="0"/>
                    <w:numId w:val="38"/>
                  </w:numPr>
                  <w:spacing w:before="120" w:after="0" w:line="360" w:lineRule="auto"/>
                  <w:ind w:left="341" w:hanging="284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9F257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Multiple non-compliance (same or different conditions) </w:t>
                </w:r>
                <w:r w:rsidR="006B59F1">
                  <w:rPr>
                    <w:rFonts w:asciiTheme="majorHAnsi" w:hAnsiTheme="majorHAnsi" w:cstheme="majorBidi"/>
                    <w:sz w:val="24"/>
                    <w:szCs w:val="24"/>
                  </w:rPr>
                  <w:t>that</w:t>
                </w:r>
                <w:r w:rsidRPr="009F257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cumulatively equate to major non-compliance. </w:t>
                </w:r>
              </w:p>
              <w:p w14:paraId="6722FE8E" w14:textId="77777777" w:rsidR="00A73726" w:rsidRPr="009F2578" w:rsidRDefault="00A73726" w:rsidP="009F2578">
                <w:pPr>
                  <w:pStyle w:val="ListParagraph"/>
                  <w:numPr>
                    <w:ilvl w:val="0"/>
                    <w:numId w:val="38"/>
                  </w:numPr>
                  <w:spacing w:before="120" w:after="0" w:line="360" w:lineRule="auto"/>
                  <w:ind w:left="341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9F2578">
                  <w:rPr>
                    <w:rFonts w:ascii="Arial" w:hAnsi="Arial" w:cs="Arial"/>
                    <w:sz w:val="24"/>
                    <w:szCs w:val="24"/>
                  </w:rPr>
                  <w:t xml:space="preserve">The major non-compliance will be against the condition that places the responsibility </w:t>
                </w:r>
                <w:r w:rsidRPr="009F2578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on the Authorised Person to ensure compliance with the conditions of the authorisation. </w:t>
                </w:r>
              </w:p>
              <w:p w14:paraId="3FAC34FE" w14:textId="488E0F18" w:rsidR="00A73726" w:rsidRPr="00735DDA" w:rsidRDefault="00A73726" w:rsidP="0D20E5CA">
                <w:pPr>
                  <w:spacing w:before="120" w:after="0"/>
                  <w:rPr>
                    <w:rFonts w:asciiTheme="majorHAnsi" w:hAnsiTheme="majorHAnsi" w:cstheme="majorBidi"/>
                  </w:rPr>
                </w:pP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2ACF4C" w14:textId="4F4E85D7" w:rsidR="00EF4BD8" w:rsidRPr="004E79BC" w:rsidRDefault="48ACAC3D" w:rsidP="77D855EF">
                <w:pPr>
                  <w:shd w:val="clear" w:color="auto" w:fill="FFFFFF" w:themeFill="background1"/>
                  <w:spacing w:after="0"/>
                  <w:textAlignment w:val="baseline"/>
                  <w:rPr>
                    <w:rFonts w:ascii="Segoe UI" w:eastAsia="Segoe UI" w:hAnsi="Segoe UI" w:cs="Segoe UI"/>
                  </w:rPr>
                </w:pPr>
                <w:r w:rsidRPr="00735DDA">
                  <w:rPr>
                    <w:rFonts w:asciiTheme="majorHAnsi" w:hAnsiTheme="majorHAnsi" w:cstheme="majorBidi"/>
                  </w:rPr>
                  <w:lastRenderedPageBreak/>
                  <w:t>Having regard to condition-specific guidance where this exists and</w:t>
                </w:r>
                <w:r w:rsidR="57DB278E" w:rsidRPr="00735DDA">
                  <w:rPr>
                    <w:rFonts w:asciiTheme="majorHAnsi" w:hAnsiTheme="majorHAnsi" w:cstheme="majorBidi"/>
                  </w:rPr>
                  <w:t xml:space="preserve"> </w:t>
                </w:r>
                <w:r w:rsidRPr="00735DDA">
                  <w:rPr>
                    <w:rFonts w:asciiTheme="majorHAnsi" w:hAnsiTheme="majorHAnsi" w:cstheme="majorBidi"/>
                  </w:rPr>
                  <w:t>/</w:t>
                </w:r>
                <w:r w:rsidR="57DB278E" w:rsidRPr="00735DDA">
                  <w:rPr>
                    <w:rFonts w:asciiTheme="majorHAnsi" w:hAnsiTheme="majorHAnsi" w:cstheme="majorBidi"/>
                  </w:rPr>
                  <w:t xml:space="preserve"> </w:t>
                </w:r>
                <w:r w:rsidRPr="00735DDA">
                  <w:rPr>
                    <w:rFonts w:asciiTheme="majorHAnsi" w:hAnsiTheme="majorHAnsi" w:cstheme="majorBidi"/>
                  </w:rPr>
                  <w:t xml:space="preserve">or environmental events guidance and </w:t>
                </w:r>
                <w:r w:rsidRPr="004E79BC">
                  <w:rPr>
                    <w:rFonts w:asciiTheme="majorHAnsi" w:hAnsiTheme="majorHAnsi" w:cstheme="majorBidi"/>
                  </w:rPr>
                  <w:t xml:space="preserve">events records. </w:t>
                </w:r>
              </w:p>
              <w:p w14:paraId="2C02421B" w14:textId="35196E16" w:rsidR="00EF4BD8" w:rsidRPr="00735DDA" w:rsidRDefault="00EF4BD8" w:rsidP="37CD1ED3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17" w:hanging="283"/>
                  <w:rPr>
                    <w:rFonts w:asciiTheme="majorHAnsi" w:hAnsiTheme="majorHAnsi" w:cstheme="majorBidi"/>
                    <w:strike/>
                    <w:sz w:val="24"/>
                    <w:szCs w:val="24"/>
                  </w:rPr>
                </w:pPr>
                <w:r w:rsidRPr="004E79BC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Greater than or equal to </w:t>
                </w:r>
                <w:r w:rsidR="2AD96C0B" w:rsidRPr="004E79BC">
                  <w:rPr>
                    <w:rFonts w:asciiTheme="majorHAnsi" w:hAnsiTheme="majorHAnsi" w:cstheme="majorBidi"/>
                    <w:sz w:val="24"/>
                    <w:szCs w:val="24"/>
                  </w:rPr>
                  <w:t>four</w:t>
                </w:r>
                <w:r w:rsidRPr="004E79BC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category</w:t>
                </w:r>
                <w:r w:rsidRPr="37CD1ED3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3 events within a 365-day period </w:t>
                </w:r>
                <w:r w:rsidR="0059252F">
                  <w:rPr>
                    <w:rFonts w:asciiTheme="majorHAnsi" w:hAnsiTheme="majorHAnsi" w:cstheme="majorBidi"/>
                    <w:sz w:val="24"/>
                    <w:szCs w:val="24"/>
                  </w:rPr>
                  <w:t>that</w:t>
                </w:r>
                <w:r w:rsidRPr="37CD1ED3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have been caused by a breach of the same condition.</w:t>
                </w:r>
              </w:p>
              <w:p w14:paraId="774CA70F" w14:textId="443D9E48" w:rsidR="00EF4BD8" w:rsidRPr="00735DDA" w:rsidRDefault="00EF4BD8" w:rsidP="6A8B63BB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17" w:hanging="283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6A8B63BB">
                  <w:rPr>
                    <w:rFonts w:asciiTheme="majorHAnsi" w:hAnsiTheme="majorHAnsi" w:cstheme="majorBidi"/>
                    <w:sz w:val="24"/>
                    <w:szCs w:val="24"/>
                  </w:rPr>
                  <w:lastRenderedPageBreak/>
                  <w:t xml:space="preserve">Unless otherwise stated within the site authorisation, multiple non-compliance breaches may be considered collectively as major non-compliance depending on the </w:t>
                </w:r>
                <w:bookmarkStart w:id="16" w:name="_Int_RIJn0914"/>
                <w:proofErr w:type="gramStart"/>
                <w:r w:rsidRPr="6A8B63BB">
                  <w:rPr>
                    <w:rFonts w:asciiTheme="majorHAnsi" w:hAnsiTheme="majorHAnsi" w:cstheme="majorBidi"/>
                    <w:sz w:val="24"/>
                    <w:szCs w:val="24"/>
                  </w:rPr>
                  <w:t>particular circumstances</w:t>
                </w:r>
                <w:bookmarkEnd w:id="16"/>
                <w:proofErr w:type="gramEnd"/>
                <w:r w:rsidRPr="6A8B63BB">
                  <w:rPr>
                    <w:rFonts w:asciiTheme="majorHAnsi" w:hAnsiTheme="majorHAnsi" w:cstheme="majorBidi"/>
                    <w:sz w:val="24"/>
                    <w:szCs w:val="24"/>
                  </w:rPr>
                  <w:t>. SEPA's assessment will be subject to additional governance checks to ensure national consistency in decision-making.</w:t>
                </w:r>
              </w:p>
            </w:tc>
            <w:tc>
              <w:tcPr>
                <w:tcW w:w="1477" w:type="pct"/>
              </w:tcPr>
              <w:p w14:paraId="3008AEDE" w14:textId="4C0033F5" w:rsidR="00EF4BD8" w:rsidRPr="00735DDA" w:rsidRDefault="7DCB2FF1" w:rsidP="0047189A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eastAsia="Segoe UI"/>
                    <w:sz w:val="24"/>
                    <w:szCs w:val="24"/>
                  </w:rPr>
                </w:pPr>
                <w:r w:rsidRPr="6A8B63BB">
                  <w:rPr>
                    <w:rFonts w:eastAsia="Segoe UI"/>
                    <w:sz w:val="24"/>
                    <w:szCs w:val="24"/>
                  </w:rPr>
                  <w:lastRenderedPageBreak/>
                  <w:t>Demonstrati</w:t>
                </w:r>
                <w:r w:rsidR="3C9417A5" w:rsidRPr="6A8B63BB">
                  <w:rPr>
                    <w:rFonts w:eastAsia="Segoe UI"/>
                    <w:sz w:val="24"/>
                    <w:szCs w:val="24"/>
                  </w:rPr>
                  <w:t>on that</w:t>
                </w:r>
                <w:r w:rsidR="55EF2758" w:rsidRPr="6A8B63BB">
                  <w:rPr>
                    <w:rFonts w:eastAsia="Segoe UI"/>
                    <w:sz w:val="24"/>
                    <w:szCs w:val="24"/>
                  </w:rPr>
                  <w:t xml:space="preserve"> the </w:t>
                </w:r>
                <w:r w:rsidR="00AE5D4F" w:rsidRPr="6A8B63BB">
                  <w:rPr>
                    <w:rFonts w:eastAsia="Segoe UI"/>
                    <w:sz w:val="24"/>
                    <w:szCs w:val="24"/>
                  </w:rPr>
                  <w:t xml:space="preserve">cause or </w:t>
                </w:r>
                <w:bookmarkStart w:id="17" w:name="_Int_zpkAXW0o"/>
                <w:r w:rsidR="00AE5D4F" w:rsidRPr="6A8B63BB">
                  <w:rPr>
                    <w:rFonts w:eastAsia="Segoe UI"/>
                    <w:sz w:val="24"/>
                    <w:szCs w:val="24"/>
                  </w:rPr>
                  <w:t>likely cause</w:t>
                </w:r>
                <w:bookmarkEnd w:id="17"/>
                <w:r w:rsidR="00AE5D4F" w:rsidRPr="6A8B63BB">
                  <w:rPr>
                    <w:rFonts w:eastAsia="Segoe UI"/>
                    <w:sz w:val="24"/>
                    <w:szCs w:val="24"/>
                  </w:rPr>
                  <w:t xml:space="preserve"> </w:t>
                </w:r>
                <w:r w:rsidR="55EF2758" w:rsidRPr="6A8B63BB">
                  <w:rPr>
                    <w:rFonts w:eastAsia="Segoe UI"/>
                    <w:sz w:val="24"/>
                    <w:szCs w:val="24"/>
                  </w:rPr>
                  <w:t xml:space="preserve">of the </w:t>
                </w:r>
                <w:r w:rsidR="00560D94" w:rsidRPr="6A8B63BB">
                  <w:rPr>
                    <w:rFonts w:eastAsia="Segoe UI"/>
                    <w:sz w:val="24"/>
                    <w:szCs w:val="24"/>
                  </w:rPr>
                  <w:t>harm</w:t>
                </w:r>
                <w:r w:rsidR="55EF2758" w:rsidRPr="6A8B63BB">
                  <w:rPr>
                    <w:rFonts w:eastAsia="Segoe UI"/>
                    <w:sz w:val="24"/>
                    <w:szCs w:val="24"/>
                  </w:rPr>
                  <w:t xml:space="preserve"> has ceased</w:t>
                </w:r>
                <w:r w:rsidR="00F36822" w:rsidRPr="6A8B63BB">
                  <w:rPr>
                    <w:rFonts w:eastAsia="Segoe UI"/>
                    <w:sz w:val="24"/>
                    <w:szCs w:val="24"/>
                  </w:rPr>
                  <w:t xml:space="preserve"> </w:t>
                </w:r>
                <w:r w:rsidR="00096D17" w:rsidRPr="6A8B63BB">
                  <w:rPr>
                    <w:rFonts w:eastAsia="Segoe UI"/>
                    <w:sz w:val="24"/>
                    <w:szCs w:val="24"/>
                  </w:rPr>
                  <w:t>or</w:t>
                </w:r>
                <w:r w:rsidR="55EF2758" w:rsidRPr="6A8B63BB">
                  <w:rPr>
                    <w:rFonts w:eastAsia="Segoe UI"/>
                    <w:sz w:val="24"/>
                    <w:szCs w:val="24"/>
                  </w:rPr>
                  <w:t xml:space="preserve"> been resolved. This can include monitoring </w:t>
                </w:r>
                <w:r w:rsidR="27DBD969" w:rsidRPr="6A8B63BB">
                  <w:rPr>
                    <w:rFonts w:eastAsia="Segoe UI"/>
                    <w:sz w:val="24"/>
                    <w:szCs w:val="24"/>
                  </w:rPr>
                  <w:t>or</w:t>
                </w:r>
                <w:r w:rsidR="55EF2758" w:rsidRPr="6A8B63BB">
                  <w:rPr>
                    <w:rFonts w:eastAsia="Segoe UI"/>
                    <w:sz w:val="24"/>
                    <w:szCs w:val="24"/>
                  </w:rPr>
                  <w:t xml:space="preserve"> modelling.</w:t>
                </w:r>
              </w:p>
              <w:p w14:paraId="21004437" w14:textId="413A1BE5" w:rsidR="00EF4BD8" w:rsidRPr="00735DDA" w:rsidRDefault="55EF2758" w:rsidP="0047189A">
                <w:pPr>
                  <w:pStyle w:val="ListParagraph"/>
                  <w:numPr>
                    <w:ilvl w:val="0"/>
                    <w:numId w:val="1"/>
                  </w:numPr>
                  <w:shd w:val="clear" w:color="auto" w:fill="FFFFFF" w:themeFill="background1"/>
                  <w:spacing w:before="120" w:after="0" w:line="360" w:lineRule="auto"/>
                  <w:ind w:left="397" w:right="113" w:hanging="284"/>
                  <w:textAlignment w:val="baseline"/>
                  <w:rPr>
                    <w:rFonts w:eastAsia="Segoe UI"/>
                    <w:sz w:val="24"/>
                    <w:szCs w:val="24"/>
                  </w:rPr>
                </w:pPr>
                <w:r w:rsidRPr="6A8B63BB">
                  <w:rPr>
                    <w:rFonts w:eastAsia="Segoe UI"/>
                    <w:sz w:val="24"/>
                    <w:szCs w:val="24"/>
                  </w:rPr>
                  <w:t xml:space="preserve">Remedial actions will be specific for each non-compliance. However, evidence must </w:t>
                </w:r>
                <w:r w:rsidR="007E4946" w:rsidRPr="6A8B63BB">
                  <w:rPr>
                    <w:rFonts w:eastAsia="Segoe UI"/>
                    <w:sz w:val="24"/>
                    <w:szCs w:val="24"/>
                  </w:rPr>
                  <w:t>demonstrate</w:t>
                </w:r>
                <w:r w:rsidRPr="6A8B63BB">
                  <w:rPr>
                    <w:rFonts w:eastAsia="Segoe UI"/>
                    <w:sz w:val="24"/>
                    <w:szCs w:val="24"/>
                  </w:rPr>
                  <w:t xml:space="preserve"> that </w:t>
                </w:r>
                <w:bookmarkStart w:id="18" w:name="_Int_Vm6wsF7r"/>
                <w:proofErr w:type="gramStart"/>
                <w:r w:rsidRPr="6A8B63BB">
                  <w:rPr>
                    <w:rFonts w:eastAsia="Segoe UI"/>
                    <w:b/>
                    <w:bCs/>
                    <w:sz w:val="24"/>
                    <w:szCs w:val="24"/>
                  </w:rPr>
                  <w:t>all</w:t>
                </w:r>
                <w:r w:rsidRPr="6A8B63BB">
                  <w:rPr>
                    <w:rFonts w:eastAsia="Segoe UI"/>
                    <w:sz w:val="24"/>
                    <w:szCs w:val="24"/>
                  </w:rPr>
                  <w:t xml:space="preserve"> of</w:t>
                </w:r>
                <w:bookmarkEnd w:id="18"/>
                <w:proofErr w:type="gramEnd"/>
                <w:r w:rsidRPr="6A8B63BB">
                  <w:rPr>
                    <w:rFonts w:eastAsia="Segoe UI"/>
                    <w:sz w:val="24"/>
                    <w:szCs w:val="24"/>
                  </w:rPr>
                  <w:t xml:space="preserve"> the conditions identified as </w:t>
                </w:r>
                <w:r w:rsidRPr="6A8B63BB">
                  <w:rPr>
                    <w:rFonts w:eastAsia="Segoe UI"/>
                    <w:sz w:val="24"/>
                    <w:szCs w:val="24"/>
                  </w:rPr>
                  <w:lastRenderedPageBreak/>
                  <w:t>cumulatively equating to major non-compliance are now compliant</w:t>
                </w:r>
                <w:r w:rsidR="00FA2636" w:rsidRPr="6A8B63BB">
                  <w:rPr>
                    <w:rFonts w:eastAsia="Segoe UI"/>
                    <w:sz w:val="24"/>
                    <w:szCs w:val="24"/>
                  </w:rPr>
                  <w:t>.</w:t>
                </w:r>
              </w:p>
              <w:p w14:paraId="111285EB" w14:textId="75A665E9" w:rsidR="00EF4BD8" w:rsidRPr="00735DDA" w:rsidRDefault="00EF4BD8" w:rsidP="77D855EF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Bidi"/>
                  </w:rPr>
                </w:pPr>
              </w:p>
            </w:tc>
          </w:tr>
          <w:tr w:rsidR="00EF4BD8" w:rsidRPr="0041135D" w14:paraId="3A9160FE" w14:textId="3C5E89AB" w:rsidTr="6A8B63BB">
            <w:trPr>
              <w:trHeight w:val="392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27B5CC" w14:textId="037262D4" w:rsidR="00EF4BD8" w:rsidRPr="0041135D" w:rsidRDefault="00EF4BD8" w:rsidP="008D75D8">
                <w:pPr>
                  <w:spacing w:before="120" w:after="0"/>
                  <w:rPr>
                    <w:rFonts w:asciiTheme="majorHAnsi" w:eastAsia="Aptos" w:hAnsiTheme="majorHAnsi" w:cstheme="majorHAnsi"/>
                  </w:rPr>
                </w:pPr>
                <w:r w:rsidRPr="0041135D">
                  <w:rPr>
                    <w:rFonts w:asciiTheme="majorHAnsi" w:eastAsia="Aptos" w:hAnsiTheme="majorHAnsi" w:cstheme="majorHAnsi"/>
                  </w:rPr>
                  <w:lastRenderedPageBreak/>
                  <w:t>Site working plan</w:t>
                </w:r>
                <w:r w:rsidR="000644AD">
                  <w:rPr>
                    <w:rFonts w:asciiTheme="majorHAnsi" w:eastAsia="Aptos" w:hAnsiTheme="majorHAnsi" w:cstheme="majorHAnsi"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AF4646" w14:textId="1DFEBC33" w:rsidR="00EF4BD8" w:rsidRPr="000644AD" w:rsidRDefault="00EF4BD8" w:rsidP="000644AD">
                <w:pPr>
                  <w:pStyle w:val="ListParagraph"/>
                  <w:numPr>
                    <w:ilvl w:val="0"/>
                    <w:numId w:val="39"/>
                  </w:numPr>
                  <w:spacing w:before="120" w:after="0" w:line="360" w:lineRule="auto"/>
                  <w:ind w:left="341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0644AD">
                  <w:rPr>
                    <w:rFonts w:asciiTheme="majorHAnsi" w:hAnsiTheme="majorHAnsi" w:cstheme="majorHAnsi"/>
                    <w:sz w:val="24"/>
                    <w:szCs w:val="24"/>
                  </w:rPr>
                  <w:t>Working plan unobtainable or inadequate (fails to reflect operations on site).</w:t>
                </w:r>
              </w:p>
              <w:p w14:paraId="5849D56A" w14:textId="102DAC05" w:rsidR="00EF4BD8" w:rsidRPr="000644AD" w:rsidRDefault="00EF4BD8" w:rsidP="000644AD">
                <w:pPr>
                  <w:pStyle w:val="ListParagraph"/>
                  <w:numPr>
                    <w:ilvl w:val="0"/>
                    <w:numId w:val="39"/>
                  </w:numPr>
                  <w:spacing w:before="120" w:after="0" w:line="360" w:lineRule="auto"/>
                  <w:ind w:left="341" w:hanging="284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t>Following</w:t>
                </w:r>
                <w:r w:rsidR="00C21CB0"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</w:t>
                </w:r>
                <w:r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major non-compliance </w:t>
                </w:r>
                <w:r w:rsidRPr="000644AD">
                  <w:rPr>
                    <w:rFonts w:asciiTheme="majorHAnsi" w:hAnsiTheme="majorHAnsi" w:cstheme="majorBidi"/>
                    <w:b/>
                    <w:sz w:val="24"/>
                    <w:szCs w:val="24"/>
                  </w:rPr>
                  <w:t>if</w:t>
                </w:r>
                <w:r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</w:t>
                </w:r>
                <w:r w:rsidR="002B02B8">
                  <w:rPr>
                    <w:rFonts w:asciiTheme="majorHAnsi" w:hAnsiTheme="majorHAnsi" w:cstheme="majorBidi"/>
                    <w:sz w:val="24"/>
                    <w:szCs w:val="24"/>
                  </w:rPr>
                  <w:t>likely</w:t>
                </w:r>
                <w:r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to cause </w:t>
                </w:r>
                <w:r w:rsidR="002B02B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a </w:t>
                </w:r>
                <w:r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Category 1 or 2 </w:t>
                </w:r>
                <w:r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lastRenderedPageBreak/>
                  <w:t>environmental event, otherwise non-complian</w:t>
                </w:r>
                <w:r w:rsidR="00723C6F" w:rsidRPr="000644AD">
                  <w:rPr>
                    <w:rFonts w:asciiTheme="majorHAnsi" w:hAnsiTheme="majorHAnsi" w:cstheme="majorBidi"/>
                    <w:sz w:val="24"/>
                    <w:szCs w:val="24"/>
                  </w:rPr>
                  <w:t>t</w:t>
                </w:r>
              </w:p>
              <w:p w14:paraId="29F6C744" w14:textId="77777777" w:rsidR="00EF4BD8" w:rsidRPr="000644AD" w:rsidRDefault="00EF4BD8" w:rsidP="000644AD">
                <w:pPr>
                  <w:pStyle w:val="ListParagraph"/>
                  <w:numPr>
                    <w:ilvl w:val="0"/>
                    <w:numId w:val="39"/>
                  </w:numPr>
                  <w:spacing w:before="120" w:after="0" w:line="360" w:lineRule="auto"/>
                  <w:ind w:left="341" w:hanging="284"/>
                  <w:contextualSpacing w:val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0644A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Lack of staff awareness of pollution control techniques outlined in working plan. </w:t>
                </w:r>
              </w:p>
              <w:p w14:paraId="40764946" w14:textId="7F8CB458" w:rsidR="00EF4BD8" w:rsidRPr="0041135D" w:rsidRDefault="00EF4BD8" w:rsidP="000644AD">
                <w:pPr>
                  <w:pStyle w:val="ListParagraph"/>
                  <w:numPr>
                    <w:ilvl w:val="0"/>
                    <w:numId w:val="39"/>
                  </w:numPr>
                  <w:spacing w:before="120" w:after="0" w:line="360" w:lineRule="auto"/>
                  <w:ind w:left="341" w:hanging="284"/>
                  <w:contextualSpacing w:val="0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0644A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Processes undertaken not in accordance with working plan. 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E5C711" w14:textId="5086ABB8" w:rsidR="00EF4BD8" w:rsidRPr="0041135D" w:rsidRDefault="00EF4BD8" w:rsidP="008D75D8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lastRenderedPageBreak/>
                  <w:t>Investigation by inspecting officer.</w:t>
                </w:r>
              </w:p>
            </w:tc>
            <w:tc>
              <w:tcPr>
                <w:tcW w:w="1477" w:type="pct"/>
              </w:tcPr>
              <w:p w14:paraId="2F470685" w14:textId="77777777" w:rsidR="00483526" w:rsidRPr="0041135D" w:rsidRDefault="00483526" w:rsidP="0047189A">
                <w:pPr>
                  <w:pStyle w:val="ListParagraph"/>
                  <w:numPr>
                    <w:ilvl w:val="0"/>
                    <w:numId w:val="32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6A8B63BB">
                  <w:rPr>
                    <w:rFonts w:asciiTheme="majorHAnsi" w:hAnsiTheme="majorHAnsi" w:cstheme="majorBidi"/>
                    <w:sz w:val="24"/>
                    <w:szCs w:val="24"/>
                  </w:rPr>
                  <w:t>​Working plan revised to reflect operations on site</w:t>
                </w:r>
                <w:bookmarkStart w:id="19" w:name="_Int_Fn7KMuVY"/>
                <w:r w:rsidRPr="6A8B63BB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.  </w:t>
                </w:r>
                <w:bookmarkEnd w:id="19"/>
              </w:p>
              <w:p w14:paraId="201E4054" w14:textId="77777777" w:rsidR="00EF4BD8" w:rsidRPr="0041135D" w:rsidRDefault="00483526" w:rsidP="0047189A">
                <w:pPr>
                  <w:pStyle w:val="ListParagraph"/>
                  <w:numPr>
                    <w:ilvl w:val="0"/>
                    <w:numId w:val="32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>​Evidence provided of appropriate management interventions to ensure staff working in accordance with working plan.</w:t>
                </w:r>
              </w:p>
              <w:p w14:paraId="11F4B1A2" w14:textId="3A17DE95" w:rsidR="00301BA1" w:rsidRPr="0041135D" w:rsidRDefault="00301BA1" w:rsidP="0047189A">
                <w:pPr>
                  <w:pStyle w:val="ListParagraph"/>
                  <w:numPr>
                    <w:ilvl w:val="0"/>
                    <w:numId w:val="32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When an acceptable management plan is </w:t>
                </w:r>
                <w:r w:rsidR="00D03441"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>submitted.</w:t>
                </w:r>
              </w:p>
              <w:p w14:paraId="412CD3E1" w14:textId="158B6D7A" w:rsidR="001D7D3F" w:rsidRPr="0041135D" w:rsidRDefault="001D7D3F" w:rsidP="0047189A">
                <w:pPr>
                  <w:pStyle w:val="ListParagraph"/>
                  <w:numPr>
                    <w:ilvl w:val="0"/>
                    <w:numId w:val="32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lastRenderedPageBreak/>
                  <w:t xml:space="preserve">SEPA will assess </w:t>
                </w:r>
                <w:r w:rsidR="00DD1E27"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submission and ascertain </w:t>
                </w:r>
                <w:r w:rsidR="00367E26" w:rsidRPr="0041135D">
                  <w:rPr>
                    <w:rFonts w:asciiTheme="majorHAnsi" w:hAnsiTheme="majorHAnsi" w:cstheme="majorHAnsi"/>
                    <w:sz w:val="24"/>
                    <w:szCs w:val="24"/>
                  </w:rPr>
                  <w:t>if enough information is provided.</w:t>
                </w:r>
              </w:p>
              <w:p w14:paraId="024C9A89" w14:textId="77777777" w:rsidR="001865A2" w:rsidRPr="0041135D" w:rsidRDefault="001865A2" w:rsidP="001A684E">
                <w:pPr>
                  <w:spacing w:before="120" w:after="0"/>
                  <w:ind w:right="113"/>
                  <w:textAlignment w:val="baseline"/>
                  <w:rPr>
                    <w:rFonts w:asciiTheme="majorHAnsi" w:hAnsiTheme="majorHAnsi" w:cstheme="majorHAnsi"/>
                  </w:rPr>
                </w:pPr>
              </w:p>
              <w:p w14:paraId="11D43E4A" w14:textId="48E720CE" w:rsidR="001865A2" w:rsidRPr="0041135D" w:rsidRDefault="001865A2" w:rsidP="00F33E47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</w:p>
            </w:tc>
          </w:tr>
          <w:tr w:rsidR="00EF4BD8" w:rsidRPr="0041135D" w14:paraId="0B9C543A" w14:textId="4F95D494" w:rsidTr="6A8B63BB">
            <w:trPr>
              <w:trHeight w:val="392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C56AB3" w14:textId="0B5E588E" w:rsidR="00EF4BD8" w:rsidRPr="0041135D" w:rsidRDefault="00EF4BD8" w:rsidP="008D75D8">
                <w:pPr>
                  <w:spacing w:before="120" w:after="0"/>
                  <w:rPr>
                    <w:rFonts w:asciiTheme="majorHAnsi" w:eastAsia="Aptos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lastRenderedPageBreak/>
                  <w:t>Site security</w:t>
                </w:r>
                <w:r w:rsidR="00BC2318">
                  <w:rPr>
                    <w:rFonts w:asciiTheme="majorHAnsi" w:hAnsiTheme="majorHAnsi" w:cstheme="majorHAnsi"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69B505B" w14:textId="08D9248A" w:rsidR="00EF4BD8" w:rsidRPr="0041135D" w:rsidRDefault="00EF4BD8" w:rsidP="008D75D8">
                <w:pPr>
                  <w:spacing w:before="120" w:after="0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t>Inadequate site security</w:t>
                </w:r>
                <w:r w:rsidRPr="0041135D">
                  <w:rPr>
                    <w:rFonts w:asciiTheme="majorHAnsi" w:eastAsia="Aptos" w:hAnsiTheme="majorHAnsi" w:cstheme="majorHAnsi"/>
                  </w:rPr>
                  <w:t xml:space="preserve"> where non-compliance </w:t>
                </w:r>
                <w:r w:rsidR="008D3A2D">
                  <w:rPr>
                    <w:rFonts w:asciiTheme="majorHAnsi" w:eastAsia="Aptos" w:hAnsiTheme="majorHAnsi" w:cstheme="majorHAnsi"/>
                  </w:rPr>
                  <w:t>is likely</w:t>
                </w:r>
                <w:r w:rsidRPr="0041135D">
                  <w:rPr>
                    <w:rFonts w:asciiTheme="majorHAnsi" w:eastAsia="Aptos" w:hAnsiTheme="majorHAnsi" w:cstheme="majorHAnsi"/>
                  </w:rPr>
                  <w:t xml:space="preserve"> to cause </w:t>
                </w:r>
                <w:r w:rsidR="008D3A2D">
                  <w:rPr>
                    <w:rFonts w:asciiTheme="majorHAnsi" w:eastAsia="Aptos" w:hAnsiTheme="majorHAnsi" w:cstheme="majorHAnsi"/>
                  </w:rPr>
                  <w:t xml:space="preserve">a </w:t>
                </w:r>
                <w:r w:rsidRPr="0041135D">
                  <w:rPr>
                    <w:rFonts w:asciiTheme="majorHAnsi" w:eastAsia="Aptos" w:hAnsiTheme="majorHAnsi" w:cstheme="majorHAnsi"/>
                  </w:rPr>
                  <w:t>Category 1 or 2 environmental event.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66B2A9" w14:textId="2032D00E" w:rsidR="00EF4BD8" w:rsidRPr="0041135D" w:rsidRDefault="00EF4BD8" w:rsidP="008D75D8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t>Investigation by inspecting officer on site.</w:t>
                </w:r>
              </w:p>
            </w:tc>
            <w:tc>
              <w:tcPr>
                <w:tcW w:w="1477" w:type="pct"/>
              </w:tcPr>
              <w:p w14:paraId="42091D4A" w14:textId="1C3CB503" w:rsidR="00EF4BD8" w:rsidRPr="0041135D" w:rsidRDefault="00483526" w:rsidP="0047189A">
                <w:pPr>
                  <w:spacing w:before="120" w:after="0"/>
                  <w:ind w:left="113" w:right="113"/>
                  <w:textAlignment w:val="baseline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t>Evidence submitted to show security issues resolved.</w:t>
                </w:r>
              </w:p>
            </w:tc>
          </w:tr>
          <w:tr w:rsidR="00EF4BD8" w:rsidRPr="0041135D" w14:paraId="5C35906F" w14:textId="10867D8F" w:rsidTr="6A8B63BB">
            <w:trPr>
              <w:trHeight w:val="392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4B491CD" w14:textId="5E37EE72" w:rsidR="00EF4BD8" w:rsidRPr="0041135D" w:rsidRDefault="00EF4BD8" w:rsidP="008D75D8">
                <w:pPr>
                  <w:spacing w:before="120" w:after="0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t>Acceptance of waste</w:t>
                </w:r>
                <w:r w:rsidR="00840278">
                  <w:rPr>
                    <w:rStyle w:val="FootnoteReference"/>
                    <w:rFonts w:asciiTheme="majorHAnsi" w:hAnsiTheme="majorHAnsi" w:cstheme="majorHAnsi"/>
                  </w:rPr>
                  <w:footnoteReference w:id="3"/>
                </w:r>
                <w:r w:rsidR="00BC2318">
                  <w:rPr>
                    <w:rFonts w:asciiTheme="majorHAnsi" w:hAnsiTheme="majorHAnsi" w:cstheme="majorHAnsi"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29F544" w14:textId="5BA9FF2C" w:rsidR="00EF4BD8" w:rsidRPr="00BC2318" w:rsidRDefault="48ACAC3D" w:rsidP="00BC2318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left="341" w:hanging="284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BC231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Failure to implement </w:t>
                </w:r>
                <w:r w:rsidR="3A735163" w:rsidRPr="00BC231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appropriate </w:t>
                </w:r>
                <w:r w:rsidRPr="00BC231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pre-acceptance audit </w:t>
                </w:r>
                <w:r w:rsidRPr="00BC2318">
                  <w:rPr>
                    <w:rFonts w:asciiTheme="majorHAnsi" w:hAnsiTheme="majorHAnsi" w:cstheme="majorBidi"/>
                    <w:sz w:val="24"/>
                    <w:szCs w:val="24"/>
                  </w:rPr>
                  <w:lastRenderedPageBreak/>
                  <w:t>procedures</w:t>
                </w:r>
                <w:r w:rsidR="04541969" w:rsidRPr="00BC231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</w:t>
                </w:r>
                <w:r w:rsidR="04541969" w:rsidRPr="00BC2318">
                  <w:rPr>
                    <w:sz w:val="24"/>
                    <w:szCs w:val="24"/>
                  </w:rPr>
                  <w:t>on receipt and</w:t>
                </w:r>
                <w:r w:rsidR="006700BD">
                  <w:rPr>
                    <w:sz w:val="24"/>
                    <w:szCs w:val="24"/>
                  </w:rPr>
                  <w:t xml:space="preserve"> </w:t>
                </w:r>
                <w:r w:rsidR="04541969" w:rsidRPr="00BC2318">
                  <w:rPr>
                    <w:sz w:val="24"/>
                    <w:szCs w:val="24"/>
                  </w:rPr>
                  <w:t>/</w:t>
                </w:r>
                <w:r w:rsidR="006700BD">
                  <w:rPr>
                    <w:sz w:val="24"/>
                    <w:szCs w:val="24"/>
                  </w:rPr>
                  <w:t xml:space="preserve"> </w:t>
                </w:r>
                <w:r w:rsidR="04541969" w:rsidRPr="00BC2318">
                  <w:rPr>
                    <w:sz w:val="24"/>
                    <w:szCs w:val="24"/>
                  </w:rPr>
                  <w:t>or at the point of disposal</w:t>
                </w:r>
                <w:r w:rsidRPr="00BC2318">
                  <w:rPr>
                    <w:rFonts w:asciiTheme="majorHAnsi" w:hAnsiTheme="majorHAnsi" w:cstheme="majorBidi"/>
                    <w:sz w:val="24"/>
                    <w:szCs w:val="24"/>
                  </w:rPr>
                  <w:t>.</w:t>
                </w:r>
              </w:p>
              <w:p w14:paraId="478C4B91" w14:textId="7DA589A6" w:rsidR="0080761D" w:rsidRPr="00BC2318" w:rsidRDefault="0080761D" w:rsidP="00BC2318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left="341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BC2318">
                  <w:rPr>
                    <w:rFonts w:asciiTheme="majorHAnsi" w:hAnsiTheme="majorHAnsi" w:cstheme="majorHAnsi"/>
                    <w:sz w:val="24"/>
                    <w:szCs w:val="24"/>
                  </w:rPr>
                  <w:t>Failure to provide and maintain a calibrated weighbridge at the authorised place where required by the authorisation.</w:t>
                </w:r>
              </w:p>
              <w:p w14:paraId="2E4A4379" w14:textId="1C5C2812" w:rsidR="00EF4BD8" w:rsidRPr="00FB11FF" w:rsidRDefault="6DE42B38" w:rsidP="00FA5D26">
                <w:pPr>
                  <w:pStyle w:val="ListParagraph"/>
                  <w:numPr>
                    <w:ilvl w:val="0"/>
                    <w:numId w:val="40"/>
                  </w:numPr>
                  <w:spacing w:before="120" w:after="0" w:line="360" w:lineRule="auto"/>
                  <w:ind w:left="341" w:hanging="284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BC2318">
                  <w:rPr>
                    <w:rStyle w:val="contentcontrolboundarysink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​</w:t>
                </w:r>
                <w:r w:rsidRPr="00BC2318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Failure to record and weigh all waste accepted at the authorised place using the weighbridge</w:t>
                </w:r>
                <w:r w:rsidRPr="00BC2318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where required by the authorisation</w:t>
                </w:r>
                <w:r w:rsidRPr="00BC2318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.</w:t>
                </w:r>
                <w:r w:rsidRPr="00BC2318">
                  <w:rPr>
                    <w:rStyle w:val="eop"/>
                    <w:rFonts w:ascii="Arial" w:hAnsi="Arial" w:cs="Arial"/>
                    <w:color w:val="000000"/>
                    <w:sz w:val="24"/>
                    <w:szCs w:val="24"/>
                    <w:shd w:val="clear" w:color="auto" w:fill="FFFFFF"/>
                  </w:rPr>
                  <w:t> 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347996" w14:textId="6FCE5E40" w:rsidR="00B2672D" w:rsidRPr="0041135D" w:rsidRDefault="67A1C17C" w:rsidP="00FA5D26">
                <w:pPr>
                  <w:pStyle w:val="paragraph"/>
                  <w:numPr>
                    <w:ilvl w:val="0"/>
                    <w:numId w:val="29"/>
                  </w:numPr>
                  <w:spacing w:before="120" w:beforeAutospacing="0" w:after="0" w:afterAutospacing="0" w:line="360" w:lineRule="auto"/>
                  <w:textAlignment w:val="baseline"/>
                  <w:rPr>
                    <w:rFonts w:asciiTheme="minorHAnsi" w:hAnsiTheme="minorHAnsi" w:cstheme="minorHAnsi"/>
                  </w:rPr>
                </w:pPr>
                <w:r w:rsidRPr="0041135D">
                  <w:rPr>
                    <w:rStyle w:val="normaltextrun"/>
                    <w:rFonts w:asciiTheme="minorHAnsi" w:eastAsiaTheme="majorEastAsia" w:hAnsiTheme="minorHAnsi" w:cstheme="minorHAnsi"/>
                  </w:rPr>
                  <w:lastRenderedPageBreak/>
                  <w:t xml:space="preserve">Assessment by document review with reference to </w:t>
                </w:r>
                <w:hyperlink r:id="rId26" w:history="1">
                  <w:r w:rsidR="00B963D8" w:rsidRPr="00B963D8">
                    <w:rPr>
                      <w:rStyle w:val="Hyperlink"/>
                      <w:rFonts w:asciiTheme="minorHAnsi" w:eastAsiaTheme="majorEastAsia" w:hAnsiTheme="minorHAnsi" w:cstheme="minorHAnsi"/>
                    </w:rPr>
                    <w:t xml:space="preserve">AMSG: Guidance for the storage and treatment of </w:t>
                  </w:r>
                  <w:r w:rsidR="00B963D8" w:rsidRPr="00B963D8">
                    <w:rPr>
                      <w:rStyle w:val="Hyperlink"/>
                      <w:rFonts w:asciiTheme="minorHAnsi" w:eastAsiaTheme="majorEastAsia" w:hAnsiTheme="minorHAnsi" w:cstheme="minorHAnsi"/>
                    </w:rPr>
                    <w:lastRenderedPageBreak/>
                    <w:t>healthcare waste</w:t>
                  </w:r>
                </w:hyperlink>
                <w:r w:rsidR="00B963D8" w:rsidRPr="00B963D8">
                  <w:rPr>
                    <w:rFonts w:asciiTheme="minorHAnsi" w:eastAsiaTheme="majorEastAsia" w:hAnsiTheme="minorHAnsi" w:cstheme="minorHAnsi"/>
                  </w:rPr>
                  <w:t>.</w:t>
                </w:r>
                <w:r w:rsidRPr="0041135D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 P</w:t>
                </w:r>
                <w:r w:rsidR="00B963D8">
                  <w:rPr>
                    <w:rStyle w:val="normaltextrun"/>
                    <w:rFonts w:asciiTheme="minorHAnsi" w:eastAsiaTheme="majorEastAsia" w:hAnsiTheme="minorHAnsi" w:cstheme="minorHAnsi"/>
                  </w:rPr>
                  <w:t>re</w:t>
                </w:r>
                <w:r w:rsidR="00936296">
                  <w:rPr>
                    <w:rStyle w:val="normaltextrun"/>
                    <w:rFonts w:asciiTheme="minorHAnsi" w:eastAsiaTheme="majorEastAsia" w:hAnsiTheme="minorHAnsi" w:cstheme="minorHAnsi"/>
                  </w:rPr>
                  <w:t>-</w:t>
                </w:r>
                <w:r w:rsidRPr="0041135D">
                  <w:rPr>
                    <w:rStyle w:val="normaltextrun"/>
                    <w:rFonts w:asciiTheme="minorHAnsi" w:eastAsiaTheme="majorEastAsia" w:hAnsiTheme="minorHAnsi" w:cstheme="minorHAnsi"/>
                  </w:rPr>
                  <w:t>A</w:t>
                </w:r>
                <w:r w:rsidR="00936296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cceptance </w:t>
                </w:r>
                <w:r w:rsidRPr="0041135D">
                  <w:rPr>
                    <w:rStyle w:val="normaltextrun"/>
                    <w:rFonts w:asciiTheme="minorHAnsi" w:eastAsiaTheme="majorEastAsia" w:hAnsiTheme="minorHAnsi" w:cstheme="minorHAnsi"/>
                  </w:rPr>
                  <w:t>A</w:t>
                </w:r>
                <w:r w:rsidR="00936296">
                  <w:rPr>
                    <w:rStyle w:val="normaltextrun"/>
                    <w:rFonts w:asciiTheme="minorHAnsi" w:eastAsiaTheme="majorEastAsia" w:hAnsiTheme="minorHAnsi" w:cstheme="minorHAnsi"/>
                  </w:rPr>
                  <w:t>udit must</w:t>
                </w:r>
                <w:r w:rsidRPr="0041135D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 be satisfactory</w:t>
                </w:r>
                <w:r w:rsidR="00936296">
                  <w:rPr>
                    <w:rStyle w:val="normaltextrun"/>
                    <w:rFonts w:asciiTheme="minorHAnsi" w:eastAsiaTheme="majorEastAsia" w:hAnsiTheme="minorHAnsi" w:cstheme="minorHAnsi"/>
                  </w:rPr>
                  <w:t>.</w:t>
                </w:r>
                <w:r w:rsidRPr="0041135D">
                  <w:rPr>
                    <w:rStyle w:val="eop"/>
                    <w:rFonts w:asciiTheme="minorHAnsi" w:hAnsiTheme="minorHAnsi" w:cstheme="minorHAnsi"/>
                  </w:rPr>
                  <w:t> </w:t>
                </w:r>
              </w:p>
              <w:p w14:paraId="0C2946CA" w14:textId="23D5BF11" w:rsidR="00B2672D" w:rsidRPr="0041135D" w:rsidRDefault="67A1C17C" w:rsidP="00FA5D26">
                <w:pPr>
                  <w:pStyle w:val="paragraph"/>
                  <w:numPr>
                    <w:ilvl w:val="0"/>
                    <w:numId w:val="29"/>
                  </w:numPr>
                  <w:spacing w:before="120" w:beforeAutospacing="0" w:after="0" w:afterAutospacing="0" w:line="360" w:lineRule="auto"/>
                  <w:textAlignment w:val="baseline"/>
                  <w:rPr>
                    <w:rFonts w:asciiTheme="minorHAnsi" w:hAnsiTheme="minorHAnsi" w:cstheme="minorBidi"/>
                  </w:rPr>
                </w:pPr>
                <w:r w:rsidRPr="69FA1D44">
                  <w:rPr>
                    <w:rStyle w:val="normaltextrun"/>
                    <w:rFonts w:asciiTheme="minorHAnsi" w:eastAsiaTheme="majorEastAsia" w:hAnsiTheme="minorHAnsi" w:cstheme="minorBidi"/>
                  </w:rPr>
                  <w:t>Inspection of weighbridge records</w:t>
                </w:r>
                <w:r w:rsidR="007A17F3" w:rsidRPr="69FA1D44">
                  <w:rPr>
                    <w:rStyle w:val="normaltextrun"/>
                    <w:rFonts w:asciiTheme="minorHAnsi" w:eastAsiaTheme="majorEastAsia" w:hAnsiTheme="minorHAnsi" w:cstheme="minorBidi"/>
                  </w:rPr>
                  <w:t>.</w:t>
                </w:r>
                <w:r w:rsidRPr="69FA1D44">
                  <w:rPr>
                    <w:rStyle w:val="eop"/>
                    <w:rFonts w:asciiTheme="minorHAnsi" w:hAnsiTheme="minorHAnsi" w:cstheme="minorBidi"/>
                  </w:rPr>
                  <w:t> </w:t>
                </w:r>
              </w:p>
              <w:p w14:paraId="720B3A97" w14:textId="330DEBCB" w:rsidR="00EF4BD8" w:rsidRPr="0041135D" w:rsidRDefault="0844DADD" w:rsidP="03A5A1D5">
                <w:pPr>
                  <w:pStyle w:val="paragraph"/>
                  <w:numPr>
                    <w:ilvl w:val="0"/>
                    <w:numId w:val="29"/>
                  </w:numPr>
                  <w:spacing w:before="120" w:beforeAutospacing="0" w:after="0" w:afterAutospacing="0" w:line="360" w:lineRule="auto"/>
                  <w:textAlignment w:val="baseline"/>
                  <w:rPr>
                    <w:rFonts w:asciiTheme="minorHAnsi" w:hAnsiTheme="minorHAnsi" w:cstheme="minorBidi"/>
                  </w:rPr>
                </w:pPr>
                <w:r w:rsidRPr="7219187C">
                  <w:rPr>
                    <w:rStyle w:val="normaltextrun"/>
                    <w:rFonts w:asciiTheme="minorHAnsi" w:eastAsiaTheme="majorEastAsia" w:hAnsiTheme="minorHAnsi" w:cstheme="minorBidi"/>
                  </w:rPr>
                  <w:t xml:space="preserve">Refer to Authorised Wastes &amp; Quantities Schedule of </w:t>
                </w:r>
                <w:r w:rsidR="43E1928B" w:rsidRPr="7219187C">
                  <w:rPr>
                    <w:rStyle w:val="normaltextrun"/>
                    <w:rFonts w:asciiTheme="minorHAnsi" w:eastAsiaTheme="majorEastAsia" w:hAnsiTheme="minorHAnsi" w:cstheme="minorBidi"/>
                  </w:rPr>
                  <w:t>authorisation.</w:t>
                </w:r>
              </w:p>
            </w:tc>
            <w:tc>
              <w:tcPr>
                <w:tcW w:w="1477" w:type="pct"/>
              </w:tcPr>
              <w:p w14:paraId="3ED49C58" w14:textId="77777777" w:rsidR="00EF4BD8" w:rsidRPr="0041135D" w:rsidRDefault="5522D45B" w:rsidP="0047189A">
                <w:pPr>
                  <w:pStyle w:val="ListParagraph"/>
                  <w:numPr>
                    <w:ilvl w:val="0"/>
                    <w:numId w:val="29"/>
                  </w:numPr>
                  <w:spacing w:before="120" w:after="0" w:line="360" w:lineRule="auto"/>
                  <w:ind w:left="385" w:right="113" w:hanging="272"/>
                  <w:textAlignment w:val="baseline"/>
                  <w:rPr>
                    <w:rFonts w:eastAsia="Segoe UI"/>
                    <w:sz w:val="24"/>
                    <w:szCs w:val="24"/>
                  </w:rPr>
                </w:pPr>
                <w:r w:rsidRPr="3572C850">
                  <w:rPr>
                    <w:sz w:val="24"/>
                    <w:szCs w:val="24"/>
                  </w:rPr>
                  <w:lastRenderedPageBreak/>
                  <w:t>​</w:t>
                </w:r>
                <w:r w:rsidR="2BFC556D" w:rsidRPr="3572C850">
                  <w:rPr>
                    <w:rFonts w:eastAsia="Segoe UI"/>
                    <w:sz w:val="24"/>
                    <w:szCs w:val="24"/>
                  </w:rPr>
                  <w:t>Demonstration that pre-acceptance procedures are being implemented</w:t>
                </w:r>
                <w:r w:rsidR="00A07272" w:rsidRPr="3572C850">
                  <w:rPr>
                    <w:rFonts w:eastAsia="Segoe UI"/>
                    <w:sz w:val="24"/>
                    <w:szCs w:val="24"/>
                  </w:rPr>
                  <w:t>.</w:t>
                </w:r>
              </w:p>
              <w:p w14:paraId="128B9033" w14:textId="348F0172" w:rsidR="00EF4BD8" w:rsidRPr="0041135D" w:rsidRDefault="037FA35B" w:rsidP="0047189A">
                <w:pPr>
                  <w:pStyle w:val="ListParagraph"/>
                  <w:numPr>
                    <w:ilvl w:val="0"/>
                    <w:numId w:val="29"/>
                  </w:numPr>
                  <w:spacing w:before="120" w:after="0" w:line="360" w:lineRule="auto"/>
                  <w:ind w:left="385" w:right="113" w:hanging="272"/>
                  <w:textAlignment w:val="baseline"/>
                  <w:rPr>
                    <w:sz w:val="24"/>
                    <w:szCs w:val="24"/>
                  </w:rPr>
                </w:pPr>
                <w:r w:rsidRPr="3572C850">
                  <w:rPr>
                    <w:rStyle w:val="contentcontrolboundarysink"/>
                    <w:sz w:val="24"/>
                    <w:szCs w:val="24"/>
                    <w:shd w:val="clear" w:color="auto" w:fill="FFFFFF"/>
                  </w:rPr>
                  <w:lastRenderedPageBreak/>
                  <w:t>​</w:t>
                </w:r>
                <w:r w:rsidRPr="3572C850">
                  <w:rPr>
                    <w:rStyle w:val="normaltextrun"/>
                    <w:sz w:val="24"/>
                    <w:szCs w:val="24"/>
                    <w:shd w:val="clear" w:color="auto" w:fill="FFFFFF"/>
                  </w:rPr>
                  <w:t>Evidence of a calibrated weighbridge certificate provided</w:t>
                </w:r>
                <w:r w:rsidR="001A684E">
                  <w:rPr>
                    <w:rStyle w:val="normaltextrun"/>
                    <w:sz w:val="24"/>
                    <w:szCs w:val="24"/>
                    <w:shd w:val="clear" w:color="auto" w:fill="FFFFFF"/>
                  </w:rPr>
                  <w:t>.</w:t>
                </w:r>
              </w:p>
            </w:tc>
          </w:tr>
          <w:tr w:rsidR="00EF4BD8" w:rsidRPr="0041135D" w14:paraId="09C0D168" w14:textId="68D73757" w:rsidTr="6A8B63BB">
            <w:trPr>
              <w:trHeight w:val="392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22ECC4" w14:textId="476D26C0" w:rsidR="00EF4BD8" w:rsidRPr="0041135D" w:rsidRDefault="00EF4BD8" w:rsidP="008D75D8">
                <w:pPr>
                  <w:spacing w:before="120" w:after="0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  <w:spacing w:val="-2"/>
                  </w:rPr>
                  <w:lastRenderedPageBreak/>
                  <w:t>Management of hazardous material</w:t>
                </w:r>
                <w:r w:rsidR="00BC2318">
                  <w:rPr>
                    <w:rFonts w:asciiTheme="majorHAnsi" w:hAnsiTheme="majorHAnsi" w:cstheme="majorHAnsi"/>
                    <w:spacing w:val="-2"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E1DF16" w14:textId="1A3A1D3D" w:rsidR="00EF4BD8" w:rsidRPr="0041135D" w:rsidRDefault="00EF4BD8" w:rsidP="6A8B63BB">
                <w:pPr>
                  <w:spacing w:before="120" w:after="0"/>
                  <w:rPr>
                    <w:rFonts w:asciiTheme="majorHAnsi" w:hAnsiTheme="majorHAnsi" w:cstheme="majorBidi"/>
                  </w:rPr>
                </w:pPr>
                <w:r w:rsidRPr="6A8B63BB">
                  <w:rPr>
                    <w:rFonts w:asciiTheme="majorHAnsi" w:hAnsiTheme="majorHAnsi" w:cstheme="majorBidi"/>
                  </w:rPr>
                  <w:t xml:space="preserve">Hazardous waste must not be mixed with any other waste, </w:t>
                </w:r>
                <w:bookmarkStart w:id="20" w:name="_Int_F9lXJkpl"/>
                <w:r w:rsidRPr="6A8B63BB">
                  <w:rPr>
                    <w:rFonts w:asciiTheme="majorHAnsi" w:hAnsiTheme="majorHAnsi" w:cstheme="majorBidi"/>
                  </w:rPr>
                  <w:t>substance</w:t>
                </w:r>
                <w:bookmarkEnd w:id="20"/>
                <w:r w:rsidRPr="6A8B63BB">
                  <w:rPr>
                    <w:rFonts w:asciiTheme="majorHAnsi" w:hAnsiTheme="majorHAnsi" w:cstheme="majorBidi"/>
                  </w:rPr>
                  <w:t xml:space="preserve"> or materials.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383E8F" w14:textId="23BAD523" w:rsidR="00EF4BD8" w:rsidRPr="0041135D" w:rsidRDefault="00EF4BD8" w:rsidP="008D75D8">
                <w:pPr>
                  <w:spacing w:before="120" w:after="0"/>
                  <w:ind w:right="288"/>
                  <w:textAlignment w:val="baseline"/>
                  <w:rPr>
                    <w:rFonts w:asciiTheme="majorHAnsi" w:hAnsiTheme="majorHAnsi" w:cstheme="majorHAnsi"/>
                  </w:rPr>
                </w:pPr>
                <w:r w:rsidRPr="0041135D">
                  <w:rPr>
                    <w:rFonts w:asciiTheme="majorHAnsi" w:hAnsiTheme="majorHAnsi" w:cstheme="majorHAnsi"/>
                  </w:rPr>
                  <w:t xml:space="preserve">Inspection and environmental events guidance. </w:t>
                </w:r>
              </w:p>
            </w:tc>
            <w:tc>
              <w:tcPr>
                <w:tcW w:w="1477" w:type="pct"/>
              </w:tcPr>
              <w:p w14:paraId="2372F42D" w14:textId="15D91E09" w:rsidR="00EF4BD8" w:rsidRPr="0041135D" w:rsidRDefault="009A174E" w:rsidP="0047189A">
                <w:pPr>
                  <w:spacing w:before="120" w:after="0"/>
                  <w:ind w:left="113" w:right="113"/>
                  <w:textAlignment w:val="baseline"/>
                  <w:rPr>
                    <w:rFonts w:asciiTheme="majorHAnsi" w:hAnsiTheme="majorHAnsi" w:cstheme="majorBidi"/>
                  </w:rPr>
                </w:pPr>
                <w:r w:rsidRPr="6A8B63BB">
                  <w:rPr>
                    <w:rFonts w:asciiTheme="majorHAnsi" w:hAnsiTheme="majorHAnsi" w:cstheme="majorBidi"/>
                  </w:rPr>
                  <w:t xml:space="preserve">​Evidence submitted </w:t>
                </w:r>
                <w:r w:rsidR="00FB06BD" w:rsidRPr="6A8B63BB">
                  <w:rPr>
                    <w:rFonts w:asciiTheme="majorHAnsi" w:hAnsiTheme="majorHAnsi" w:cstheme="majorBidi"/>
                  </w:rPr>
                  <w:t>that</w:t>
                </w:r>
                <w:r w:rsidRPr="6A8B63BB">
                  <w:rPr>
                    <w:rFonts w:asciiTheme="majorHAnsi" w:hAnsiTheme="majorHAnsi" w:cstheme="majorBidi"/>
                  </w:rPr>
                  <w:t xml:space="preserve"> shows material appropriately segregated and management measures implemented to prevent future condition breach</w:t>
                </w:r>
                <w:bookmarkStart w:id="21" w:name="_Int_lypAYlX2"/>
                <w:r w:rsidRPr="6A8B63BB">
                  <w:rPr>
                    <w:rFonts w:asciiTheme="majorHAnsi" w:hAnsiTheme="majorHAnsi" w:cstheme="majorBidi"/>
                  </w:rPr>
                  <w:t xml:space="preserve">.  </w:t>
                </w:r>
                <w:bookmarkEnd w:id="21"/>
              </w:p>
            </w:tc>
          </w:tr>
        </w:tbl>
        <w:p w14:paraId="680CE808" w14:textId="77777777" w:rsidR="007971D1" w:rsidRPr="0041135D" w:rsidRDefault="007971D1" w:rsidP="000C55A9">
          <w:pPr>
            <w:spacing w:after="0"/>
            <w:sectPr w:rsidR="007971D1" w:rsidRPr="0041135D" w:rsidSect="00B4384A">
              <w:headerReference w:type="even" r:id="rId27"/>
              <w:headerReference w:type="default" r:id="rId28"/>
              <w:footerReference w:type="even" r:id="rId29"/>
              <w:footerReference w:type="default" r:id="rId30"/>
              <w:headerReference w:type="first" r:id="rId31"/>
              <w:footerReference w:type="first" r:id="rId32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4EC19D7D" w14:textId="518F530A" w:rsidR="00654C45" w:rsidRPr="0041135D" w:rsidRDefault="009F3A7A" w:rsidP="000C55A9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EA3FD3" w:rsidRPr="0041135D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5</w:t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1B111C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021600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Wider</w:t>
          </w:r>
          <w:r w:rsidR="00654C45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021600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legal </w:t>
          </w:r>
          <w:r w:rsidR="00654C45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environmental requirements and </w:t>
          </w:r>
          <w:r w:rsidR="00021600" w:rsidRPr="0041135D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financial non-compliance</w:t>
          </w:r>
        </w:p>
        <w:p w14:paraId="53E9BA25" w14:textId="238CDBDD" w:rsidR="00DB6433" w:rsidRPr="0041135D" w:rsidRDefault="00EB5AEF" w:rsidP="000C55A9">
          <w:pPr>
            <w:spacing w:after="0"/>
          </w:pPr>
          <w:r w:rsidRPr="0041135D">
            <w:t xml:space="preserve">EPAS is designed to provide a more accurate picture of legal environmental compliance. </w:t>
          </w:r>
          <w:r w:rsidR="003E63D5" w:rsidRPr="0041135D">
            <w:t>Under EPAS we</w:t>
          </w:r>
          <w:r w:rsidRPr="0041135D">
            <w:t xml:space="preserve"> will therefore assess compliance of the following situations as it is </w:t>
          </w:r>
          <w:r w:rsidR="007971D1" w:rsidRPr="0041135D">
            <w:t xml:space="preserve">important </w:t>
          </w:r>
          <w:r w:rsidR="003E63D5" w:rsidRPr="0041135D">
            <w:t>a</w:t>
          </w:r>
          <w:r w:rsidR="007971D1" w:rsidRPr="0041135D">
            <w:t xml:space="preserve"> performance r</w:t>
          </w:r>
          <w:r w:rsidR="00192C3F">
            <w:t>ating</w:t>
          </w:r>
          <w:r w:rsidR="007971D1" w:rsidRPr="0041135D">
            <w:t xml:space="preserve"> reflects this.</w:t>
          </w:r>
          <w:r w:rsidR="009B2D00" w:rsidRPr="0041135D">
            <w:t xml:space="preserve"> </w:t>
          </w:r>
          <w:r w:rsidR="00E63C58" w:rsidRPr="0041135D">
            <w:t>In addition to below, our intent is to develop major non-compliance criteria for duty of care and special waste regulation</w:t>
          </w:r>
          <w:r w:rsidR="00373EFF" w:rsidRPr="0041135D">
            <w:t xml:space="preserve"> </w:t>
          </w:r>
          <w:r w:rsidR="00E63C58" w:rsidRPr="0041135D">
            <w:t xml:space="preserve">contraventions </w:t>
          </w:r>
          <w:r w:rsidR="00C038BD" w:rsidRPr="0041135D">
            <w:t>and start to use these at the same time.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  <w:tblCaption w:val="Table 5:  Wider legal environmental requirements and financial non-compliance"/>
            <w:tblDescription w:val="Table containing 4 columns  &quot; Authorisation Condition&quot;, &quot;Major Non-Compliance&quot;, &quot;How Will SEPA Assess / Supporting Guidance&quot; and &quot;Return To Compliance Examples&quot; and 4 rows. Table highlights ccontraventions,, when the contravention would result in major non-compliance and how SEPA will assess."/>
          </w:tblPr>
          <w:tblGrid>
            <w:gridCol w:w="2942"/>
            <w:gridCol w:w="3254"/>
            <w:gridCol w:w="4473"/>
            <w:gridCol w:w="4473"/>
          </w:tblGrid>
          <w:tr w:rsidR="009A174E" w:rsidRPr="0041135D" w14:paraId="35E7B07D" w14:textId="2FBCC48A" w:rsidTr="6A8B63BB">
            <w:trPr>
              <w:trHeight w:val="610"/>
              <w:tblHeader/>
            </w:trPr>
            <w:tc>
              <w:tcPr>
                <w:tcW w:w="971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F121579" w14:textId="28F432ED" w:rsidR="009A174E" w:rsidRPr="0041135D" w:rsidRDefault="009A174E" w:rsidP="00BE65DC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Contravention</w:t>
                </w:r>
              </w:p>
            </w:tc>
            <w:tc>
              <w:tcPr>
                <w:tcW w:w="1074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3CE92C2" w14:textId="77777777" w:rsidR="009A174E" w:rsidRPr="0041135D" w:rsidRDefault="009A174E" w:rsidP="00BE65DC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41135D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477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6E0E11C" w14:textId="77777777" w:rsidR="009A174E" w:rsidRPr="0041135D" w:rsidRDefault="009A174E" w:rsidP="00BE65DC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477" w:type="pct"/>
                <w:shd w:val="clear" w:color="auto" w:fill="016574" w:themeFill="accent6"/>
              </w:tcPr>
              <w:p w14:paraId="77CCAD0F" w14:textId="2D15BD5D" w:rsidR="009A174E" w:rsidRPr="0041135D" w:rsidRDefault="009A174E" w:rsidP="002512F8">
                <w:pPr>
                  <w:spacing w:before="120" w:after="0"/>
                  <w:ind w:lef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41135D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3A0157" w:rsidRPr="0041135D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9A174E" w:rsidRPr="0041135D" w14:paraId="75F97AB7" w14:textId="29F2F6FD" w:rsidTr="6A8B63BB">
            <w:trPr>
              <w:trHeight w:val="315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6A89AC" w14:textId="4254D4AD" w:rsidR="009A174E" w:rsidRPr="0041135D" w:rsidRDefault="009A174E" w:rsidP="00BE65DC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eastAsia="Times New Roman" w:hAnsi="Arial" w:cs="Arial"/>
                    <w:lang w:eastAsia="en-GB"/>
                  </w:rPr>
                  <w:t>Undertaking a regulated activity without authorisation</w:t>
                </w:r>
                <w:r w:rsidR="00BC2318">
                  <w:rPr>
                    <w:rFonts w:ascii="Arial" w:eastAsia="Times New Roman" w:hAnsi="Arial" w:cs="Arial"/>
                    <w:lang w:eastAsia="en-GB"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C3B48C" w14:textId="77777777" w:rsidR="009A174E" w:rsidRPr="0041135D" w:rsidRDefault="009A174E" w:rsidP="00BE65DC">
                <w:pPr>
                  <w:pStyle w:val="paragraph"/>
                  <w:spacing w:before="120" w:beforeAutospacing="0" w:after="0" w:afterAutospacing="0" w:line="360" w:lineRule="auto"/>
                  <w:rPr>
                    <w:rFonts w:ascii="Arial" w:eastAsiaTheme="majorEastAsia" w:hAnsi="Arial" w:cs="Arial"/>
                  </w:rPr>
                </w:pPr>
                <w:r w:rsidRPr="0041135D">
                  <w:rPr>
                    <w:rFonts w:ascii="Arial" w:eastAsiaTheme="majorEastAsia" w:hAnsi="Arial" w:cs="Arial"/>
                  </w:rPr>
                  <w:t xml:space="preserve">Undertaking a regulated activity without authorisation. </w:t>
                </w:r>
              </w:p>
              <w:p w14:paraId="20A4A259" w14:textId="15C21B1F" w:rsidR="009A174E" w:rsidRPr="0041135D" w:rsidRDefault="009A174E" w:rsidP="00BE65DC">
                <w:pPr>
                  <w:pStyle w:val="paragraph"/>
                  <w:spacing w:before="120" w:beforeAutospacing="0" w:after="0" w:afterAutospacing="0" w:line="360" w:lineRule="auto"/>
                  <w:rPr>
                    <w:rFonts w:ascii="Arial" w:eastAsiaTheme="majorEastAsia" w:hAnsi="Arial" w:cs="Arial"/>
                  </w:rPr>
                </w:pPr>
                <w:r w:rsidRPr="0041135D">
                  <w:rPr>
                    <w:rFonts w:ascii="Arial" w:eastAsiaTheme="majorEastAsia" w:hAnsi="Arial" w:cs="Arial"/>
                  </w:rPr>
                  <w:t>For example:</w:t>
                </w:r>
              </w:p>
              <w:p w14:paraId="525AD7E0" w14:textId="77777777" w:rsidR="009A174E" w:rsidRPr="0041135D" w:rsidRDefault="009A174E" w:rsidP="00BE65DC">
                <w:pPr>
                  <w:pStyle w:val="paragraph"/>
                  <w:numPr>
                    <w:ilvl w:val="0"/>
                    <w:numId w:val="14"/>
                  </w:numPr>
                  <w:spacing w:before="120" w:beforeAutospacing="0" w:after="0" w:afterAutospacing="0" w:line="360" w:lineRule="auto"/>
                  <w:ind w:left="313" w:hanging="283"/>
                  <w:rPr>
                    <w:rFonts w:ascii="Arial" w:eastAsiaTheme="majorEastAsia" w:hAnsi="Arial" w:cs="Arial"/>
                  </w:rPr>
                </w:pPr>
                <w:r w:rsidRPr="0041135D">
                  <w:rPr>
                    <w:rFonts w:ascii="Arial" w:eastAsiaTheme="majorEastAsia" w:hAnsi="Arial" w:cs="Arial"/>
                  </w:rPr>
                  <w:t>Unauthorised direct discharge into groundwater.</w:t>
                </w:r>
              </w:p>
              <w:p w14:paraId="50BCFCF8" w14:textId="77777777" w:rsidR="009A174E" w:rsidRPr="0041135D" w:rsidRDefault="009A174E" w:rsidP="00BE65DC">
                <w:pPr>
                  <w:pStyle w:val="paragraph"/>
                  <w:numPr>
                    <w:ilvl w:val="0"/>
                    <w:numId w:val="14"/>
                  </w:numPr>
                  <w:spacing w:before="120" w:beforeAutospacing="0" w:after="0" w:afterAutospacing="0" w:line="360" w:lineRule="auto"/>
                  <w:ind w:left="313" w:hanging="283"/>
                  <w:rPr>
                    <w:rFonts w:ascii="Arial" w:eastAsiaTheme="majorEastAsia" w:hAnsi="Arial" w:cs="Arial"/>
                  </w:rPr>
                </w:pPr>
                <w:r w:rsidRPr="0041135D">
                  <w:rPr>
                    <w:rFonts w:ascii="Arial" w:eastAsiaTheme="majorEastAsia" w:hAnsi="Arial" w:cs="Arial"/>
                  </w:rPr>
                  <w:t xml:space="preserve">Unauthorised discharge to surface water. </w:t>
                </w:r>
              </w:p>
              <w:p w14:paraId="5630524A" w14:textId="4D07B89D" w:rsidR="009A174E" w:rsidRPr="0041135D" w:rsidRDefault="009A174E" w:rsidP="00BE65DC">
                <w:pPr>
                  <w:pStyle w:val="paragraph"/>
                  <w:numPr>
                    <w:ilvl w:val="0"/>
                    <w:numId w:val="14"/>
                  </w:numPr>
                  <w:spacing w:before="120" w:beforeAutospacing="0" w:after="0" w:afterAutospacing="0" w:line="360" w:lineRule="auto"/>
                  <w:ind w:left="313" w:hanging="283"/>
                  <w:rPr>
                    <w:rFonts w:ascii="Arial" w:eastAsiaTheme="majorEastAsia" w:hAnsi="Arial" w:cs="Arial"/>
                  </w:rPr>
                </w:pPr>
                <w:r w:rsidRPr="0041135D">
                  <w:rPr>
                    <w:rFonts w:ascii="Arial" w:eastAsiaTheme="majorEastAsia" w:hAnsi="Arial" w:cs="Arial"/>
                  </w:rPr>
                  <w:t xml:space="preserve">Unauthorised Directly Associated Activities. 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6D1D3AD" w14:textId="1E222BA8" w:rsidR="009A174E" w:rsidRPr="0041135D" w:rsidRDefault="009A174E" w:rsidP="00BE65DC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hAnsi="Arial" w:cs="Arial"/>
                  </w:rPr>
                  <w:t xml:space="preserve">SEPA will check if an activity is being carried out </w:t>
                </w:r>
                <w:r w:rsidR="00564370">
                  <w:rPr>
                    <w:rFonts w:ascii="Arial" w:hAnsi="Arial" w:cs="Arial"/>
                  </w:rPr>
                  <w:t>that</w:t>
                </w:r>
                <w:r w:rsidRPr="0041135D">
                  <w:rPr>
                    <w:rFonts w:ascii="Arial" w:hAnsi="Arial" w:cs="Arial"/>
                  </w:rPr>
                  <w:t xml:space="preserve"> is not covered by an appropriate authorisation.</w:t>
                </w:r>
              </w:p>
            </w:tc>
            <w:tc>
              <w:tcPr>
                <w:tcW w:w="1477" w:type="pct"/>
              </w:tcPr>
              <w:p w14:paraId="68FA0A85" w14:textId="0D06C9C1" w:rsidR="009A174E" w:rsidRPr="0041135D" w:rsidRDefault="009A174E" w:rsidP="0047189A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3A5A1D5">
                  <w:rPr>
                    <w:rFonts w:ascii="Arial" w:hAnsi="Arial" w:cs="Arial"/>
                  </w:rPr>
                  <w:t>​Unauthorised activity ceases,</w:t>
                </w:r>
                <w:r w:rsidR="007F5FAB">
                  <w:rPr>
                    <w:rFonts w:ascii="Arial" w:hAnsi="Arial" w:cs="Arial"/>
                  </w:rPr>
                  <w:t xml:space="preserve"> or</w:t>
                </w:r>
                <w:r w:rsidRPr="03A5A1D5">
                  <w:rPr>
                    <w:rFonts w:ascii="Arial" w:hAnsi="Arial" w:cs="Arial"/>
                  </w:rPr>
                  <w:t xml:space="preserve"> </w:t>
                </w:r>
                <w:r w:rsidR="50624DC3" w:rsidRPr="03A5A1D5">
                  <w:rPr>
                    <w:rFonts w:ascii="Arial" w:hAnsi="Arial" w:cs="Arial"/>
                  </w:rPr>
                  <w:t>authorisation</w:t>
                </w:r>
                <w:r w:rsidRPr="03A5A1D5">
                  <w:rPr>
                    <w:rFonts w:ascii="Arial" w:hAnsi="Arial" w:cs="Arial"/>
                  </w:rPr>
                  <w:t xml:space="preserve"> is varied to include the activity</w:t>
                </w:r>
                <w:r w:rsidR="00981C6C">
                  <w:rPr>
                    <w:rFonts w:ascii="Arial" w:hAnsi="Arial" w:cs="Arial"/>
                  </w:rPr>
                  <w:t>,</w:t>
                </w:r>
                <w:r w:rsidRPr="03A5A1D5">
                  <w:rPr>
                    <w:rFonts w:ascii="Arial" w:hAnsi="Arial" w:cs="Arial"/>
                  </w:rPr>
                  <w:t xml:space="preserve"> or appropriate authorisation obtained.</w:t>
                </w:r>
              </w:p>
            </w:tc>
          </w:tr>
          <w:tr w:rsidR="009A174E" w:rsidRPr="0041135D" w14:paraId="725E50BE" w14:textId="2044C57F" w:rsidTr="6A8B63BB">
            <w:trPr>
              <w:trHeight w:val="315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BD4E27" w14:textId="10963D20" w:rsidR="009A174E" w:rsidRPr="0041135D" w:rsidRDefault="009A174E" w:rsidP="00BE65DC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41135D">
                  <w:rPr>
                    <w:rFonts w:ascii="Arial" w:hAnsi="Arial" w:cs="Arial"/>
                  </w:rPr>
                  <w:t xml:space="preserve">Environmental event at an authorised site that is </w:t>
                </w:r>
                <w:r w:rsidRPr="0041135D">
                  <w:rPr>
                    <w:rFonts w:ascii="Arial" w:hAnsi="Arial" w:cs="Arial"/>
                    <w:b/>
                  </w:rPr>
                  <w:lastRenderedPageBreak/>
                  <w:t>unrelated to the authorised activity</w:t>
                </w:r>
                <w:r w:rsidR="00BC2318">
                  <w:rPr>
                    <w:rFonts w:ascii="Arial" w:hAnsi="Arial" w:cs="Arial"/>
                    <w:b/>
                  </w:rPr>
                  <w:t>.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D81A18" w14:textId="77777777" w:rsidR="009A174E" w:rsidRPr="0041135D" w:rsidRDefault="009A174E" w:rsidP="00BE65DC">
                <w:pPr>
                  <w:spacing w:before="120" w:after="0"/>
                  <w:ind w:right="180"/>
                  <w:textAlignment w:val="baseline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lastRenderedPageBreak/>
                  <w:t>Causes:</w:t>
                </w:r>
              </w:p>
              <w:p w14:paraId="126DD799" w14:textId="0F17E7DB" w:rsidR="009A174E" w:rsidRPr="0041135D" w:rsidRDefault="009A174E" w:rsidP="00BE65DC">
                <w:pPr>
                  <w:pStyle w:val="ListParagraph"/>
                  <w:numPr>
                    <w:ilvl w:val="0"/>
                    <w:numId w:val="2"/>
                  </w:numPr>
                  <w:spacing w:before="120" w:after="0" w:line="360" w:lineRule="auto"/>
                  <w:ind w:left="324" w:right="180" w:hanging="283"/>
                  <w:contextualSpacing w:val="0"/>
                  <w:textAlignment w:val="baseline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lastRenderedPageBreak/>
                  <w:t>Category 1 or 2 environmental event.</w:t>
                </w:r>
              </w:p>
              <w:p w14:paraId="1AF4C9FF" w14:textId="0C0B6759" w:rsidR="009A174E" w:rsidRPr="0041135D" w:rsidRDefault="009A174E" w:rsidP="00BE65DC">
                <w:pPr>
                  <w:numPr>
                    <w:ilvl w:val="0"/>
                    <w:numId w:val="2"/>
                  </w:numPr>
                  <w:tabs>
                    <w:tab w:val="left" w:pos="360"/>
                  </w:tabs>
                  <w:spacing w:before="120" w:after="0"/>
                  <w:ind w:left="324" w:hanging="283"/>
                  <w:textAlignment w:val="baseline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t>Breach of water or air quality standard.</w:t>
                </w:r>
              </w:p>
              <w:p w14:paraId="3BF60511" w14:textId="261F5137" w:rsidR="009A174E" w:rsidRPr="0041135D" w:rsidRDefault="009A174E" w:rsidP="00BE65DC">
                <w:pPr>
                  <w:numPr>
                    <w:ilvl w:val="0"/>
                    <w:numId w:val="2"/>
                  </w:numPr>
                  <w:tabs>
                    <w:tab w:val="left" w:pos="360"/>
                  </w:tabs>
                  <w:spacing w:before="120" w:after="0"/>
                  <w:ind w:left="324" w:hanging="283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t>Significant and sustained adverse trend for groundwater.</w:t>
                </w:r>
              </w:p>
              <w:p w14:paraId="266BF534" w14:textId="77777777" w:rsidR="009A174E" w:rsidRPr="0041135D" w:rsidRDefault="009A174E" w:rsidP="00BE65DC">
                <w:pPr>
                  <w:pStyle w:val="paragraph"/>
                  <w:spacing w:before="120" w:beforeAutospacing="0" w:after="0" w:afterAutospacing="0" w:line="360" w:lineRule="auto"/>
                  <w:rPr>
                    <w:rFonts w:ascii="Arial" w:eastAsiaTheme="majorEastAsia" w:hAnsi="Arial" w:cs="Arial"/>
                  </w:rPr>
                </w:pP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2D3750" w14:textId="1542F3D5" w:rsidR="009A174E" w:rsidRPr="0041135D" w:rsidRDefault="009A174E" w:rsidP="00BE65DC">
                <w:pPr>
                  <w:pStyle w:val="ListParagraph"/>
                  <w:numPr>
                    <w:ilvl w:val="0"/>
                    <w:numId w:val="2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lastRenderedPageBreak/>
                  <w:t>Environmental events guidance.</w:t>
                </w:r>
              </w:p>
              <w:p w14:paraId="29AFE59C" w14:textId="09ADE596" w:rsidR="009A174E" w:rsidRPr="0041135D" w:rsidRDefault="009A174E" w:rsidP="0091260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lastRenderedPageBreak/>
                  <w:t>Determine if any environmental standards have been breached</w:t>
                </w:r>
                <w:r w:rsidR="00AA5D32">
                  <w:rPr>
                    <w:rStyle w:val="FootnoteReference"/>
                    <w:rFonts w:ascii="Arial" w:eastAsiaTheme="minorEastAsia" w:hAnsi="Arial" w:cs="Arial"/>
                    <w:sz w:val="24"/>
                    <w:szCs w:val="24"/>
                  </w:rPr>
                  <w:footnoteReference w:id="4"/>
                </w:r>
                <w:r w:rsidR="0029361E">
                  <w:rPr>
                    <w:rFonts w:ascii="Arial" w:eastAsiaTheme="minorEastAsia" w:hAnsi="Arial" w:cs="Arial"/>
                    <w:sz w:val="24"/>
                    <w:szCs w:val="24"/>
                  </w:rPr>
                  <w:t>.</w:t>
                </w:r>
              </w:p>
              <w:p w14:paraId="4787AF7D" w14:textId="0C0CA2D2" w:rsidR="009A174E" w:rsidRPr="0041135D" w:rsidRDefault="009A174E" w:rsidP="0091260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>Local environmental standard e.g. spatial standard breach.</w:t>
                </w:r>
              </w:p>
              <w:p w14:paraId="16AA86DD" w14:textId="43C9B06C" w:rsidR="009A174E" w:rsidRPr="00E8246C" w:rsidRDefault="009A174E" w:rsidP="00BE65DC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Groundwater monitoring </w:t>
                </w:r>
                <w:r w:rsidR="298985D8" w:rsidRPr="38E7FD12">
                  <w:rPr>
                    <w:rFonts w:ascii="Arial" w:eastAsiaTheme="minorEastAsia" w:hAnsi="Arial" w:cs="Arial"/>
                    <w:sz w:val="24"/>
                    <w:szCs w:val="24"/>
                  </w:rPr>
                  <w:t>or</w:t>
                </w: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investigation </w:t>
                </w:r>
                <w:r w:rsidR="00244385"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>shows,</w:t>
                </w: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or modelling demonstrates</w:t>
                </w:r>
                <w:r w:rsidR="00244385"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>,</w:t>
                </w:r>
                <w:r w:rsidRPr="0041135D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significant and sustained adverse trend.</w:t>
                </w:r>
              </w:p>
            </w:tc>
            <w:tc>
              <w:tcPr>
                <w:tcW w:w="1477" w:type="pct"/>
              </w:tcPr>
              <w:p w14:paraId="057EBEAC" w14:textId="01F2949D" w:rsidR="00912604" w:rsidRPr="00914089" w:rsidRDefault="3F80ADB9" w:rsidP="0047189A">
                <w:pPr>
                  <w:spacing w:before="120" w:after="0"/>
                  <w:ind w:left="113" w:right="113"/>
                </w:pPr>
                <w:r w:rsidRPr="6A8B63BB">
                  <w:rPr>
                    <w:rFonts w:ascii="Arial" w:hAnsi="Arial" w:cs="Arial"/>
                  </w:rPr>
                  <w:lastRenderedPageBreak/>
                  <w:t>​</w:t>
                </w:r>
                <w:r w:rsidR="4F0DEB92">
                  <w:t>Demonstrati</w:t>
                </w:r>
                <w:r w:rsidR="3E6E7447">
                  <w:t>on that</w:t>
                </w:r>
                <w:r w:rsidR="0E2DECD8">
                  <w:t xml:space="preserve"> the cause or </w:t>
                </w:r>
                <w:bookmarkStart w:id="22" w:name="_Int_WE89qkHc"/>
                <w:r w:rsidR="0E2DECD8">
                  <w:t>likely cause</w:t>
                </w:r>
                <w:bookmarkEnd w:id="22"/>
                <w:r w:rsidR="0E2DECD8">
                  <w:t> of the harm has ceased </w:t>
                </w:r>
                <w:r w:rsidR="6EC5E494">
                  <w:t>or</w:t>
                </w:r>
                <w:r w:rsidR="0E2DECD8">
                  <w:t xml:space="preserve"> been </w:t>
                </w:r>
                <w:r w:rsidR="0E2DECD8">
                  <w:lastRenderedPageBreak/>
                  <w:t xml:space="preserve">resolved. This can include monitoring </w:t>
                </w:r>
                <w:r w:rsidR="6EC5E494">
                  <w:t>and</w:t>
                </w:r>
                <w:r w:rsidR="0E2DECD8">
                  <w:t xml:space="preserve"> modelling. </w:t>
                </w:r>
              </w:p>
              <w:p w14:paraId="09595010" w14:textId="6A658966" w:rsidR="009A174E" w:rsidRPr="00912604" w:rsidRDefault="009A174E" w:rsidP="007B7B70">
                <w:pPr>
                  <w:spacing w:before="120" w:after="0"/>
                  <w:ind w:right="113"/>
                  <w:rPr>
                    <w:rFonts w:ascii="Arial" w:hAnsi="Arial" w:cs="Arial"/>
                  </w:rPr>
                </w:pPr>
              </w:p>
            </w:tc>
          </w:tr>
          <w:tr w:rsidR="009A174E" w:rsidRPr="0041135D" w14:paraId="46097244" w14:textId="61E3CBFE" w:rsidTr="6A8B63BB">
            <w:trPr>
              <w:trHeight w:val="315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D5DBAF" w14:textId="49C20DC4" w:rsidR="009A174E" w:rsidRPr="0041135D" w:rsidRDefault="009A174E" w:rsidP="00BE65DC">
                <w:pPr>
                  <w:spacing w:before="120" w:after="0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lastRenderedPageBreak/>
                  <w:t>Failure to comply with requirements of</w:t>
                </w:r>
                <w:r w:rsidRPr="0041135D">
                  <w:rPr>
                    <w:rFonts w:ascii="Arial" w:hAnsi="Arial" w:cs="Arial"/>
                    <w:color w:val="3C4741" w:themeColor="text1"/>
                  </w:rPr>
                  <w:t xml:space="preserve"> </w:t>
                </w:r>
                <w:hyperlink r:id="rId33">
                  <w:r w:rsidRPr="0041135D">
                    <w:rPr>
                      <w:rStyle w:val="Hyperlink"/>
                      <w:rFonts w:ascii="Arial" w:hAnsi="Arial" w:cs="Arial"/>
                    </w:rPr>
                    <w:t>The Persistent Organic Pollutants Regulations 2007</w:t>
                  </w:r>
                </w:hyperlink>
                <w:r w:rsidR="00BB31DE">
                  <w:t>.</w:t>
                </w:r>
              </w:p>
              <w:p w14:paraId="0E3BAE99" w14:textId="0E59923B" w:rsidR="009A174E" w:rsidRPr="0041135D" w:rsidRDefault="009A174E" w:rsidP="00BE65DC">
                <w:pPr>
                  <w:spacing w:before="120" w:after="0"/>
                  <w:rPr>
                    <w:rFonts w:ascii="Arial" w:hAnsi="Arial" w:cs="Arial"/>
                  </w:rPr>
                </w:pP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CF97E5" w14:textId="53B3B641" w:rsidR="009A174E" w:rsidRPr="0041135D" w:rsidRDefault="009A174E" w:rsidP="00BE65DC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contextualSpacing w:val="0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41135D">
                  <w:rPr>
                    <w:rFonts w:ascii="Arial" w:hAnsi="Arial" w:cs="Arial"/>
                    <w:bCs/>
                    <w:sz w:val="24"/>
                    <w:szCs w:val="24"/>
                  </w:rPr>
                  <w:t>Failure to dispose of or recover POPs-contaminated waste in such a way as to ensure that the POPs content is destroyed or irreversibly transformed.</w:t>
                </w:r>
              </w:p>
              <w:p w14:paraId="22A5E12D" w14:textId="3063BF45" w:rsidR="009A174E" w:rsidRPr="0041135D" w:rsidRDefault="009A174E" w:rsidP="6A8B63BB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6A8B63BB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Undertaking any disposal or recovery operations that may lead to recovery, recycling, </w:t>
                </w:r>
                <w:bookmarkStart w:id="23" w:name="_Int_gPMvOyup"/>
                <w:r w:rsidRPr="6A8B63BB">
                  <w:rPr>
                    <w:rFonts w:ascii="Arial" w:hAnsi="Arial" w:cs="Arial"/>
                    <w:sz w:val="24"/>
                    <w:szCs w:val="24"/>
                  </w:rPr>
                  <w:t>reclamation</w:t>
                </w:r>
                <w:bookmarkEnd w:id="23"/>
                <w:r w:rsidRPr="6A8B63BB">
                  <w:rPr>
                    <w:rFonts w:ascii="Arial" w:hAnsi="Arial" w:cs="Arial"/>
                    <w:sz w:val="24"/>
                    <w:szCs w:val="24"/>
                  </w:rPr>
                  <w:t xml:space="preserve"> or reuse on their own of the POPs-contaminated wastes.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0BC3AA9" w14:textId="718284F1" w:rsidR="009A174E" w:rsidRPr="0041135D" w:rsidRDefault="009A174E" w:rsidP="00BE65DC">
                <w:pPr>
                  <w:spacing w:before="120" w:after="0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lastRenderedPageBreak/>
                  <w:t xml:space="preserve">Assessment against </w:t>
                </w:r>
                <w:hyperlink r:id="rId34">
                  <w:r w:rsidRPr="0041135D">
                    <w:rPr>
                      <w:rStyle w:val="Hyperlink"/>
                      <w:rFonts w:ascii="Arial" w:eastAsia="Arial" w:hAnsi="Arial" w:cs="Arial"/>
                    </w:rPr>
                    <w:t>Guidance on the management of Waste Upholstered Domestic Seating (WUDS) containing Persistent Organic Pollutants (POPs)</w:t>
                  </w:r>
                </w:hyperlink>
                <w:r w:rsidRPr="0041135D">
                  <w:rPr>
                    <w:rFonts w:ascii="Arial" w:hAnsi="Arial" w:cs="Arial"/>
                  </w:rPr>
                  <w:t xml:space="preserve"> and </w:t>
                </w:r>
                <w:r w:rsidRPr="0041135D">
                  <w:rPr>
                    <w:rFonts w:ascii="Arial" w:hAnsi="Arial" w:cs="Arial"/>
                    <w:color w:val="3C4741" w:themeColor="text1"/>
                  </w:rPr>
                  <w:t xml:space="preserve">the overarching requirements of </w:t>
                </w:r>
                <w:hyperlink r:id="rId35" w:history="1">
                  <w:r w:rsidRPr="0041135D">
                    <w:rPr>
                      <w:rStyle w:val="Hyperlink"/>
                      <w:rFonts w:ascii="Arial" w:hAnsi="Arial" w:cs="Arial"/>
                    </w:rPr>
                    <w:t>The Persistent Organic Pollutants Regulations 2007.</w:t>
                  </w:r>
                </w:hyperlink>
              </w:p>
            </w:tc>
            <w:tc>
              <w:tcPr>
                <w:tcW w:w="1477" w:type="pct"/>
              </w:tcPr>
              <w:p w14:paraId="7B15B8D8" w14:textId="7210C6EB" w:rsidR="009A174E" w:rsidRPr="00BB31DE" w:rsidRDefault="4308A5E6" w:rsidP="0047189A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BB31DE">
                  <w:rPr>
                    <w:rFonts w:ascii="Arial" w:hAnsi="Arial" w:cs="Arial"/>
                  </w:rPr>
                  <w:t>Compliance with POPs regulations</w:t>
                </w:r>
                <w:r w:rsidR="003A0157" w:rsidRPr="00BB31DE">
                  <w:rPr>
                    <w:rFonts w:ascii="Arial" w:hAnsi="Arial" w:cs="Arial"/>
                  </w:rPr>
                  <w:t xml:space="preserve"> e.g. </w:t>
                </w:r>
                <w:r w:rsidR="00EC5AB9" w:rsidRPr="00BB31DE">
                  <w:rPr>
                    <w:rFonts w:ascii="Arial" w:hAnsi="Arial" w:cs="Arial"/>
                  </w:rPr>
                  <w:t>appropriate segregation, evidence of destruction via incineration.</w:t>
                </w:r>
              </w:p>
            </w:tc>
          </w:tr>
          <w:tr w:rsidR="009A174E" w:rsidRPr="0041135D" w14:paraId="58F3C127" w14:textId="1D38FBC0" w:rsidTr="6A8B63BB">
            <w:trPr>
              <w:trHeight w:val="315"/>
            </w:trPr>
            <w:tc>
              <w:tcPr>
                <w:tcW w:w="97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DCC675" w14:textId="53350474" w:rsidR="009A174E" w:rsidRPr="0041135D" w:rsidRDefault="009A174E" w:rsidP="00BE65DC">
                <w:pPr>
                  <w:spacing w:before="120" w:after="0"/>
                  <w:rPr>
                    <w:rFonts w:ascii="Arial" w:hAnsi="Arial" w:cs="Arial"/>
                  </w:rPr>
                </w:pPr>
                <w:r w:rsidRPr="0041135D">
                  <w:rPr>
                    <w:rFonts w:ascii="Arial" w:hAnsi="Arial" w:cs="Arial"/>
                  </w:rPr>
                  <w:t>Non-payment of annual charges</w:t>
                </w:r>
              </w:p>
            </w:tc>
            <w:tc>
              <w:tcPr>
                <w:tcW w:w="107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661657" w14:textId="77777777" w:rsidR="00CA7D4F" w:rsidRPr="00C26A1D" w:rsidRDefault="00CA7D4F" w:rsidP="00CA7D4F">
                <w:pPr>
                  <w:spacing w:before="120" w:after="0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E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scalation to debt collection or if debt goes into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next </w:t>
                </w:r>
                <w:bookmarkStart w:id="24" w:name="_Int_ilNXBrqb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financial year</w:t>
                </w:r>
                <w:bookmarkEnd w:id="24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0B6342B" w14:textId="773A8AB1" w:rsidR="009A174E" w:rsidRPr="00902174" w:rsidRDefault="00CA7D4F" w:rsidP="00CA7D4F">
                <w:pPr>
                  <w:spacing w:before="120" w:after="0"/>
                  <w:ind w:right="180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(</w:t>
                </w:r>
                <w:r w:rsidRPr="00C26A1D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Non-compliance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is</w:t>
                </w:r>
                <w:r w:rsidRPr="00C26A1D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when payment is </w:t>
                </w:r>
                <w:r w:rsidRPr="00C26A1D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more than 90 days late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.)</w:t>
                </w:r>
              </w:p>
            </w:tc>
            <w:tc>
              <w:tcPr>
                <w:tcW w:w="1477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FC4244" w14:textId="6534EF69" w:rsidR="009A174E" w:rsidRPr="00BB31DE" w:rsidRDefault="009A174E" w:rsidP="00BB31DE">
                <w:pPr>
                  <w:spacing w:before="120" w:after="0"/>
                  <w:rPr>
                    <w:rFonts w:ascii="Arial" w:hAnsi="Arial" w:cs="Arial"/>
                  </w:rPr>
                </w:pPr>
                <w:r w:rsidRPr="00BB31DE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Monthly debtors report.</w:t>
                </w:r>
              </w:p>
            </w:tc>
            <w:tc>
              <w:tcPr>
                <w:tcW w:w="1477" w:type="pct"/>
              </w:tcPr>
              <w:p w14:paraId="41089E33" w14:textId="3F826797" w:rsidR="008D0846" w:rsidRPr="002F2E4C" w:rsidRDefault="008D0846" w:rsidP="0047189A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2F2E4C">
                  <w:rPr>
                    <w:rFonts w:ascii="Arial" w:hAnsi="Arial" w:cs="Arial"/>
                  </w:rPr>
                  <w:t xml:space="preserve">Payment of annual charges. </w:t>
                </w:r>
              </w:p>
              <w:p w14:paraId="2E1EB5DD" w14:textId="48115C67" w:rsidR="009A174E" w:rsidRPr="00823C52" w:rsidRDefault="008D0846" w:rsidP="0047189A">
                <w:pPr>
                  <w:spacing w:before="120" w:after="0"/>
                  <w:ind w:left="113" w:right="113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</w:rPr>
                  <w:t>(P</w:t>
                </w:r>
                <w:r w:rsidRPr="002F2E4C">
                  <w:rPr>
                    <w:rFonts w:ascii="Arial" w:hAnsi="Arial" w:cs="Arial"/>
                  </w:rPr>
                  <w:t>ayment plan agreed with SEPA is equivalent to a compliance recovery plan.</w:t>
                </w:r>
                <w:r>
                  <w:rPr>
                    <w:rFonts w:ascii="Arial" w:hAnsi="Arial" w:cs="Arial"/>
                  </w:rPr>
                  <w:t>)</w:t>
                </w:r>
              </w:p>
            </w:tc>
          </w:tr>
        </w:tbl>
        <w:p w14:paraId="6CF6C3AD" w14:textId="5A7F77E3" w:rsidR="00315558" w:rsidRPr="0041135D" w:rsidRDefault="00315558" w:rsidP="000C55A9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</w:p>
        <w:p w14:paraId="67A22E00" w14:textId="10CEA7D4" w:rsidR="006243FF" w:rsidRPr="0041135D" w:rsidRDefault="00281BB1" w:rsidP="000C55A9">
          <w:pPr>
            <w:spacing w:after="0"/>
          </w:pPr>
          <w:r w:rsidRPr="0041135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EA44112" wp14:editId="2E613AD6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4FB0D2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A441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1B4FB0D2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p w14:paraId="661D2397" w14:textId="4867F9D5" w:rsidR="00016644" w:rsidRPr="0041135D" w:rsidRDefault="00016644" w:rsidP="000C55A9">
      <w:pPr>
        <w:tabs>
          <w:tab w:val="left" w:pos="9630"/>
        </w:tabs>
        <w:spacing w:after="0"/>
      </w:pPr>
    </w:p>
    <w:p w14:paraId="3FC94C12" w14:textId="6DDB8300" w:rsidR="00192C3F" w:rsidRDefault="00192C3F">
      <w:pPr>
        <w:spacing w:after="0" w:line="240" w:lineRule="auto"/>
      </w:pPr>
      <w:r>
        <w:br w:type="page"/>
      </w:r>
    </w:p>
    <w:p w14:paraId="193D8F6A" w14:textId="77777777" w:rsidR="004E0045" w:rsidRPr="0041135D" w:rsidRDefault="004E0045" w:rsidP="000C55A9">
      <w:pPr>
        <w:tabs>
          <w:tab w:val="left" w:pos="9630"/>
        </w:tabs>
        <w:spacing w:after="0"/>
      </w:pPr>
    </w:p>
    <w:p w14:paraId="28782A07" w14:textId="201D07C3" w:rsidR="004E0045" w:rsidRPr="0041135D" w:rsidRDefault="004E0045" w:rsidP="000C55A9">
      <w:pPr>
        <w:pStyle w:val="BodyText1"/>
        <w:spacing w:after="0"/>
        <w:rPr>
          <w:sz w:val="28"/>
          <w:szCs w:val="28"/>
        </w:rPr>
      </w:pPr>
      <w:r w:rsidRPr="0041135D">
        <w:rPr>
          <w:sz w:val="28"/>
          <w:szCs w:val="28"/>
        </w:rPr>
        <w:t xml:space="preserve">For information on accessing this document in an alternative format or language, please contact SEPA by </w:t>
      </w:r>
      <w:hyperlink r:id="rId36">
        <w:r w:rsidRPr="0041135D">
          <w:rPr>
            <w:rStyle w:val="Hyperlink"/>
            <w:sz w:val="28"/>
            <w:szCs w:val="28"/>
          </w:rPr>
          <w:t>email</w:t>
        </w:r>
      </w:hyperlink>
      <w:r w:rsidRPr="0041135D">
        <w:rPr>
          <w:sz w:val="28"/>
          <w:szCs w:val="28"/>
        </w:rPr>
        <w:t xml:space="preserve"> </w:t>
      </w:r>
      <w:r w:rsidR="005353D1" w:rsidRPr="0041135D">
        <w:rPr>
          <w:sz w:val="28"/>
          <w:szCs w:val="28"/>
        </w:rPr>
        <w:t>or telephone 0300 099 6699.</w:t>
      </w:r>
    </w:p>
    <w:p w14:paraId="24F12011" w14:textId="68073E50" w:rsidR="004E0045" w:rsidRPr="0041135D" w:rsidRDefault="004E0045" w:rsidP="000C55A9">
      <w:pPr>
        <w:pStyle w:val="BodyText1"/>
        <w:spacing w:after="0"/>
        <w:rPr>
          <w:sz w:val="28"/>
          <w:szCs w:val="28"/>
        </w:rPr>
      </w:pPr>
      <w:r w:rsidRPr="0041135D">
        <w:rPr>
          <w:sz w:val="28"/>
          <w:szCs w:val="28"/>
        </w:rPr>
        <w:t xml:space="preserve">If you are a user of British Sign Language (BSL), the </w:t>
      </w:r>
      <w:hyperlink r:id="rId37" w:history="1">
        <w:r w:rsidRPr="0041135D">
          <w:rPr>
            <w:rStyle w:val="Hyperlink"/>
            <w:sz w:val="28"/>
            <w:szCs w:val="28"/>
          </w:rPr>
          <w:t>Contact Scotland BSL</w:t>
        </w:r>
      </w:hyperlink>
      <w:r w:rsidRPr="0041135D">
        <w:rPr>
          <w:sz w:val="28"/>
          <w:szCs w:val="28"/>
        </w:rPr>
        <w:t xml:space="preserve"> service gives you access to an online interpreter, enabling you to communicate with us using sign language.</w:t>
      </w:r>
    </w:p>
    <w:p w14:paraId="5C478BC1" w14:textId="77777777" w:rsidR="00016644" w:rsidRPr="0041135D" w:rsidRDefault="00016644" w:rsidP="000C55A9">
      <w:pPr>
        <w:tabs>
          <w:tab w:val="left" w:pos="9630"/>
        </w:tabs>
        <w:spacing w:after="0"/>
      </w:pPr>
    </w:p>
    <w:sectPr w:rsidR="00016644" w:rsidRPr="0041135D" w:rsidSect="00B4384A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40" w:h="11900" w:orient="landscape"/>
      <w:pgMar w:top="57" w:right="839" w:bottom="839" w:left="839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B5AB" w14:textId="77777777" w:rsidR="009D2957" w:rsidRDefault="009D2957" w:rsidP="00660C79">
      <w:pPr>
        <w:spacing w:line="240" w:lineRule="auto"/>
      </w:pPr>
      <w:r>
        <w:separator/>
      </w:r>
    </w:p>
  </w:endnote>
  <w:endnote w:type="continuationSeparator" w:id="0">
    <w:p w14:paraId="342D48B0" w14:textId="77777777" w:rsidR="009D2957" w:rsidRDefault="009D2957" w:rsidP="00660C79">
      <w:pPr>
        <w:spacing w:line="240" w:lineRule="auto"/>
      </w:pPr>
      <w:r>
        <w:continuationSeparator/>
      </w:r>
    </w:p>
  </w:endnote>
  <w:endnote w:type="continuationNotice" w:id="1">
    <w:p w14:paraId="65B60212" w14:textId="77777777" w:rsidR="009D2957" w:rsidRDefault="009D2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E" w14:textId="55597DD7" w:rsidR="00EC6A73" w:rsidRDefault="000079A4" w:rsidP="00CB144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653D8BE0" wp14:editId="2CB467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540047544" name="Text Box 4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63A2D" w14:textId="6F428026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D8BE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alt="PUBLIC" style="position:absolute;margin-left:0;margin-top:0;width:33.15pt;height:33.3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05963A2D" w14:textId="6F428026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06B750" w14:textId="77777777" w:rsidR="00EC6A73" w:rsidRDefault="00EC6A73" w:rsidP="00CB14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1403BA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FC278" w14:textId="77777777" w:rsidR="00917BB1" w:rsidRDefault="00917BB1" w:rsidP="00917BB1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EFC" w14:textId="4B832B26" w:rsidR="00891C1B" w:rsidRDefault="000079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21B2DF2" wp14:editId="2834B3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594247111" name="Text Box 5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A0C9F" w14:textId="0D22D8C0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B2DF2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47" type="#_x0000_t202" alt="PUBLIC" style="position:absolute;margin-left:0;margin-top:0;width:33.15pt;height:33.3pt;z-index:2516582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ZPDQIAAB0EAAAOAAAAZHJzL2Uyb0RvYy54bWysU01v2zAMvQ/YfxB0X/yBdliNOEXWIsOA&#10;oi2QDj0rshQbkEWBUmJnv36UEiddt9Owi0yTFD/ee5rfjr1he4W+A1vzYpZzpqyEprPbmv94WX36&#10;wpkPwjbCgFU1PyjPbxcfP8wHV6kSWjCNQkZFrK8GV/M2BFdlmZet6oWfgVOWghqwF4F+cZs1KAaq&#10;3puszPPP2QDYOASpvCfv/THIF6m+1kqGJ629CszUnGYL6cR0buKZLeai2qJwbSdPY4h/mKIXnaWm&#10;51L3Igi2w+6PUn0nETzoMJPQZ6B1J1XagbYp8nfbrFvhVNqFwPHuDJP/f2Xl437tnpGF8SuMRGAE&#10;ZHC+8uSM+4wa+/ilSRnFCcLDGTY1BibJeVUWeX7NmaTQVVneFAnW7HLZoQ/fFPQsGjVHYiWBJfYP&#10;PlBDSp1SYi8Lq86YxIyxvzkoMXqyy4TRCuNmZF1T8zI1jq4NNAfaCuFIuHdy1VHvB+HDs0BimBYh&#10;1YYnOrSBoeZwsjhrAX/+zR/zCXiKcjaQYmpuSdKcme+WCInimgycjE0yipv8Oqe43fV3QDos6Ek4&#10;mUzyYjCTqRH6V9LzMjaikLCS2tV8M5l34Shdeg9SLZcpiXTkRHiwaydj6YhXBPNlfBXoTogHouoR&#10;JjmJ6h3wx9x407vlLhD8iZULkCfISYOJrNN7iSJ/+5+yLq968QsAAP//AwBQSwMEFAAGAAgAAAAh&#10;AGvw7dHZAAAAAwEAAA8AAABkcnMvZG93bnJldi54bWxMj81qwzAQhO+FvIPYQm+N3Jia4loOIZBT&#10;SiE/l9420sZ2Y62MJSfO21fpJbnssMwy820xH20rztT7xrGCt2kCglg703ClYL9bvX6A8AHZYOuY&#10;FFzJw7ycPBWYG3fhDZ23oRIxhH2OCuoQulxKr2uy6KeuI47e0fUWQ1z7SpoeLzHctnKWJJm02HBs&#10;qLGjZU36tB2sgvdN+Bq+eZf+jLPr77pb6vS41kq9PI+LTxCBxnA/hht+RIcyMh3cwMaLVkF8JPzP&#10;6GVZCuJw0wxkWchH9vIPAAD//wMAUEsBAi0AFAAGAAgAAAAhALaDOJL+AAAA4QEAABMAAAAAAAAA&#10;AAAAAAAAAAAAAFtDb250ZW50X1R5cGVzXS54bWxQSwECLQAUAAYACAAAACEAOP0h/9YAAACUAQAA&#10;CwAAAAAAAAAAAAAAAAAvAQAAX3JlbHMvLnJlbHNQSwECLQAUAAYACAAAACEA8hg2Tw0CAAAdBAAA&#10;DgAAAAAAAAAAAAAAAAAuAgAAZHJzL2Uyb0RvYy54bWxQSwECLQAUAAYACAAAACEAa/Dt0dkAAAAD&#10;AQAADwAAAAAAAAAAAAAAAABnBAAAZHJzL2Rvd25yZXYueG1sUEsFBgAAAAAEAAQA8wAAAG0FAAAA&#10;AA==&#10;" filled="f" stroked="f">
              <v:textbox style="mso-fit-shape-to-text:t" inset="0,0,0,15pt">
                <w:txbxContent>
                  <w:p w14:paraId="09DA0C9F" w14:textId="0D22D8C0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331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7FD3A" w14:textId="479B94DE" w:rsidR="00C03049" w:rsidRDefault="00C030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3AE1C" w14:textId="7D0AB17D" w:rsidR="00891C1B" w:rsidRDefault="00891C1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5232" w14:textId="2314F0F9" w:rsidR="00E54DD0" w:rsidRDefault="000079A4" w:rsidP="0075535A">
    <w:pPr>
      <w:pStyle w:val="Footer"/>
      <w:tabs>
        <w:tab w:val="clear" w:pos="4513"/>
        <w:tab w:val="clear" w:pos="9026"/>
        <w:tab w:val="left" w:pos="3765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756D3368" wp14:editId="0BF04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738525180" name="Text Box 4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DE15F" w14:textId="5CCBA5CB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D3368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49" type="#_x0000_t202" alt="PUBLIC" style="position:absolute;margin-left:0;margin-top:0;width:33.15pt;height:33.3pt;z-index:2516582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M0DwIAAB0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yGn8LzZG2QjgR7p1cddR7LXx4EkgM0yKk&#10;2vBIhzYw1BzOFmct4M+/+WM+AU9RzgZSTM0tSZoz890SIVFck4GTsU1GcZNf5xS3+/4OSIcFPQkn&#10;k0leDGYyNUL/QnpexkYUElZSu5pvJ/MunKRL70Gq5TIlkY6cCGu7cTKWjnhFMJ/HF4HujHggqh5g&#10;kpOo3gF/yo03vVvuA8GfWInYnoA8Q04aTGSd30sU+dv/lHV51Ytf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AoZlM0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0E4DE15F" w14:textId="5CCBA5CB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4DD0">
      <w:rPr>
        <w:noProof/>
      </w:rPr>
      <w:drawing>
        <wp:inline distT="0" distB="0" distL="0" distR="0" wp14:anchorId="2F61F8A5" wp14:editId="5C8C996C">
          <wp:extent cx="1007167" cy="265044"/>
          <wp:effectExtent l="0" t="0" r="0" b="1905"/>
          <wp:docPr id="239880188" name="Picture 239880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fldChar w:fldCharType="begin"/>
    </w:r>
    <w:r w:rsidR="00E54DD0">
      <w:instrText xml:space="preserve"> PAGE   \* MERGEFORMAT </w:instrText>
    </w:r>
    <w:r w:rsidR="00E54DD0">
      <w:fldChar w:fldCharType="separate"/>
    </w:r>
    <w:r w:rsidR="00E54DD0">
      <w:rPr>
        <w:noProof/>
      </w:rPr>
      <w:t>0</w:t>
    </w:r>
    <w:r w:rsidR="00E54DD0">
      <w:fldChar w:fldCharType="end"/>
    </w:r>
  </w:p>
  <w:p w14:paraId="707C7EA6" w14:textId="77777777" w:rsidR="000235F6" w:rsidRDefault="000235F6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659E" w14:textId="38C1782F" w:rsidR="00917BB1" w:rsidRDefault="000079A4" w:rsidP="00F7795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712C8454" wp14:editId="278842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006761818" name="Text Box 4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C55D9" w14:textId="0106601F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C8454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0" type="#_x0000_t202" alt="PUBLIC" style="position:absolute;margin-left:0;margin-top:0;width:33.15pt;height:33.3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73CC55D9" w14:textId="0106601F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84A">
      <w:rPr>
        <w:noProof/>
      </w:rPr>
      <w:drawing>
        <wp:inline distT="0" distB="0" distL="0" distR="0" wp14:anchorId="0F38AAE8" wp14:editId="0C014D18">
          <wp:extent cx="1007167" cy="265044"/>
          <wp:effectExtent l="0" t="0" r="0" b="1905"/>
          <wp:docPr id="886732950" name="Picture 8867329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84A">
      <w:tab/>
    </w:r>
    <w:r w:rsidR="00B4384A">
      <w:tab/>
    </w:r>
    <w:r w:rsidR="00B4384A">
      <w:tab/>
    </w:r>
    <w:r w:rsidR="00B4384A">
      <w:tab/>
    </w:r>
    <w:r w:rsidR="00B4384A">
      <w:tab/>
    </w:r>
    <w:r w:rsidR="00B4384A">
      <w:tab/>
    </w:r>
    <w:r w:rsidR="00B4384A">
      <w:tab/>
    </w:r>
    <w:r w:rsidR="00B4384A">
      <w:tab/>
    </w:r>
    <w:r w:rsidR="00B4384A">
      <w:tab/>
    </w:r>
    <w:r w:rsidR="00B4384A">
      <w:tab/>
    </w:r>
    <w:r w:rsidR="00B4384A">
      <w:fldChar w:fldCharType="begin"/>
    </w:r>
    <w:r w:rsidR="00B4384A">
      <w:instrText xml:space="preserve"> PAGE   \* MERGEFORMAT </w:instrText>
    </w:r>
    <w:r w:rsidR="00B4384A">
      <w:fldChar w:fldCharType="separate"/>
    </w:r>
    <w:r w:rsidR="00B4384A">
      <w:rPr>
        <w:noProof/>
      </w:rPr>
      <w:t>0</w:t>
    </w:r>
    <w:r w:rsidR="00B4384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DF98" w14:textId="24AAAF6F" w:rsidR="002369CA" w:rsidRDefault="000079A4" w:rsidP="0075535A">
    <w:pPr>
      <w:pStyle w:val="Footer"/>
      <w:tabs>
        <w:tab w:val="clear" w:pos="4513"/>
        <w:tab w:val="clear" w:pos="9026"/>
        <w:tab w:val="left" w:pos="3765"/>
      </w:tabs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4319068C" wp14:editId="1A3921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730400992" name="Text Box 4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7E56D" w14:textId="35D9501A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9068C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2" type="#_x0000_t202" alt="PUBLIC" style="position:absolute;margin-left:0;margin-top:0;width:33.15pt;height:33.3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1D67E56D" w14:textId="35D9501A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tab/>
    </w:r>
    <w:r w:rsidR="00577FDE">
      <w:fldChar w:fldCharType="begin"/>
    </w:r>
    <w:r w:rsidR="00577FDE">
      <w:instrText xml:space="preserve"> PAGE   \* MERGEFORMAT </w:instrText>
    </w:r>
    <w:r w:rsidR="00577FDE">
      <w:fldChar w:fldCharType="separate"/>
    </w:r>
    <w:r w:rsidR="00577FDE">
      <w:rPr>
        <w:noProof/>
      </w:rPr>
      <w:t>0</w:t>
    </w:r>
    <w:r w:rsidR="00577FDE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410" w14:textId="3A652643" w:rsidR="00891C1B" w:rsidRDefault="000079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5579AA3C" wp14:editId="6C9980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578340043" name="Text Box 4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79094" w14:textId="3B127102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9AA3C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5" type="#_x0000_t202" alt="PUBLIC" style="position:absolute;margin-left:0;margin-top:0;width:33.15pt;height:33.3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uLDgIAABwEAAAOAAAAZHJzL2Uyb0RvYy54bWysU01v2zAMvQ/YfxB0X2wH7dAacYq0RYYB&#10;QVsgHXpWZCk2IIsCpcTOfv0oJU62bqehF5kmKX689zS7GzrD9gp9C7bixSTnTFkJdWu3Ff/xuvxy&#10;w5kPwtbCgFUVPyjP7+afP816V6opNGBqhYyKWF/2ruJNCK7MMi8b1Qk/AacsBTVgJwL94jarUfRU&#10;vTPZNM+/Zj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Ba164s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78179094" w14:textId="3B127102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394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4E6A5" w14:textId="3B56CA16" w:rsidR="00C03049" w:rsidRDefault="00C030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B6692" w14:textId="3EA981CA" w:rsidR="00891C1B" w:rsidRDefault="00891C1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3FD5" w14:textId="1222DDA7" w:rsidR="000235F6" w:rsidRDefault="000079A4" w:rsidP="0075535A">
    <w:pPr>
      <w:pStyle w:val="Footer"/>
      <w:tabs>
        <w:tab w:val="clear" w:pos="4513"/>
        <w:tab w:val="clear" w:pos="9026"/>
        <w:tab w:val="left" w:pos="3765"/>
      </w:tabs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5E9DFD4C" wp14:editId="09DBD7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52520460" name="Text Box 4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E1274" w14:textId="73F6C394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DFD4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7" type="#_x0000_t202" alt="PUBLIC" style="position:absolute;margin-left:0;margin-top:0;width:33.15pt;height:33.3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UaDQIAAB0EAAAOAAAAZHJzL2Uyb0RvYy54bWysU01v2zAMvQ/YfxB0X2wH7bAacYqsRYYB&#10;QVsgHXpWZCk2IIsCpcTOfv0oJU66bqeiF5kmKX689zS7HTrD9gp9C7bixSTnTFkJdWu3Ff/1vPzy&#10;jTMfhK2FAasqflCe384/f5r1rlRTaMDUChkVsb7sXcWbEFyZZV42qhN+Ak5ZCmrATgT6xW1Wo+ip&#10;emeyaZ5/zXrA2iFI5T15749BPk/1tVYyPGrtVWCm4jRbSCemcxPPbD4T5RaFa1p5GkO8Y4pOtJaa&#10;nkvdiyDYDtt/SnWtRPCgw0RCl4HWrVRpB9qmyN9ss26EU2kXAse7M0z+48rKh/3aPSELw3cYiMAI&#10;SO986ckZ9xk0dvFLkzKKE4SHM2xqCEyS82pa5Pk1Z5JCV9PpTZFgzS6XHfrwQ0HHolFxJFYSWGK/&#10;8oEaUuqYEntZWLbGJGaM/ctBidGTXSaMVhg2A2trmj41jq4N1AfaCuFIuHdy2VLvlfDhSSAxTIuQ&#10;asMjHdpAX3E4WZw1gL//54/5BDxFOetJMRW3JGnOzE9LhERxjQaOxiYZxU1+nVPc7ro7IB0W9CSc&#10;TCZ5MZjR1AjdC+l5ERtRSFhJ7Sq+Gc27cJQuvQepFouURDpyIqzs2slYOuIVwXweXgS6E+KBqHqA&#10;UU6ifAP8MTfe9G6xCwR/YuUC5Aly0mAi6/Reoshf/6esy6ue/wEAAP//AwBQSwMEFAAGAAgAAAAh&#10;AGvw7dHZAAAAAwEAAA8AAABkcnMvZG93bnJldi54bWxMj81qwzAQhO+FvIPYQm+N3Jia4loOIZBT&#10;SiE/l9420sZ2Y62MJSfO21fpJbnssMwy820xH20rztT7xrGCt2kCglg703ClYL9bvX6A8AHZYOuY&#10;FFzJw7ycPBWYG3fhDZ23oRIxhH2OCuoQulxKr2uy6KeuI47e0fUWQ1z7SpoeLzHctnKWJJm02HBs&#10;qLGjZU36tB2sgvdN+Bq+eZf+jLPr77pb6vS41kq9PI+LTxCBxnA/hht+RIcyMh3cwMaLVkF8JPzP&#10;6GVZCuJw0wxkWchH9vIPAAD//wMAUEsBAi0AFAAGAAgAAAAhALaDOJL+AAAA4QEAABMAAAAAAAAA&#10;AAAAAAAAAAAAAFtDb250ZW50X1R5cGVzXS54bWxQSwECLQAUAAYACAAAACEAOP0h/9YAAACUAQAA&#10;CwAAAAAAAAAAAAAAAAAvAQAAX3JlbHMvLnJlbHNQSwECLQAUAAYACAAAACEAHOl1Gg0CAAAdBAAA&#10;DgAAAAAAAAAAAAAAAAAuAgAAZHJzL2Uyb0RvYy54bWxQSwECLQAUAAYACAAAACEAa/Dt0dkAAAAD&#10;AQAADwAAAAAAAAAAAAAAAABnBAAAZHJzL2Rvd25yZXYueG1sUEsFBgAAAAAEAAQA8wAAAG0FAAAA&#10;AA==&#10;" filled="f" stroked="f">
              <v:textbox style="mso-fit-shape-to-text:t" inset="0,0,0,15pt">
                <w:txbxContent>
                  <w:p w14:paraId="405E1274" w14:textId="73F6C394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4DD0">
      <w:rPr>
        <w:noProof/>
      </w:rPr>
      <w:drawing>
        <wp:inline distT="0" distB="0" distL="0" distR="0" wp14:anchorId="4435C13E" wp14:editId="5D4352E5">
          <wp:extent cx="1007167" cy="265044"/>
          <wp:effectExtent l="0" t="0" r="0" b="1905"/>
          <wp:docPr id="1981866833" name="Picture 19818668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fldChar w:fldCharType="begin"/>
    </w:r>
    <w:r w:rsidR="00E54DD0">
      <w:instrText xml:space="preserve"> PAGE   \* MERGEFORMAT </w:instrText>
    </w:r>
    <w:r w:rsidR="00E54DD0">
      <w:fldChar w:fldCharType="separate"/>
    </w:r>
    <w:r w:rsidR="00E54DD0">
      <w:rPr>
        <w:noProof/>
      </w:rPr>
      <w:t>0</w:t>
    </w:r>
    <w:r w:rsidR="00E54DD0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F9C2" w14:textId="586F5B58" w:rsidR="00891C1B" w:rsidRDefault="000079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43101FA0" wp14:editId="7DFC09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013946841" name="Text Box 4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17E74" w14:textId="0B9CF219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01FA0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1" type="#_x0000_t202" alt="PUBLIC" style="position:absolute;margin-left:0;margin-top:0;width:33.15pt;height:33.3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/sDwIAAB0EAAAOAAAAZHJzL2Uyb0RvYy54bWysU01v2zAMvQ/YfxB0X2wH6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tm0yPMbziSFZtPpbZFgza6XHfrwTUHHolFxJFYSWOKw&#10;9oEaUuqYEntZWLXGJGaM/c1BidGTXSeMVhi2A2trmn42jr+F+khbIZwI906uWuq9Fj48CySGaRFS&#10;bXiiQxvoKw5ni7MG8Off/DGfgKcoZz0ppuKWJM2Z+W6JkCiu0cDR2CajuM1vcorbfXcPpMOCnoST&#10;ySQvBjOaGqF7JT0vYyMKCSupXcW3o3kfTtKl9yDVcpmSSEdOhLXdOBlLR7wimC/Dq0B3RjwQVY8w&#10;ykmU74A/5cab3i33geBPrERsT0CeIScNJrLO7yWK/O1/yrq+6sU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oFL/s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20417E74" w14:textId="0B9CF219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D9E7" w14:textId="1DC97E24" w:rsidR="000235F6" w:rsidRDefault="000079A4" w:rsidP="00F7795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55F8FF72" wp14:editId="4BB337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693282722" name="Text Box 4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B65D" w14:textId="30D00D64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8FF72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42" type="#_x0000_t202" alt="PUBLIC" style="position:absolute;margin-left:0;margin-top:0;width:33.15pt;height:33.3pt;z-index:2516582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3RDwIAAB0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NP1sHH8L9ZG2QjgR7p1ctdR7LXx4FkgM0yKk&#10;2vBEhzbQVxzOFmcN4M+/+WM+AU9RznpSTMUtSZoz890SIVFco4GjsU1GcZvPcorbfXcPpMOCnoST&#10;ySQvBjOaGqF7JT0vYyMKCSupXcW3o3kfTtKl9yDVcpmSSEdOhLXdOBlLR7wimC/Dq0B3RjwQVY8w&#10;ykmU74A/5cab3i33geBPrERsT0CeIScNJrLO7yWK/O1/yrq+6sU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DFqw3R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7F3BB65D" w14:textId="30D00D64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4DD0">
      <w:rPr>
        <w:noProof/>
      </w:rPr>
      <w:drawing>
        <wp:inline distT="0" distB="0" distL="0" distR="0" wp14:anchorId="67185E4A" wp14:editId="2CE621E3">
          <wp:extent cx="1007167" cy="265044"/>
          <wp:effectExtent l="0" t="0" r="0" b="1905"/>
          <wp:docPr id="1461170119" name="Picture 14611701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fldChar w:fldCharType="begin"/>
    </w:r>
    <w:r w:rsidR="00E54DD0">
      <w:instrText xml:space="preserve"> PAGE   \* MERGEFORMAT </w:instrText>
    </w:r>
    <w:r w:rsidR="00E54DD0">
      <w:fldChar w:fldCharType="separate"/>
    </w:r>
    <w:r w:rsidR="00E54DD0">
      <w:rPr>
        <w:noProof/>
      </w:rPr>
      <w:t>0</w:t>
    </w:r>
    <w:r w:rsidR="00E54DD0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3229" w14:textId="438E043E" w:rsidR="000235F6" w:rsidRDefault="000079A4" w:rsidP="0075535A">
    <w:pPr>
      <w:pStyle w:val="Footer"/>
      <w:tabs>
        <w:tab w:val="clear" w:pos="4513"/>
        <w:tab w:val="clear" w:pos="9026"/>
        <w:tab w:val="left" w:pos="3765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A458C73" wp14:editId="7E3235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67343845" name="Text Box 4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D1246" w14:textId="3CD30D2D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58C73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4" type="#_x0000_t202" alt="PUBLIC" style="position:absolute;margin-left:0;margin-top:0;width:33.15pt;height:33.3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iqDwIAAB0EAAAOAAAAZHJzL2Uyb0RvYy54bWysU01v2zAMvQ/YfxB0X2wH7bYacYqsRYYB&#10;QVsgHXpWZDk2IIkCpcTOfv0oJU62rqdiF5kmKX689zS7HYxme4W+A1vxYpJzpqyEurPbiv98Xn76&#10;ypkPwtZCg1UVPyjPb+cfP8x6V6optKBrhYyKWF/2ruJtCK7MMi9bZYSfgFOWgg2gEYF+cZvVKHqq&#10;bnQ2zfPPWQ9YOwSpvCfv/THI56l+0ygZHpvGq8B0xWm2kE5M5yae2Xwmyi0K13byNIZ4xxRGdJaa&#10;nkvdiyDYDrt/SplOInhowkSCyaBpOqnSDrRNkb/aZt0Kp9IuBI53Z5j8/ysrH/Zr94QsDN9gIAIj&#10;IL3zpSdn3Gdo0MQvTcooThAezrCpITBJzqtpkefXnEkKXU2nN0WCNbtcdujDdwWGRaPiSKwksMR+&#10;5QM1pNQxJfaysOy0Tsxo+5eDEqMnu0wYrTBsBtbVNP2XcfwN1AfaCuFIuHdy2VHvlfDhSSAxTIuQ&#10;asMjHY2GvuJwsjhrAX+95Y/5BDxFOetJMRW3JGnO9A9LhERxjQaOxiYZxU1+nVPc7swdkA4LehJO&#10;JpO8GPRoNgjmhfS8iI0oJKykdhXfjOZdOEqX3oNUi0VKIh05EVZ27WQsHfGKYD4PLwLdCfFAVD3A&#10;KCdRvgL+mBtverfYBYI/sRKxPQJ5gpw0mMg6vZco8j//U9blVc9/Aw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Af1Wiq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789D1246" w14:textId="3CD30D2D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4DD0">
      <w:rPr>
        <w:noProof/>
      </w:rPr>
      <w:drawing>
        <wp:inline distT="0" distB="0" distL="0" distR="0" wp14:anchorId="4947FF39" wp14:editId="6A170D9D">
          <wp:extent cx="1007167" cy="265044"/>
          <wp:effectExtent l="0" t="0" r="0" b="1905"/>
          <wp:docPr id="1269282930" name="Picture 12692829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tab/>
    </w:r>
    <w:r w:rsidR="00E54DD0">
      <w:fldChar w:fldCharType="begin"/>
    </w:r>
    <w:r w:rsidR="00E54DD0">
      <w:instrText xml:space="preserve"> PAGE   \* MERGEFORMAT </w:instrText>
    </w:r>
    <w:r w:rsidR="00E54DD0">
      <w:fldChar w:fldCharType="separate"/>
    </w:r>
    <w:r w:rsidR="00E54DD0">
      <w:rPr>
        <w:noProof/>
      </w:rPr>
      <w:t>0</w:t>
    </w:r>
    <w:r w:rsidR="00E54D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097B" w14:textId="77777777" w:rsidR="009D2957" w:rsidRDefault="009D2957" w:rsidP="00660C79">
      <w:pPr>
        <w:spacing w:line="240" w:lineRule="auto"/>
      </w:pPr>
      <w:r>
        <w:separator/>
      </w:r>
    </w:p>
  </w:footnote>
  <w:footnote w:type="continuationSeparator" w:id="0">
    <w:p w14:paraId="3E3ABBFE" w14:textId="77777777" w:rsidR="009D2957" w:rsidRDefault="009D2957" w:rsidP="00660C79">
      <w:pPr>
        <w:spacing w:line="240" w:lineRule="auto"/>
      </w:pPr>
      <w:r>
        <w:continuationSeparator/>
      </w:r>
    </w:p>
  </w:footnote>
  <w:footnote w:type="continuationNotice" w:id="1">
    <w:p w14:paraId="46F3F0AA" w14:textId="77777777" w:rsidR="009D2957" w:rsidRDefault="009D2957">
      <w:pPr>
        <w:spacing w:after="0" w:line="240" w:lineRule="auto"/>
      </w:pPr>
    </w:p>
  </w:footnote>
  <w:footnote w:id="2">
    <w:p w14:paraId="05B3C672" w14:textId="253090AB" w:rsidR="00086F2F" w:rsidRDefault="00086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7D1E">
        <w:t>Adequate quality means containing the required information to enable the assessment of compliance with authorisation conditions.</w:t>
      </w:r>
    </w:p>
  </w:footnote>
  <w:footnote w:id="3">
    <w:p w14:paraId="22C37690" w14:textId="5730D119" w:rsidR="00840278" w:rsidRDefault="008402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1067C">
        <w:t xml:space="preserve">Note: </w:t>
      </w:r>
      <w:r w:rsidR="00853BED">
        <w:t xml:space="preserve">Acceptance of waste is only applicable </w:t>
      </w:r>
      <w:r w:rsidR="007E4283">
        <w:t>where it is included as an authorisation condition.</w:t>
      </w:r>
    </w:p>
  </w:footnote>
  <w:footnote w:id="4">
    <w:p w14:paraId="6F4D4F75" w14:textId="5F3C45DC" w:rsidR="00AA5D32" w:rsidRDefault="00AA5D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135D">
        <w:rPr>
          <w:rStyle w:val="eop"/>
          <w:rFonts w:ascii="Arial" w:hAnsi="Arial" w:cs="Arial"/>
        </w:rPr>
        <w:t xml:space="preserve">Modelling can be used </w:t>
      </w:r>
      <w:r w:rsidRPr="0041135D">
        <w:rPr>
          <w:rFonts w:ascii="Arial" w:hAnsi="Arial" w:cs="Arial"/>
        </w:rPr>
        <w:t>to predict area of impact, and</w:t>
      </w:r>
      <w:r>
        <w:rPr>
          <w:rFonts w:ascii="Arial" w:hAnsi="Arial" w:cs="Arial"/>
        </w:rPr>
        <w:t xml:space="preserve"> </w:t>
      </w:r>
      <w:r w:rsidRPr="0041135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1135D">
        <w:rPr>
          <w:rFonts w:ascii="Arial" w:hAnsi="Arial" w:cs="Arial"/>
        </w:rPr>
        <w:t>or test if it breaches spatial standards.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C24A" w14:textId="595F98A4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6FBF44" wp14:editId="297BE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59398480" name="Text Box 2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7212A" w14:textId="2DA024A5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FBF4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alt="PUBLIC" style="position:absolute;margin-left:0;margin-top:0;width:33.15pt;height:33.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textbox style="mso-fit-shape-to-text:t" inset="0,15pt,0,0">
                <w:txbxContent>
                  <w:p w14:paraId="5457212A" w14:textId="2DA024A5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5F63" w14:textId="3D57B750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9203E0B" wp14:editId="797A20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938673289" name="Text Box 3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1C938" w14:textId="0F314762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03E0B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3" type="#_x0000_t202" alt="PUBLIC" style="position:absolute;margin-left:0;margin-top:0;width:33.15pt;height:33.3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sjDgIAAB0EAAAOAAAAZHJzL2Uyb0RvYy54bWysU01v2zAMvQ/YfxB0X2wHbbEacYq0RYYB&#10;QVsgHXpWZCk2IIuCxMTOfv0oJU62bqehF5kiaX689zS7GzrD9sqHFmzFi0nOmbIS6tZuK/7jdfnl&#10;K2cBha2FAasqflCB380/f5r1rlRTaMDUyjMqYkPZu4o3iK7MsiAb1YkwAacsBTX4TiBd/Tarveip&#10;emeyaZ7fZD342nmQKgTyPh6DfJ7qa60kPmsdFDJTcZoN0+nTuYlnNp+JcuuFa1p5GkP8xxSdaC01&#10;PZd6FCjYzrd/lepa6SGAxomELgOtW6nSDrRNkb/bZt0Ip9IuBE5wZ5jCx5WVT/u1e/EMh3sYiMAI&#10;SO9CGcgZ9xm07+KXJmUUJwgPZ9jUgEyS82pa5Pk1Z5JCV9PpbZFgzS4/Ox/wm4KORaPinlhJYIn9&#10;KiA1pNQxJfaysGyNScwY+4eDEqMnu0wYLRw2A2trmv5mHH8D9YG28nAkPDi5bKn3SgR8EZ4YpkVI&#10;tfhMhzbQVxxOFmcN+J//8sd8Ap6inPWkmIpbkjRn5rslQqK4klHc5tc53fzo3oyG3XUPQDos6Ek4&#10;mcyYh2Y0tYfujfS8iI0oJKykdhXH0XzAo3TpPUi1WKQk0pETuLJrJ2PpiFcE83V4E96dEEei6glG&#10;OYnyHfDH3PhncIsdEvyJlYjtEcgT5KTBRNbpvUSR/35PWZdXPf8F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7K2LIw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3421C938" w14:textId="0F314762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778E" w14:textId="10E7190A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CB85EAA" wp14:editId="628D95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855946835" name="Text Box 3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057F2" w14:textId="2DEAD12E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5EA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5" type="#_x0000_t202" alt="PUBLIC" style="position:absolute;margin-left:0;margin-top:0;width:33.15pt;height:33.3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8CYDgIAAB0EAAAOAAAAZHJzL2Uyb0RvYy54bWysU01v2zAMvQ/YfxB0X2wH7dAacYq0RYYB&#10;QVsgHXpWZCk2IIuCxMTOfv0oJU62bqehF5kiaX689zS7GzrD9sqHFmzFi0nOmbIS6tZuK/7jdfnl&#10;hrOAwtbCgFUVP6jA7+afP816V6opNGBq5RkVsaHsXcUbRFdmWZCN6kSYgFOWghp8J5CufpvVXvRU&#10;vTPZNM+/Zj342nmQKgTyPh6DfJ7qa60kPmsdFDJTcZoN0+nTuYlnNp+JcuuFa1p5GkP8xxSdaC01&#10;PZd6FCjYzrd/lepa6SGAxomELgOtW6nSDrRNkb/bZt0Ip9IuBE5wZ5jCx5WVT/u1e/EMh3sYiMAI&#10;SO9CGcgZ9xm07+KXJmUUJwgPZ9jUgEyS82pa5Pk1Z5JCV9PpbZFgzS4/Ox/wm4KORaPinlhJYIn9&#10;KiA1pNQxJfaysGyNScwY+4eDEqMnu0wYLRw2A2trmv5mHH8D9YG28nAkPDi5bKn3SgR8EZ4YpkVI&#10;tfhMhzbQVxxOFmcN+J//8sd8Ap6inPWkmIpbkjRn5rslQqK4klHc5tc53fzo3oyG3XUPQDos6Ek4&#10;mcyYh2Y0tYfujfS8iI0oJKykdhXH0XzAo3TpPUi1WKQk0pETuLJrJ2PpiFcE83V4E96dEEei6glG&#10;OYnyHfDH3PhncIsdEvyJlYjtEcgT5KTBRNbpvUSR/35PWZdXPf8F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q9PAmA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617057F2" w14:textId="2DEAD12E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86EB" w14:textId="7AF16FE4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B5E85FA" wp14:editId="183471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787885302" name="Text Box 3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4216F" w14:textId="3DF39124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E85F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6" type="#_x0000_t202" alt="PUBLIC" style="position:absolute;margin-left:0;margin-top:0;width:33.15pt;height:33.3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KlDgIAAB0EAAAOAAAAZHJzL2Uyb0RvYy54bWysU01v2zAMvQ/YfxB0X2wH7bAY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vOZMUuplOZ0WCNbv+7HzAbwo6Fo2Ke2IlgSUO&#10;64DUkFLHlNjLwqo1JjFj7G8OSoye7DphtHDYDqytafrZOP4W6iNt5eFEeHBy1VLvtQj4LDwxTIuQ&#10;avGJDm2grzicLc4a8D//5o/5BDxFOetJMRW3JGnOzHdLhERxJaOY5bc53fzo3o6G3Xf3QDos6Ek4&#10;mcyYh2Y0tYfulfS8jI0oJKykdhXH0bzHk3TpPUi1XKYk0pETuLYbJ2PpiFcE82V4Fd6dEUei6hFG&#10;OYnyHfCn3PhncMs9EvyJlYjtCcgz5KTBRNb5vUSRv72nrOurXvwC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xmxypQ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6F34216F" w14:textId="3DF39124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999E" w14:textId="2B4DC16B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1020255" wp14:editId="6E4E15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273655547" name="Text Box 3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A2AF2" w14:textId="096E6141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2025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8" type="#_x0000_t202" alt="PUBLIC" style="position:absolute;margin-left:0;margin-top:0;width:33.15pt;height:33.3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XGDgIAAB0EAAAOAAAAZHJzL2Uyb0RvYy54bWysU01v2zAMvQ/YfxB0X/yBdliNOEXWIsOA&#10;oi2QDj0rshQbkEVBYmJnv36UEiddt9Owi0yRND/ee5rfjr1he+VDB7bmxSznTFkJTWe3Nf/xsvr0&#10;hbOAwjbCgFU1P6jAbxcfP8wHV6kSWjCN8oyK2FANruYtoquyLMhW9SLMwClLQQ2+F0hXv80aLwaq&#10;3puszPPP2QC+cR6kCoG898cgX6T6WiuJT1oHhczUnGbDdPp0buKZLeai2nrh2k6exhD/MEUvOktN&#10;z6XuBQq2890fpfpOegigcSahz0DrTqq0A21T5O+2WbfCqbQLgRPcGabw/8rKx/3aPXuG41cYicAI&#10;yOBCFcgZ9xm17+OXJmUUJwgPZ9jUiEyS86os8vyaM0mhq7K8KRKs2eVn5wN+U9CzaNTcEysJLLF/&#10;CEgNKXVKib0srDpjEjPG/uagxOjJLhNGC8fNyLqm5uV5/A00B9rKw5Hw4OSqo94PIuCz8MQwLUKq&#10;xSc6tIGh5nCyOGvB//ybP+YT8BTlbCDF1NySpDkz3y0REsWVjOImv87p5if3ZjLsrr8D0mFBT8LJ&#10;ZMY8NJOpPfSvpOdlbEQhYSW1qzlO5h0epUvvQarlMiWRjpzAB7t2MpaOeEUwX8ZX4d0JcSSqHmGS&#10;k6jeAX/MjX8Gt9whwZ9YidgegTxBThpMZJ3eSxT523vKurzqxS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AWDVxg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649A2AF2" w14:textId="096E6141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DA06" w14:textId="2993ED8D" w:rsidR="008D113C" w:rsidRPr="00917BB1" w:rsidRDefault="000079A4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0CFE1C" wp14:editId="68D5E9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077198239" name="Text Box 2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1EB78" w14:textId="67F35480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CFE1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alt="PUBLIC" style="position:absolute;left:0;text-align:left;margin-left:0;margin-top:0;width:33.15pt;height:33.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textbox style="mso-fit-shape-to-text:t" inset="0,15pt,0,0">
                <w:txbxContent>
                  <w:p w14:paraId="5C41EB78" w14:textId="67F35480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39DE">
      <w:rPr>
        <w:color w:val="6E7571" w:themeColor="text2"/>
      </w:rPr>
      <w:tab/>
      <w:t>Major non-compliance: waste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0952" w14:textId="0B5F6B64" w:rsidR="002369CA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A7A282" wp14:editId="0BE98A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661899854" name="Text Box 2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A8BDB" w14:textId="7E345AF3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7A28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alt="PUBLIC" style="position:absolute;margin-left:0;margin-top:0;width:33.15pt;height:33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7FDA8BDB" w14:textId="7E345AF3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A1E">
      <w:rPr>
        <w:noProof/>
      </w:rPr>
      <w:drawing>
        <wp:inline distT="0" distB="0" distL="0" distR="0" wp14:anchorId="0A96D578" wp14:editId="578815FD">
          <wp:extent cx="3449124" cy="619125"/>
          <wp:effectExtent l="0" t="0" r="5715" b="3175"/>
          <wp:docPr id="223901392" name="Picture 2239013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52" cy="63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1682" w14:textId="4DE19E38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37FA455" wp14:editId="0DB686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979792590" name="Text Box 3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0FC8E" w14:textId="0D45C8ED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FA45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3" type="#_x0000_t202" alt="PUBLIC" style="position:absolute;margin-left:0;margin-top:0;width:33.15pt;height:33.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EDgIAABwEAAAOAAAAZHJzL2Uyb0RvYy54bWysU01v2zAMvQ/YfxB0X2wHbbEacYq0RYYB&#10;QVsgHXpWZCk2IIuCxMTOfv0oJU62bqehF5kiaX689zS7GzrD9sqHFmzFi0nOmbIS6tZuK/7jdfnl&#10;K2cBha2FAasqflCB380/f5r1rlRTaMDUyjMqYkPZu4o3iK7MsiAb1YkwAacsBTX4TiBd/Tarveip&#10;emeyaZ7fZD342nmQKgTyPh6DfJ7qa60kPmsdFDJTcZoN0+nTuYlnNp+JcuuFa1p5GkP8xxSdaC01&#10;PZd6FCjYzrd/lepa6SGAxomELgOtW6nSDrRNkb/bZt0Ip9IuBE5wZ5jCx5WVT/u1e/EMh3sYiMAI&#10;SO9CGcgZ9xm07+KXJmUUJwgPZ9jUgEyS82pa5Pk1Z5JCV9PpbZFgzS4/Ox/wm4KORaPinlhJYIn9&#10;KiA1pNQxJfaysGyNScwY+4eDEqMnu0wYLRw2A2vrit+M02+gPtBSHo58ByeXLbVeiYAvwhPBtAeJ&#10;Fp/p0Ab6isPJ4qwB//Nf/phPuFOUs54EU3FLiubMfLfER9RWMorb/Dqnmx/dm9Gwu+4BSIYFvQgn&#10;kxnz0Iym9tC9kZwXsRGFhJXUruI4mg94VC49B6kWi5REMnICV3btZCwd4YpYvg5vwrsT4EhMPcGo&#10;JlG+w/2YG/8MbrFDQj+REqE9AnlCnCSYuDo9l6jx3+8p6/Ko5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zwzxhA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77E0FC8E" w14:textId="0D45C8ED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6150" w14:textId="126297A1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B5FA8F8" wp14:editId="10A6B6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297857844" name="Text Box 3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930B5" w14:textId="717E4DF1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FA8F8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4" type="#_x0000_t202" alt="PUBLIC" style="position:absolute;margin-left:0;margin-top:0;width:33.15pt;height:33.3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O5DgIAABwEAAAOAAAAZHJzL2Uyb0RvYy54bWysU01v2zAMvQ/YfxB0X2wH7bYacYqsRYYB&#10;QVsgHXpWZDk2IImCxMTOfv0oJU62rqdiF5kiaX689zS7HYxme+VDB7bixSTnTFkJdWe3Ff/5vPz0&#10;lbOAwtZCg1UVP6jAb+cfP8x6V6optKBr5RkVsaHsXcVbRFdmWZCtMiJMwClLwQa8EUhXv81qL3qq&#10;bnQ2zfPPWQ++dh6kCoG898cgn6f6TaMkPjZNUMh0xWk2TKdP5yae2Xwmyq0Xru3kaQzxjimM6Cw1&#10;PZe6FyjYznf/lDKd9BCgwYkEk0HTdFKlHWibIn+1zboVTqVdCJzgzjCF/1dWPuzX7skzHL7BQARG&#10;QHoXykDOuM/QeBO/NCmjOEF4OMOmBmSSnFfTIs+vOZMUuppOb4oEa3b52fmA3xUYFo2Ke2IlgSX2&#10;q4DUkFLHlNjLwrLTOjGj7V8OSoye7DJhtHDYDKyrK/5lnH4D9YGW8nDkOzi57Kj1SgR8Ep4Ipj1I&#10;tPhIR6OhrzicLM5a8L/e8sd8wp2inPUkmIpbUjRn+oclPqK2klHc5Nc53fzo3oyG3Zk7IBkW9CKc&#10;TGbMQz2ajQfzQnJexEYUElZSu4rjaN7hUbn0HKRaLFISycgJXNm1k7F0hCti+Ty8CO9OgCMx9QCj&#10;mkT5CvdjbvwzuMUOCf1ESoT2COQJcZJg4ur0XKLG/7ynrMujnv8G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orNDuQ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2F6930B5" w14:textId="717E4DF1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ABAB" w14:textId="318F9A5A" w:rsidR="000235F6" w:rsidRDefault="000079A4" w:rsidP="00B4384A">
    <w:pPr>
      <w:pStyle w:val="Header"/>
      <w:jc w:val="right"/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21466F" wp14:editId="6A2814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809780881" name="Text Box 3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710A7" w14:textId="5116A857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1466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PUBLIC" style="position:absolute;left:0;text-align:left;margin-left:0;margin-top:0;width:33.15pt;height:33.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gCDgIAABwEAAAOAAAAZHJzL2Uyb0RvYy54bWysU01v2zAMvQ/YfxB0X2wH7bAY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vOZMUuplOZ0WCNbv+7HzAbwo6Fo2Ke2IlgSUO&#10;64DUkFLHlNjLwqo1JjFj7G8OSoye7DphtHDYDqytKz4bp99CfaSlPJz4Dk6uWmq9FgGfhSeCaQ8S&#10;LT7RoQ30FYezxVkD/uff/DGfcKcoZz0JpuKWFM2Z+W6Jj6itZBSz/Danmx/d29Gw++4eSIYFvQgn&#10;kxnz0Iym9tC9kpyXsRGFhJXUruI4mvd4Ui49B6mWy5REMnIC13bjZCwd4YpYvgyvwrsz4EhMPcKo&#10;JlG+w/2UG/8MbrlHQj+REqE9AXlGnCSYuDo/l6jxt/eUdX3Ui1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5c0IAg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530710A7" w14:textId="5116A857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384A">
      <w:rPr>
        <w:color w:val="6E7571" w:themeColor="text2"/>
      </w:rPr>
      <w:t>Major non-compliance: waste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EED8" w14:textId="72A8F1C5" w:rsidR="00555C22" w:rsidRDefault="000079A4" w:rsidP="0075535A">
    <w:pPr>
      <w:pStyle w:val="Header"/>
      <w:tabs>
        <w:tab w:val="clear" w:pos="4513"/>
        <w:tab w:val="clear" w:pos="9026"/>
        <w:tab w:val="left" w:pos="124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6501564" wp14:editId="38A687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865459904" name="Text Box 3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FF477" w14:textId="18C24C54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0156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alt="PUBLIC" style="position:absolute;margin-left:0;margin-top:0;width:33.15pt;height:33.3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aTDQIAAB0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NP15/A3UB9rKw5Hw4OSypd4rEfBJeGKYFiHV&#10;4iMd2kBfcThZnDXgf//PH/MJeIpy1pNiKm5J0pyZn5YIieJKRnGTX+d086N7Mxp2190B6bCgJ+Fk&#10;MmMemtHUHroX0vMiNqKQsJLaVRxH8w6P0qX3INVikZJIR07gyq6djKUjXhHM5+FFeHdCHImqBxjl&#10;JMo3wB9z45/BLXZI8CdWIrZHIE+QkwYTWaf3EkX++p6yLq96/gc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DvkZaTDQIAAB0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262FF477" w14:textId="18C24C54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5A91" w14:textId="35CAF463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60E390E" wp14:editId="35B56A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133802827" name="Text Box 3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3C4A7" w14:textId="074BF63D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E390E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9" type="#_x0000_t202" alt="PUBLIC" style="position:absolute;margin-left:0;margin-top:0;width:33.15pt;height:33.3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VDgIAAB0EAAAOAAAAZHJzL2Uyb0RvYy54bWysU01v2zAMvQ/YfxB0X/yBdliNOEXWIsOA&#10;oC2QDj0rshQbkEVBYmJnv36UEjddt9Owi0yRND/ee5rfjr1hB+VDB7bmxSznTFkJTWd3Nf/xvPr0&#10;hbOAwjbCgFU1P6rAbxcfP8wHV6kSWjCN8oyK2FANruYtoquyLMhW9SLMwClLQQ2+F0hXv8saLwaq&#10;3puszPPP2QC+cR6kCoG896cgX6T6WiuJj1oHhczUnGbDdPp0buOZLeai2nnh2k6exxD/MEUvOktN&#10;X0vdCxRs77s/SvWd9BBA40xCn4HWnVRpB9qmyN9ts2mFU2kXAie4V5jC/ysrHw4b9+QZjl9hJAIj&#10;IIMLVSBn3GfUvo9fmpRRnCA8vsKmRmSSnFdlkefXnEkKXZXlTZFgzS4/Ox/wm4KeRaPmnlhJYInD&#10;OiA1pNQpJfaysOqMScwY+5uDEqMnu0wYLRy3I+samr6cxt9Cc6StPJwID06uOuq9FgGfhCeGaRFS&#10;LT7SoQ0MNYezxVkL/uff/DGfgKcoZwMppuaWJM2Z+W6JkCiuZBQ3+XVONz+5t5Nh9/0dkA4LehJO&#10;JjPmoZlM7aF/IT0vYyMKCSupXc1xMu/wJF16D1ItlymJdOQEru3GyVg64hXBfB5fhHdnxJGoeoBJ&#10;TqJ6B/wpN/4Z3HKPBH9iJWJ7AvIMOWkwkXV+L1Hkb+8p6/KqF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WFBB1Q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2F73C4A7" w14:textId="074BF63D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0F1F" w14:textId="22C8B3DD" w:rsidR="00891C1B" w:rsidRDefault="00007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8A8D817" wp14:editId="7C9106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743114951" name="Text Box 3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1FBF6" w14:textId="19DBFD96" w:rsidR="000079A4" w:rsidRPr="000079A4" w:rsidRDefault="000079A4" w:rsidP="00007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7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8D81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0" type="#_x0000_t202" alt="PUBLIC" style="position:absolute;margin-left:0;margin-top:0;width:33.15pt;height:33.3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/PoDwIAAB0EAAAOAAAAZHJzL2Uyb0RvYy54bWysU01v2zAMvQ/YfxB0X2xn7bAacYqsRYYB&#10;QVsgHXpWZDk2IImCxMTOfv0oJU62rqdiF5kiaX689zS7HYxme+VDB7bixSTnTFkJdWe3Ff/5vPz0&#10;lbOAwtZCg1UVP6jAb+cfP8x6V6optKBr5RkVsaHsXcVbRFdmWZCtMiJMwClLwQa8EUhXv81qL3qq&#10;bnQ2zfMvWQ++dh6kCoG898cgn6f6TaMkPjZNUMh0xWk2TKdP5yae2Xwmyq0Xru3kaQzxjimM6Cw1&#10;PZe6FyjYznf/lDKd9BCgwYkEk0HTdFKlHWibIn+1zboVTqVdCJzgzjCF/1dWPuzX7skzHL7BQARG&#10;QHoXykDOuM/QeBO/NCmjOEF4OMOmBmSSnFfTIs+vOZMUuppOb4oEa3b52fmA3xUYFo2Ke2IlgSX2&#10;q4DUkFLHlNjLwrLTOjGj7V8OSoye7DJhtHDYDKyrafrP4/gbqA+0lYcj4cHJZUe9VyLgk/DEMC1C&#10;qsVHOhoNfcXhZHHWgv/1lj/mE/AU5awnxVTckqQ50z8sERLFlYziJr/O6eZH92Y07M7cAemwoCfh&#10;ZDJjHurRbDyYF9LzIjaikLCS2lUcR/MOj9Kl9yDVYpGSSEdO4MqunYylI14RzOfhRXh3QhyJqgcY&#10;5STKV8Afc+OfwS12SPAnViK2RyBPkJMGE1mn9xJF/uc9ZV1e9fw3AAAA//8DAFBLAwQUAAYACAAA&#10;ACEAiAMxbtgAAAADAQAADwAAAGRycy9kb3ducmV2LnhtbEyPQU/CQBCF7yb+h82YeJNtMTSkdksI&#10;CQduiMJ56I5ttTvbdAeo/HoXL3qZl8mbvPdNsRhdp840hNazgXSSgCKuvG25NvD+tn6agwqCbLHz&#10;TAa+KcCivL8rMLf+wq903kmtYgiHHA00In2udagachgmvieO3ocfHEpch1rbAS8x3HV6miSZdthy&#10;bGiwp1VD1dfu5Ay0s6WXlPab9efBpT69bjez69aYx4dx+QJKaJS/Y7jhR3QoI9PRn9gG1RmIj8jv&#10;jF6WPYM63jQDXRb6P3v5AwAA//8DAFBLAQItABQABgAIAAAAIQC2gziS/gAAAOEBAAATAAAAAAAA&#10;AAAAAAAAAAAAAABbQ29udGVudF9UeXBlc10ueG1sUEsBAi0AFAAGAAgAAAAhADj9If/WAAAAlAEA&#10;AAsAAAAAAAAAAAAAAAAALwEAAF9yZWxzLy5yZWxzUEsBAi0AFAAGAAgAAAAhADXv8+gPAgAAHQQA&#10;AA4AAAAAAAAAAAAAAAAALgIAAGRycy9lMm9Eb2MueG1sUEsBAi0AFAAGAAgAAAAhAIgDMW7YAAAA&#10;AwEAAA8AAAAAAAAAAAAAAAAAaQQAAGRycy9kb3ducmV2LnhtbFBLBQYAAAAABAAEAPMAAABuBQAA&#10;AAA=&#10;" filled="f" stroked="f">
              <v:textbox style="mso-fit-shape-to-text:t" inset="0,15pt,0,0">
                <w:txbxContent>
                  <w:p w14:paraId="7271FBF6" w14:textId="19DBFD96" w:rsidR="000079A4" w:rsidRPr="000079A4" w:rsidRDefault="000079A4" w:rsidP="00007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07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269"/>
    <w:multiLevelType w:val="hybridMultilevel"/>
    <w:tmpl w:val="B99C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3B4"/>
    <w:multiLevelType w:val="hybridMultilevel"/>
    <w:tmpl w:val="561E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2A67"/>
    <w:multiLevelType w:val="hybridMultilevel"/>
    <w:tmpl w:val="DD3C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A94"/>
    <w:multiLevelType w:val="hybridMultilevel"/>
    <w:tmpl w:val="9B5E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93C4C"/>
    <w:multiLevelType w:val="hybridMultilevel"/>
    <w:tmpl w:val="00923B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5D3C"/>
    <w:multiLevelType w:val="hybridMultilevel"/>
    <w:tmpl w:val="473E7C4E"/>
    <w:lvl w:ilvl="0" w:tplc="3BFA4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AC0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CE235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DBCF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B4C8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5C07E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3C6F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1F4C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5C56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E9B08DC"/>
    <w:multiLevelType w:val="hybridMultilevel"/>
    <w:tmpl w:val="10C6D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9684F"/>
    <w:multiLevelType w:val="hybridMultilevel"/>
    <w:tmpl w:val="0262DB76"/>
    <w:lvl w:ilvl="0" w:tplc="57CE0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43B0"/>
    <w:multiLevelType w:val="hybridMultilevel"/>
    <w:tmpl w:val="96A0FEE4"/>
    <w:lvl w:ilvl="0" w:tplc="B53A2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15B15"/>
    <w:multiLevelType w:val="hybridMultilevel"/>
    <w:tmpl w:val="08F616FE"/>
    <w:lvl w:ilvl="0" w:tplc="680CF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BE61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F70CC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45E1D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52474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80CA3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25C3A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6A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72E2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863AB2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1D8"/>
    <w:multiLevelType w:val="hybridMultilevel"/>
    <w:tmpl w:val="5798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1479D"/>
    <w:multiLevelType w:val="hybridMultilevel"/>
    <w:tmpl w:val="05A4D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86EAA"/>
    <w:multiLevelType w:val="hybridMultilevel"/>
    <w:tmpl w:val="9650E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2486C"/>
    <w:multiLevelType w:val="hybridMultilevel"/>
    <w:tmpl w:val="569A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0E86"/>
    <w:multiLevelType w:val="hybridMultilevel"/>
    <w:tmpl w:val="A684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50923"/>
    <w:multiLevelType w:val="hybridMultilevel"/>
    <w:tmpl w:val="444C7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D137B"/>
    <w:multiLevelType w:val="hybridMultilevel"/>
    <w:tmpl w:val="88464ADE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B57CE"/>
    <w:multiLevelType w:val="hybridMultilevel"/>
    <w:tmpl w:val="7AFE058C"/>
    <w:lvl w:ilvl="0" w:tplc="9700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2E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CF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44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C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6F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2F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0A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FC6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2C09"/>
    <w:multiLevelType w:val="hybridMultilevel"/>
    <w:tmpl w:val="380A6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80EAE"/>
    <w:multiLevelType w:val="hybridMultilevel"/>
    <w:tmpl w:val="81DC4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43A58"/>
    <w:multiLevelType w:val="hybridMultilevel"/>
    <w:tmpl w:val="FE22FD96"/>
    <w:lvl w:ilvl="0" w:tplc="FDB2627E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2" w15:restartNumberingAfterBreak="0">
    <w:nsid w:val="3D4C601F"/>
    <w:multiLevelType w:val="hybridMultilevel"/>
    <w:tmpl w:val="8272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8609D"/>
    <w:multiLevelType w:val="hybridMultilevel"/>
    <w:tmpl w:val="217E5324"/>
    <w:lvl w:ilvl="0" w:tplc="08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  <w:color w:val="3C4741" w:themeColor="text1"/>
      </w:rPr>
    </w:lvl>
    <w:lvl w:ilvl="1" w:tplc="0809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4" w15:restartNumberingAfterBreak="0">
    <w:nsid w:val="3EA9294F"/>
    <w:multiLevelType w:val="multilevel"/>
    <w:tmpl w:val="DCF8A47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EA31AA"/>
    <w:multiLevelType w:val="hybridMultilevel"/>
    <w:tmpl w:val="EA8C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37881"/>
    <w:multiLevelType w:val="hybridMultilevel"/>
    <w:tmpl w:val="CEE0EE9A"/>
    <w:lvl w:ilvl="0" w:tplc="1EB21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2C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C2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AE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6B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E9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47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43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C3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155CC"/>
    <w:multiLevelType w:val="hybridMultilevel"/>
    <w:tmpl w:val="BCDA7608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359AF"/>
    <w:multiLevelType w:val="hybridMultilevel"/>
    <w:tmpl w:val="A0DC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A745D"/>
    <w:multiLevelType w:val="hybridMultilevel"/>
    <w:tmpl w:val="B0B46774"/>
    <w:lvl w:ilvl="0" w:tplc="4B6E4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8D4F86"/>
    <w:multiLevelType w:val="hybridMultilevel"/>
    <w:tmpl w:val="393C426E"/>
    <w:lvl w:ilvl="0" w:tplc="0809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31" w15:restartNumberingAfterBreak="0">
    <w:nsid w:val="487B6022"/>
    <w:multiLevelType w:val="hybridMultilevel"/>
    <w:tmpl w:val="7E38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614D5"/>
    <w:multiLevelType w:val="hybridMultilevel"/>
    <w:tmpl w:val="D2689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72CB3"/>
    <w:multiLevelType w:val="hybridMultilevel"/>
    <w:tmpl w:val="0A56099C"/>
    <w:lvl w:ilvl="0" w:tplc="F4AC3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705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D0C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DC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B09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F22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F47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FCC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E6C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50924BD6"/>
    <w:multiLevelType w:val="hybridMultilevel"/>
    <w:tmpl w:val="ACACB380"/>
    <w:lvl w:ilvl="0" w:tplc="D098C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EC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AF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0B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E5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80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2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8E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4B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94EAF"/>
    <w:multiLevelType w:val="hybridMultilevel"/>
    <w:tmpl w:val="8F04389A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A605FB"/>
    <w:multiLevelType w:val="hybridMultilevel"/>
    <w:tmpl w:val="24F2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E42DD"/>
    <w:multiLevelType w:val="hybridMultilevel"/>
    <w:tmpl w:val="12580D96"/>
    <w:lvl w:ilvl="0" w:tplc="B53A2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F2972"/>
    <w:multiLevelType w:val="hybridMultilevel"/>
    <w:tmpl w:val="FAF0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022"/>
    <w:multiLevelType w:val="hybridMultilevel"/>
    <w:tmpl w:val="CFBCF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54723F"/>
    <w:multiLevelType w:val="hybridMultilevel"/>
    <w:tmpl w:val="64E0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45F72"/>
    <w:multiLevelType w:val="hybridMultilevel"/>
    <w:tmpl w:val="AC9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53DC6"/>
    <w:multiLevelType w:val="hybridMultilevel"/>
    <w:tmpl w:val="4DB4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84715A"/>
    <w:multiLevelType w:val="hybridMultilevel"/>
    <w:tmpl w:val="D1F09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7678CA"/>
    <w:multiLevelType w:val="hybridMultilevel"/>
    <w:tmpl w:val="F604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D1754"/>
    <w:multiLevelType w:val="multilevel"/>
    <w:tmpl w:val="61268A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762EEA"/>
    <w:multiLevelType w:val="multilevel"/>
    <w:tmpl w:val="1EC6EF8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9F35ED"/>
    <w:multiLevelType w:val="hybridMultilevel"/>
    <w:tmpl w:val="496C427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62819723">
    <w:abstractNumId w:val="10"/>
  </w:num>
  <w:num w:numId="2" w16cid:durableId="325745831">
    <w:abstractNumId w:val="44"/>
  </w:num>
  <w:num w:numId="3" w16cid:durableId="471292683">
    <w:abstractNumId w:val="7"/>
  </w:num>
  <w:num w:numId="4" w16cid:durableId="123424976">
    <w:abstractNumId w:val="23"/>
  </w:num>
  <w:num w:numId="5" w16cid:durableId="1105882425">
    <w:abstractNumId w:val="38"/>
  </w:num>
  <w:num w:numId="6" w16cid:durableId="1590503124">
    <w:abstractNumId w:val="36"/>
  </w:num>
  <w:num w:numId="7" w16cid:durableId="1483546537">
    <w:abstractNumId w:val="30"/>
  </w:num>
  <w:num w:numId="8" w16cid:durableId="378408279">
    <w:abstractNumId w:val="41"/>
  </w:num>
  <w:num w:numId="9" w16cid:durableId="1485513043">
    <w:abstractNumId w:val="20"/>
  </w:num>
  <w:num w:numId="10" w16cid:durableId="1436830759">
    <w:abstractNumId w:val="34"/>
  </w:num>
  <w:num w:numId="11" w16cid:durableId="1459951477">
    <w:abstractNumId w:val="3"/>
  </w:num>
  <w:num w:numId="12" w16cid:durableId="329019296">
    <w:abstractNumId w:val="13"/>
  </w:num>
  <w:num w:numId="13" w16cid:durableId="1483157780">
    <w:abstractNumId w:val="6"/>
  </w:num>
  <w:num w:numId="14" w16cid:durableId="2108307644">
    <w:abstractNumId w:val="28"/>
  </w:num>
  <w:num w:numId="15" w16cid:durableId="907156866">
    <w:abstractNumId w:val="29"/>
  </w:num>
  <w:num w:numId="16" w16cid:durableId="1035547668">
    <w:abstractNumId w:val="8"/>
  </w:num>
  <w:num w:numId="17" w16cid:durableId="1102261424">
    <w:abstractNumId w:val="4"/>
  </w:num>
  <w:num w:numId="18" w16cid:durableId="1339045061">
    <w:abstractNumId w:val="1"/>
  </w:num>
  <w:num w:numId="19" w16cid:durableId="936671539">
    <w:abstractNumId w:val="42"/>
  </w:num>
  <w:num w:numId="20" w16cid:durableId="963538502">
    <w:abstractNumId w:val="19"/>
  </w:num>
  <w:num w:numId="21" w16cid:durableId="2125732065">
    <w:abstractNumId w:val="15"/>
  </w:num>
  <w:num w:numId="22" w16cid:durableId="275529276">
    <w:abstractNumId w:val="26"/>
  </w:num>
  <w:num w:numId="23" w16cid:durableId="1428041375">
    <w:abstractNumId w:val="18"/>
  </w:num>
  <w:num w:numId="24" w16cid:durableId="984236205">
    <w:abstractNumId w:val="0"/>
  </w:num>
  <w:num w:numId="25" w16cid:durableId="1849633223">
    <w:abstractNumId w:val="5"/>
  </w:num>
  <w:num w:numId="26" w16cid:durableId="466434021">
    <w:abstractNumId w:val="45"/>
  </w:num>
  <w:num w:numId="27" w16cid:durableId="1175025923">
    <w:abstractNumId w:val="46"/>
  </w:num>
  <w:num w:numId="28" w16cid:durableId="116879926">
    <w:abstractNumId w:val="24"/>
  </w:num>
  <w:num w:numId="29" w16cid:durableId="457988961">
    <w:abstractNumId w:val="43"/>
  </w:num>
  <w:num w:numId="30" w16cid:durableId="1787966699">
    <w:abstractNumId w:val="39"/>
  </w:num>
  <w:num w:numId="31" w16cid:durableId="1954708840">
    <w:abstractNumId w:val="35"/>
  </w:num>
  <w:num w:numId="32" w16cid:durableId="2147233073">
    <w:abstractNumId w:val="40"/>
  </w:num>
  <w:num w:numId="33" w16cid:durableId="1063256095">
    <w:abstractNumId w:val="32"/>
  </w:num>
  <w:num w:numId="34" w16cid:durableId="629748614">
    <w:abstractNumId w:val="37"/>
  </w:num>
  <w:num w:numId="35" w16cid:durableId="975792941">
    <w:abstractNumId w:val="27"/>
  </w:num>
  <w:num w:numId="36" w16cid:durableId="1319847965">
    <w:abstractNumId w:val="22"/>
  </w:num>
  <w:num w:numId="37" w16cid:durableId="31153608">
    <w:abstractNumId w:val="12"/>
  </w:num>
  <w:num w:numId="38" w16cid:durableId="967122019">
    <w:abstractNumId w:val="11"/>
  </w:num>
  <w:num w:numId="39" w16cid:durableId="1084181065">
    <w:abstractNumId w:val="2"/>
  </w:num>
  <w:num w:numId="40" w16cid:durableId="1886334846">
    <w:abstractNumId w:val="16"/>
  </w:num>
  <w:num w:numId="41" w16cid:durableId="2054108224">
    <w:abstractNumId w:val="31"/>
  </w:num>
  <w:num w:numId="42" w16cid:durableId="1295136982">
    <w:abstractNumId w:val="14"/>
  </w:num>
  <w:num w:numId="43" w16cid:durableId="293633467">
    <w:abstractNumId w:val="17"/>
  </w:num>
  <w:num w:numId="44" w16cid:durableId="1716613075">
    <w:abstractNumId w:val="25"/>
  </w:num>
  <w:num w:numId="45" w16cid:durableId="658121671">
    <w:abstractNumId w:val="21"/>
  </w:num>
  <w:num w:numId="46" w16cid:durableId="335768538">
    <w:abstractNumId w:val="9"/>
  </w:num>
  <w:num w:numId="47" w16cid:durableId="1844515376">
    <w:abstractNumId w:val="33"/>
  </w:num>
  <w:num w:numId="48" w16cid:durableId="2061510749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0"/>
    <w:rsid w:val="00001B7F"/>
    <w:rsid w:val="000039C4"/>
    <w:rsid w:val="0000693F"/>
    <w:rsid w:val="000079A4"/>
    <w:rsid w:val="00013B25"/>
    <w:rsid w:val="00016644"/>
    <w:rsid w:val="00021600"/>
    <w:rsid w:val="00022FF6"/>
    <w:rsid w:val="000235F6"/>
    <w:rsid w:val="0002630C"/>
    <w:rsid w:val="00026ADC"/>
    <w:rsid w:val="000313EA"/>
    <w:rsid w:val="00032829"/>
    <w:rsid w:val="00033437"/>
    <w:rsid w:val="0003409A"/>
    <w:rsid w:val="00036311"/>
    <w:rsid w:val="00040561"/>
    <w:rsid w:val="00043678"/>
    <w:rsid w:val="00047067"/>
    <w:rsid w:val="0005256D"/>
    <w:rsid w:val="00054060"/>
    <w:rsid w:val="00057CA0"/>
    <w:rsid w:val="0006249F"/>
    <w:rsid w:val="000644AD"/>
    <w:rsid w:val="00070937"/>
    <w:rsid w:val="00072BFC"/>
    <w:rsid w:val="00075F8E"/>
    <w:rsid w:val="0007722D"/>
    <w:rsid w:val="00077F4A"/>
    <w:rsid w:val="000811FC"/>
    <w:rsid w:val="00086F2F"/>
    <w:rsid w:val="000916C2"/>
    <w:rsid w:val="0009179A"/>
    <w:rsid w:val="00092528"/>
    <w:rsid w:val="000930F6"/>
    <w:rsid w:val="00093F6E"/>
    <w:rsid w:val="000948E1"/>
    <w:rsid w:val="00096061"/>
    <w:rsid w:val="00096D17"/>
    <w:rsid w:val="000976FC"/>
    <w:rsid w:val="000A163D"/>
    <w:rsid w:val="000A3D9F"/>
    <w:rsid w:val="000A51BA"/>
    <w:rsid w:val="000A5A54"/>
    <w:rsid w:val="000B1D05"/>
    <w:rsid w:val="000B286F"/>
    <w:rsid w:val="000B2E3D"/>
    <w:rsid w:val="000B42C4"/>
    <w:rsid w:val="000B7559"/>
    <w:rsid w:val="000C197B"/>
    <w:rsid w:val="000C55A9"/>
    <w:rsid w:val="000C6153"/>
    <w:rsid w:val="000D282D"/>
    <w:rsid w:val="000D3F8E"/>
    <w:rsid w:val="000D58FA"/>
    <w:rsid w:val="000D5D39"/>
    <w:rsid w:val="000D7CFB"/>
    <w:rsid w:val="000E0D15"/>
    <w:rsid w:val="000E13C3"/>
    <w:rsid w:val="000E162A"/>
    <w:rsid w:val="000E16F8"/>
    <w:rsid w:val="000F3E04"/>
    <w:rsid w:val="000F67FE"/>
    <w:rsid w:val="000F7CB2"/>
    <w:rsid w:val="001019C4"/>
    <w:rsid w:val="00105D20"/>
    <w:rsid w:val="00105F31"/>
    <w:rsid w:val="0010613C"/>
    <w:rsid w:val="00107A6E"/>
    <w:rsid w:val="00113086"/>
    <w:rsid w:val="00115254"/>
    <w:rsid w:val="0011784D"/>
    <w:rsid w:val="001224E8"/>
    <w:rsid w:val="001254BC"/>
    <w:rsid w:val="0012693C"/>
    <w:rsid w:val="00127A5C"/>
    <w:rsid w:val="001322DC"/>
    <w:rsid w:val="00136683"/>
    <w:rsid w:val="00146055"/>
    <w:rsid w:val="001461D5"/>
    <w:rsid w:val="0015498A"/>
    <w:rsid w:val="00155014"/>
    <w:rsid w:val="0015722A"/>
    <w:rsid w:val="00163D18"/>
    <w:rsid w:val="00167C7C"/>
    <w:rsid w:val="001711B0"/>
    <w:rsid w:val="001724F4"/>
    <w:rsid w:val="001729EE"/>
    <w:rsid w:val="0017633A"/>
    <w:rsid w:val="00176500"/>
    <w:rsid w:val="001805F2"/>
    <w:rsid w:val="001865A2"/>
    <w:rsid w:val="001905AC"/>
    <w:rsid w:val="00192057"/>
    <w:rsid w:val="00192C3F"/>
    <w:rsid w:val="0019408B"/>
    <w:rsid w:val="001953F8"/>
    <w:rsid w:val="0019556F"/>
    <w:rsid w:val="00195B54"/>
    <w:rsid w:val="00195CEF"/>
    <w:rsid w:val="00196BC8"/>
    <w:rsid w:val="001978B2"/>
    <w:rsid w:val="00197F27"/>
    <w:rsid w:val="001A1790"/>
    <w:rsid w:val="001A1AFE"/>
    <w:rsid w:val="001A5A4A"/>
    <w:rsid w:val="001A684E"/>
    <w:rsid w:val="001B00B3"/>
    <w:rsid w:val="001B111C"/>
    <w:rsid w:val="001B28CA"/>
    <w:rsid w:val="001B292A"/>
    <w:rsid w:val="001C2144"/>
    <w:rsid w:val="001C350B"/>
    <w:rsid w:val="001C4D8C"/>
    <w:rsid w:val="001C4ED4"/>
    <w:rsid w:val="001C75B8"/>
    <w:rsid w:val="001C7C49"/>
    <w:rsid w:val="001D0151"/>
    <w:rsid w:val="001D0A0F"/>
    <w:rsid w:val="001D335F"/>
    <w:rsid w:val="001D7D3F"/>
    <w:rsid w:val="001E0E8B"/>
    <w:rsid w:val="001E4F9D"/>
    <w:rsid w:val="001F2043"/>
    <w:rsid w:val="001F3CC0"/>
    <w:rsid w:val="001F62F1"/>
    <w:rsid w:val="00210378"/>
    <w:rsid w:val="002140A6"/>
    <w:rsid w:val="00214944"/>
    <w:rsid w:val="0021546A"/>
    <w:rsid w:val="0021580B"/>
    <w:rsid w:val="00223C18"/>
    <w:rsid w:val="00224228"/>
    <w:rsid w:val="002300FF"/>
    <w:rsid w:val="00230F11"/>
    <w:rsid w:val="002340FB"/>
    <w:rsid w:val="00236552"/>
    <w:rsid w:val="002369CA"/>
    <w:rsid w:val="00244385"/>
    <w:rsid w:val="00244457"/>
    <w:rsid w:val="00245F5C"/>
    <w:rsid w:val="00247DF5"/>
    <w:rsid w:val="00250421"/>
    <w:rsid w:val="002509B3"/>
    <w:rsid w:val="002512F8"/>
    <w:rsid w:val="002539EC"/>
    <w:rsid w:val="00255787"/>
    <w:rsid w:val="002558D8"/>
    <w:rsid w:val="00256096"/>
    <w:rsid w:val="00267D76"/>
    <w:rsid w:val="0027292F"/>
    <w:rsid w:val="00272983"/>
    <w:rsid w:val="002766EA"/>
    <w:rsid w:val="00281BB1"/>
    <w:rsid w:val="00284343"/>
    <w:rsid w:val="00284C2F"/>
    <w:rsid w:val="00287096"/>
    <w:rsid w:val="002926F4"/>
    <w:rsid w:val="0029361E"/>
    <w:rsid w:val="00293DFB"/>
    <w:rsid w:val="002A190B"/>
    <w:rsid w:val="002A2DEE"/>
    <w:rsid w:val="002A55E3"/>
    <w:rsid w:val="002A64A3"/>
    <w:rsid w:val="002B02B8"/>
    <w:rsid w:val="002B5ED3"/>
    <w:rsid w:val="002C22EB"/>
    <w:rsid w:val="002C3088"/>
    <w:rsid w:val="002C6860"/>
    <w:rsid w:val="002C7710"/>
    <w:rsid w:val="002D1EB6"/>
    <w:rsid w:val="002D362C"/>
    <w:rsid w:val="002D4D84"/>
    <w:rsid w:val="002E2C94"/>
    <w:rsid w:val="002E6F62"/>
    <w:rsid w:val="002E701B"/>
    <w:rsid w:val="002F0A37"/>
    <w:rsid w:val="002F1BA7"/>
    <w:rsid w:val="0030096D"/>
    <w:rsid w:val="00301BA1"/>
    <w:rsid w:val="00301EF9"/>
    <w:rsid w:val="0030221B"/>
    <w:rsid w:val="0030479F"/>
    <w:rsid w:val="003062D0"/>
    <w:rsid w:val="00307C25"/>
    <w:rsid w:val="00315558"/>
    <w:rsid w:val="00317618"/>
    <w:rsid w:val="00325269"/>
    <w:rsid w:val="0033179C"/>
    <w:rsid w:val="00335EC5"/>
    <w:rsid w:val="003423C7"/>
    <w:rsid w:val="0034388B"/>
    <w:rsid w:val="003548D5"/>
    <w:rsid w:val="003644A3"/>
    <w:rsid w:val="003650A5"/>
    <w:rsid w:val="003655C9"/>
    <w:rsid w:val="003660C0"/>
    <w:rsid w:val="00367E26"/>
    <w:rsid w:val="003728B2"/>
    <w:rsid w:val="00373663"/>
    <w:rsid w:val="00373EFF"/>
    <w:rsid w:val="00375EFE"/>
    <w:rsid w:val="00384216"/>
    <w:rsid w:val="0039301A"/>
    <w:rsid w:val="00393507"/>
    <w:rsid w:val="00397130"/>
    <w:rsid w:val="00397341"/>
    <w:rsid w:val="003A0157"/>
    <w:rsid w:val="003A078B"/>
    <w:rsid w:val="003A3950"/>
    <w:rsid w:val="003A5221"/>
    <w:rsid w:val="003B4867"/>
    <w:rsid w:val="003B6E8D"/>
    <w:rsid w:val="003C1420"/>
    <w:rsid w:val="003C25FF"/>
    <w:rsid w:val="003C3000"/>
    <w:rsid w:val="003D4279"/>
    <w:rsid w:val="003D6632"/>
    <w:rsid w:val="003D7787"/>
    <w:rsid w:val="003E0DBD"/>
    <w:rsid w:val="003E4AF7"/>
    <w:rsid w:val="003E63D5"/>
    <w:rsid w:val="003F4BF8"/>
    <w:rsid w:val="003F5384"/>
    <w:rsid w:val="003F6B3F"/>
    <w:rsid w:val="003F752C"/>
    <w:rsid w:val="00400B28"/>
    <w:rsid w:val="00401F5B"/>
    <w:rsid w:val="004025F2"/>
    <w:rsid w:val="00404654"/>
    <w:rsid w:val="00405980"/>
    <w:rsid w:val="00405C02"/>
    <w:rsid w:val="00406222"/>
    <w:rsid w:val="00406E34"/>
    <w:rsid w:val="004073BC"/>
    <w:rsid w:val="0041135D"/>
    <w:rsid w:val="00412609"/>
    <w:rsid w:val="00413500"/>
    <w:rsid w:val="00415076"/>
    <w:rsid w:val="00422FD0"/>
    <w:rsid w:val="00423408"/>
    <w:rsid w:val="00423C72"/>
    <w:rsid w:val="0043153F"/>
    <w:rsid w:val="00432360"/>
    <w:rsid w:val="004333ED"/>
    <w:rsid w:val="00433868"/>
    <w:rsid w:val="00434791"/>
    <w:rsid w:val="00437297"/>
    <w:rsid w:val="0044369E"/>
    <w:rsid w:val="00443B07"/>
    <w:rsid w:val="00444AA1"/>
    <w:rsid w:val="00446AEF"/>
    <w:rsid w:val="00447372"/>
    <w:rsid w:val="0045361A"/>
    <w:rsid w:val="004603E3"/>
    <w:rsid w:val="004617D2"/>
    <w:rsid w:val="00465459"/>
    <w:rsid w:val="00466D27"/>
    <w:rsid w:val="00470B6B"/>
    <w:rsid w:val="0047189A"/>
    <w:rsid w:val="0047633F"/>
    <w:rsid w:val="0048078E"/>
    <w:rsid w:val="00483526"/>
    <w:rsid w:val="00490BCD"/>
    <w:rsid w:val="00493B0B"/>
    <w:rsid w:val="00495118"/>
    <w:rsid w:val="004A7C42"/>
    <w:rsid w:val="004B1797"/>
    <w:rsid w:val="004B1DBD"/>
    <w:rsid w:val="004B23F0"/>
    <w:rsid w:val="004B39D8"/>
    <w:rsid w:val="004B415C"/>
    <w:rsid w:val="004B5125"/>
    <w:rsid w:val="004C1D9B"/>
    <w:rsid w:val="004C2374"/>
    <w:rsid w:val="004C2DAD"/>
    <w:rsid w:val="004C33EB"/>
    <w:rsid w:val="004C51C6"/>
    <w:rsid w:val="004D37B1"/>
    <w:rsid w:val="004D3FF2"/>
    <w:rsid w:val="004D52A3"/>
    <w:rsid w:val="004D6DB1"/>
    <w:rsid w:val="004D7C3F"/>
    <w:rsid w:val="004E0045"/>
    <w:rsid w:val="004E27FD"/>
    <w:rsid w:val="004E2936"/>
    <w:rsid w:val="004E3B56"/>
    <w:rsid w:val="004E79BC"/>
    <w:rsid w:val="004F4430"/>
    <w:rsid w:val="004F4771"/>
    <w:rsid w:val="005012A1"/>
    <w:rsid w:val="005031F7"/>
    <w:rsid w:val="00513A5F"/>
    <w:rsid w:val="00515FEE"/>
    <w:rsid w:val="00516EDA"/>
    <w:rsid w:val="00521E4B"/>
    <w:rsid w:val="00522118"/>
    <w:rsid w:val="005311B7"/>
    <w:rsid w:val="00531591"/>
    <w:rsid w:val="00531C48"/>
    <w:rsid w:val="00531E44"/>
    <w:rsid w:val="00533D22"/>
    <w:rsid w:val="005353D1"/>
    <w:rsid w:val="005355CB"/>
    <w:rsid w:val="00535F4E"/>
    <w:rsid w:val="00536311"/>
    <w:rsid w:val="005431ED"/>
    <w:rsid w:val="00550D0C"/>
    <w:rsid w:val="005546CF"/>
    <w:rsid w:val="005559C9"/>
    <w:rsid w:val="00555C22"/>
    <w:rsid w:val="00557CE3"/>
    <w:rsid w:val="005609F4"/>
    <w:rsid w:val="00560D94"/>
    <w:rsid w:val="00564370"/>
    <w:rsid w:val="00570BDB"/>
    <w:rsid w:val="005720CF"/>
    <w:rsid w:val="005729E4"/>
    <w:rsid w:val="005759EF"/>
    <w:rsid w:val="00577FDE"/>
    <w:rsid w:val="0058293C"/>
    <w:rsid w:val="00584A2D"/>
    <w:rsid w:val="00587AF3"/>
    <w:rsid w:val="005900AA"/>
    <w:rsid w:val="0059252F"/>
    <w:rsid w:val="00592BF4"/>
    <w:rsid w:val="00592C9F"/>
    <w:rsid w:val="005A355E"/>
    <w:rsid w:val="005A5741"/>
    <w:rsid w:val="005A5874"/>
    <w:rsid w:val="005A6F37"/>
    <w:rsid w:val="005A710D"/>
    <w:rsid w:val="005B2620"/>
    <w:rsid w:val="005B365F"/>
    <w:rsid w:val="005B3CE5"/>
    <w:rsid w:val="005C20BE"/>
    <w:rsid w:val="005D1213"/>
    <w:rsid w:val="005D4596"/>
    <w:rsid w:val="005D628B"/>
    <w:rsid w:val="005D7437"/>
    <w:rsid w:val="005E17F1"/>
    <w:rsid w:val="005E46EC"/>
    <w:rsid w:val="005E4A9A"/>
    <w:rsid w:val="005E630B"/>
    <w:rsid w:val="005F093F"/>
    <w:rsid w:val="005F6312"/>
    <w:rsid w:val="005F7BB5"/>
    <w:rsid w:val="006033E7"/>
    <w:rsid w:val="00603BE7"/>
    <w:rsid w:val="00604CCA"/>
    <w:rsid w:val="00605777"/>
    <w:rsid w:val="00605CE0"/>
    <w:rsid w:val="0061074D"/>
    <w:rsid w:val="00615628"/>
    <w:rsid w:val="006158F0"/>
    <w:rsid w:val="00617C2F"/>
    <w:rsid w:val="00622EDB"/>
    <w:rsid w:val="006243FF"/>
    <w:rsid w:val="00625055"/>
    <w:rsid w:val="00627F76"/>
    <w:rsid w:val="00631ADF"/>
    <w:rsid w:val="00631B88"/>
    <w:rsid w:val="00633DEB"/>
    <w:rsid w:val="00636796"/>
    <w:rsid w:val="00640658"/>
    <w:rsid w:val="0064216F"/>
    <w:rsid w:val="006425D9"/>
    <w:rsid w:val="00643172"/>
    <w:rsid w:val="00643E4E"/>
    <w:rsid w:val="006475ED"/>
    <w:rsid w:val="00647788"/>
    <w:rsid w:val="00653002"/>
    <w:rsid w:val="00654C45"/>
    <w:rsid w:val="00656184"/>
    <w:rsid w:val="00657AC9"/>
    <w:rsid w:val="00660C79"/>
    <w:rsid w:val="00664186"/>
    <w:rsid w:val="006700BD"/>
    <w:rsid w:val="006763FD"/>
    <w:rsid w:val="00677702"/>
    <w:rsid w:val="0068550A"/>
    <w:rsid w:val="0068725E"/>
    <w:rsid w:val="006902C2"/>
    <w:rsid w:val="00696935"/>
    <w:rsid w:val="00697AF4"/>
    <w:rsid w:val="006A0BF2"/>
    <w:rsid w:val="006A5DCC"/>
    <w:rsid w:val="006A6ADC"/>
    <w:rsid w:val="006B244F"/>
    <w:rsid w:val="006B333E"/>
    <w:rsid w:val="006B59F1"/>
    <w:rsid w:val="006B6042"/>
    <w:rsid w:val="006C0198"/>
    <w:rsid w:val="006C0292"/>
    <w:rsid w:val="006C3506"/>
    <w:rsid w:val="006C45AC"/>
    <w:rsid w:val="006D16CE"/>
    <w:rsid w:val="006D43D9"/>
    <w:rsid w:val="006D6E2F"/>
    <w:rsid w:val="006D6F32"/>
    <w:rsid w:val="006E3E7F"/>
    <w:rsid w:val="006E5BDD"/>
    <w:rsid w:val="006E5D8B"/>
    <w:rsid w:val="006F052F"/>
    <w:rsid w:val="006F06DB"/>
    <w:rsid w:val="006F33C5"/>
    <w:rsid w:val="006F65A4"/>
    <w:rsid w:val="00707D58"/>
    <w:rsid w:val="0071067C"/>
    <w:rsid w:val="00710B12"/>
    <w:rsid w:val="00712D47"/>
    <w:rsid w:val="00716E1F"/>
    <w:rsid w:val="0072262A"/>
    <w:rsid w:val="00723C6F"/>
    <w:rsid w:val="00727432"/>
    <w:rsid w:val="0072765F"/>
    <w:rsid w:val="00731AA0"/>
    <w:rsid w:val="007326B1"/>
    <w:rsid w:val="007337DC"/>
    <w:rsid w:val="00734D2A"/>
    <w:rsid w:val="00735DDA"/>
    <w:rsid w:val="00736E5C"/>
    <w:rsid w:val="0074060D"/>
    <w:rsid w:val="00742836"/>
    <w:rsid w:val="00742F00"/>
    <w:rsid w:val="00744678"/>
    <w:rsid w:val="00754984"/>
    <w:rsid w:val="00754C60"/>
    <w:rsid w:val="0075535A"/>
    <w:rsid w:val="0076073C"/>
    <w:rsid w:val="00760F9A"/>
    <w:rsid w:val="00766162"/>
    <w:rsid w:val="00782777"/>
    <w:rsid w:val="00782922"/>
    <w:rsid w:val="007835FD"/>
    <w:rsid w:val="00783844"/>
    <w:rsid w:val="0078627A"/>
    <w:rsid w:val="00787EC4"/>
    <w:rsid w:val="007929A4"/>
    <w:rsid w:val="0079521C"/>
    <w:rsid w:val="007971D1"/>
    <w:rsid w:val="007A0BF4"/>
    <w:rsid w:val="007A17F3"/>
    <w:rsid w:val="007A4720"/>
    <w:rsid w:val="007A49A3"/>
    <w:rsid w:val="007A66D9"/>
    <w:rsid w:val="007A6FC9"/>
    <w:rsid w:val="007B05F8"/>
    <w:rsid w:val="007B126C"/>
    <w:rsid w:val="007B40AB"/>
    <w:rsid w:val="007B459F"/>
    <w:rsid w:val="007B709F"/>
    <w:rsid w:val="007B7B70"/>
    <w:rsid w:val="007C0CA2"/>
    <w:rsid w:val="007C2754"/>
    <w:rsid w:val="007C3F12"/>
    <w:rsid w:val="007C4AAC"/>
    <w:rsid w:val="007C5489"/>
    <w:rsid w:val="007D29D0"/>
    <w:rsid w:val="007D441B"/>
    <w:rsid w:val="007D5560"/>
    <w:rsid w:val="007D61E6"/>
    <w:rsid w:val="007E3230"/>
    <w:rsid w:val="007E35A9"/>
    <w:rsid w:val="007E4283"/>
    <w:rsid w:val="007E4946"/>
    <w:rsid w:val="007E65E5"/>
    <w:rsid w:val="007E7A70"/>
    <w:rsid w:val="007F25FE"/>
    <w:rsid w:val="007F3718"/>
    <w:rsid w:val="007F5FAB"/>
    <w:rsid w:val="007F6041"/>
    <w:rsid w:val="007F6EFE"/>
    <w:rsid w:val="007F7E5C"/>
    <w:rsid w:val="00801105"/>
    <w:rsid w:val="0080382B"/>
    <w:rsid w:val="0080761D"/>
    <w:rsid w:val="008128AC"/>
    <w:rsid w:val="0081433E"/>
    <w:rsid w:val="00814D55"/>
    <w:rsid w:val="00814DA3"/>
    <w:rsid w:val="008156D8"/>
    <w:rsid w:val="00820293"/>
    <w:rsid w:val="008205A2"/>
    <w:rsid w:val="00822C3D"/>
    <w:rsid w:val="00823C52"/>
    <w:rsid w:val="00825DDC"/>
    <w:rsid w:val="00831AF6"/>
    <w:rsid w:val="00836D8D"/>
    <w:rsid w:val="00840278"/>
    <w:rsid w:val="008414BB"/>
    <w:rsid w:val="00846042"/>
    <w:rsid w:val="00853BED"/>
    <w:rsid w:val="00854D20"/>
    <w:rsid w:val="00855B8C"/>
    <w:rsid w:val="00856B61"/>
    <w:rsid w:val="00861B46"/>
    <w:rsid w:val="008641F3"/>
    <w:rsid w:val="00864CBD"/>
    <w:rsid w:val="00866265"/>
    <w:rsid w:val="00870AEA"/>
    <w:rsid w:val="00875273"/>
    <w:rsid w:val="00877BE7"/>
    <w:rsid w:val="00883EF0"/>
    <w:rsid w:val="0088615B"/>
    <w:rsid w:val="0089075F"/>
    <w:rsid w:val="008912FB"/>
    <w:rsid w:val="00891C1B"/>
    <w:rsid w:val="00893DCF"/>
    <w:rsid w:val="00897F54"/>
    <w:rsid w:val="008A345E"/>
    <w:rsid w:val="008A5426"/>
    <w:rsid w:val="008A5F2D"/>
    <w:rsid w:val="008A62A7"/>
    <w:rsid w:val="008B06E4"/>
    <w:rsid w:val="008B3860"/>
    <w:rsid w:val="008C01E0"/>
    <w:rsid w:val="008C1556"/>
    <w:rsid w:val="008C1A73"/>
    <w:rsid w:val="008C555D"/>
    <w:rsid w:val="008D0846"/>
    <w:rsid w:val="008D113C"/>
    <w:rsid w:val="008D376F"/>
    <w:rsid w:val="008D3A2D"/>
    <w:rsid w:val="008D4D1C"/>
    <w:rsid w:val="008D75D8"/>
    <w:rsid w:val="008E3E2E"/>
    <w:rsid w:val="008E5FE0"/>
    <w:rsid w:val="008F3DF8"/>
    <w:rsid w:val="00900110"/>
    <w:rsid w:val="00902174"/>
    <w:rsid w:val="00904FA8"/>
    <w:rsid w:val="0090731C"/>
    <w:rsid w:val="00912537"/>
    <w:rsid w:val="00912604"/>
    <w:rsid w:val="00914062"/>
    <w:rsid w:val="00916128"/>
    <w:rsid w:val="00917337"/>
    <w:rsid w:val="00917BB1"/>
    <w:rsid w:val="009271FB"/>
    <w:rsid w:val="009279B2"/>
    <w:rsid w:val="00936296"/>
    <w:rsid w:val="00936AE7"/>
    <w:rsid w:val="00946656"/>
    <w:rsid w:val="0094711A"/>
    <w:rsid w:val="00947838"/>
    <w:rsid w:val="00950933"/>
    <w:rsid w:val="00952073"/>
    <w:rsid w:val="009553E9"/>
    <w:rsid w:val="00961AA4"/>
    <w:rsid w:val="00961DF4"/>
    <w:rsid w:val="00962224"/>
    <w:rsid w:val="009636C2"/>
    <w:rsid w:val="00965648"/>
    <w:rsid w:val="0096745E"/>
    <w:rsid w:val="00972076"/>
    <w:rsid w:val="00974016"/>
    <w:rsid w:val="00975979"/>
    <w:rsid w:val="00975D21"/>
    <w:rsid w:val="0097739B"/>
    <w:rsid w:val="00980531"/>
    <w:rsid w:val="009805ED"/>
    <w:rsid w:val="00981C6C"/>
    <w:rsid w:val="00984B3C"/>
    <w:rsid w:val="00987D1E"/>
    <w:rsid w:val="0099065F"/>
    <w:rsid w:val="009A04BA"/>
    <w:rsid w:val="009A174E"/>
    <w:rsid w:val="009A1A2A"/>
    <w:rsid w:val="009A240D"/>
    <w:rsid w:val="009A3959"/>
    <w:rsid w:val="009B2D00"/>
    <w:rsid w:val="009B3216"/>
    <w:rsid w:val="009B44E3"/>
    <w:rsid w:val="009C07B4"/>
    <w:rsid w:val="009D2957"/>
    <w:rsid w:val="009D2C45"/>
    <w:rsid w:val="009D30BA"/>
    <w:rsid w:val="009E0BD4"/>
    <w:rsid w:val="009E1CE5"/>
    <w:rsid w:val="009E636A"/>
    <w:rsid w:val="009F0DC5"/>
    <w:rsid w:val="009F19D1"/>
    <w:rsid w:val="009F2578"/>
    <w:rsid w:val="009F3A7A"/>
    <w:rsid w:val="009F461F"/>
    <w:rsid w:val="009F7799"/>
    <w:rsid w:val="00A00173"/>
    <w:rsid w:val="00A00563"/>
    <w:rsid w:val="00A020A1"/>
    <w:rsid w:val="00A03F1F"/>
    <w:rsid w:val="00A07272"/>
    <w:rsid w:val="00A07D1E"/>
    <w:rsid w:val="00A07FE3"/>
    <w:rsid w:val="00A10360"/>
    <w:rsid w:val="00A16BF3"/>
    <w:rsid w:val="00A16C2D"/>
    <w:rsid w:val="00A2645F"/>
    <w:rsid w:val="00A27284"/>
    <w:rsid w:val="00A3015F"/>
    <w:rsid w:val="00A3196C"/>
    <w:rsid w:val="00A31AE0"/>
    <w:rsid w:val="00A326FB"/>
    <w:rsid w:val="00A338A7"/>
    <w:rsid w:val="00A339DE"/>
    <w:rsid w:val="00A34BB2"/>
    <w:rsid w:val="00A368EE"/>
    <w:rsid w:val="00A43CEC"/>
    <w:rsid w:val="00A4463A"/>
    <w:rsid w:val="00A45AAB"/>
    <w:rsid w:val="00A4691F"/>
    <w:rsid w:val="00A52070"/>
    <w:rsid w:val="00A57845"/>
    <w:rsid w:val="00A63422"/>
    <w:rsid w:val="00A66E6C"/>
    <w:rsid w:val="00A705E3"/>
    <w:rsid w:val="00A7227E"/>
    <w:rsid w:val="00A73726"/>
    <w:rsid w:val="00A760E3"/>
    <w:rsid w:val="00A76967"/>
    <w:rsid w:val="00A82861"/>
    <w:rsid w:val="00A83D45"/>
    <w:rsid w:val="00A85AF4"/>
    <w:rsid w:val="00A92220"/>
    <w:rsid w:val="00A9349C"/>
    <w:rsid w:val="00A93AB2"/>
    <w:rsid w:val="00A954FB"/>
    <w:rsid w:val="00A95B79"/>
    <w:rsid w:val="00AA5D32"/>
    <w:rsid w:val="00AA69B1"/>
    <w:rsid w:val="00AB418F"/>
    <w:rsid w:val="00AB56DE"/>
    <w:rsid w:val="00AC1FEC"/>
    <w:rsid w:val="00AC4410"/>
    <w:rsid w:val="00AC5E52"/>
    <w:rsid w:val="00AD606E"/>
    <w:rsid w:val="00AD7DAC"/>
    <w:rsid w:val="00AE068C"/>
    <w:rsid w:val="00AE42CA"/>
    <w:rsid w:val="00AE5D4F"/>
    <w:rsid w:val="00AE66E4"/>
    <w:rsid w:val="00AE6E64"/>
    <w:rsid w:val="00AF26E6"/>
    <w:rsid w:val="00AF4115"/>
    <w:rsid w:val="00AF4DDD"/>
    <w:rsid w:val="00AF607B"/>
    <w:rsid w:val="00B007A6"/>
    <w:rsid w:val="00B14A1E"/>
    <w:rsid w:val="00B1625C"/>
    <w:rsid w:val="00B17961"/>
    <w:rsid w:val="00B20C77"/>
    <w:rsid w:val="00B2672D"/>
    <w:rsid w:val="00B26B28"/>
    <w:rsid w:val="00B26DFE"/>
    <w:rsid w:val="00B30177"/>
    <w:rsid w:val="00B3017C"/>
    <w:rsid w:val="00B3371F"/>
    <w:rsid w:val="00B42561"/>
    <w:rsid w:val="00B4384A"/>
    <w:rsid w:val="00B44DFB"/>
    <w:rsid w:val="00B46549"/>
    <w:rsid w:val="00B46E48"/>
    <w:rsid w:val="00B5256C"/>
    <w:rsid w:val="00B54BE5"/>
    <w:rsid w:val="00B54CF4"/>
    <w:rsid w:val="00B556BC"/>
    <w:rsid w:val="00B575BE"/>
    <w:rsid w:val="00B6348D"/>
    <w:rsid w:val="00B63E26"/>
    <w:rsid w:val="00B64B0C"/>
    <w:rsid w:val="00B71309"/>
    <w:rsid w:val="00B71AD4"/>
    <w:rsid w:val="00B72374"/>
    <w:rsid w:val="00B73B3B"/>
    <w:rsid w:val="00B758D5"/>
    <w:rsid w:val="00B7D2C1"/>
    <w:rsid w:val="00B80837"/>
    <w:rsid w:val="00B80FF2"/>
    <w:rsid w:val="00B818DD"/>
    <w:rsid w:val="00B92295"/>
    <w:rsid w:val="00B963D8"/>
    <w:rsid w:val="00B96FD9"/>
    <w:rsid w:val="00BA36D0"/>
    <w:rsid w:val="00BA4852"/>
    <w:rsid w:val="00BA62F7"/>
    <w:rsid w:val="00BB0DDC"/>
    <w:rsid w:val="00BB2C69"/>
    <w:rsid w:val="00BB31DE"/>
    <w:rsid w:val="00BC0B39"/>
    <w:rsid w:val="00BC18F4"/>
    <w:rsid w:val="00BC2318"/>
    <w:rsid w:val="00BC2524"/>
    <w:rsid w:val="00BD0926"/>
    <w:rsid w:val="00BD5DDE"/>
    <w:rsid w:val="00BE0E2E"/>
    <w:rsid w:val="00BE5151"/>
    <w:rsid w:val="00BE60E1"/>
    <w:rsid w:val="00BE65DC"/>
    <w:rsid w:val="00BF0917"/>
    <w:rsid w:val="00BF7161"/>
    <w:rsid w:val="00C009FA"/>
    <w:rsid w:val="00C03049"/>
    <w:rsid w:val="00C038BD"/>
    <w:rsid w:val="00C070FF"/>
    <w:rsid w:val="00C1260A"/>
    <w:rsid w:val="00C12EB0"/>
    <w:rsid w:val="00C16619"/>
    <w:rsid w:val="00C21CB0"/>
    <w:rsid w:val="00C2613E"/>
    <w:rsid w:val="00C26406"/>
    <w:rsid w:val="00C320D8"/>
    <w:rsid w:val="00C35136"/>
    <w:rsid w:val="00C35376"/>
    <w:rsid w:val="00C3676E"/>
    <w:rsid w:val="00C448D7"/>
    <w:rsid w:val="00C46317"/>
    <w:rsid w:val="00C53D21"/>
    <w:rsid w:val="00C5546B"/>
    <w:rsid w:val="00C569B9"/>
    <w:rsid w:val="00C63AF5"/>
    <w:rsid w:val="00C648B1"/>
    <w:rsid w:val="00C7571B"/>
    <w:rsid w:val="00C80C69"/>
    <w:rsid w:val="00C917FC"/>
    <w:rsid w:val="00C92104"/>
    <w:rsid w:val="00C94808"/>
    <w:rsid w:val="00C94AD0"/>
    <w:rsid w:val="00CA483E"/>
    <w:rsid w:val="00CA5869"/>
    <w:rsid w:val="00CA7D4F"/>
    <w:rsid w:val="00CB0310"/>
    <w:rsid w:val="00CB1440"/>
    <w:rsid w:val="00CB576D"/>
    <w:rsid w:val="00CC01E4"/>
    <w:rsid w:val="00CC0358"/>
    <w:rsid w:val="00CC25EE"/>
    <w:rsid w:val="00CC3F39"/>
    <w:rsid w:val="00CC76C8"/>
    <w:rsid w:val="00CD482B"/>
    <w:rsid w:val="00CD5DE5"/>
    <w:rsid w:val="00CD6C50"/>
    <w:rsid w:val="00CE1409"/>
    <w:rsid w:val="00CE1BA0"/>
    <w:rsid w:val="00CE2A75"/>
    <w:rsid w:val="00CE3F44"/>
    <w:rsid w:val="00CE426F"/>
    <w:rsid w:val="00CF425B"/>
    <w:rsid w:val="00CF52D7"/>
    <w:rsid w:val="00CF6DDE"/>
    <w:rsid w:val="00CF7EFB"/>
    <w:rsid w:val="00D03441"/>
    <w:rsid w:val="00D037FF"/>
    <w:rsid w:val="00D04659"/>
    <w:rsid w:val="00D0591F"/>
    <w:rsid w:val="00D07544"/>
    <w:rsid w:val="00D10368"/>
    <w:rsid w:val="00D108BE"/>
    <w:rsid w:val="00D11335"/>
    <w:rsid w:val="00D16113"/>
    <w:rsid w:val="00D17371"/>
    <w:rsid w:val="00D240DA"/>
    <w:rsid w:val="00D27583"/>
    <w:rsid w:val="00D31399"/>
    <w:rsid w:val="00D33942"/>
    <w:rsid w:val="00D34019"/>
    <w:rsid w:val="00D341FB"/>
    <w:rsid w:val="00D35448"/>
    <w:rsid w:val="00D3696A"/>
    <w:rsid w:val="00D36A96"/>
    <w:rsid w:val="00D452BC"/>
    <w:rsid w:val="00D56D9F"/>
    <w:rsid w:val="00D604E5"/>
    <w:rsid w:val="00D62532"/>
    <w:rsid w:val="00D635CB"/>
    <w:rsid w:val="00D661AD"/>
    <w:rsid w:val="00D66B92"/>
    <w:rsid w:val="00D73AD6"/>
    <w:rsid w:val="00D75111"/>
    <w:rsid w:val="00D754CD"/>
    <w:rsid w:val="00D86811"/>
    <w:rsid w:val="00D957C6"/>
    <w:rsid w:val="00DA0BE5"/>
    <w:rsid w:val="00DA16DC"/>
    <w:rsid w:val="00DA235B"/>
    <w:rsid w:val="00DA52D2"/>
    <w:rsid w:val="00DA782D"/>
    <w:rsid w:val="00DB2BDD"/>
    <w:rsid w:val="00DB3C97"/>
    <w:rsid w:val="00DB3CA7"/>
    <w:rsid w:val="00DB6433"/>
    <w:rsid w:val="00DC116F"/>
    <w:rsid w:val="00DC1FC5"/>
    <w:rsid w:val="00DC55E6"/>
    <w:rsid w:val="00DD1E27"/>
    <w:rsid w:val="00DD24D6"/>
    <w:rsid w:val="00DD3169"/>
    <w:rsid w:val="00DD69D3"/>
    <w:rsid w:val="00DD787D"/>
    <w:rsid w:val="00DE08D2"/>
    <w:rsid w:val="00DE11E3"/>
    <w:rsid w:val="00DE2052"/>
    <w:rsid w:val="00DF1F1D"/>
    <w:rsid w:val="00DF3AEE"/>
    <w:rsid w:val="00E01D3A"/>
    <w:rsid w:val="00E021C3"/>
    <w:rsid w:val="00E03629"/>
    <w:rsid w:val="00E04A8E"/>
    <w:rsid w:val="00E0535E"/>
    <w:rsid w:val="00E053BD"/>
    <w:rsid w:val="00E101AA"/>
    <w:rsid w:val="00E10792"/>
    <w:rsid w:val="00E10CE4"/>
    <w:rsid w:val="00E15A95"/>
    <w:rsid w:val="00E163F3"/>
    <w:rsid w:val="00E2308F"/>
    <w:rsid w:val="00E236EE"/>
    <w:rsid w:val="00E245AC"/>
    <w:rsid w:val="00E257CA"/>
    <w:rsid w:val="00E304E7"/>
    <w:rsid w:val="00E31E95"/>
    <w:rsid w:val="00E333B2"/>
    <w:rsid w:val="00E4770E"/>
    <w:rsid w:val="00E54DD0"/>
    <w:rsid w:val="00E6002D"/>
    <w:rsid w:val="00E62524"/>
    <w:rsid w:val="00E63C58"/>
    <w:rsid w:val="00E664ED"/>
    <w:rsid w:val="00E679A2"/>
    <w:rsid w:val="00E67C75"/>
    <w:rsid w:val="00E70C1B"/>
    <w:rsid w:val="00E72B3F"/>
    <w:rsid w:val="00E7552A"/>
    <w:rsid w:val="00E76B16"/>
    <w:rsid w:val="00E8246C"/>
    <w:rsid w:val="00E859A7"/>
    <w:rsid w:val="00E85C22"/>
    <w:rsid w:val="00E96036"/>
    <w:rsid w:val="00E976E0"/>
    <w:rsid w:val="00EA24B4"/>
    <w:rsid w:val="00EA297B"/>
    <w:rsid w:val="00EA3FD3"/>
    <w:rsid w:val="00EA670A"/>
    <w:rsid w:val="00EA7293"/>
    <w:rsid w:val="00EB1D78"/>
    <w:rsid w:val="00EB47B8"/>
    <w:rsid w:val="00EB5AEF"/>
    <w:rsid w:val="00EB5B2A"/>
    <w:rsid w:val="00EB6609"/>
    <w:rsid w:val="00EB668D"/>
    <w:rsid w:val="00EB67EF"/>
    <w:rsid w:val="00EC4BF4"/>
    <w:rsid w:val="00EC5937"/>
    <w:rsid w:val="00EC5AB9"/>
    <w:rsid w:val="00EC6A73"/>
    <w:rsid w:val="00ED3EE7"/>
    <w:rsid w:val="00ED4ED5"/>
    <w:rsid w:val="00ED69AC"/>
    <w:rsid w:val="00EE2FAB"/>
    <w:rsid w:val="00EF06C6"/>
    <w:rsid w:val="00EF38F2"/>
    <w:rsid w:val="00EF4BD8"/>
    <w:rsid w:val="00EF564C"/>
    <w:rsid w:val="00EF5FD5"/>
    <w:rsid w:val="00EF7941"/>
    <w:rsid w:val="00EF7E70"/>
    <w:rsid w:val="00F0182C"/>
    <w:rsid w:val="00F06E00"/>
    <w:rsid w:val="00F07048"/>
    <w:rsid w:val="00F106DB"/>
    <w:rsid w:val="00F108E9"/>
    <w:rsid w:val="00F11845"/>
    <w:rsid w:val="00F15342"/>
    <w:rsid w:val="00F20870"/>
    <w:rsid w:val="00F30FEA"/>
    <w:rsid w:val="00F33E47"/>
    <w:rsid w:val="00F352B3"/>
    <w:rsid w:val="00F36822"/>
    <w:rsid w:val="00F36C4C"/>
    <w:rsid w:val="00F376AD"/>
    <w:rsid w:val="00F417D5"/>
    <w:rsid w:val="00F43C44"/>
    <w:rsid w:val="00F47027"/>
    <w:rsid w:val="00F471D6"/>
    <w:rsid w:val="00F47429"/>
    <w:rsid w:val="00F5039B"/>
    <w:rsid w:val="00F52FEE"/>
    <w:rsid w:val="00F531AD"/>
    <w:rsid w:val="00F55C11"/>
    <w:rsid w:val="00F5707F"/>
    <w:rsid w:val="00F602D2"/>
    <w:rsid w:val="00F60886"/>
    <w:rsid w:val="00F60DD8"/>
    <w:rsid w:val="00F61B17"/>
    <w:rsid w:val="00F6225C"/>
    <w:rsid w:val="00F65A97"/>
    <w:rsid w:val="00F72274"/>
    <w:rsid w:val="00F773CD"/>
    <w:rsid w:val="00F77432"/>
    <w:rsid w:val="00F7795C"/>
    <w:rsid w:val="00F811AB"/>
    <w:rsid w:val="00F87C60"/>
    <w:rsid w:val="00F924F3"/>
    <w:rsid w:val="00F96069"/>
    <w:rsid w:val="00FA2636"/>
    <w:rsid w:val="00FA3DA6"/>
    <w:rsid w:val="00FA5733"/>
    <w:rsid w:val="00FA5D26"/>
    <w:rsid w:val="00FA7FEC"/>
    <w:rsid w:val="00FB06BD"/>
    <w:rsid w:val="00FB1132"/>
    <w:rsid w:val="00FB11FF"/>
    <w:rsid w:val="00FB1607"/>
    <w:rsid w:val="00FD15F6"/>
    <w:rsid w:val="00FD17F0"/>
    <w:rsid w:val="00FD2229"/>
    <w:rsid w:val="00FE230D"/>
    <w:rsid w:val="00FE35D1"/>
    <w:rsid w:val="00FE5380"/>
    <w:rsid w:val="00FE6957"/>
    <w:rsid w:val="00FE764C"/>
    <w:rsid w:val="00FF1889"/>
    <w:rsid w:val="00FF238C"/>
    <w:rsid w:val="00FF2CFA"/>
    <w:rsid w:val="00FF315C"/>
    <w:rsid w:val="00FF417B"/>
    <w:rsid w:val="00FF5942"/>
    <w:rsid w:val="00FF5D5A"/>
    <w:rsid w:val="00FF669F"/>
    <w:rsid w:val="010B5EE7"/>
    <w:rsid w:val="037FA35B"/>
    <w:rsid w:val="03A5A1D5"/>
    <w:rsid w:val="04541969"/>
    <w:rsid w:val="0564401D"/>
    <w:rsid w:val="0599A8E6"/>
    <w:rsid w:val="05ACE993"/>
    <w:rsid w:val="06E68FF5"/>
    <w:rsid w:val="07B2FA15"/>
    <w:rsid w:val="0844DADD"/>
    <w:rsid w:val="09F72F31"/>
    <w:rsid w:val="0AA27ADB"/>
    <w:rsid w:val="0D20E5CA"/>
    <w:rsid w:val="0E2DECD8"/>
    <w:rsid w:val="0FE7F7A0"/>
    <w:rsid w:val="103BC507"/>
    <w:rsid w:val="11159627"/>
    <w:rsid w:val="112241D2"/>
    <w:rsid w:val="12CFB519"/>
    <w:rsid w:val="12D9E025"/>
    <w:rsid w:val="12F7CCC9"/>
    <w:rsid w:val="13955638"/>
    <w:rsid w:val="13C05B5D"/>
    <w:rsid w:val="13F00413"/>
    <w:rsid w:val="1582B8E9"/>
    <w:rsid w:val="1714521B"/>
    <w:rsid w:val="1D878677"/>
    <w:rsid w:val="1E639E35"/>
    <w:rsid w:val="1F1F6B03"/>
    <w:rsid w:val="1F66B034"/>
    <w:rsid w:val="1FD50095"/>
    <w:rsid w:val="1FF1DE00"/>
    <w:rsid w:val="206C0F89"/>
    <w:rsid w:val="21A42360"/>
    <w:rsid w:val="21E44010"/>
    <w:rsid w:val="2274D28C"/>
    <w:rsid w:val="2301273D"/>
    <w:rsid w:val="252F4997"/>
    <w:rsid w:val="268591BA"/>
    <w:rsid w:val="27DBD969"/>
    <w:rsid w:val="283F39E9"/>
    <w:rsid w:val="284DCF06"/>
    <w:rsid w:val="298985D8"/>
    <w:rsid w:val="29E4A446"/>
    <w:rsid w:val="2A822F67"/>
    <w:rsid w:val="2AD96C0B"/>
    <w:rsid w:val="2BB1EBAA"/>
    <w:rsid w:val="2BFC556D"/>
    <w:rsid w:val="2C47BE9C"/>
    <w:rsid w:val="2D2A5046"/>
    <w:rsid w:val="2E402444"/>
    <w:rsid w:val="2F29A808"/>
    <w:rsid w:val="30F8800D"/>
    <w:rsid w:val="32068BB0"/>
    <w:rsid w:val="3284B53E"/>
    <w:rsid w:val="32EDA900"/>
    <w:rsid w:val="34674289"/>
    <w:rsid w:val="3572C850"/>
    <w:rsid w:val="36038FA2"/>
    <w:rsid w:val="36CAA164"/>
    <w:rsid w:val="37CD1ED3"/>
    <w:rsid w:val="38E7FD12"/>
    <w:rsid w:val="3974BC83"/>
    <w:rsid w:val="39A8E867"/>
    <w:rsid w:val="3A735163"/>
    <w:rsid w:val="3AF7D7A4"/>
    <w:rsid w:val="3C9417A5"/>
    <w:rsid w:val="3D1B5AD4"/>
    <w:rsid w:val="3E6E7447"/>
    <w:rsid w:val="3F80ADB9"/>
    <w:rsid w:val="3FC4CEC8"/>
    <w:rsid w:val="3FD563B1"/>
    <w:rsid w:val="4140D9E2"/>
    <w:rsid w:val="4308A5E6"/>
    <w:rsid w:val="43E1928B"/>
    <w:rsid w:val="45269D25"/>
    <w:rsid w:val="47546AB8"/>
    <w:rsid w:val="476BE0FF"/>
    <w:rsid w:val="47920771"/>
    <w:rsid w:val="48ACAC3D"/>
    <w:rsid w:val="49A89788"/>
    <w:rsid w:val="4BBD14F1"/>
    <w:rsid w:val="4C3C1A03"/>
    <w:rsid w:val="4DE35B80"/>
    <w:rsid w:val="4F0DEB92"/>
    <w:rsid w:val="50624DC3"/>
    <w:rsid w:val="508E7A9B"/>
    <w:rsid w:val="51F8998E"/>
    <w:rsid w:val="52795DBE"/>
    <w:rsid w:val="5347E746"/>
    <w:rsid w:val="544C582F"/>
    <w:rsid w:val="548520D7"/>
    <w:rsid w:val="5522D45B"/>
    <w:rsid w:val="55EF2758"/>
    <w:rsid w:val="56237B45"/>
    <w:rsid w:val="5690EF6C"/>
    <w:rsid w:val="57DB278E"/>
    <w:rsid w:val="584F0858"/>
    <w:rsid w:val="5A566B04"/>
    <w:rsid w:val="5B76A18C"/>
    <w:rsid w:val="5BD17D59"/>
    <w:rsid w:val="5CDCFC5E"/>
    <w:rsid w:val="5EA6AC8D"/>
    <w:rsid w:val="5FE781BD"/>
    <w:rsid w:val="63224ED4"/>
    <w:rsid w:val="634434AE"/>
    <w:rsid w:val="65AF08D6"/>
    <w:rsid w:val="67A1C17C"/>
    <w:rsid w:val="67CBA8D2"/>
    <w:rsid w:val="6885A2E7"/>
    <w:rsid w:val="68F626B3"/>
    <w:rsid w:val="69FA1D44"/>
    <w:rsid w:val="6A8B63BB"/>
    <w:rsid w:val="6ADF6DFC"/>
    <w:rsid w:val="6AE576E6"/>
    <w:rsid w:val="6B7AC39C"/>
    <w:rsid w:val="6C64E017"/>
    <w:rsid w:val="6DE42B38"/>
    <w:rsid w:val="6DF306F8"/>
    <w:rsid w:val="6E778D0B"/>
    <w:rsid w:val="6E856741"/>
    <w:rsid w:val="6EC5E494"/>
    <w:rsid w:val="70CABC5F"/>
    <w:rsid w:val="71247833"/>
    <w:rsid w:val="71CD398F"/>
    <w:rsid w:val="71D2FA8C"/>
    <w:rsid w:val="71F008EE"/>
    <w:rsid w:val="7219187C"/>
    <w:rsid w:val="72570BC3"/>
    <w:rsid w:val="7435BC31"/>
    <w:rsid w:val="746EE458"/>
    <w:rsid w:val="74D354BF"/>
    <w:rsid w:val="760273AF"/>
    <w:rsid w:val="76F19A50"/>
    <w:rsid w:val="77775C12"/>
    <w:rsid w:val="77C2FD35"/>
    <w:rsid w:val="77D855EF"/>
    <w:rsid w:val="784C75F2"/>
    <w:rsid w:val="78DAF091"/>
    <w:rsid w:val="79DAAD5E"/>
    <w:rsid w:val="7B0079F4"/>
    <w:rsid w:val="7BB7D85E"/>
    <w:rsid w:val="7DCB2FF1"/>
    <w:rsid w:val="7E9B9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B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F7795C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522118"/>
  </w:style>
  <w:style w:type="character" w:customStyle="1" w:styleId="eop">
    <w:name w:val="eop"/>
    <w:basedOn w:val="DefaultParagraphFont"/>
    <w:rsid w:val="00522118"/>
  </w:style>
  <w:style w:type="paragraph" w:styleId="ListParagraph">
    <w:name w:val="List Paragraph"/>
    <w:basedOn w:val="Normal"/>
    <w:link w:val="ListParagraphChar"/>
    <w:uiPriority w:val="34"/>
    <w:qFormat/>
    <w:rsid w:val="0052211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22118"/>
    <w:rPr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A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EF"/>
    <w:rPr>
      <w:rFonts w:eastAsiaTheme="minorEastAsia"/>
      <w:b/>
      <w:bCs/>
      <w:sz w:val="20"/>
      <w:szCs w:val="20"/>
    </w:rPr>
  </w:style>
  <w:style w:type="character" w:customStyle="1" w:styleId="cf01">
    <w:name w:val="cf01"/>
    <w:basedOn w:val="DefaultParagraphFont"/>
    <w:rsid w:val="00D1737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C94AD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35F6"/>
    <w:rPr>
      <w:color w:val="016574" w:themeColor="followedHyperlink"/>
      <w:u w:val="single"/>
    </w:rPr>
  </w:style>
  <w:style w:type="character" w:customStyle="1" w:styleId="contentcontrolboundarysink">
    <w:name w:val="contentcontrolboundarysink"/>
    <w:basedOn w:val="DefaultParagraphFont"/>
    <w:rsid w:val="001B00B3"/>
  </w:style>
  <w:style w:type="character" w:customStyle="1" w:styleId="contentcontrol">
    <w:name w:val="contentcontrol"/>
    <w:basedOn w:val="DefaultParagraphFont"/>
    <w:rsid w:val="00870AEA"/>
  </w:style>
  <w:style w:type="paragraph" w:styleId="FootnoteText">
    <w:name w:val="footnote text"/>
    <w:basedOn w:val="Normal"/>
    <w:link w:val="FootnoteTextChar"/>
    <w:uiPriority w:val="99"/>
    <w:semiHidden/>
    <w:unhideWhenUsed/>
    <w:rsid w:val="008402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278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0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view.officeapps.live.com/op/view.aspx?src=https%3A%2F%2Fwww.sepa.org.uk%2Fmedia%2F40kf3raj%2Fguidance_storage_treatment_hcw.docx&amp;wdOrigin=BROWSELINK" TargetMode="External"/><Relationship Id="rId39" Type="http://schemas.openxmlformats.org/officeDocument/2006/relationships/header" Target="header12.xml"/><Relationship Id="rId21" Type="http://schemas.openxmlformats.org/officeDocument/2006/relationships/footer" Target="footer4.xml"/><Relationship Id="rId34" Type="http://schemas.openxmlformats.org/officeDocument/2006/relationships/hyperlink" Target="https://www.sepa.org.uk/media/tnoa12he/waste-upholstered-domestic-seating-containing-pops-guidance.pdf" TargetMode="External"/><Relationship Id="rId42" Type="http://schemas.openxmlformats.org/officeDocument/2006/relationships/header" Target="header1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sepa.org.uk%2Fmedia%2Fh4ocmt2z%2Fsepa-odour-guidance-2025.docx&amp;wdOrigin=BROWSELINK" TargetMode="External"/><Relationship Id="rId24" Type="http://schemas.openxmlformats.org/officeDocument/2006/relationships/footer" Target="footer6.xml"/><Relationship Id="rId32" Type="http://schemas.openxmlformats.org/officeDocument/2006/relationships/footer" Target="footer9.xml"/><Relationship Id="rId37" Type="http://schemas.openxmlformats.org/officeDocument/2006/relationships/hyperlink" Target="mailto:contactscotland-bsl.org" TargetMode="External"/><Relationship Id="rId40" Type="http://schemas.openxmlformats.org/officeDocument/2006/relationships/footer" Target="footer10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36" Type="http://schemas.openxmlformats.org/officeDocument/2006/relationships/hyperlink" Target="mailto:epas@sepa.org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8.xml"/><Relationship Id="rId35" Type="http://schemas.openxmlformats.org/officeDocument/2006/relationships/hyperlink" Target="https://www.legislation.gov.uk/uksi/2007/3106" TargetMode="External"/><Relationship Id="rId43" Type="http://schemas.openxmlformats.org/officeDocument/2006/relationships/footer" Target="footer1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view.officeapps.live.com/op/view.aspx?src=https%3A%2F%2Fwww.sepa.org.uk%2Fmedia%2Fh4ocmt2z%2Fsepa-odour-guidance-2025.docx&amp;wdOrigin=BROWSELINK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yperlink" Target="https://www.legislation.gov.uk/uksi/2007/3106" TargetMode="External"/><Relationship Id="rId38" Type="http://schemas.openxmlformats.org/officeDocument/2006/relationships/header" Target="header11.xml"/><Relationship Id="rId20" Type="http://schemas.openxmlformats.org/officeDocument/2006/relationships/header" Target="header5.xml"/><Relationship Id="rId41" Type="http://schemas.openxmlformats.org/officeDocument/2006/relationships/footer" Target="footer11.xm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cfbb0f67fdcb20f11cbb8ebbb7db94d9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d8ba7c30d25fd49f294ba980ac580ffb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5997C-4176-4663-8DBA-22E2E1B81539}">
  <ds:schemaRefs>
    <ds:schemaRef ds:uri="http://schemas.microsoft.com/office/2006/metadata/properties"/>
    <ds:schemaRef ds:uri="d78196fb-9298-4b53-bbe4-5b9c17bf8b2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da804293-9b54-4d41-bda8-49841b43b8d0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5F1099-3A10-47AE-AC7E-7A47DCD42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CE643-14E7-4400-BFC1-92197B84C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20c9faf-63bf-4a31-9cd9-de783d5c392c}" enabled="1" method="Privileged" siteId="{5cf26d65-cf46-4c72-ba82-7577d9c2d7a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2229</Words>
  <Characters>12708</Characters>
  <Application>Microsoft Office Word</Application>
  <DocSecurity>0</DocSecurity>
  <Lines>105</Lines>
  <Paragraphs>29</Paragraphs>
  <ScaleCrop>false</ScaleCrop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2025-11-08T02:34:00Z</dcterms:created>
  <dcterms:modified xsi:type="dcterms:W3CDTF">2025-12-05T13:21:00Z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2773ca4e,f761b50,7bcf879f,30444691,76013cce,4d5bbd34,6f30a8c0,738dce89,4394754b,2c4b08c7,4bea70fb,3304b653,2ef62cf6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6723d2e0,5bcb42b8,779cc15a,f0d280c,2278c4cb,3cd2ceb4,40395e5,3c6f99d9,2952a7a2,2c04fffc,236b7dc7,6cc31812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2025-11-07T10:35:12Z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f7ad5671-fd72-4fb5-a0ba-bd61e8f04328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0x010100CC0D5F771FAE4846B93912554B05E957</vt:lpwstr>
  </property>
  <property fmtid="{D5CDD505-2E9C-101B-9397-08002B2CF9AE}" pid="18" name="Document type">
    <vt:lpwstr/>
  </property>
  <property fmtid="{D5CDD505-2E9C-101B-9397-08002B2CF9AE}" pid="19" name="Document_x0020_type">
    <vt:lpwstr/>
  </property>
  <property fmtid="{D5CDD505-2E9C-101B-9397-08002B2CF9AE}" pid="20" name="docLang">
    <vt:lpwstr>en</vt:lpwstr>
  </property>
</Properties>
</file>